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9E8DF" w14:textId="2725B2C0" w:rsidR="00772829" w:rsidRPr="00CE28E3" w:rsidRDefault="006669BE" w:rsidP="00772829">
      <w:pPr>
        <w:spacing w:after="240"/>
        <w:jc w:val="center"/>
        <w:rPr>
          <w:b/>
          <w:i/>
          <w:szCs w:val="24"/>
          <w:highlight w:val="yellow"/>
        </w:rPr>
      </w:pPr>
      <w:r>
        <w:rPr>
          <w:noProof/>
        </w:rPr>
        <w:drawing>
          <wp:inline distT="0" distB="0" distL="0" distR="0" wp14:anchorId="6C472552" wp14:editId="006FB620">
            <wp:extent cx="2627630" cy="1078865"/>
            <wp:effectExtent l="0" t="0" r="1270" b="6985"/>
            <wp:docPr id="6" name="Picture 6" descr="Medical Services Advisory Committee Logo"/>
            <wp:cNvGraphicFramePr/>
            <a:graphic xmlns:a="http://schemas.openxmlformats.org/drawingml/2006/main">
              <a:graphicData uri="http://schemas.openxmlformats.org/drawingml/2006/picture">
                <pic:pic xmlns:pic="http://schemas.openxmlformats.org/drawingml/2006/picture">
                  <pic:nvPicPr>
                    <pic:cNvPr id="1" name="Picture 1" descr="Medical Services Advisory Committee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51613F2F" w14:textId="506282EC" w:rsidR="006669BE" w:rsidRDefault="006669BE" w:rsidP="006669BE">
      <w:pPr>
        <w:pStyle w:val="Subtitle"/>
        <w:spacing w:before="480"/>
        <w:rPr>
          <w:rFonts w:eastAsiaTheme="majorEastAsia"/>
          <w:i w:val="0"/>
          <w:sz w:val="36"/>
          <w:szCs w:val="36"/>
          <w:lang w:eastAsia="en-US"/>
        </w:rPr>
      </w:pPr>
      <w:r w:rsidRPr="006669BE">
        <w:rPr>
          <w:rFonts w:eastAsiaTheme="majorEastAsia"/>
          <w:i w:val="0"/>
          <w:sz w:val="36"/>
          <w:szCs w:val="36"/>
          <w:lang w:eastAsia="en-US"/>
        </w:rPr>
        <w:t>Public Summary Document</w:t>
      </w:r>
    </w:p>
    <w:p w14:paraId="7A128FDE" w14:textId="0E890495" w:rsidR="00772829" w:rsidRPr="00CE28E3" w:rsidRDefault="00772829" w:rsidP="00772829">
      <w:pPr>
        <w:pStyle w:val="Subtitle"/>
      </w:pPr>
      <w:r w:rsidRPr="00CE28E3">
        <w:t xml:space="preserve">Application No. </w:t>
      </w:r>
      <w:r w:rsidR="009D0A45" w:rsidRPr="009D0A45">
        <w:t>1686</w:t>
      </w:r>
      <w:r w:rsidRPr="009D0A45">
        <w:t xml:space="preserve"> – </w:t>
      </w:r>
      <w:r w:rsidR="009D0A45" w:rsidRPr="009D0A45">
        <w:rPr>
          <w:vertAlign w:val="superscript"/>
        </w:rPr>
        <w:t>177</w:t>
      </w:r>
      <w:r w:rsidR="009D0A45" w:rsidRPr="009D0A45">
        <w:t>Lutetium</w:t>
      </w:r>
      <w:r w:rsidR="001805CC">
        <w:t xml:space="preserve"> </w:t>
      </w:r>
      <w:r w:rsidR="00886914">
        <w:t>PSMA </w:t>
      </w:r>
      <w:proofErr w:type="spellStart"/>
      <w:r w:rsidR="00886914">
        <w:t>i&amp;t</w:t>
      </w:r>
      <w:proofErr w:type="spellEnd"/>
      <w:r w:rsidR="009D0A45" w:rsidRPr="009D0A45">
        <w:t xml:space="preserve"> for metastatic castrate resistant prostate cancer</w:t>
      </w:r>
    </w:p>
    <w:p w14:paraId="35263561" w14:textId="3BFB87B4" w:rsidR="00772829" w:rsidRPr="00CE28E3" w:rsidRDefault="00772829" w:rsidP="00344E1F">
      <w:pPr>
        <w:spacing w:after="240"/>
        <w:ind w:left="3402" w:hanging="3402"/>
        <w:rPr>
          <w:rFonts w:ascii="Arial" w:hAnsi="Arial" w:cs="Arial"/>
          <w:b/>
          <w:szCs w:val="24"/>
        </w:rPr>
      </w:pPr>
      <w:r w:rsidRPr="00CE28E3">
        <w:rPr>
          <w:rFonts w:ascii="Arial" w:hAnsi="Arial" w:cs="Arial"/>
          <w:b/>
          <w:szCs w:val="24"/>
        </w:rPr>
        <w:t>Applicant:</w:t>
      </w:r>
      <w:r w:rsidRPr="00CE28E3">
        <w:rPr>
          <w:rFonts w:ascii="Arial" w:hAnsi="Arial" w:cs="Arial"/>
          <w:b/>
          <w:szCs w:val="24"/>
        </w:rPr>
        <w:tab/>
      </w:r>
      <w:r w:rsidR="00B038B3">
        <w:rPr>
          <w:rFonts w:ascii="Arial" w:hAnsi="Arial" w:cs="Arial"/>
          <w:b/>
          <w:szCs w:val="24"/>
        </w:rPr>
        <w:t xml:space="preserve">A </w:t>
      </w:r>
      <w:r w:rsidR="00B038B3" w:rsidRPr="00B038B3">
        <w:rPr>
          <w:rFonts w:ascii="Arial" w:hAnsi="Arial" w:cs="Arial"/>
          <w:b/>
          <w:szCs w:val="24"/>
        </w:rPr>
        <w:t xml:space="preserve">group of academic specialists, </w:t>
      </w:r>
      <w:r w:rsidR="00B038B3">
        <w:rPr>
          <w:rFonts w:ascii="Arial" w:hAnsi="Arial" w:cs="Arial"/>
          <w:b/>
          <w:szCs w:val="24"/>
        </w:rPr>
        <w:t xml:space="preserve">co-sponsored by the </w:t>
      </w:r>
      <w:r w:rsidR="00344E1F" w:rsidRPr="00344E1F">
        <w:rPr>
          <w:rFonts w:ascii="Arial" w:hAnsi="Arial" w:cs="Arial"/>
          <w:b/>
          <w:szCs w:val="24"/>
        </w:rPr>
        <w:t>Australasian Association of Nuclear Medicine Specialists (AANMS)</w:t>
      </w:r>
    </w:p>
    <w:p w14:paraId="15DA9C4A" w14:textId="564664D3" w:rsidR="009A3778" w:rsidRDefault="00772829" w:rsidP="00344E1F">
      <w:pPr>
        <w:tabs>
          <w:tab w:val="left" w:pos="3402"/>
        </w:tabs>
        <w:spacing w:after="360"/>
        <w:rPr>
          <w:rFonts w:ascii="Arial" w:hAnsi="Arial" w:cs="Arial"/>
          <w:b/>
          <w:szCs w:val="24"/>
        </w:rPr>
      </w:pPr>
      <w:r w:rsidRPr="00CE28E3">
        <w:rPr>
          <w:rFonts w:ascii="Arial" w:hAnsi="Arial" w:cs="Arial"/>
          <w:b/>
          <w:szCs w:val="24"/>
        </w:rPr>
        <w:t xml:space="preserve">Date of </w:t>
      </w:r>
      <w:r w:rsidR="006669BE">
        <w:rPr>
          <w:rFonts w:ascii="Arial" w:hAnsi="Arial" w:cs="Arial"/>
          <w:b/>
          <w:szCs w:val="24"/>
        </w:rPr>
        <w:t>MSAC</w:t>
      </w:r>
      <w:r w:rsidRPr="00CE28E3">
        <w:rPr>
          <w:rFonts w:ascii="Arial" w:hAnsi="Arial" w:cs="Arial"/>
          <w:b/>
          <w:szCs w:val="24"/>
        </w:rPr>
        <w:t xml:space="preserve"> consideration:</w:t>
      </w:r>
      <w:r w:rsidRPr="00CE28E3">
        <w:rPr>
          <w:rFonts w:ascii="Arial" w:hAnsi="Arial" w:cs="Arial"/>
          <w:b/>
          <w:szCs w:val="24"/>
        </w:rPr>
        <w:tab/>
      </w:r>
      <w:r w:rsidR="006669BE">
        <w:rPr>
          <w:rFonts w:ascii="Arial" w:hAnsi="Arial" w:cs="Arial"/>
          <w:b/>
          <w:szCs w:val="24"/>
        </w:rPr>
        <w:t>28-29 July</w:t>
      </w:r>
      <w:r w:rsidR="00542FA8">
        <w:rPr>
          <w:rFonts w:ascii="Arial" w:hAnsi="Arial" w:cs="Arial"/>
          <w:b/>
          <w:szCs w:val="24"/>
        </w:rPr>
        <w:t xml:space="preserve"> 2022</w:t>
      </w:r>
    </w:p>
    <w:p w14:paraId="64B9F4BF" w14:textId="77777777" w:rsidR="00BD544D" w:rsidRPr="00372234" w:rsidRDefault="00BD544D" w:rsidP="00BD544D">
      <w:pPr>
        <w:spacing w:before="240" w:after="360"/>
        <w:rPr>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10" w:tooltip="Link to Medical Services Advisory Committee website" w:history="1">
        <w:r w:rsidRPr="00F715D1">
          <w:rPr>
            <w:rStyle w:val="Hyperlink"/>
            <w:szCs w:val="24"/>
          </w:rPr>
          <w:t>visit the MSAC website</w:t>
        </w:r>
      </w:hyperlink>
    </w:p>
    <w:p w14:paraId="7EAA7262" w14:textId="75F144D7" w:rsidR="00772829" w:rsidRPr="00CE28E3" w:rsidRDefault="00C36633" w:rsidP="00C36633">
      <w:pPr>
        <w:pStyle w:val="Heading2"/>
        <w:numPr>
          <w:ilvl w:val="0"/>
          <w:numId w:val="0"/>
        </w:numPr>
      </w:pPr>
      <w:bookmarkStart w:id="0" w:name="_Toc69491415"/>
      <w:r>
        <w:t>1.</w:t>
      </w:r>
      <w:r>
        <w:tab/>
      </w:r>
      <w:r w:rsidR="00772829" w:rsidRPr="00CE28E3">
        <w:t xml:space="preserve">Purpose </w:t>
      </w:r>
      <w:r w:rsidR="00772829" w:rsidRPr="00CE28E3">
        <w:rPr>
          <w:szCs w:val="32"/>
        </w:rPr>
        <w:t>of</w:t>
      </w:r>
      <w:r w:rsidR="00772829" w:rsidRPr="00CE28E3">
        <w:t xml:space="preserve"> application</w:t>
      </w:r>
      <w:bookmarkEnd w:id="0"/>
    </w:p>
    <w:p w14:paraId="692B1409" w14:textId="46268675" w:rsidR="009D0A45" w:rsidRDefault="00772829" w:rsidP="00252358">
      <w:pPr>
        <w:spacing w:after="240"/>
      </w:pPr>
      <w:bookmarkStart w:id="1" w:name="_Hlk69734469"/>
      <w:r w:rsidRPr="009A3778">
        <w:rPr>
          <w:iCs/>
        </w:rPr>
        <w:t>A</w:t>
      </w:r>
      <w:r w:rsidR="009D0A45">
        <w:rPr>
          <w:iCs/>
        </w:rPr>
        <w:t xml:space="preserve"> </w:t>
      </w:r>
      <w:r w:rsidR="009D0A45" w:rsidRPr="009A3778">
        <w:rPr>
          <w:iCs/>
          <w:szCs w:val="24"/>
        </w:rPr>
        <w:t>codependent</w:t>
      </w:r>
      <w:r w:rsidRPr="009A3778">
        <w:rPr>
          <w:iCs/>
        </w:rPr>
        <w:t xml:space="preserve"> application</w:t>
      </w:r>
      <w:r w:rsidR="00252358" w:rsidRPr="00365548">
        <w:rPr>
          <w:iCs/>
        </w:rPr>
        <w:t xml:space="preserve"> was received</w:t>
      </w:r>
      <w:r w:rsidR="00252358">
        <w:rPr>
          <w:iCs/>
        </w:rPr>
        <w:t xml:space="preserve"> </w:t>
      </w:r>
      <w:r w:rsidR="00252358" w:rsidRPr="004B20ED">
        <w:rPr>
          <w:iCs/>
        </w:rPr>
        <w:t>by the Department of Health</w:t>
      </w:r>
      <w:r w:rsidR="00252358" w:rsidRPr="00365548">
        <w:rPr>
          <w:iCs/>
        </w:rPr>
        <w:t xml:space="preserve"> from </w:t>
      </w:r>
      <w:r w:rsidR="00252358">
        <w:rPr>
          <w:rStyle w:val="null1"/>
        </w:rPr>
        <w:t xml:space="preserve">a group of academic specialists, co-sponsored by the </w:t>
      </w:r>
      <w:r w:rsidR="0097263A">
        <w:t>Australasian Association of Nuclear Medicine Specialists (</w:t>
      </w:r>
      <w:r w:rsidR="00252358">
        <w:rPr>
          <w:rStyle w:val="null1"/>
        </w:rPr>
        <w:t>AANMS</w:t>
      </w:r>
      <w:r w:rsidR="0097263A">
        <w:rPr>
          <w:rStyle w:val="null1"/>
        </w:rPr>
        <w:t>)</w:t>
      </w:r>
      <w:r w:rsidR="00252358">
        <w:rPr>
          <w:rStyle w:val="null1"/>
        </w:rPr>
        <w:t xml:space="preserve">, </w:t>
      </w:r>
      <w:r w:rsidR="00250B75">
        <w:t>r</w:t>
      </w:r>
      <w:r w:rsidRPr="009D0A45">
        <w:t>equesting</w:t>
      </w:r>
      <w:r w:rsidR="00FF6944">
        <w:t xml:space="preserve">, in the context of </w:t>
      </w:r>
      <w:r w:rsidR="007D1689">
        <w:t xml:space="preserve">progressive </w:t>
      </w:r>
      <w:r w:rsidR="0097263A" w:rsidRPr="0097263A">
        <w:t>metastatic castrate-resistant prostate cancer</w:t>
      </w:r>
      <w:r w:rsidR="00361831">
        <w:t xml:space="preserve"> (</w:t>
      </w:r>
      <w:proofErr w:type="spellStart"/>
      <w:r w:rsidR="00361831">
        <w:t>mCRPC</w:t>
      </w:r>
      <w:proofErr w:type="spellEnd"/>
      <w:r w:rsidR="00361831">
        <w:t>)</w:t>
      </w:r>
      <w:r w:rsidR="00FF6944">
        <w:t>,</w:t>
      </w:r>
      <w:r w:rsidRPr="009D0A45">
        <w:t xml:space="preserve"> </w:t>
      </w:r>
      <w:r w:rsidR="00B71B4E" w:rsidRPr="00E92832">
        <w:rPr>
          <w:iCs/>
        </w:rPr>
        <w:t xml:space="preserve">Medicare Benefits Schedule </w:t>
      </w:r>
      <w:r w:rsidR="00B71B4E">
        <w:rPr>
          <w:iCs/>
        </w:rPr>
        <w:t>(</w:t>
      </w:r>
      <w:r w:rsidRPr="009D0A45">
        <w:t>MBS</w:t>
      </w:r>
      <w:r w:rsidR="00B71B4E">
        <w:t>)</w:t>
      </w:r>
      <w:r w:rsidRPr="009D0A45">
        <w:t xml:space="preserve"> listing </w:t>
      </w:r>
      <w:r w:rsidRPr="009A3778">
        <w:t>of</w:t>
      </w:r>
      <w:r w:rsidR="009D0A45">
        <w:t>:</w:t>
      </w:r>
    </w:p>
    <w:p w14:paraId="29FA84EA" w14:textId="67825110" w:rsidR="00D806CE" w:rsidRPr="00D806CE" w:rsidRDefault="00F638EE" w:rsidP="00CB0324">
      <w:pPr>
        <w:pStyle w:val="ListParagraph"/>
        <w:numPr>
          <w:ilvl w:val="0"/>
          <w:numId w:val="10"/>
        </w:numPr>
        <w:spacing w:after="240"/>
        <w:ind w:left="284" w:hanging="284"/>
        <w:contextualSpacing w:val="0"/>
        <w:rPr>
          <w:iCs/>
        </w:rPr>
      </w:pPr>
      <w:r w:rsidRPr="00696E19">
        <w:t>p</w:t>
      </w:r>
      <w:r w:rsidR="009D0A45" w:rsidRPr="00696E19">
        <w:t xml:space="preserve">rostate </w:t>
      </w:r>
      <w:r w:rsidR="009D0A45">
        <w:t>s</w:t>
      </w:r>
      <w:r w:rsidR="009D0A45" w:rsidRPr="00696E19">
        <w:t xml:space="preserve">pecific </w:t>
      </w:r>
      <w:r w:rsidR="009D0A45">
        <w:t>m</w:t>
      </w:r>
      <w:r w:rsidR="009D0A45" w:rsidRPr="00696E19">
        <w:t xml:space="preserve">embrane </w:t>
      </w:r>
      <w:r w:rsidR="009D0A45">
        <w:t>a</w:t>
      </w:r>
      <w:r w:rsidR="009D0A45" w:rsidRPr="00696E19">
        <w:t>ntigen</w:t>
      </w:r>
      <w:r w:rsidR="009D0A45">
        <w:t xml:space="preserve"> positron emission tomography/computerised tomography (PSMA PET/CT) to determine eligibility for</w:t>
      </w:r>
    </w:p>
    <w:p w14:paraId="4CF6E0E7" w14:textId="6F2C24D1" w:rsidR="00D806CE" w:rsidRPr="00501015" w:rsidRDefault="009D0A45" w:rsidP="00CB0324">
      <w:pPr>
        <w:pStyle w:val="ListParagraph"/>
        <w:numPr>
          <w:ilvl w:val="0"/>
          <w:numId w:val="10"/>
        </w:numPr>
        <w:spacing w:after="240"/>
        <w:ind w:left="284" w:hanging="284"/>
        <w:contextualSpacing w:val="0"/>
        <w:rPr>
          <w:iCs/>
        </w:rPr>
      </w:pPr>
      <w:r w:rsidRPr="009D0A45">
        <w:rPr>
          <w:iCs/>
          <w:vertAlign w:val="superscript"/>
        </w:rPr>
        <w:t>177</w:t>
      </w:r>
      <w:r w:rsidRPr="009D0A45">
        <w:rPr>
          <w:iCs/>
        </w:rPr>
        <w:t xml:space="preserve">Lutetium PSMA </w:t>
      </w:r>
      <w:r w:rsidR="00D806CE">
        <w:rPr>
          <w:iCs/>
        </w:rPr>
        <w:t>imaging and therapy (</w:t>
      </w:r>
      <w:r w:rsidR="00D806CE" w:rsidRPr="00D806CE">
        <w:rPr>
          <w:iCs/>
          <w:vertAlign w:val="superscript"/>
        </w:rPr>
        <w:t>177</w:t>
      </w:r>
      <w:r w:rsidR="009F7816">
        <w:rPr>
          <w:iCs/>
        </w:rPr>
        <w:t>Lu </w:t>
      </w:r>
      <w:r w:rsidR="00886914">
        <w:rPr>
          <w:iCs/>
        </w:rPr>
        <w:t>PSMA </w:t>
      </w:r>
      <w:proofErr w:type="spellStart"/>
      <w:r w:rsidR="00886914">
        <w:rPr>
          <w:iCs/>
        </w:rPr>
        <w:t>i&amp;t</w:t>
      </w:r>
      <w:proofErr w:type="spellEnd"/>
      <w:r w:rsidR="00D806CE">
        <w:rPr>
          <w:iCs/>
        </w:rPr>
        <w:t>)</w:t>
      </w:r>
      <w:r w:rsidRPr="009D0A45">
        <w:rPr>
          <w:iCs/>
        </w:rPr>
        <w:t xml:space="preserve"> </w:t>
      </w:r>
      <w:r w:rsidR="00F23672" w:rsidRPr="00FF6944">
        <w:rPr>
          <w:iCs/>
        </w:rPr>
        <w:t xml:space="preserve">and 24-hour post-therapy </w:t>
      </w:r>
      <w:r w:rsidR="007D4822" w:rsidRPr="00FF6944">
        <w:rPr>
          <w:iCs/>
        </w:rPr>
        <w:t>single-photon emission/computed tomography/computerised tomography (</w:t>
      </w:r>
      <w:r w:rsidR="00F23672" w:rsidRPr="00FF6944">
        <w:rPr>
          <w:iCs/>
        </w:rPr>
        <w:t>SPECT/CT</w:t>
      </w:r>
      <w:r w:rsidR="007D4822" w:rsidRPr="00FF6944">
        <w:rPr>
          <w:iCs/>
        </w:rPr>
        <w:t>)</w:t>
      </w:r>
      <w:r w:rsidR="00FF6944">
        <w:rPr>
          <w:iCs/>
        </w:rPr>
        <w:t>.</w:t>
      </w:r>
    </w:p>
    <w:p w14:paraId="4EF17D0B" w14:textId="016C2A80" w:rsidR="00AC2F21" w:rsidRDefault="00AC2F21" w:rsidP="009C46BD">
      <w:pPr>
        <w:spacing w:after="240"/>
        <w:rPr>
          <w:iCs/>
        </w:rPr>
      </w:pPr>
      <w:r w:rsidRPr="0049584B">
        <w:rPr>
          <w:iCs/>
        </w:rPr>
        <w:t xml:space="preserve">Although the </w:t>
      </w:r>
      <w:r w:rsidR="00B71B4E">
        <w:rPr>
          <w:iCs/>
        </w:rPr>
        <w:t>Applicant Developed Assessment Report (</w:t>
      </w:r>
      <w:r w:rsidRPr="0049584B">
        <w:rPr>
          <w:iCs/>
        </w:rPr>
        <w:t>ADAR</w:t>
      </w:r>
      <w:r w:rsidR="00B71B4E">
        <w:rPr>
          <w:iCs/>
        </w:rPr>
        <w:t>)</w:t>
      </w:r>
      <w:r w:rsidRPr="0049584B">
        <w:rPr>
          <w:iCs/>
        </w:rPr>
        <w:t xml:space="preserve"> did not specify post-therapy SPECT/CT after each treatment cycle </w:t>
      </w:r>
      <w:r w:rsidR="002847A2" w:rsidRPr="0049584B">
        <w:rPr>
          <w:iCs/>
        </w:rPr>
        <w:t>in</w:t>
      </w:r>
      <w:r w:rsidRPr="0049584B">
        <w:rPr>
          <w:iCs/>
        </w:rPr>
        <w:t xml:space="preserve"> the </w:t>
      </w:r>
      <w:r w:rsidR="00E62696">
        <w:rPr>
          <w:iCs/>
        </w:rPr>
        <w:t xml:space="preserve">proposed </w:t>
      </w:r>
      <w:r w:rsidRPr="0049584B">
        <w:rPr>
          <w:iCs/>
        </w:rPr>
        <w:t>item descriptor</w:t>
      </w:r>
      <w:r w:rsidR="00992548" w:rsidRPr="0049584B">
        <w:rPr>
          <w:iCs/>
        </w:rPr>
        <w:t xml:space="preserve"> for </w:t>
      </w:r>
      <w:r w:rsidR="00992548" w:rsidRPr="0049584B">
        <w:rPr>
          <w:iCs/>
          <w:vertAlign w:val="superscript"/>
        </w:rPr>
        <w:t>177</w:t>
      </w:r>
      <w:r w:rsidR="009F7816">
        <w:rPr>
          <w:iCs/>
        </w:rPr>
        <w:t>Lu PSMA</w:t>
      </w:r>
      <w:r w:rsidR="00E62696">
        <w:rPr>
          <w:iCs/>
        </w:rPr>
        <w:t> </w:t>
      </w:r>
      <w:proofErr w:type="spellStart"/>
      <w:r w:rsidR="00E62696">
        <w:rPr>
          <w:iCs/>
        </w:rPr>
        <w:t>i&amp;t</w:t>
      </w:r>
      <w:proofErr w:type="spellEnd"/>
      <w:r w:rsidRPr="0049584B">
        <w:rPr>
          <w:iCs/>
        </w:rPr>
        <w:t xml:space="preserve">, the </w:t>
      </w:r>
      <w:r w:rsidR="002847A2" w:rsidRPr="0049584B">
        <w:rPr>
          <w:iCs/>
        </w:rPr>
        <w:t xml:space="preserve">description of the intervention in the ADAR states </w:t>
      </w:r>
      <w:r w:rsidR="002847A2" w:rsidRPr="00501015">
        <w:rPr>
          <w:iCs/>
        </w:rPr>
        <w:t xml:space="preserve">“The Applicant proposes post-treatment SPECT/CT be included within the </w:t>
      </w:r>
      <w:r w:rsidR="002847A2" w:rsidRPr="00501015">
        <w:rPr>
          <w:iCs/>
          <w:vertAlign w:val="superscript"/>
        </w:rPr>
        <w:t>177</w:t>
      </w:r>
      <w:r w:rsidR="009F7816">
        <w:rPr>
          <w:iCs/>
        </w:rPr>
        <w:t>Lu PSMA</w:t>
      </w:r>
      <w:r w:rsidR="002847A2" w:rsidRPr="00501015">
        <w:rPr>
          <w:iCs/>
        </w:rPr>
        <w:t xml:space="preserve"> MBS descriptor as part of routine treatment.”</w:t>
      </w:r>
      <w:r w:rsidR="002847A2" w:rsidRPr="0049584B">
        <w:rPr>
          <w:iCs/>
        </w:rPr>
        <w:t xml:space="preserve"> The </w:t>
      </w:r>
      <w:r w:rsidRPr="0049584B">
        <w:rPr>
          <w:iCs/>
        </w:rPr>
        <w:t xml:space="preserve">proposed fee is </w:t>
      </w:r>
      <w:r w:rsidR="002847A2" w:rsidRPr="0049584B">
        <w:rPr>
          <w:iCs/>
        </w:rPr>
        <w:t xml:space="preserve">also </w:t>
      </w:r>
      <w:r w:rsidRPr="0049584B">
        <w:rPr>
          <w:iCs/>
        </w:rPr>
        <w:t xml:space="preserve">stated to include </w:t>
      </w:r>
      <w:r w:rsidR="00992548" w:rsidRPr="0049584B">
        <w:rPr>
          <w:iCs/>
        </w:rPr>
        <w:t xml:space="preserve">post-treatment </w:t>
      </w:r>
      <w:r w:rsidRPr="0049584B">
        <w:rPr>
          <w:iCs/>
        </w:rPr>
        <w:t>SPECT/CT.</w:t>
      </w:r>
    </w:p>
    <w:p w14:paraId="2C49CDD1" w14:textId="77777777" w:rsidR="006669BE" w:rsidRDefault="006669BE" w:rsidP="006669BE">
      <w:pPr>
        <w:pStyle w:val="Heading2"/>
        <w:numPr>
          <w:ilvl w:val="0"/>
          <w:numId w:val="0"/>
        </w:numPr>
      </w:pPr>
      <w:r>
        <w:t>2.</w:t>
      </w:r>
      <w:r>
        <w:tab/>
        <w:t>MSAC’s advice to the Minister</w:t>
      </w:r>
    </w:p>
    <w:p w14:paraId="23EFE56E" w14:textId="01E0B242" w:rsidR="00E92832" w:rsidRDefault="00E92832" w:rsidP="00E92832">
      <w:pPr>
        <w:rPr>
          <w:szCs w:val="24"/>
        </w:rPr>
      </w:pPr>
      <w:bookmarkStart w:id="2" w:name="_Hlk112403684"/>
      <w:r>
        <w:t>After considering the strength of the available evidence in relation to comparative safety, clinical effectiveness</w:t>
      </w:r>
      <w:r w:rsidR="008D7896">
        <w:t>,</w:t>
      </w:r>
      <w:r>
        <w:t xml:space="preserve"> cost-effectiveness</w:t>
      </w:r>
      <w:r w:rsidR="008D7896">
        <w:t xml:space="preserve"> and total cost</w:t>
      </w:r>
      <w:r>
        <w:t xml:space="preserve">, </w:t>
      </w:r>
      <w:r>
        <w:rPr>
          <w:szCs w:val="24"/>
        </w:rPr>
        <w:t xml:space="preserve">MSAC </w:t>
      </w:r>
      <w:bookmarkEnd w:id="2"/>
      <w:r>
        <w:rPr>
          <w:szCs w:val="24"/>
        </w:rPr>
        <w:t>did not support public funding of</w:t>
      </w:r>
      <w:r w:rsidR="00180619">
        <w:rPr>
          <w:szCs w:val="24"/>
        </w:rPr>
        <w:t xml:space="preserve"> </w:t>
      </w:r>
      <w:r w:rsidR="002D7736">
        <w:rPr>
          <w:szCs w:val="24"/>
        </w:rPr>
        <w:br/>
      </w:r>
      <w:r w:rsidR="00180619">
        <w:rPr>
          <w:szCs w:val="24"/>
        </w:rPr>
        <w:t>1)</w:t>
      </w:r>
      <w:r>
        <w:rPr>
          <w:szCs w:val="24"/>
        </w:rPr>
        <w:t xml:space="preserve"> </w:t>
      </w:r>
      <w:r w:rsidRPr="007D1689">
        <w:rPr>
          <w:vertAlign w:val="superscript"/>
        </w:rPr>
        <w:t>177</w:t>
      </w:r>
      <w:r w:rsidRPr="00645EB1">
        <w:t>Lu</w:t>
      </w:r>
      <w:r w:rsidR="0097263A">
        <w:t> </w:t>
      </w:r>
      <w:r w:rsidRPr="00645EB1">
        <w:t>PSMA</w:t>
      </w:r>
      <w:r w:rsidR="002E273D">
        <w:rPr>
          <w:iCs/>
        </w:rPr>
        <w:t> </w:t>
      </w:r>
      <w:proofErr w:type="spellStart"/>
      <w:r w:rsidR="002E273D">
        <w:rPr>
          <w:iCs/>
        </w:rPr>
        <w:t>i&amp;t</w:t>
      </w:r>
      <w:proofErr w:type="spellEnd"/>
      <w:r>
        <w:rPr>
          <w:szCs w:val="24"/>
        </w:rPr>
        <w:t xml:space="preserve"> therapy for treatment of progressive </w:t>
      </w:r>
      <w:proofErr w:type="spellStart"/>
      <w:r>
        <w:rPr>
          <w:szCs w:val="24"/>
        </w:rPr>
        <w:t>mCRPC</w:t>
      </w:r>
      <w:proofErr w:type="spellEnd"/>
      <w:r>
        <w:rPr>
          <w:szCs w:val="24"/>
        </w:rPr>
        <w:t xml:space="preserve"> and 2) whole body PSMA PET/CT to identify those eligible for </w:t>
      </w:r>
      <w:r>
        <w:rPr>
          <w:szCs w:val="24"/>
          <w:vertAlign w:val="superscript"/>
        </w:rPr>
        <w:t>177</w:t>
      </w:r>
      <w:r>
        <w:rPr>
          <w:szCs w:val="24"/>
        </w:rPr>
        <w:t>Lu</w:t>
      </w:r>
      <w:r w:rsidR="00645EB1">
        <w:rPr>
          <w:szCs w:val="24"/>
        </w:rPr>
        <w:t> </w:t>
      </w:r>
      <w:r>
        <w:rPr>
          <w:szCs w:val="24"/>
        </w:rPr>
        <w:t>PSMA</w:t>
      </w:r>
      <w:r w:rsidR="002E273D">
        <w:rPr>
          <w:iCs/>
        </w:rPr>
        <w:t> </w:t>
      </w:r>
      <w:proofErr w:type="spellStart"/>
      <w:r w:rsidR="002E273D">
        <w:rPr>
          <w:iCs/>
        </w:rPr>
        <w:t>i&amp;t</w:t>
      </w:r>
      <w:proofErr w:type="spellEnd"/>
      <w:r>
        <w:rPr>
          <w:szCs w:val="24"/>
        </w:rPr>
        <w:t xml:space="preserve">. MSAC acknowledged the high clinical need for this population with advanced disease, and the consumer preference for </w:t>
      </w:r>
      <w:r>
        <w:rPr>
          <w:szCs w:val="24"/>
          <w:vertAlign w:val="superscript"/>
        </w:rPr>
        <w:t>177</w:t>
      </w:r>
      <w:r>
        <w:rPr>
          <w:szCs w:val="24"/>
        </w:rPr>
        <w:t>Lu</w:t>
      </w:r>
      <w:r w:rsidR="00645EB1">
        <w:rPr>
          <w:szCs w:val="24"/>
        </w:rPr>
        <w:t> </w:t>
      </w:r>
      <w:r>
        <w:rPr>
          <w:szCs w:val="24"/>
        </w:rPr>
        <w:t xml:space="preserve">PSMA therapy over its comparators of best supportive care and </w:t>
      </w:r>
      <w:proofErr w:type="spellStart"/>
      <w:r>
        <w:rPr>
          <w:szCs w:val="24"/>
        </w:rPr>
        <w:t>cabazitaxel</w:t>
      </w:r>
      <w:proofErr w:type="spellEnd"/>
      <w:r>
        <w:rPr>
          <w:szCs w:val="24"/>
        </w:rPr>
        <w:t xml:space="preserve">. MSAC noted the limitations in the evidence </w:t>
      </w:r>
      <w:r>
        <w:rPr>
          <w:szCs w:val="24"/>
        </w:rPr>
        <w:lastRenderedPageBreak/>
        <w:t xml:space="preserve">comparing </w:t>
      </w:r>
      <w:r>
        <w:rPr>
          <w:szCs w:val="24"/>
          <w:vertAlign w:val="superscript"/>
        </w:rPr>
        <w:t>177</w:t>
      </w:r>
      <w:r>
        <w:rPr>
          <w:szCs w:val="24"/>
        </w:rPr>
        <w:t>Lu</w:t>
      </w:r>
      <w:r w:rsidR="00645EB1">
        <w:rPr>
          <w:szCs w:val="24"/>
        </w:rPr>
        <w:t> </w:t>
      </w:r>
      <w:r>
        <w:rPr>
          <w:szCs w:val="24"/>
        </w:rPr>
        <w:t>PSMA</w:t>
      </w:r>
      <w:r w:rsidR="00A521C1">
        <w:rPr>
          <w:szCs w:val="24"/>
        </w:rPr>
        <w:t> </w:t>
      </w:r>
      <w:proofErr w:type="spellStart"/>
      <w:r>
        <w:rPr>
          <w:szCs w:val="24"/>
        </w:rPr>
        <w:t>i&amp;t</w:t>
      </w:r>
      <w:proofErr w:type="spellEnd"/>
      <w:r>
        <w:rPr>
          <w:szCs w:val="24"/>
        </w:rPr>
        <w:t xml:space="preserve"> and </w:t>
      </w:r>
      <w:r>
        <w:rPr>
          <w:szCs w:val="24"/>
          <w:vertAlign w:val="superscript"/>
        </w:rPr>
        <w:t>177</w:t>
      </w:r>
      <w:r>
        <w:rPr>
          <w:szCs w:val="24"/>
        </w:rPr>
        <w:t>Lu</w:t>
      </w:r>
      <w:r w:rsidR="00645EB1">
        <w:rPr>
          <w:szCs w:val="24"/>
        </w:rPr>
        <w:t> </w:t>
      </w:r>
      <w:r>
        <w:rPr>
          <w:szCs w:val="24"/>
        </w:rPr>
        <w:t xml:space="preserve">PSMA-617 </w:t>
      </w:r>
      <w:proofErr w:type="gramStart"/>
      <w:r>
        <w:rPr>
          <w:szCs w:val="24"/>
        </w:rPr>
        <w:t>products, but</w:t>
      </w:r>
      <w:proofErr w:type="gramEnd"/>
      <w:r>
        <w:rPr>
          <w:szCs w:val="24"/>
        </w:rPr>
        <w:t xml:space="preserve"> concluded from the evidence available that these two products are mutually noninferior and thus considered the evidence for </w:t>
      </w:r>
      <w:r>
        <w:rPr>
          <w:szCs w:val="24"/>
          <w:vertAlign w:val="superscript"/>
        </w:rPr>
        <w:t>177</w:t>
      </w:r>
      <w:r>
        <w:rPr>
          <w:szCs w:val="24"/>
        </w:rPr>
        <w:t>Lu</w:t>
      </w:r>
      <w:r w:rsidR="00B71B4E">
        <w:rPr>
          <w:szCs w:val="24"/>
        </w:rPr>
        <w:t> </w:t>
      </w:r>
      <w:r>
        <w:rPr>
          <w:szCs w:val="24"/>
        </w:rPr>
        <w:t>PSMA</w:t>
      </w:r>
      <w:r w:rsidR="00A521C1">
        <w:rPr>
          <w:szCs w:val="24"/>
        </w:rPr>
        <w:t>-</w:t>
      </w:r>
      <w:r>
        <w:rPr>
          <w:szCs w:val="24"/>
        </w:rPr>
        <w:t xml:space="preserve">617 to be relevant for </w:t>
      </w:r>
      <w:r>
        <w:rPr>
          <w:szCs w:val="24"/>
          <w:vertAlign w:val="superscript"/>
        </w:rPr>
        <w:t>177</w:t>
      </w:r>
      <w:r>
        <w:rPr>
          <w:szCs w:val="24"/>
        </w:rPr>
        <w:t>Lu</w:t>
      </w:r>
      <w:r w:rsidR="00645EB1">
        <w:rPr>
          <w:szCs w:val="24"/>
        </w:rPr>
        <w:t> </w:t>
      </w:r>
      <w:r>
        <w:rPr>
          <w:szCs w:val="24"/>
        </w:rPr>
        <w:t>PSMA</w:t>
      </w:r>
      <w:r w:rsidR="00A521C1">
        <w:rPr>
          <w:szCs w:val="24"/>
        </w:rPr>
        <w:t> </w:t>
      </w:r>
      <w:proofErr w:type="spellStart"/>
      <w:r>
        <w:rPr>
          <w:szCs w:val="24"/>
        </w:rPr>
        <w:t>i&amp;t</w:t>
      </w:r>
      <w:proofErr w:type="spellEnd"/>
      <w:r>
        <w:rPr>
          <w:szCs w:val="24"/>
        </w:rPr>
        <w:t xml:space="preserve">. MSAC accepted the high certainty from the evidence that </w:t>
      </w:r>
      <w:r>
        <w:rPr>
          <w:szCs w:val="24"/>
          <w:vertAlign w:val="superscript"/>
        </w:rPr>
        <w:t>177</w:t>
      </w:r>
      <w:r>
        <w:rPr>
          <w:szCs w:val="24"/>
        </w:rPr>
        <w:t>Lu</w:t>
      </w:r>
      <w:r w:rsidR="00645EB1">
        <w:rPr>
          <w:szCs w:val="24"/>
        </w:rPr>
        <w:t> </w:t>
      </w:r>
      <w:r>
        <w:rPr>
          <w:szCs w:val="24"/>
        </w:rPr>
        <w:t>PSMA</w:t>
      </w:r>
      <w:r w:rsidR="00E00C09">
        <w:rPr>
          <w:szCs w:val="24"/>
        </w:rPr>
        <w:t> </w:t>
      </w:r>
      <w:proofErr w:type="spellStart"/>
      <w:r w:rsidR="00E00C09">
        <w:rPr>
          <w:szCs w:val="24"/>
        </w:rPr>
        <w:t>i&amp;t</w:t>
      </w:r>
      <w:proofErr w:type="spellEnd"/>
      <w:r>
        <w:rPr>
          <w:szCs w:val="24"/>
        </w:rPr>
        <w:t xml:space="preserve"> therapy is acceptably safe and effective, but that the incremental cost-effectiveness ratio (ICER) was too high and uncertain.</w:t>
      </w:r>
    </w:p>
    <w:tbl>
      <w:tblPr>
        <w:tblStyle w:val="TableGrid"/>
        <w:tblW w:w="0" w:type="auto"/>
        <w:tblLook w:val="04A0" w:firstRow="1" w:lastRow="0" w:firstColumn="1" w:lastColumn="0" w:noHBand="0" w:noVBand="1"/>
        <w:tblDescription w:val="Consumer summary of MSAC consideration"/>
      </w:tblPr>
      <w:tblGrid>
        <w:gridCol w:w="9016"/>
      </w:tblGrid>
      <w:tr w:rsidR="006669BE" w14:paraId="14F6399D" w14:textId="77777777" w:rsidTr="006669BE">
        <w:trPr>
          <w:tblHeader/>
        </w:trPr>
        <w:tc>
          <w:tcPr>
            <w:tcW w:w="9016" w:type="dxa"/>
            <w:tcBorders>
              <w:top w:val="single" w:sz="4" w:space="0" w:color="auto"/>
              <w:left w:val="single" w:sz="4" w:space="0" w:color="auto"/>
              <w:bottom w:val="single" w:sz="4" w:space="0" w:color="auto"/>
              <w:right w:val="single" w:sz="4" w:space="0" w:color="auto"/>
            </w:tcBorders>
            <w:hideMark/>
          </w:tcPr>
          <w:p w14:paraId="3A1A1075" w14:textId="77777777" w:rsidR="006669BE" w:rsidRPr="006669BE" w:rsidRDefault="006669BE">
            <w:pPr>
              <w:pStyle w:val="Default"/>
              <w:spacing w:before="120" w:after="120"/>
              <w:rPr>
                <w:rFonts w:ascii="Franklin Gothic Book" w:hAnsi="Franklin Gothic Book"/>
                <w:b/>
                <w:bCs/>
                <w:color w:val="auto"/>
                <w:sz w:val="22"/>
                <w:szCs w:val="22"/>
              </w:rPr>
            </w:pPr>
            <w:r w:rsidRPr="006669BE">
              <w:rPr>
                <w:rFonts w:ascii="Franklin Gothic Book" w:hAnsi="Franklin Gothic Book"/>
                <w:b/>
                <w:bCs/>
                <w:color w:val="auto"/>
                <w:sz w:val="22"/>
                <w:szCs w:val="22"/>
              </w:rPr>
              <w:t>Consumer summary</w:t>
            </w:r>
          </w:p>
        </w:tc>
      </w:tr>
      <w:tr w:rsidR="006669BE" w14:paraId="05866B57" w14:textId="77777777" w:rsidTr="006669BE">
        <w:tc>
          <w:tcPr>
            <w:tcW w:w="9016" w:type="dxa"/>
            <w:tcBorders>
              <w:top w:val="single" w:sz="4" w:space="0" w:color="auto"/>
              <w:left w:val="single" w:sz="4" w:space="0" w:color="auto"/>
              <w:bottom w:val="single" w:sz="4" w:space="0" w:color="auto"/>
              <w:right w:val="single" w:sz="4" w:space="0" w:color="auto"/>
            </w:tcBorders>
            <w:hideMark/>
          </w:tcPr>
          <w:p w14:paraId="523BEC59" w14:textId="3188C29E" w:rsidR="00E92832" w:rsidRPr="00E92832" w:rsidRDefault="00E92832" w:rsidP="00E92832">
            <w:pPr>
              <w:pStyle w:val="Default"/>
              <w:spacing w:after="240"/>
              <w:rPr>
                <w:rFonts w:ascii="Franklin Gothic Book" w:hAnsi="Franklin Gothic Book"/>
                <w:iCs/>
                <w:sz w:val="22"/>
                <w:szCs w:val="22"/>
              </w:rPr>
            </w:pPr>
            <w:r w:rsidRPr="00E92832">
              <w:rPr>
                <w:rFonts w:ascii="Franklin Gothic Book" w:hAnsi="Franklin Gothic Book"/>
                <w:iCs/>
                <w:sz w:val="22"/>
                <w:szCs w:val="22"/>
              </w:rPr>
              <w:t xml:space="preserve">This is an application from a group of academic specialists, co-sponsored by the Australasian Association of Nuclear Medicine, requesting Medicare Benefits Schedule (MBS) listing of a </w:t>
            </w:r>
            <w:r w:rsidRPr="00E92832">
              <w:rPr>
                <w:rFonts w:ascii="Franklin Gothic Book" w:hAnsi="Franklin Gothic Book"/>
                <w:iCs/>
                <w:sz w:val="22"/>
                <w:szCs w:val="22"/>
                <w:vertAlign w:val="superscript"/>
              </w:rPr>
              <w:t>177</w:t>
            </w:r>
            <w:r w:rsidRPr="00E92832">
              <w:rPr>
                <w:rFonts w:ascii="Franklin Gothic Book" w:hAnsi="Franklin Gothic Book"/>
                <w:iCs/>
                <w:sz w:val="22"/>
                <w:szCs w:val="22"/>
              </w:rPr>
              <w:t>Lutetium prostate-specific membrane antigen imaging scan and therapy (</w:t>
            </w:r>
            <w:r w:rsidRPr="00E92832">
              <w:rPr>
                <w:rFonts w:ascii="Franklin Gothic Book" w:hAnsi="Franklin Gothic Book"/>
                <w:iCs/>
                <w:sz w:val="22"/>
                <w:szCs w:val="22"/>
                <w:vertAlign w:val="superscript"/>
              </w:rPr>
              <w:t>177</w:t>
            </w:r>
            <w:r w:rsidRPr="00E92832">
              <w:rPr>
                <w:rFonts w:ascii="Franklin Gothic Book" w:hAnsi="Franklin Gothic Book"/>
                <w:iCs/>
                <w:sz w:val="22"/>
                <w:szCs w:val="22"/>
              </w:rPr>
              <w:t>Lu</w:t>
            </w:r>
            <w:r w:rsidR="00645EB1">
              <w:rPr>
                <w:rFonts w:ascii="Franklin Gothic Book" w:hAnsi="Franklin Gothic Book"/>
                <w:iCs/>
                <w:sz w:val="22"/>
                <w:szCs w:val="22"/>
              </w:rPr>
              <w:t> </w:t>
            </w:r>
            <w:r w:rsidRPr="00E92832">
              <w:rPr>
                <w:rFonts w:ascii="Franklin Gothic Book" w:hAnsi="Franklin Gothic Book"/>
                <w:iCs/>
                <w:sz w:val="22"/>
                <w:szCs w:val="22"/>
              </w:rPr>
              <w:t>PSMA</w:t>
            </w:r>
            <w:r w:rsidR="00A521C1">
              <w:rPr>
                <w:rFonts w:ascii="Franklin Gothic Book" w:hAnsi="Franklin Gothic Book"/>
                <w:iCs/>
                <w:sz w:val="22"/>
                <w:szCs w:val="22"/>
              </w:rPr>
              <w:t> </w:t>
            </w:r>
            <w:proofErr w:type="spellStart"/>
            <w:r w:rsidRPr="00E92832">
              <w:rPr>
                <w:rFonts w:ascii="Franklin Gothic Book" w:hAnsi="Franklin Gothic Book"/>
                <w:iCs/>
                <w:sz w:val="22"/>
                <w:szCs w:val="22"/>
              </w:rPr>
              <w:t>i&amp;t</w:t>
            </w:r>
            <w:proofErr w:type="spellEnd"/>
            <w:r w:rsidRPr="00E92832">
              <w:rPr>
                <w:rFonts w:ascii="Franklin Gothic Book" w:hAnsi="Franklin Gothic Book"/>
                <w:iCs/>
                <w:sz w:val="22"/>
                <w:szCs w:val="22"/>
              </w:rPr>
              <w:t>) to treat patients with metastatic castrate-resistant prostate cancer.</w:t>
            </w:r>
          </w:p>
          <w:p w14:paraId="5FE6E653" w14:textId="65178FBA" w:rsidR="00E92832" w:rsidRPr="00E92832" w:rsidRDefault="00E92832" w:rsidP="00E92832">
            <w:pPr>
              <w:pStyle w:val="Default"/>
              <w:spacing w:after="240"/>
              <w:rPr>
                <w:rFonts w:ascii="Franklin Gothic Book" w:hAnsi="Franklin Gothic Book"/>
                <w:iCs/>
                <w:sz w:val="22"/>
                <w:szCs w:val="22"/>
              </w:rPr>
            </w:pPr>
            <w:r w:rsidRPr="00E92832">
              <w:rPr>
                <w:rFonts w:ascii="Franklin Gothic Book" w:hAnsi="Franklin Gothic Book"/>
                <w:iCs/>
                <w:sz w:val="22"/>
                <w:szCs w:val="22"/>
              </w:rPr>
              <w:t>Metastatic castrate-resistant prostate cancer is a type of advanced prostate cancer that has spread to other parts of the body. In Australia, 3,000 men die each year from this cancer.</w:t>
            </w:r>
          </w:p>
          <w:p w14:paraId="381EEFBF" w14:textId="3C588BE9" w:rsidR="00E92832" w:rsidRPr="00E92832" w:rsidRDefault="00E92832" w:rsidP="00E92832">
            <w:pPr>
              <w:pStyle w:val="Default"/>
              <w:spacing w:after="240"/>
              <w:rPr>
                <w:rFonts w:ascii="Franklin Gothic Book" w:hAnsi="Franklin Gothic Book"/>
                <w:iCs/>
                <w:sz w:val="22"/>
                <w:szCs w:val="22"/>
              </w:rPr>
            </w:pPr>
            <w:r w:rsidRPr="00E92832">
              <w:rPr>
                <w:rFonts w:ascii="Franklin Gothic Book" w:hAnsi="Franklin Gothic Book"/>
                <w:iCs/>
                <w:sz w:val="22"/>
                <w:szCs w:val="22"/>
              </w:rPr>
              <w:t xml:space="preserve">A new therapy is </w:t>
            </w:r>
            <w:r w:rsidR="00361831">
              <w:rPr>
                <w:rFonts w:ascii="Franklin Gothic Book" w:hAnsi="Franklin Gothic Book"/>
                <w:iCs/>
                <w:sz w:val="22"/>
                <w:szCs w:val="22"/>
              </w:rPr>
              <w:t>proposed</w:t>
            </w:r>
            <w:r w:rsidRPr="00E92832">
              <w:rPr>
                <w:rFonts w:ascii="Franklin Gothic Book" w:hAnsi="Franklin Gothic Book"/>
                <w:iCs/>
                <w:sz w:val="22"/>
                <w:szCs w:val="22"/>
              </w:rPr>
              <w:t xml:space="preserve"> for the treatment of metastatic castrate-resistant prostate cancer </w:t>
            </w:r>
            <w:r w:rsidR="00361831">
              <w:rPr>
                <w:rFonts w:ascii="Franklin Gothic Book" w:hAnsi="Franklin Gothic Book"/>
                <w:iCs/>
                <w:sz w:val="22"/>
                <w:szCs w:val="22"/>
              </w:rPr>
              <w:t xml:space="preserve">which </w:t>
            </w:r>
            <w:r w:rsidR="00361831" w:rsidRPr="00E92832">
              <w:rPr>
                <w:rFonts w:ascii="Franklin Gothic Book" w:hAnsi="Franklin Gothic Book"/>
                <w:iCs/>
                <w:sz w:val="22"/>
                <w:szCs w:val="22"/>
              </w:rPr>
              <w:t xml:space="preserve">no longer responds to standard treatments </w:t>
            </w:r>
            <w:r w:rsidRPr="00E92832">
              <w:rPr>
                <w:rFonts w:ascii="Franklin Gothic Book" w:hAnsi="Franklin Gothic Book"/>
                <w:iCs/>
                <w:sz w:val="22"/>
                <w:szCs w:val="22"/>
              </w:rPr>
              <w:t xml:space="preserve">called PSMA-targeted radionuclide therapy. This therapy uses a radioactive chemical (called a radionuclide) that is linked to a molecule that targets the PSMA receptor on prostate cancer cells. When the molecule binds to the PSMA receptor, the radioactive chemical can enter the prostate cancer cell and kill it. </w:t>
            </w:r>
            <w:r w:rsidRPr="00E92832">
              <w:rPr>
                <w:rFonts w:ascii="Franklin Gothic Book" w:hAnsi="Franklin Gothic Book"/>
                <w:iCs/>
                <w:sz w:val="22"/>
                <w:szCs w:val="22"/>
                <w:vertAlign w:val="superscript"/>
              </w:rPr>
              <w:t>177</w:t>
            </w:r>
            <w:r w:rsidRPr="00E92832">
              <w:rPr>
                <w:rFonts w:ascii="Franklin Gothic Book" w:hAnsi="Franklin Gothic Book"/>
                <w:iCs/>
                <w:sz w:val="22"/>
                <w:szCs w:val="22"/>
              </w:rPr>
              <w:t>Lu</w:t>
            </w:r>
            <w:r w:rsidR="00645EB1">
              <w:rPr>
                <w:rFonts w:ascii="Franklin Gothic Book" w:hAnsi="Franklin Gothic Book"/>
                <w:iCs/>
                <w:sz w:val="22"/>
                <w:szCs w:val="22"/>
              </w:rPr>
              <w:t> </w:t>
            </w:r>
            <w:r w:rsidRPr="00E92832">
              <w:rPr>
                <w:rFonts w:ascii="Franklin Gothic Book" w:hAnsi="Franklin Gothic Book"/>
                <w:iCs/>
                <w:sz w:val="22"/>
                <w:szCs w:val="22"/>
              </w:rPr>
              <w:t>PSMA</w:t>
            </w:r>
            <w:r w:rsidR="002E273D">
              <w:rPr>
                <w:rFonts w:ascii="Franklin Gothic Book" w:hAnsi="Franklin Gothic Book"/>
                <w:iCs/>
                <w:sz w:val="22"/>
                <w:szCs w:val="22"/>
              </w:rPr>
              <w:t> </w:t>
            </w:r>
            <w:proofErr w:type="spellStart"/>
            <w:r w:rsidR="002E273D" w:rsidRPr="002E273D">
              <w:rPr>
                <w:rFonts w:ascii="Franklin Gothic Book" w:hAnsi="Franklin Gothic Book"/>
                <w:iCs/>
                <w:sz w:val="22"/>
                <w:szCs w:val="22"/>
              </w:rPr>
              <w:t>i&amp;t</w:t>
            </w:r>
            <w:proofErr w:type="spellEnd"/>
            <w:r w:rsidRPr="00E92832">
              <w:rPr>
                <w:rFonts w:ascii="Franklin Gothic Book" w:hAnsi="Franklin Gothic Book"/>
                <w:iCs/>
                <w:sz w:val="22"/>
                <w:szCs w:val="22"/>
              </w:rPr>
              <w:t xml:space="preserve"> is a type of PSMA-targeted radionuclide therapy.</w:t>
            </w:r>
            <w:r w:rsidR="00401FB2">
              <w:rPr>
                <w:rFonts w:ascii="Franklin Gothic Book" w:hAnsi="Franklin Gothic Book"/>
                <w:iCs/>
                <w:sz w:val="22"/>
                <w:szCs w:val="22"/>
              </w:rPr>
              <w:t xml:space="preserve"> </w:t>
            </w:r>
            <w:r w:rsidR="00180619">
              <w:rPr>
                <w:rFonts w:ascii="Franklin Gothic Book" w:hAnsi="Franklin Gothic Book"/>
                <w:iCs/>
                <w:sz w:val="22"/>
                <w:szCs w:val="22"/>
              </w:rPr>
              <w:t xml:space="preserve">Whole body PSMA </w:t>
            </w:r>
            <w:r w:rsidR="00180619" w:rsidRPr="00180619">
              <w:rPr>
                <w:rFonts w:ascii="Franklin Gothic Book" w:hAnsi="Franklin Gothic Book"/>
                <w:iCs/>
                <w:sz w:val="22"/>
                <w:szCs w:val="22"/>
              </w:rPr>
              <w:t xml:space="preserve">positron emission tomography/computed tomography </w:t>
            </w:r>
            <w:r w:rsidR="00180619">
              <w:rPr>
                <w:rFonts w:ascii="Franklin Gothic Book" w:hAnsi="Franklin Gothic Book"/>
                <w:iCs/>
                <w:sz w:val="22"/>
                <w:szCs w:val="22"/>
              </w:rPr>
              <w:t xml:space="preserve">is used </w:t>
            </w:r>
            <w:r w:rsidR="00180619" w:rsidRPr="00180619">
              <w:rPr>
                <w:rFonts w:ascii="Franklin Gothic Book" w:hAnsi="Franklin Gothic Book"/>
                <w:iCs/>
                <w:sz w:val="22"/>
                <w:szCs w:val="22"/>
              </w:rPr>
              <w:t xml:space="preserve">to </w:t>
            </w:r>
            <w:r w:rsidR="0097263A">
              <w:rPr>
                <w:rFonts w:ascii="Franklin Gothic Book" w:hAnsi="Franklin Gothic Book"/>
                <w:iCs/>
                <w:sz w:val="22"/>
                <w:szCs w:val="22"/>
              </w:rPr>
              <w:t>select</w:t>
            </w:r>
            <w:r w:rsidR="00180619" w:rsidRPr="00180619">
              <w:rPr>
                <w:rFonts w:ascii="Franklin Gothic Book" w:hAnsi="Franklin Gothic Book"/>
                <w:iCs/>
                <w:sz w:val="22"/>
                <w:szCs w:val="22"/>
              </w:rPr>
              <w:t xml:space="preserve"> those eligible for </w:t>
            </w:r>
            <w:r w:rsidR="00180619" w:rsidRPr="0097263A">
              <w:rPr>
                <w:rFonts w:ascii="Franklin Gothic Book" w:hAnsi="Franklin Gothic Book"/>
                <w:iCs/>
                <w:sz w:val="22"/>
                <w:szCs w:val="22"/>
                <w:vertAlign w:val="superscript"/>
              </w:rPr>
              <w:t>177</w:t>
            </w:r>
            <w:r w:rsidR="00180619" w:rsidRPr="00180619">
              <w:rPr>
                <w:rFonts w:ascii="Franklin Gothic Book" w:hAnsi="Franklin Gothic Book"/>
                <w:iCs/>
                <w:sz w:val="22"/>
                <w:szCs w:val="22"/>
              </w:rPr>
              <w:t>Lu</w:t>
            </w:r>
            <w:r w:rsidR="007D1689">
              <w:rPr>
                <w:rFonts w:ascii="Franklin Gothic Book" w:hAnsi="Franklin Gothic Book"/>
                <w:iCs/>
                <w:sz w:val="22"/>
                <w:szCs w:val="22"/>
              </w:rPr>
              <w:t> </w:t>
            </w:r>
            <w:r w:rsidR="00180619" w:rsidRPr="00180619">
              <w:rPr>
                <w:rFonts w:ascii="Franklin Gothic Book" w:hAnsi="Franklin Gothic Book"/>
                <w:iCs/>
                <w:sz w:val="22"/>
                <w:szCs w:val="22"/>
              </w:rPr>
              <w:t>PSMA</w:t>
            </w:r>
            <w:r w:rsidR="002E273D">
              <w:rPr>
                <w:rFonts w:ascii="Franklin Gothic Book" w:hAnsi="Franklin Gothic Book"/>
                <w:iCs/>
                <w:sz w:val="22"/>
                <w:szCs w:val="22"/>
              </w:rPr>
              <w:t> </w:t>
            </w:r>
            <w:proofErr w:type="spellStart"/>
            <w:r w:rsidR="002E273D" w:rsidRPr="002E273D">
              <w:rPr>
                <w:rFonts w:ascii="Franklin Gothic Book" w:hAnsi="Franklin Gothic Book"/>
                <w:iCs/>
                <w:sz w:val="22"/>
                <w:szCs w:val="22"/>
              </w:rPr>
              <w:t>i&amp;t</w:t>
            </w:r>
            <w:proofErr w:type="spellEnd"/>
            <w:r w:rsidR="00180619" w:rsidRPr="00180619">
              <w:rPr>
                <w:rFonts w:ascii="Franklin Gothic Book" w:hAnsi="Franklin Gothic Book"/>
                <w:iCs/>
                <w:sz w:val="22"/>
                <w:szCs w:val="22"/>
              </w:rPr>
              <w:t xml:space="preserve"> therapy</w:t>
            </w:r>
            <w:r w:rsidR="00180619">
              <w:rPr>
                <w:rFonts w:ascii="Franklin Gothic Book" w:hAnsi="Franklin Gothic Book"/>
                <w:iCs/>
                <w:sz w:val="22"/>
                <w:szCs w:val="22"/>
              </w:rPr>
              <w:t>.</w:t>
            </w:r>
          </w:p>
          <w:p w14:paraId="15E033F4" w14:textId="33B29D04" w:rsidR="00E92832" w:rsidRPr="0060671B" w:rsidRDefault="00E92832" w:rsidP="00E92832">
            <w:pPr>
              <w:pStyle w:val="Default"/>
              <w:spacing w:after="240"/>
              <w:rPr>
                <w:rFonts w:ascii="Franklin Gothic Book" w:hAnsi="Franklin Gothic Book"/>
                <w:iCs/>
                <w:sz w:val="22"/>
                <w:szCs w:val="22"/>
              </w:rPr>
            </w:pPr>
            <w:r w:rsidRPr="0060671B">
              <w:rPr>
                <w:rFonts w:ascii="Franklin Gothic Book" w:hAnsi="Franklin Gothic Book"/>
                <w:iCs/>
                <w:sz w:val="22"/>
                <w:szCs w:val="22"/>
              </w:rPr>
              <w:t xml:space="preserve">MSAC acknowledged the clinical need for this therapy, and that patients prefer it over other </w:t>
            </w:r>
            <w:r w:rsidR="00F638EE" w:rsidRPr="0060671B">
              <w:rPr>
                <w:rFonts w:ascii="Franklin Gothic Book" w:hAnsi="Franklin Gothic Book"/>
                <w:iCs/>
                <w:sz w:val="22"/>
                <w:szCs w:val="22"/>
              </w:rPr>
              <w:t>last-line options</w:t>
            </w:r>
            <w:r w:rsidRPr="0060671B">
              <w:rPr>
                <w:rFonts w:ascii="Franklin Gothic Book" w:hAnsi="Franklin Gothic Book"/>
                <w:iCs/>
                <w:sz w:val="22"/>
                <w:szCs w:val="22"/>
              </w:rPr>
              <w:t>. MSAC also considered it to be a safe and effective therapy option for men with metastatic-resistant prostate cancer who have failed most other standard available therapies</w:t>
            </w:r>
            <w:r w:rsidRPr="006750BC">
              <w:rPr>
                <w:rFonts w:ascii="Franklin Gothic Book" w:hAnsi="Franklin Gothic Book"/>
                <w:iCs/>
                <w:sz w:val="22"/>
                <w:szCs w:val="22"/>
              </w:rPr>
              <w:t>. However, MSAC was not convinced that</w:t>
            </w:r>
            <w:r w:rsidR="008D7896" w:rsidRPr="006750BC">
              <w:rPr>
                <w:rFonts w:ascii="Franklin Gothic Book" w:hAnsi="Franklin Gothic Book"/>
                <w:iCs/>
                <w:sz w:val="22"/>
                <w:szCs w:val="22"/>
              </w:rPr>
              <w:t xml:space="preserve">, as proposed and </w:t>
            </w:r>
            <w:proofErr w:type="gramStart"/>
            <w:r w:rsidR="008D7896" w:rsidRPr="006750BC">
              <w:rPr>
                <w:rFonts w:ascii="Franklin Gothic Book" w:hAnsi="Franklin Gothic Book"/>
                <w:iCs/>
                <w:sz w:val="22"/>
                <w:szCs w:val="22"/>
              </w:rPr>
              <w:t>on the basis of</w:t>
            </w:r>
            <w:proofErr w:type="gramEnd"/>
            <w:r w:rsidR="008D7896" w:rsidRPr="006750BC">
              <w:rPr>
                <w:rFonts w:ascii="Franklin Gothic Book" w:hAnsi="Franklin Gothic Book"/>
                <w:iCs/>
                <w:sz w:val="22"/>
                <w:szCs w:val="22"/>
              </w:rPr>
              <w:t xml:space="preserve"> the available evidence,</w:t>
            </w:r>
            <w:r w:rsidRPr="006750BC">
              <w:rPr>
                <w:rFonts w:ascii="Franklin Gothic Book" w:hAnsi="Franklin Gothic Book"/>
                <w:iCs/>
                <w:sz w:val="22"/>
                <w:szCs w:val="22"/>
              </w:rPr>
              <w:t xml:space="preserve"> this therapy was good value for money.</w:t>
            </w:r>
          </w:p>
          <w:p w14:paraId="1EA32B5D" w14:textId="367539FB" w:rsidR="006669BE" w:rsidRPr="0060671B" w:rsidRDefault="006669BE" w:rsidP="00E92832">
            <w:pPr>
              <w:pStyle w:val="Default"/>
              <w:spacing w:after="240"/>
              <w:rPr>
                <w:rFonts w:ascii="Franklin Gothic Book" w:hAnsi="Franklin Gothic Book"/>
                <w:b/>
                <w:color w:val="auto"/>
                <w:sz w:val="22"/>
                <w:szCs w:val="22"/>
              </w:rPr>
            </w:pPr>
            <w:r w:rsidRPr="0060671B">
              <w:rPr>
                <w:rFonts w:ascii="Franklin Gothic Book" w:hAnsi="Franklin Gothic Book"/>
                <w:b/>
                <w:color w:val="auto"/>
                <w:sz w:val="22"/>
                <w:szCs w:val="22"/>
              </w:rPr>
              <w:t xml:space="preserve">MSAC’s advice to the </w:t>
            </w:r>
            <w:proofErr w:type="gramStart"/>
            <w:r w:rsidRPr="0060671B">
              <w:rPr>
                <w:rFonts w:ascii="Franklin Gothic Book" w:hAnsi="Franklin Gothic Book"/>
                <w:b/>
                <w:color w:val="auto"/>
                <w:sz w:val="22"/>
                <w:szCs w:val="22"/>
              </w:rPr>
              <w:t>Commonwealth Minister</w:t>
            </w:r>
            <w:proofErr w:type="gramEnd"/>
            <w:r w:rsidRPr="0060671B">
              <w:rPr>
                <w:rFonts w:ascii="Franklin Gothic Book" w:hAnsi="Franklin Gothic Book"/>
                <w:b/>
                <w:color w:val="auto"/>
                <w:sz w:val="22"/>
                <w:szCs w:val="22"/>
              </w:rPr>
              <w:t xml:space="preserve"> for Health</w:t>
            </w:r>
            <w:r w:rsidR="000F40F4">
              <w:rPr>
                <w:rFonts w:ascii="Franklin Gothic Book" w:hAnsi="Franklin Gothic Book"/>
                <w:b/>
                <w:color w:val="auto"/>
                <w:sz w:val="22"/>
                <w:szCs w:val="22"/>
              </w:rPr>
              <w:t xml:space="preserve"> and Aged Care</w:t>
            </w:r>
          </w:p>
          <w:p w14:paraId="74C35AFC" w14:textId="6F00B1BD" w:rsidR="006669BE" w:rsidRPr="00E92832" w:rsidRDefault="00E92832">
            <w:pPr>
              <w:pStyle w:val="Default"/>
              <w:spacing w:after="240"/>
              <w:rPr>
                <w:rFonts w:ascii="Franklin Gothic Book" w:hAnsi="Franklin Gothic Book"/>
                <w:iCs/>
                <w:sz w:val="22"/>
                <w:szCs w:val="22"/>
              </w:rPr>
            </w:pPr>
            <w:r w:rsidRPr="0060671B">
              <w:rPr>
                <w:rFonts w:ascii="Franklin Gothic Book" w:hAnsi="Franklin Gothic Book"/>
                <w:iCs/>
                <w:sz w:val="22"/>
                <w:szCs w:val="22"/>
              </w:rPr>
              <w:t>MSAC did not support</w:t>
            </w:r>
            <w:r w:rsidR="00CE4D40" w:rsidRPr="0060671B">
              <w:rPr>
                <w:rFonts w:ascii="Franklin Gothic Book" w:hAnsi="Franklin Gothic Book"/>
                <w:iCs/>
                <w:sz w:val="22"/>
                <w:szCs w:val="22"/>
              </w:rPr>
              <w:t xml:space="preserve"> public funding of</w:t>
            </w:r>
            <w:r w:rsidRPr="0060671B">
              <w:rPr>
                <w:rFonts w:ascii="Franklin Gothic Book" w:hAnsi="Franklin Gothic Book"/>
                <w:iCs/>
                <w:sz w:val="22"/>
                <w:szCs w:val="22"/>
              </w:rPr>
              <w:t xml:space="preserve"> </w:t>
            </w:r>
            <w:r w:rsidR="00180619" w:rsidRPr="0060671B">
              <w:rPr>
                <w:rFonts w:ascii="Franklin Gothic Book" w:hAnsi="Franklin Gothic Book"/>
                <w:iCs/>
                <w:sz w:val="22"/>
                <w:szCs w:val="22"/>
              </w:rPr>
              <w:t>1)</w:t>
            </w:r>
            <w:r w:rsidRPr="0060671B">
              <w:rPr>
                <w:rFonts w:ascii="Franklin Gothic Book" w:hAnsi="Franklin Gothic Book"/>
                <w:iCs/>
                <w:sz w:val="22"/>
                <w:szCs w:val="22"/>
                <w:vertAlign w:val="superscript"/>
              </w:rPr>
              <w:t>177</w:t>
            </w:r>
            <w:r w:rsidRPr="0060671B">
              <w:rPr>
                <w:rFonts w:ascii="Franklin Gothic Book" w:hAnsi="Franklin Gothic Book"/>
                <w:iCs/>
                <w:sz w:val="22"/>
                <w:szCs w:val="22"/>
              </w:rPr>
              <w:t>Lu</w:t>
            </w:r>
            <w:r w:rsidR="00645EB1" w:rsidRPr="0060671B">
              <w:rPr>
                <w:rFonts w:ascii="Franklin Gothic Book" w:hAnsi="Franklin Gothic Book"/>
                <w:iCs/>
                <w:sz w:val="22"/>
                <w:szCs w:val="22"/>
              </w:rPr>
              <w:t> </w:t>
            </w:r>
            <w:r w:rsidRPr="0060671B">
              <w:rPr>
                <w:rFonts w:ascii="Franklin Gothic Book" w:hAnsi="Franklin Gothic Book"/>
                <w:iCs/>
                <w:sz w:val="22"/>
                <w:szCs w:val="22"/>
              </w:rPr>
              <w:t>PSMA</w:t>
            </w:r>
            <w:r w:rsidR="002E273D">
              <w:rPr>
                <w:rFonts w:ascii="Franklin Gothic Book" w:hAnsi="Franklin Gothic Book"/>
                <w:iCs/>
                <w:sz w:val="22"/>
                <w:szCs w:val="22"/>
              </w:rPr>
              <w:t> </w:t>
            </w:r>
            <w:proofErr w:type="spellStart"/>
            <w:r w:rsidR="002E273D" w:rsidRPr="002E273D">
              <w:rPr>
                <w:rFonts w:ascii="Franklin Gothic Book" w:hAnsi="Franklin Gothic Book"/>
                <w:iCs/>
                <w:sz w:val="22"/>
                <w:szCs w:val="22"/>
              </w:rPr>
              <w:t>i&amp;t</w:t>
            </w:r>
            <w:proofErr w:type="spellEnd"/>
            <w:r w:rsidR="00180619" w:rsidRPr="0060671B">
              <w:rPr>
                <w:rFonts w:ascii="Franklin Gothic Book" w:hAnsi="Franklin Gothic Book"/>
                <w:iCs/>
                <w:sz w:val="22"/>
                <w:szCs w:val="22"/>
              </w:rPr>
              <w:t xml:space="preserve"> therapy </w:t>
            </w:r>
            <w:r w:rsidRPr="0060671B">
              <w:rPr>
                <w:rFonts w:ascii="Franklin Gothic Book" w:hAnsi="Franklin Gothic Book"/>
                <w:iCs/>
                <w:sz w:val="22"/>
                <w:szCs w:val="22"/>
              </w:rPr>
              <w:t>for metastatic-resistant prostate cancer</w:t>
            </w:r>
            <w:r w:rsidR="00180619" w:rsidRPr="0060671B">
              <w:rPr>
                <w:rFonts w:ascii="Franklin Gothic Book" w:hAnsi="Franklin Gothic Book"/>
                <w:iCs/>
                <w:sz w:val="22"/>
                <w:szCs w:val="22"/>
              </w:rPr>
              <w:t xml:space="preserve"> and 2)</w:t>
            </w:r>
            <w:r w:rsidR="00531EA5" w:rsidRPr="0060671B">
              <w:rPr>
                <w:rFonts w:ascii="Franklin Gothic Book" w:hAnsi="Franklin Gothic Book"/>
                <w:iCs/>
                <w:sz w:val="22"/>
                <w:szCs w:val="22"/>
              </w:rPr>
              <w:t xml:space="preserve"> whole body PSMA positron emission tomography/computed tomography to identify those eligible for </w:t>
            </w:r>
            <w:r w:rsidR="00531EA5" w:rsidRPr="0060671B">
              <w:rPr>
                <w:rFonts w:ascii="Franklin Gothic Book" w:hAnsi="Franklin Gothic Book"/>
                <w:iCs/>
                <w:sz w:val="22"/>
                <w:szCs w:val="22"/>
                <w:vertAlign w:val="superscript"/>
              </w:rPr>
              <w:t>177</w:t>
            </w:r>
            <w:r w:rsidR="00531EA5" w:rsidRPr="0060671B">
              <w:rPr>
                <w:rFonts w:ascii="Franklin Gothic Book" w:hAnsi="Franklin Gothic Book"/>
                <w:iCs/>
                <w:sz w:val="22"/>
                <w:szCs w:val="22"/>
              </w:rPr>
              <w:t>Lu</w:t>
            </w:r>
            <w:r w:rsidR="00F638EE" w:rsidRPr="0060671B">
              <w:rPr>
                <w:rFonts w:ascii="Franklin Gothic Book" w:hAnsi="Franklin Gothic Book"/>
                <w:iCs/>
                <w:sz w:val="22"/>
                <w:szCs w:val="22"/>
              </w:rPr>
              <w:t> </w:t>
            </w:r>
            <w:r w:rsidR="00531EA5" w:rsidRPr="0060671B">
              <w:rPr>
                <w:rFonts w:ascii="Franklin Gothic Book" w:hAnsi="Franklin Gothic Book"/>
                <w:iCs/>
                <w:sz w:val="22"/>
                <w:szCs w:val="22"/>
              </w:rPr>
              <w:t>PSMA</w:t>
            </w:r>
            <w:r w:rsidR="002E273D">
              <w:rPr>
                <w:rFonts w:ascii="Franklin Gothic Book" w:hAnsi="Franklin Gothic Book"/>
                <w:iCs/>
                <w:sz w:val="22"/>
                <w:szCs w:val="22"/>
              </w:rPr>
              <w:t> </w:t>
            </w:r>
            <w:proofErr w:type="spellStart"/>
            <w:r w:rsidR="002E273D" w:rsidRPr="002E273D">
              <w:rPr>
                <w:rFonts w:ascii="Franklin Gothic Book" w:hAnsi="Franklin Gothic Book"/>
                <w:iCs/>
                <w:sz w:val="22"/>
                <w:szCs w:val="22"/>
              </w:rPr>
              <w:t>i&amp;t</w:t>
            </w:r>
            <w:proofErr w:type="spellEnd"/>
            <w:r w:rsidR="00531EA5" w:rsidRPr="0060671B">
              <w:rPr>
                <w:rFonts w:ascii="Franklin Gothic Book" w:hAnsi="Franklin Gothic Book"/>
                <w:iCs/>
                <w:sz w:val="22"/>
                <w:szCs w:val="22"/>
              </w:rPr>
              <w:t xml:space="preserve"> therapy.</w:t>
            </w:r>
            <w:r w:rsidRPr="0060671B">
              <w:rPr>
                <w:rFonts w:ascii="Franklin Gothic Book" w:hAnsi="Franklin Gothic Book"/>
                <w:iCs/>
                <w:sz w:val="22"/>
                <w:szCs w:val="22"/>
              </w:rPr>
              <w:t xml:space="preserve"> MSAC considered </w:t>
            </w:r>
            <w:r w:rsidRPr="0060671B">
              <w:rPr>
                <w:rFonts w:ascii="Franklin Gothic Book" w:hAnsi="Franklin Gothic Book"/>
                <w:iCs/>
                <w:sz w:val="22"/>
                <w:szCs w:val="22"/>
                <w:vertAlign w:val="superscript"/>
              </w:rPr>
              <w:t>177</w:t>
            </w:r>
            <w:r w:rsidRPr="0060671B">
              <w:rPr>
                <w:rFonts w:ascii="Franklin Gothic Book" w:hAnsi="Franklin Gothic Book"/>
                <w:iCs/>
                <w:sz w:val="22"/>
                <w:szCs w:val="22"/>
              </w:rPr>
              <w:t>Lu</w:t>
            </w:r>
            <w:r w:rsidR="00645EB1" w:rsidRPr="0060671B">
              <w:rPr>
                <w:rFonts w:ascii="Franklin Gothic Book" w:hAnsi="Franklin Gothic Book"/>
                <w:iCs/>
                <w:sz w:val="22"/>
                <w:szCs w:val="22"/>
              </w:rPr>
              <w:t> </w:t>
            </w:r>
            <w:r w:rsidRPr="0060671B">
              <w:rPr>
                <w:rFonts w:ascii="Franklin Gothic Book" w:hAnsi="Franklin Gothic Book"/>
                <w:iCs/>
                <w:sz w:val="22"/>
                <w:szCs w:val="22"/>
              </w:rPr>
              <w:t>PSMA</w:t>
            </w:r>
            <w:r w:rsidR="002E273D">
              <w:rPr>
                <w:rFonts w:ascii="Franklin Gothic Book" w:hAnsi="Franklin Gothic Book"/>
                <w:iCs/>
                <w:sz w:val="22"/>
                <w:szCs w:val="22"/>
              </w:rPr>
              <w:t> </w:t>
            </w:r>
            <w:proofErr w:type="spellStart"/>
            <w:r w:rsidR="002E273D" w:rsidRPr="002E273D">
              <w:rPr>
                <w:rFonts w:ascii="Franklin Gothic Book" w:hAnsi="Franklin Gothic Book"/>
                <w:iCs/>
                <w:sz w:val="22"/>
                <w:szCs w:val="22"/>
              </w:rPr>
              <w:t>i&amp;t</w:t>
            </w:r>
            <w:proofErr w:type="spellEnd"/>
            <w:r w:rsidR="00531EA5" w:rsidRPr="0060671B">
              <w:rPr>
                <w:rFonts w:ascii="Franklin Gothic Book" w:hAnsi="Franklin Gothic Book"/>
                <w:iCs/>
                <w:sz w:val="22"/>
                <w:szCs w:val="22"/>
              </w:rPr>
              <w:t xml:space="preserve"> therapy </w:t>
            </w:r>
            <w:r w:rsidRPr="0060671B">
              <w:rPr>
                <w:rFonts w:ascii="Franklin Gothic Book" w:hAnsi="Franklin Gothic Book"/>
                <w:iCs/>
                <w:sz w:val="22"/>
                <w:szCs w:val="22"/>
              </w:rPr>
              <w:t xml:space="preserve">to be a safe and effective </w:t>
            </w:r>
            <w:r w:rsidR="00531EA5" w:rsidRPr="0060671B">
              <w:rPr>
                <w:rFonts w:ascii="Franklin Gothic Book" w:hAnsi="Franklin Gothic Book"/>
                <w:iCs/>
                <w:sz w:val="22"/>
                <w:szCs w:val="22"/>
              </w:rPr>
              <w:t>treatment</w:t>
            </w:r>
            <w:r w:rsidRPr="006750BC">
              <w:rPr>
                <w:rFonts w:ascii="Franklin Gothic Book" w:hAnsi="Franklin Gothic Book"/>
                <w:iCs/>
                <w:sz w:val="22"/>
                <w:szCs w:val="22"/>
              </w:rPr>
              <w:t>, but was concerned</w:t>
            </w:r>
            <w:r w:rsidR="00531EA5" w:rsidRPr="006750BC">
              <w:rPr>
                <w:rFonts w:ascii="Franklin Gothic Book" w:hAnsi="Franklin Gothic Book"/>
                <w:iCs/>
                <w:sz w:val="22"/>
                <w:szCs w:val="22"/>
              </w:rPr>
              <w:t xml:space="preserve"> that</w:t>
            </w:r>
            <w:r w:rsidR="008D7896" w:rsidRPr="006750BC">
              <w:rPr>
                <w:rFonts w:ascii="Franklin Gothic Book" w:hAnsi="Franklin Gothic Book"/>
                <w:iCs/>
                <w:sz w:val="22"/>
                <w:szCs w:val="22"/>
              </w:rPr>
              <w:t xml:space="preserve">, as proposed and </w:t>
            </w:r>
            <w:proofErr w:type="gramStart"/>
            <w:r w:rsidR="008D7896" w:rsidRPr="006750BC">
              <w:rPr>
                <w:rFonts w:ascii="Franklin Gothic Book" w:hAnsi="Franklin Gothic Book"/>
                <w:iCs/>
                <w:sz w:val="22"/>
                <w:szCs w:val="22"/>
              </w:rPr>
              <w:t>on the basis of</w:t>
            </w:r>
            <w:proofErr w:type="gramEnd"/>
            <w:r w:rsidR="008D7896" w:rsidRPr="006750BC">
              <w:rPr>
                <w:rFonts w:ascii="Franklin Gothic Book" w:hAnsi="Franklin Gothic Book"/>
                <w:iCs/>
                <w:sz w:val="22"/>
                <w:szCs w:val="22"/>
              </w:rPr>
              <w:t xml:space="preserve"> the available evidence,</w:t>
            </w:r>
            <w:r w:rsidR="00531EA5" w:rsidRPr="006750BC">
              <w:rPr>
                <w:rFonts w:ascii="Franklin Gothic Book" w:hAnsi="Franklin Gothic Book"/>
                <w:iCs/>
                <w:sz w:val="22"/>
                <w:szCs w:val="22"/>
              </w:rPr>
              <w:t xml:space="preserve"> it did not represent </w:t>
            </w:r>
            <w:r w:rsidRPr="006750BC">
              <w:rPr>
                <w:rFonts w:ascii="Franklin Gothic Book" w:hAnsi="Franklin Gothic Book"/>
                <w:iCs/>
                <w:sz w:val="22"/>
                <w:szCs w:val="22"/>
              </w:rPr>
              <w:t>good value for money.</w:t>
            </w:r>
          </w:p>
        </w:tc>
      </w:tr>
    </w:tbl>
    <w:p w14:paraId="10D08A67" w14:textId="77777777" w:rsidR="006669BE" w:rsidRDefault="006669BE" w:rsidP="006669BE">
      <w:pPr>
        <w:pStyle w:val="Heading2"/>
        <w:numPr>
          <w:ilvl w:val="0"/>
          <w:numId w:val="0"/>
        </w:numPr>
      </w:pPr>
      <w:r>
        <w:t>3.</w:t>
      </w:r>
      <w:r>
        <w:tab/>
        <w:t>Summary of consideration and rationale for MSAC’s advice</w:t>
      </w:r>
    </w:p>
    <w:p w14:paraId="7776E612" w14:textId="6D9A61C1" w:rsidR="00E92832" w:rsidRDefault="00E92832" w:rsidP="00E92832">
      <w:r>
        <w:t xml:space="preserve">MSAC noted that this application from a group of academic specialists, co-sponsored by the AANMS, is for MBS listing of </w:t>
      </w:r>
      <w:r>
        <w:rPr>
          <w:vertAlign w:val="superscript"/>
        </w:rPr>
        <w:t>177</w:t>
      </w:r>
      <w:r>
        <w:t>Lu</w:t>
      </w:r>
      <w:r w:rsidR="003D6A82">
        <w:t> </w:t>
      </w:r>
      <w:r>
        <w:t>PSMA</w:t>
      </w:r>
      <w:r w:rsidR="00A521C1">
        <w:t> </w:t>
      </w:r>
      <w:proofErr w:type="spellStart"/>
      <w:r>
        <w:t>i&amp;t</w:t>
      </w:r>
      <w:proofErr w:type="spellEnd"/>
      <w:r>
        <w:t xml:space="preserve"> to treat patients with</w:t>
      </w:r>
      <w:r w:rsidR="0097263A">
        <w:t xml:space="preserve"> progressive</w:t>
      </w:r>
      <w:r>
        <w:t xml:space="preserve"> </w:t>
      </w:r>
      <w:proofErr w:type="spellStart"/>
      <w:r>
        <w:t>mCRPC</w:t>
      </w:r>
      <w:proofErr w:type="spellEnd"/>
      <w:r>
        <w:t xml:space="preserve">. MSAC noted that </w:t>
      </w:r>
      <w:r>
        <w:rPr>
          <w:vertAlign w:val="superscript"/>
        </w:rPr>
        <w:t>177</w:t>
      </w:r>
      <w:r>
        <w:t>Lu</w:t>
      </w:r>
      <w:r w:rsidR="00554CC6">
        <w:t> </w:t>
      </w:r>
      <w:r>
        <w:t>PSMA</w:t>
      </w:r>
      <w:r w:rsidR="00A521C1">
        <w:t> </w:t>
      </w:r>
      <w:proofErr w:type="spellStart"/>
      <w:r>
        <w:t>i&amp;t</w:t>
      </w:r>
      <w:proofErr w:type="spellEnd"/>
      <w:r>
        <w:t xml:space="preserve"> is currently </w:t>
      </w:r>
      <w:r w:rsidR="00FF6DFC">
        <w:t>available</w:t>
      </w:r>
      <w:r>
        <w:t xml:space="preserve"> under the Therapeutic Goods Administration’s (TGA’s) Special Access Scheme </w:t>
      </w:r>
      <w:r w:rsidR="00FF6DFC">
        <w:t xml:space="preserve">and </w:t>
      </w:r>
      <w:r w:rsidR="00361831">
        <w:t>funded</w:t>
      </w:r>
      <w:r>
        <w:t xml:space="preserve"> by the Department of Veterans’ Affairs (DVA).</w:t>
      </w:r>
      <w:r w:rsidR="00CE4D40">
        <w:t xml:space="preserve"> </w:t>
      </w:r>
      <w:r>
        <w:t>MSAC noted that a</w:t>
      </w:r>
      <w:r w:rsidR="00215355">
        <w:t xml:space="preserve">n </w:t>
      </w:r>
      <w:r w:rsidR="00361831">
        <w:t>alternative</w:t>
      </w:r>
      <w:r>
        <w:t xml:space="preserve"> product, </w:t>
      </w:r>
      <w:r>
        <w:rPr>
          <w:vertAlign w:val="superscript"/>
        </w:rPr>
        <w:t>177</w:t>
      </w:r>
      <w:r>
        <w:t>Lu</w:t>
      </w:r>
      <w:r w:rsidR="003D6A82">
        <w:t> </w:t>
      </w:r>
      <w:r>
        <w:t>PSMA-617, is not currently registered by the TGA in Australia.</w:t>
      </w:r>
    </w:p>
    <w:p w14:paraId="27652C10" w14:textId="6E522EA4" w:rsidR="00E92832" w:rsidRDefault="00E92832" w:rsidP="00E92832">
      <w:r>
        <w:t xml:space="preserve">MSAC noted that </w:t>
      </w:r>
      <w:r>
        <w:rPr>
          <w:vertAlign w:val="superscript"/>
        </w:rPr>
        <w:t>177</w:t>
      </w:r>
      <w:r>
        <w:t>Lu</w:t>
      </w:r>
      <w:r w:rsidR="003D6A82">
        <w:t> </w:t>
      </w:r>
      <w:r>
        <w:t>PSMA</w:t>
      </w:r>
      <w:r w:rsidR="002E273D">
        <w:rPr>
          <w:iCs/>
        </w:rPr>
        <w:t> </w:t>
      </w:r>
      <w:proofErr w:type="spellStart"/>
      <w:r w:rsidR="002E273D">
        <w:rPr>
          <w:iCs/>
        </w:rPr>
        <w:t>i&amp;t</w:t>
      </w:r>
      <w:proofErr w:type="spellEnd"/>
      <w:r>
        <w:t xml:space="preserve"> therapy is delivered by appropriately trained and accredited nuclear medicine specialists in specialist outpatient facilities. MSAC noted that the proposal also includes PSMA PET/CT to allow appropriate patient selection, and SPECT/CT for post-treatment monitoring and assessment (for each cycle of </w:t>
      </w:r>
      <w:r w:rsidR="00703F3F">
        <w:rPr>
          <w:vertAlign w:val="superscript"/>
        </w:rPr>
        <w:t>177</w:t>
      </w:r>
      <w:r>
        <w:t>Lu</w:t>
      </w:r>
      <w:r w:rsidR="003D6A82">
        <w:t> </w:t>
      </w:r>
      <w:r>
        <w:t>PSMA</w:t>
      </w:r>
      <w:r w:rsidR="002E273D">
        <w:rPr>
          <w:iCs/>
        </w:rPr>
        <w:t> </w:t>
      </w:r>
      <w:proofErr w:type="spellStart"/>
      <w:r w:rsidR="002E273D">
        <w:rPr>
          <w:iCs/>
        </w:rPr>
        <w:t>i&amp;t</w:t>
      </w:r>
      <w:proofErr w:type="spellEnd"/>
      <w:r w:rsidR="003D6A82">
        <w:t xml:space="preserve"> therapy</w:t>
      </w:r>
      <w:r>
        <w:t>).</w:t>
      </w:r>
      <w:r w:rsidR="00713668">
        <w:t xml:space="preserve"> MSAC noted that </w:t>
      </w:r>
      <w:r w:rsidR="00DC52F2">
        <w:t>after</w:t>
      </w:r>
      <w:r w:rsidR="00CE4D40">
        <w:t xml:space="preserve"> consideration by the</w:t>
      </w:r>
      <w:r w:rsidR="00327D2C">
        <w:t xml:space="preserve"> </w:t>
      </w:r>
      <w:r w:rsidR="00CE4D40">
        <w:t>PICO Advisory Subcommittee (</w:t>
      </w:r>
      <w:r w:rsidR="00327D2C">
        <w:t>PASC</w:t>
      </w:r>
      <w:r w:rsidR="00CE4D40">
        <w:t>)</w:t>
      </w:r>
      <w:r w:rsidR="00327D2C">
        <w:t>, the</w:t>
      </w:r>
      <w:r w:rsidR="00713668">
        <w:t xml:space="preserve"> applicant </w:t>
      </w:r>
      <w:r w:rsidR="00327D2C" w:rsidRPr="00327D2C">
        <w:t xml:space="preserve">removed the </w:t>
      </w:r>
      <w:r w:rsidR="00327D2C" w:rsidRPr="00327D2C">
        <w:lastRenderedPageBreak/>
        <w:t>requirement (and proposed MBS item) for confirmatory testing with whole body 18F</w:t>
      </w:r>
      <w:r w:rsidR="00CE4D40">
        <w:noBreakHyphen/>
      </w:r>
      <w:r w:rsidR="00327D2C" w:rsidRPr="00327D2C">
        <w:t>fluorodeoxyglucose (FDG) PET/CT</w:t>
      </w:r>
      <w:r w:rsidR="00FF6DFC">
        <w:t xml:space="preserve"> for appropriate patient selection</w:t>
      </w:r>
      <w:r w:rsidR="00327D2C" w:rsidRPr="00327D2C">
        <w:t>.</w:t>
      </w:r>
    </w:p>
    <w:p w14:paraId="6F582E76" w14:textId="1BB6B0E8" w:rsidR="00E92832" w:rsidRDefault="00E92832" w:rsidP="00E92832">
      <w:r>
        <w:t xml:space="preserve">MSAC noted that the proposed population is patients with </w:t>
      </w:r>
      <w:proofErr w:type="spellStart"/>
      <w:r>
        <w:t>mCRPC</w:t>
      </w:r>
      <w:proofErr w:type="spellEnd"/>
      <w:r>
        <w:t xml:space="preserve"> after progressive or symptomatic disease has developed while on at least one </w:t>
      </w:r>
      <w:proofErr w:type="spellStart"/>
      <w:r>
        <w:t>taxane</w:t>
      </w:r>
      <w:proofErr w:type="spellEnd"/>
      <w:r>
        <w:t xml:space="preserve"> chemotherapy and at least one androgen receptor signalling inhibitor. MSAC not</w:t>
      </w:r>
      <w:r w:rsidR="00327D2C">
        <w:t>ed</w:t>
      </w:r>
      <w:r>
        <w:t xml:space="preserve"> 3,000 patients die each year in Australia from </w:t>
      </w:r>
      <w:proofErr w:type="spellStart"/>
      <w:r>
        <w:t>mCRPC</w:t>
      </w:r>
      <w:proofErr w:type="spellEnd"/>
      <w:r w:rsidR="00EC2098">
        <w:t xml:space="preserve"> </w:t>
      </w:r>
      <w:r w:rsidR="00EC2098">
        <w:rPr>
          <w:rFonts w:eastAsia="Calibri" w:cs="Times New Roman"/>
        </w:rPr>
        <w:t>and the significant morbidity associated with bone metastasis requiring analgesia and skeletal related events</w:t>
      </w:r>
      <w:r>
        <w:t xml:space="preserve">. MSAC noted that the pre-MSAC response highlighted limitations with current standard of care, notably </w:t>
      </w:r>
      <w:proofErr w:type="spellStart"/>
      <w:r>
        <w:t>cabazitaxel</w:t>
      </w:r>
      <w:proofErr w:type="spellEnd"/>
      <w:r>
        <w:t xml:space="preserve">, with many patients with advanced disease opting to forego </w:t>
      </w:r>
      <w:proofErr w:type="spellStart"/>
      <w:r>
        <w:t>cabazitaxel</w:t>
      </w:r>
      <w:proofErr w:type="spellEnd"/>
      <w:r>
        <w:t xml:space="preserve"> due to its toxicity and electing instead to commence palliative care. </w:t>
      </w:r>
      <w:r w:rsidR="00327D2C">
        <w:t xml:space="preserve">MSAC acknowledged the high clinical need </w:t>
      </w:r>
      <w:r>
        <w:t xml:space="preserve">for effective new therapies for </w:t>
      </w:r>
      <w:r w:rsidR="00327D2C">
        <w:t xml:space="preserve">progressive </w:t>
      </w:r>
      <w:proofErr w:type="spellStart"/>
      <w:r w:rsidR="00327D2C">
        <w:t>mCRPC</w:t>
      </w:r>
      <w:proofErr w:type="spellEnd"/>
      <w:r>
        <w:t>.</w:t>
      </w:r>
    </w:p>
    <w:p w14:paraId="24FB5E1A" w14:textId="16673E01" w:rsidR="00E92832" w:rsidRDefault="00E92832" w:rsidP="00E92832">
      <w:r>
        <w:t>MSAC noted that</w:t>
      </w:r>
      <w:r w:rsidR="00327D2C">
        <w:t xml:space="preserve"> all consumers, </w:t>
      </w:r>
      <w:proofErr w:type="gramStart"/>
      <w:r w:rsidR="00327D2C">
        <w:t>specialists</w:t>
      </w:r>
      <w:proofErr w:type="gramEnd"/>
      <w:r>
        <w:t xml:space="preserve"> </w:t>
      </w:r>
      <w:r w:rsidR="00327D2C">
        <w:t xml:space="preserve">and the majority of </w:t>
      </w:r>
      <w:r>
        <w:t xml:space="preserve">organisations who provided input were supportive of the application. </w:t>
      </w:r>
      <w:r w:rsidR="00327D2C">
        <w:t>The Royal Australian and New Zealand College of Radiologists (</w:t>
      </w:r>
      <w:r>
        <w:t>RANZCR</w:t>
      </w:r>
      <w:r w:rsidR="00327D2C">
        <w:t>)</w:t>
      </w:r>
      <w:r>
        <w:t xml:space="preserve"> </w:t>
      </w:r>
      <w:r w:rsidR="00327D2C">
        <w:t>raise</w:t>
      </w:r>
      <w:r w:rsidR="00FF6DFC">
        <w:t>d a</w:t>
      </w:r>
      <w:r w:rsidR="00327D2C">
        <w:t xml:space="preserve"> concern</w:t>
      </w:r>
      <w:r>
        <w:t xml:space="preserve"> that there is no policy framework in place for </w:t>
      </w:r>
      <w:proofErr w:type="spellStart"/>
      <w:r>
        <w:t>theranostics</w:t>
      </w:r>
      <w:proofErr w:type="spellEnd"/>
      <w:r>
        <w:t xml:space="preserve"> before MSAC’s consideration of this application, and it d</w:t>
      </w:r>
      <w:r w:rsidR="00327D2C">
        <w:t>id</w:t>
      </w:r>
      <w:r>
        <w:t xml:space="preserve"> not support the AANMS Position Statement of Practice of </w:t>
      </w:r>
      <w:proofErr w:type="spellStart"/>
      <w:r>
        <w:t>Theranostics</w:t>
      </w:r>
      <w:proofErr w:type="spellEnd"/>
      <w:r>
        <w:t>.</w:t>
      </w:r>
      <w:r w:rsidR="00327D2C">
        <w:t xml:space="preserve"> MSAC also noted from public consultation feedback that there is currently inequitable access to </w:t>
      </w:r>
      <w:r w:rsidR="00327D2C">
        <w:rPr>
          <w:vertAlign w:val="superscript"/>
        </w:rPr>
        <w:t>177</w:t>
      </w:r>
      <w:r w:rsidR="00327D2C">
        <w:t>Lu PSMA</w:t>
      </w:r>
      <w:r w:rsidR="002E273D">
        <w:rPr>
          <w:iCs/>
        </w:rPr>
        <w:t> </w:t>
      </w:r>
      <w:proofErr w:type="spellStart"/>
      <w:r w:rsidR="002E273D">
        <w:rPr>
          <w:iCs/>
        </w:rPr>
        <w:t>i&amp;t</w:t>
      </w:r>
      <w:proofErr w:type="spellEnd"/>
      <w:r w:rsidR="00327D2C">
        <w:t xml:space="preserve"> therapy due to its limited availability and high costs.</w:t>
      </w:r>
    </w:p>
    <w:p w14:paraId="2BB479EB" w14:textId="190A25BC" w:rsidR="00E92832" w:rsidRDefault="00E92832" w:rsidP="00E92832">
      <w:r>
        <w:t xml:space="preserve">MSAC noted in the clinical management algorithm that patients eligible for </w:t>
      </w:r>
      <w:r w:rsidR="00703F3F">
        <w:rPr>
          <w:vertAlign w:val="superscript"/>
        </w:rPr>
        <w:t>177</w:t>
      </w:r>
      <w:r>
        <w:t>Lu</w:t>
      </w:r>
      <w:r w:rsidR="003D6A82">
        <w:t> </w:t>
      </w:r>
      <w:r>
        <w:t>PSMA</w:t>
      </w:r>
      <w:r w:rsidR="002E273D">
        <w:rPr>
          <w:iCs/>
        </w:rPr>
        <w:t> </w:t>
      </w:r>
      <w:proofErr w:type="spellStart"/>
      <w:r w:rsidR="002E273D">
        <w:rPr>
          <w:iCs/>
        </w:rPr>
        <w:t>i&amp;t</w:t>
      </w:r>
      <w:proofErr w:type="spellEnd"/>
      <w:r>
        <w:t xml:space="preserve"> are those </w:t>
      </w:r>
      <w:r w:rsidR="00A5081C">
        <w:t xml:space="preserve">who </w:t>
      </w:r>
      <w:r>
        <w:t>have had a positive PSMA PET/CT (</w:t>
      </w:r>
      <w:r w:rsidR="00C67C6B">
        <w:t>maximum standardised uptake value [</w:t>
      </w:r>
      <w:proofErr w:type="spellStart"/>
      <w:r>
        <w:t>SUV</w:t>
      </w:r>
      <w:r>
        <w:rPr>
          <w:vertAlign w:val="subscript"/>
        </w:rPr>
        <w:t>max</w:t>
      </w:r>
      <w:proofErr w:type="spellEnd"/>
      <w:r w:rsidR="00C67C6B">
        <w:t>]</w:t>
      </w:r>
      <w:r>
        <w:t xml:space="preserve"> of &gt;15 at ≥1 disease site and </w:t>
      </w:r>
      <w:proofErr w:type="spellStart"/>
      <w:r>
        <w:t>SUV</w:t>
      </w:r>
      <w:r>
        <w:rPr>
          <w:vertAlign w:val="subscript"/>
        </w:rPr>
        <w:t>max</w:t>
      </w:r>
      <w:proofErr w:type="spellEnd"/>
      <w:r>
        <w:t xml:space="preserve"> &gt;10 at all measurable sites) and have adequate marrow/liver/renal function. Patients receive up to six cycles of </w:t>
      </w:r>
      <w:r>
        <w:rPr>
          <w:vertAlign w:val="superscript"/>
        </w:rPr>
        <w:t>177</w:t>
      </w:r>
      <w:r>
        <w:t>Lu</w:t>
      </w:r>
      <w:r w:rsidR="003D6A82">
        <w:t> </w:t>
      </w:r>
      <w:r>
        <w:t>PSMA</w:t>
      </w:r>
      <w:r w:rsidR="002E273D">
        <w:rPr>
          <w:iCs/>
        </w:rPr>
        <w:t> </w:t>
      </w:r>
      <w:proofErr w:type="spellStart"/>
      <w:r w:rsidR="002E273D">
        <w:rPr>
          <w:iCs/>
        </w:rPr>
        <w:t>i&amp;t</w:t>
      </w:r>
      <w:proofErr w:type="spellEnd"/>
      <w:r w:rsidR="0010789C">
        <w:t xml:space="preserve"> therapy </w:t>
      </w:r>
      <w:r>
        <w:t>at six-weekly intervals.</w:t>
      </w:r>
    </w:p>
    <w:p w14:paraId="45B5F5E0" w14:textId="15B0EE96" w:rsidR="00E92832" w:rsidRDefault="00E92832" w:rsidP="00E92832">
      <w:r>
        <w:t xml:space="preserve">MSAC noted that the comparator for the diagnostic test is no testing with PSMA PET/CT, while the comparators for the therapy are </w:t>
      </w:r>
      <w:proofErr w:type="spellStart"/>
      <w:r>
        <w:t>cabazitaxel</w:t>
      </w:r>
      <w:proofErr w:type="spellEnd"/>
      <w:r>
        <w:t xml:space="preserve">, or standard care if prior </w:t>
      </w:r>
      <w:proofErr w:type="spellStart"/>
      <w:r>
        <w:t>cabazitaxel</w:t>
      </w:r>
      <w:proofErr w:type="spellEnd"/>
      <w:r>
        <w:t xml:space="preserve"> or unable/unwilling to undergo treatment with </w:t>
      </w:r>
      <w:proofErr w:type="spellStart"/>
      <w:r>
        <w:t>cabazitaxel</w:t>
      </w:r>
      <w:proofErr w:type="spellEnd"/>
      <w:r>
        <w:t>. MSAC considered these to be appropriate</w:t>
      </w:r>
      <w:r w:rsidR="00FF6DFC">
        <w:t xml:space="preserve"> and that </w:t>
      </w:r>
      <w:r w:rsidR="00FF6DFC">
        <w:rPr>
          <w:vertAlign w:val="superscript"/>
        </w:rPr>
        <w:t>177</w:t>
      </w:r>
      <w:r w:rsidR="00FF6DFC">
        <w:t>Lu PSMA</w:t>
      </w:r>
      <w:r w:rsidR="002E273D">
        <w:rPr>
          <w:iCs/>
        </w:rPr>
        <w:t> </w:t>
      </w:r>
      <w:proofErr w:type="spellStart"/>
      <w:r w:rsidR="002E273D">
        <w:rPr>
          <w:iCs/>
        </w:rPr>
        <w:t>i&amp;t</w:t>
      </w:r>
      <w:proofErr w:type="spellEnd"/>
      <w:r w:rsidR="00FF6DFC">
        <w:t xml:space="preserve"> therapy would replace or displace </w:t>
      </w:r>
      <w:proofErr w:type="spellStart"/>
      <w:r w:rsidR="00FF6DFC">
        <w:t>cabazitaxel</w:t>
      </w:r>
      <w:proofErr w:type="spellEnd"/>
      <w:r w:rsidR="00FF6DFC">
        <w:t xml:space="preserve"> and </w:t>
      </w:r>
      <w:r w:rsidR="002D76D8">
        <w:t xml:space="preserve">would </w:t>
      </w:r>
      <w:r w:rsidR="00FF6DFC">
        <w:t>displace best supportive care</w:t>
      </w:r>
      <w:r>
        <w:t>.</w:t>
      </w:r>
    </w:p>
    <w:p w14:paraId="71B54E6C" w14:textId="46027A46" w:rsidR="006943B7" w:rsidRDefault="006943B7" w:rsidP="00E92832">
      <w:r>
        <w:t xml:space="preserve">MSAC noted the </w:t>
      </w:r>
      <w:r w:rsidR="00C7285E" w:rsidRPr="001454B3">
        <w:t xml:space="preserve">Evaluation Sub-Committee </w:t>
      </w:r>
      <w:r w:rsidR="00C7285E">
        <w:t>(</w:t>
      </w:r>
      <w:r>
        <w:t>ESC</w:t>
      </w:r>
      <w:r w:rsidR="00C7285E">
        <w:t>)</w:t>
      </w:r>
      <w:r>
        <w:t xml:space="preserve"> advice for the item descriptors</w:t>
      </w:r>
      <w:r w:rsidR="007F0D36">
        <w:t xml:space="preserve"> and agreed with the </w:t>
      </w:r>
      <w:r>
        <w:t>suggestion</w:t>
      </w:r>
      <w:r w:rsidR="007F0D36">
        <w:t>s, including</w:t>
      </w:r>
      <w:r>
        <w:t xml:space="preserve"> for the therapeutic item </w:t>
      </w:r>
      <w:r w:rsidR="00CE4D40">
        <w:t xml:space="preserve">to </w:t>
      </w:r>
      <w:r>
        <w:t>be amended to specify “followed 24 hours later by whole body PSMA single-photon emission computed tomography (SPECT)”</w:t>
      </w:r>
      <w:r w:rsidR="007F0D36">
        <w:t xml:space="preserve"> (see Table 2)</w:t>
      </w:r>
      <w:r>
        <w:t>.</w:t>
      </w:r>
      <w:r w:rsidRPr="006943B7">
        <w:t xml:space="preserve"> </w:t>
      </w:r>
      <w:r>
        <w:t xml:space="preserve">MSAC noted that as requested by ESC, the pre-MSAC response included a breakdown of the proposed fee of $8,000 for </w:t>
      </w:r>
      <w:r>
        <w:rPr>
          <w:vertAlign w:val="superscript"/>
        </w:rPr>
        <w:t>177</w:t>
      </w:r>
      <w:r>
        <w:t>Lu PSMA</w:t>
      </w:r>
      <w:r w:rsidR="002E273D">
        <w:rPr>
          <w:iCs/>
        </w:rPr>
        <w:t> </w:t>
      </w:r>
      <w:proofErr w:type="spellStart"/>
      <w:r w:rsidR="002E273D">
        <w:rPr>
          <w:iCs/>
        </w:rPr>
        <w:t>i&amp;t</w:t>
      </w:r>
      <w:proofErr w:type="spellEnd"/>
      <w:r>
        <w:t>. The applicant also reiterated that the fee of $8,000 per dose w</w:t>
      </w:r>
      <w:r w:rsidR="00FF6DFC">
        <w:t>ou</w:t>
      </w:r>
      <w:r w:rsidR="00CE4D40">
        <w:t>l</w:t>
      </w:r>
      <w:r w:rsidR="00FF6DFC">
        <w:t>d</w:t>
      </w:r>
      <w:r>
        <w:t xml:space="preserve"> be sufficient to cover the costs of safe delivery of the service across all settings in Australia.</w:t>
      </w:r>
    </w:p>
    <w:p w14:paraId="70A6737B" w14:textId="410D6ADC" w:rsidR="00E92832" w:rsidRPr="002D76D8" w:rsidRDefault="00E92832" w:rsidP="00E92832">
      <w:pPr>
        <w:rPr>
          <w:rFonts w:eastAsia="Calibri" w:cs="Times New Roman"/>
        </w:rPr>
      </w:pPr>
      <w:r>
        <w:t xml:space="preserve">MSAC noted that the </w:t>
      </w:r>
      <w:r w:rsidR="00E55577">
        <w:t xml:space="preserve">primary </w:t>
      </w:r>
      <w:r>
        <w:t xml:space="preserve">supporting clinical trial data for </w:t>
      </w:r>
      <w:r>
        <w:rPr>
          <w:vertAlign w:val="superscript"/>
        </w:rPr>
        <w:t>177</w:t>
      </w:r>
      <w:r>
        <w:t>Lu</w:t>
      </w:r>
      <w:r w:rsidR="003D6A82">
        <w:t> </w:t>
      </w:r>
      <w:r>
        <w:t>PSMA</w:t>
      </w:r>
      <w:r w:rsidR="00006E41">
        <w:t> </w:t>
      </w:r>
      <w:proofErr w:type="spellStart"/>
      <w:r>
        <w:t>i&amp;t</w:t>
      </w:r>
      <w:proofErr w:type="spellEnd"/>
      <w:r>
        <w:t xml:space="preserve"> provided in the application consisted of two randomised trials that used </w:t>
      </w:r>
      <w:r w:rsidRPr="00F3651D">
        <w:t xml:space="preserve">the </w:t>
      </w:r>
      <w:r>
        <w:t xml:space="preserve">product </w:t>
      </w:r>
      <w:r>
        <w:rPr>
          <w:vertAlign w:val="superscript"/>
        </w:rPr>
        <w:t>177</w:t>
      </w:r>
      <w:r>
        <w:t>Lu</w:t>
      </w:r>
      <w:r w:rsidR="003D6A82">
        <w:t> </w:t>
      </w:r>
      <w:r>
        <w:t>PSMA</w:t>
      </w:r>
      <w:r w:rsidR="00450E52">
        <w:noBreakHyphen/>
      </w:r>
      <w:r>
        <w:t xml:space="preserve">617. MSAC noted that </w:t>
      </w:r>
      <w:r>
        <w:rPr>
          <w:vertAlign w:val="superscript"/>
        </w:rPr>
        <w:t>177</w:t>
      </w:r>
      <w:r>
        <w:t>Lu</w:t>
      </w:r>
      <w:r w:rsidR="003D6A82">
        <w:t> </w:t>
      </w:r>
      <w:r>
        <w:t>PSMA</w:t>
      </w:r>
      <w:r w:rsidR="00006E41">
        <w:t> </w:t>
      </w:r>
      <w:proofErr w:type="spellStart"/>
      <w:r>
        <w:t>i&amp;t</w:t>
      </w:r>
      <w:proofErr w:type="spellEnd"/>
      <w:r>
        <w:t xml:space="preserve"> and </w:t>
      </w:r>
      <w:r>
        <w:rPr>
          <w:vertAlign w:val="superscript"/>
        </w:rPr>
        <w:t>177</w:t>
      </w:r>
      <w:r>
        <w:t>Lu</w:t>
      </w:r>
      <w:r w:rsidR="003D6A82">
        <w:t> </w:t>
      </w:r>
      <w:r>
        <w:t>PSMA-617 have related, but not identical, structures, with the difference</w:t>
      </w:r>
      <w:r w:rsidR="007D5A69">
        <w:t>s</w:t>
      </w:r>
      <w:r>
        <w:t xml:space="preserve"> being the</w:t>
      </w:r>
      <w:r w:rsidR="007D5A69">
        <w:t>ir</w:t>
      </w:r>
      <w:r>
        <w:t xml:space="preserve"> chelator</w:t>
      </w:r>
      <w:r w:rsidR="007D5A69">
        <w:t>s and linking portions</w:t>
      </w:r>
      <w:r>
        <w:t xml:space="preserve">. </w:t>
      </w:r>
      <w:r>
        <w:rPr>
          <w:vertAlign w:val="superscript"/>
        </w:rPr>
        <w:t>177</w:t>
      </w:r>
      <w:r>
        <w:t>Lu</w:t>
      </w:r>
      <w:r w:rsidR="003D6A82">
        <w:t> </w:t>
      </w:r>
      <w:r>
        <w:t>PSMA</w:t>
      </w:r>
      <w:r w:rsidR="00006E41">
        <w:t> </w:t>
      </w:r>
      <w:proofErr w:type="spellStart"/>
      <w:r>
        <w:t>i&amp;t</w:t>
      </w:r>
      <w:proofErr w:type="spellEnd"/>
      <w:r>
        <w:t xml:space="preserve"> and </w:t>
      </w:r>
      <w:r>
        <w:rPr>
          <w:vertAlign w:val="superscript"/>
        </w:rPr>
        <w:t>177</w:t>
      </w:r>
      <w:r>
        <w:t>Lu</w:t>
      </w:r>
      <w:r w:rsidR="003D6A82">
        <w:t> </w:t>
      </w:r>
      <w:r>
        <w:t>PSMA-617 have been shown to have high specific PSMA receptor binding in mice, with similar IC</w:t>
      </w:r>
      <w:r w:rsidRPr="00D97BA6">
        <w:rPr>
          <w:vertAlign w:val="subscript"/>
        </w:rPr>
        <w:t>50</w:t>
      </w:r>
      <w:r>
        <w:t xml:space="preserve"> values, </w:t>
      </w:r>
      <w:r w:rsidR="00D97BA6">
        <w:t>similar</w:t>
      </w:r>
      <w:r>
        <w:t xml:space="preserve"> tumour uptake, and </w:t>
      </w:r>
      <w:r w:rsidR="00D97BA6">
        <w:t xml:space="preserve">some features suggesting </w:t>
      </w:r>
      <w:r>
        <w:t xml:space="preserve">slightly less uptake </w:t>
      </w:r>
      <w:r w:rsidR="00D97BA6">
        <w:t xml:space="preserve">of </w:t>
      </w:r>
      <w:r w:rsidR="00D97BA6">
        <w:rPr>
          <w:vertAlign w:val="superscript"/>
        </w:rPr>
        <w:t>177</w:t>
      </w:r>
      <w:r w:rsidR="00D97BA6">
        <w:t xml:space="preserve">Lu PSMA-617 </w:t>
      </w:r>
      <w:r>
        <w:t>in kidneys and salivary glands.</w:t>
      </w:r>
      <w:r>
        <w:rPr>
          <w:rStyle w:val="FootnoteReference"/>
        </w:rPr>
        <w:footnoteReference w:id="2"/>
      </w:r>
      <w:r>
        <w:t xml:space="preserve"> MSAC noted </w:t>
      </w:r>
      <w:r w:rsidR="005C3B2D">
        <w:t xml:space="preserve">the results of a tissue kinetics and radiation dose study involving </w:t>
      </w:r>
      <w:r>
        <w:t xml:space="preserve">empirical testing </w:t>
      </w:r>
      <w:r w:rsidR="005C3B2D">
        <w:t xml:space="preserve">of </w:t>
      </w:r>
      <w:r>
        <w:t>the difference</w:t>
      </w:r>
      <w:r w:rsidR="005C3B2D">
        <w:t>s</w:t>
      </w:r>
      <w:r>
        <w:t xml:space="preserve"> between </w:t>
      </w:r>
      <w:r w:rsidRPr="00703F3F">
        <w:rPr>
          <w:vertAlign w:val="superscript"/>
        </w:rPr>
        <w:t>177</w:t>
      </w:r>
      <w:r w:rsidRPr="003D6A82">
        <w:t>Lu</w:t>
      </w:r>
      <w:r w:rsidR="00703F3F">
        <w:t> </w:t>
      </w:r>
      <w:r w:rsidRPr="003D6A82">
        <w:t>PSMA</w:t>
      </w:r>
      <w:r w:rsidR="00006E41">
        <w:t> </w:t>
      </w:r>
      <w:proofErr w:type="spellStart"/>
      <w:r>
        <w:t>i&amp;t</w:t>
      </w:r>
      <w:proofErr w:type="spellEnd"/>
      <w:r>
        <w:t xml:space="preserve"> and </w:t>
      </w:r>
      <w:r>
        <w:rPr>
          <w:vertAlign w:val="superscript"/>
        </w:rPr>
        <w:t>177</w:t>
      </w:r>
      <w:r>
        <w:t>Lu</w:t>
      </w:r>
      <w:r w:rsidR="003D6A82">
        <w:t> </w:t>
      </w:r>
      <w:r>
        <w:t xml:space="preserve">PSMA-617 </w:t>
      </w:r>
      <w:r w:rsidR="005C3B2D">
        <w:t>in a direct comparison in 138 patients. MSAC considered that</w:t>
      </w:r>
      <w:r>
        <w:t xml:space="preserve"> the radiation doses delivered to tumours and normal tissues were similar</w:t>
      </w:r>
      <w:r w:rsidR="005C3B2D">
        <w:t>,</w:t>
      </w:r>
      <w:r w:rsidR="001A32D7">
        <w:t xml:space="preserve"> MSAC noted the results of a safety and response study </w:t>
      </w:r>
      <w:r w:rsidR="001A32D7">
        <w:lastRenderedPageBreak/>
        <w:t xml:space="preserve">involving in a matched pair analysis of 110 patients (55 for </w:t>
      </w:r>
      <w:r w:rsidR="001A32D7" w:rsidRPr="00703F3F">
        <w:rPr>
          <w:vertAlign w:val="superscript"/>
        </w:rPr>
        <w:t>177</w:t>
      </w:r>
      <w:r w:rsidR="001A32D7" w:rsidRPr="003D6A82">
        <w:t>Lu</w:t>
      </w:r>
      <w:r w:rsidR="001A32D7">
        <w:t> </w:t>
      </w:r>
      <w:r w:rsidR="001A32D7" w:rsidRPr="003D6A82">
        <w:t>PSMA</w:t>
      </w:r>
      <w:r w:rsidR="001A32D7">
        <w:t> </w:t>
      </w:r>
      <w:proofErr w:type="spellStart"/>
      <w:r w:rsidR="001A32D7">
        <w:t>i&amp;t</w:t>
      </w:r>
      <w:proofErr w:type="spellEnd"/>
      <w:r w:rsidR="001A32D7">
        <w:t xml:space="preserve"> and </w:t>
      </w:r>
      <w:r w:rsidR="001A32D7">
        <w:rPr>
          <w:vertAlign w:val="superscript"/>
        </w:rPr>
        <w:t>177</w:t>
      </w:r>
      <w:r w:rsidR="001A32D7">
        <w:t>Lu PSMA-617, respectively). MSAC considered that</w:t>
      </w:r>
      <w:r>
        <w:t xml:space="preserve"> the rate of clinically relevant toxicities </w:t>
      </w:r>
      <w:r w:rsidR="005C3B2D">
        <w:t>was</w:t>
      </w:r>
      <w:r>
        <w:t xml:space="preserve"> low for both compounds, and </w:t>
      </w:r>
      <w:r w:rsidR="001A32D7">
        <w:t xml:space="preserve">there were </w:t>
      </w:r>
      <w:r>
        <w:t xml:space="preserve">no relevant differences for overall survival (OS). </w:t>
      </w:r>
      <w:r w:rsidR="0010789C">
        <w:t>Moreover, based on the</w:t>
      </w:r>
      <w:r>
        <w:t xml:space="preserve"> results from five studies provided in the ADAR and an additional </w:t>
      </w:r>
      <w:r w:rsidR="00703F3F">
        <w:t xml:space="preserve">study </w:t>
      </w:r>
      <w:r>
        <w:t xml:space="preserve">added by the commentary, MSAC considered </w:t>
      </w:r>
      <w:r>
        <w:rPr>
          <w:vertAlign w:val="superscript"/>
        </w:rPr>
        <w:t>177</w:t>
      </w:r>
      <w:r>
        <w:t>Lu</w:t>
      </w:r>
      <w:r w:rsidR="003D6A82">
        <w:t> </w:t>
      </w:r>
      <w:r>
        <w:t>PSMA</w:t>
      </w:r>
      <w:r w:rsidR="00006E41">
        <w:t> </w:t>
      </w:r>
      <w:proofErr w:type="spellStart"/>
      <w:r>
        <w:t>i&amp;t</w:t>
      </w:r>
      <w:proofErr w:type="spellEnd"/>
      <w:r>
        <w:t xml:space="preserve"> and </w:t>
      </w:r>
      <w:r>
        <w:rPr>
          <w:vertAlign w:val="superscript"/>
        </w:rPr>
        <w:t>177</w:t>
      </w:r>
      <w:r>
        <w:t>Lu</w:t>
      </w:r>
      <w:r w:rsidR="003D6A82">
        <w:t> </w:t>
      </w:r>
      <w:r>
        <w:t>PSMA</w:t>
      </w:r>
      <w:r w:rsidR="00450E52">
        <w:noBreakHyphen/>
      </w:r>
      <w:r>
        <w:t xml:space="preserve">617 to be </w:t>
      </w:r>
      <w:proofErr w:type="spellStart"/>
      <w:r>
        <w:t>radioequivalent</w:t>
      </w:r>
      <w:proofErr w:type="spellEnd"/>
      <w:r>
        <w:t>, having similar efficacy, biodistribution and safety.</w:t>
      </w:r>
      <w:r w:rsidR="00006E41">
        <w:t xml:space="preserve"> </w:t>
      </w:r>
      <w:r w:rsidR="00222351">
        <w:t>Thus</w:t>
      </w:r>
      <w:r w:rsidR="00006E41">
        <w:t xml:space="preserve">, </w:t>
      </w:r>
      <w:r w:rsidR="00006E41">
        <w:rPr>
          <w:szCs w:val="24"/>
        </w:rPr>
        <w:t xml:space="preserve">MSAC concluded from the evidence available that these two products are mutually noninferior </w:t>
      </w:r>
      <w:r w:rsidR="000531D0">
        <w:rPr>
          <w:szCs w:val="24"/>
        </w:rPr>
        <w:t xml:space="preserve">for patient outcomes </w:t>
      </w:r>
      <w:r w:rsidR="00006E41">
        <w:rPr>
          <w:szCs w:val="24"/>
        </w:rPr>
        <w:t xml:space="preserve">and thus considered the evidence for </w:t>
      </w:r>
      <w:r w:rsidR="00006E41">
        <w:rPr>
          <w:szCs w:val="24"/>
          <w:vertAlign w:val="superscript"/>
        </w:rPr>
        <w:t>177</w:t>
      </w:r>
      <w:r w:rsidR="00006E41">
        <w:rPr>
          <w:szCs w:val="24"/>
        </w:rPr>
        <w:t xml:space="preserve">Lu PSMA-617 to be relevant for </w:t>
      </w:r>
      <w:bookmarkStart w:id="3" w:name="_Hlk113815563"/>
      <w:r w:rsidR="00006E41">
        <w:rPr>
          <w:szCs w:val="24"/>
          <w:vertAlign w:val="superscript"/>
        </w:rPr>
        <w:t>177</w:t>
      </w:r>
      <w:r w:rsidR="00006E41">
        <w:rPr>
          <w:szCs w:val="24"/>
        </w:rPr>
        <w:t>Lu PSMA </w:t>
      </w:r>
      <w:proofErr w:type="spellStart"/>
      <w:r w:rsidR="00006E41">
        <w:rPr>
          <w:szCs w:val="24"/>
        </w:rPr>
        <w:t>i&amp;t</w:t>
      </w:r>
      <w:proofErr w:type="spellEnd"/>
      <w:r w:rsidR="007F0D36">
        <w:rPr>
          <w:szCs w:val="24"/>
        </w:rPr>
        <w:t xml:space="preserve"> </w:t>
      </w:r>
      <w:bookmarkEnd w:id="3"/>
      <w:r w:rsidR="007F0D36">
        <w:rPr>
          <w:rFonts w:eastAsia="Calibri" w:cs="Times New Roman"/>
        </w:rPr>
        <w:t>which was required for</w:t>
      </w:r>
      <w:r w:rsidR="007F0D36" w:rsidRPr="004F7939">
        <w:rPr>
          <w:rFonts w:eastAsia="Calibri" w:cs="Times New Roman"/>
        </w:rPr>
        <w:t xml:space="preserve"> </w:t>
      </w:r>
      <w:r w:rsidR="00F74398">
        <w:rPr>
          <w:rFonts w:eastAsia="Calibri" w:cs="Times New Roman"/>
        </w:rPr>
        <w:t xml:space="preserve">its </w:t>
      </w:r>
      <w:r w:rsidR="007F0D36" w:rsidRPr="004F7939">
        <w:rPr>
          <w:rFonts w:eastAsia="Calibri" w:cs="Times New Roman"/>
        </w:rPr>
        <w:t xml:space="preserve">subsequent acceptance of the results of the </w:t>
      </w:r>
      <w:r w:rsidR="00D97BA6">
        <w:rPr>
          <w:rFonts w:eastAsia="Calibri" w:cs="Times New Roman"/>
        </w:rPr>
        <w:t xml:space="preserve">clinical evaluation and the </w:t>
      </w:r>
      <w:r w:rsidR="00F74398">
        <w:rPr>
          <w:rFonts w:eastAsia="Calibri" w:cs="Times New Roman"/>
        </w:rPr>
        <w:t xml:space="preserve">clinical aspects of the </w:t>
      </w:r>
      <w:r w:rsidR="007F0D36" w:rsidRPr="004F7939">
        <w:rPr>
          <w:rFonts w:eastAsia="Calibri" w:cs="Times New Roman"/>
        </w:rPr>
        <w:t>modelled economic evaluation</w:t>
      </w:r>
      <w:r w:rsidR="00F74398">
        <w:rPr>
          <w:rFonts w:eastAsia="Calibri" w:cs="Times New Roman"/>
        </w:rPr>
        <w:t xml:space="preserve"> across</w:t>
      </w:r>
      <w:r w:rsidR="00DC52F2">
        <w:rPr>
          <w:rFonts w:eastAsia="Calibri" w:cs="Times New Roman"/>
        </w:rPr>
        <w:t xml:space="preserve"> these two</w:t>
      </w:r>
      <w:r w:rsidR="00F74398">
        <w:rPr>
          <w:rFonts w:eastAsia="Calibri" w:cs="Times New Roman"/>
        </w:rPr>
        <w:t xml:space="preserve"> </w:t>
      </w:r>
      <w:r w:rsidR="00F74398" w:rsidRPr="00D97BA6">
        <w:rPr>
          <w:rFonts w:eastAsia="Calibri" w:cs="Times New Roman"/>
          <w:vertAlign w:val="superscript"/>
        </w:rPr>
        <w:t>177</w:t>
      </w:r>
      <w:r w:rsidR="00F74398">
        <w:rPr>
          <w:rFonts w:eastAsia="Calibri" w:cs="Times New Roman"/>
        </w:rPr>
        <w:t>Lu PSMA</w:t>
      </w:r>
      <w:r w:rsidR="00F74398" w:rsidRPr="004F7939">
        <w:rPr>
          <w:rFonts w:eastAsia="Calibri" w:cs="Times New Roman"/>
        </w:rPr>
        <w:t xml:space="preserve"> products</w:t>
      </w:r>
      <w:r w:rsidR="007F0D36">
        <w:rPr>
          <w:rFonts w:eastAsia="Calibri" w:cs="Times New Roman"/>
        </w:rPr>
        <w:t>.</w:t>
      </w:r>
      <w:r w:rsidR="00DC52F2">
        <w:rPr>
          <w:rFonts w:eastAsia="Calibri" w:cs="Times New Roman"/>
        </w:rPr>
        <w:t xml:space="preserve"> </w:t>
      </w:r>
      <w:proofErr w:type="gramStart"/>
      <w:r w:rsidR="00DC52F2">
        <w:rPr>
          <w:rFonts w:eastAsia="Calibri" w:cs="Times New Roman"/>
        </w:rPr>
        <w:t>However</w:t>
      </w:r>
      <w:proofErr w:type="gramEnd"/>
      <w:r w:rsidR="00DC52F2">
        <w:rPr>
          <w:rFonts w:eastAsia="Calibri" w:cs="Times New Roman"/>
        </w:rPr>
        <w:t xml:space="preserve"> MSAC was not prepared to generalise this conclusion to include other </w:t>
      </w:r>
      <w:r w:rsidR="00DC52F2" w:rsidRPr="00D97BA6">
        <w:rPr>
          <w:rFonts w:eastAsia="Calibri" w:cs="Times New Roman"/>
          <w:vertAlign w:val="superscript"/>
        </w:rPr>
        <w:t>177</w:t>
      </w:r>
      <w:r w:rsidR="00DC52F2">
        <w:rPr>
          <w:rFonts w:eastAsia="Calibri" w:cs="Times New Roman"/>
        </w:rPr>
        <w:t>Lu PSMA</w:t>
      </w:r>
      <w:r w:rsidR="00DC52F2" w:rsidRPr="004F7939">
        <w:rPr>
          <w:rFonts w:eastAsia="Calibri" w:cs="Times New Roman"/>
        </w:rPr>
        <w:t xml:space="preserve"> products</w:t>
      </w:r>
      <w:r w:rsidR="00E00C09">
        <w:rPr>
          <w:rFonts w:eastAsia="Calibri" w:cs="Times New Roman"/>
        </w:rPr>
        <w:t xml:space="preserve">. Instead MSAC </w:t>
      </w:r>
      <w:r w:rsidR="00E00C09">
        <w:t xml:space="preserve">considered it </w:t>
      </w:r>
      <w:r w:rsidR="002D76D8">
        <w:t>necessary</w:t>
      </w:r>
      <w:r w:rsidR="00E00C09">
        <w:t xml:space="preserve"> for an MBS item descriptor </w:t>
      </w:r>
      <w:r w:rsidR="00E00C09">
        <w:rPr>
          <w:rFonts w:eastAsia="Calibri" w:cs="Times New Roman"/>
        </w:rPr>
        <w:t>to appropriately define</w:t>
      </w:r>
      <w:r w:rsidR="00E00C09">
        <w:t xml:space="preserve"> the </w:t>
      </w:r>
      <w:r w:rsidR="00E00C09" w:rsidRPr="00D806CE">
        <w:rPr>
          <w:iCs/>
          <w:vertAlign w:val="superscript"/>
        </w:rPr>
        <w:t>177</w:t>
      </w:r>
      <w:r w:rsidR="00E00C09">
        <w:rPr>
          <w:iCs/>
        </w:rPr>
        <w:t>Lu PSMA therapy (if subsequently supported)</w:t>
      </w:r>
      <w:r w:rsidR="00DC52F2">
        <w:rPr>
          <w:rFonts w:eastAsia="Calibri" w:cs="Times New Roman"/>
        </w:rPr>
        <w:t>.</w:t>
      </w:r>
      <w:r w:rsidR="00866608">
        <w:rPr>
          <w:rFonts w:eastAsia="Calibri" w:cs="Times New Roman"/>
        </w:rPr>
        <w:t xml:space="preserve"> Throughout th</w:t>
      </w:r>
      <w:r w:rsidR="002D76D8">
        <w:rPr>
          <w:rFonts w:eastAsia="Calibri" w:cs="Times New Roman"/>
        </w:rPr>
        <w:t>is</w:t>
      </w:r>
      <w:r w:rsidR="00866608">
        <w:rPr>
          <w:rFonts w:eastAsia="Calibri" w:cs="Times New Roman"/>
        </w:rPr>
        <w:t xml:space="preserve"> document</w:t>
      </w:r>
      <w:r w:rsidR="002D76D8">
        <w:rPr>
          <w:rFonts w:eastAsia="Calibri" w:cs="Times New Roman"/>
        </w:rPr>
        <w:t>,</w:t>
      </w:r>
      <w:r w:rsidR="00866608">
        <w:rPr>
          <w:rFonts w:eastAsia="Calibri" w:cs="Times New Roman"/>
        </w:rPr>
        <w:t xml:space="preserve"> MSAC </w:t>
      </w:r>
      <w:r w:rsidR="002D76D8">
        <w:rPr>
          <w:rFonts w:eastAsia="Calibri" w:cs="Times New Roman"/>
        </w:rPr>
        <w:t xml:space="preserve">has therefore </w:t>
      </w:r>
      <w:r w:rsidR="00866608">
        <w:rPr>
          <w:rFonts w:eastAsia="Calibri" w:cs="Times New Roman"/>
        </w:rPr>
        <w:t>referr</w:t>
      </w:r>
      <w:r w:rsidR="002D76D8">
        <w:rPr>
          <w:rFonts w:eastAsia="Calibri" w:cs="Times New Roman"/>
        </w:rPr>
        <w:t>ed</w:t>
      </w:r>
      <w:r w:rsidR="00866608">
        <w:rPr>
          <w:rFonts w:eastAsia="Calibri" w:cs="Times New Roman"/>
        </w:rPr>
        <w:t xml:space="preserve"> to specific </w:t>
      </w:r>
      <w:r w:rsidR="00866608" w:rsidRPr="002D76D8">
        <w:rPr>
          <w:rFonts w:eastAsia="Calibri" w:cs="Times New Roman"/>
          <w:vertAlign w:val="superscript"/>
        </w:rPr>
        <w:t>177</w:t>
      </w:r>
      <w:r w:rsidR="00866608" w:rsidRPr="002D76D8">
        <w:rPr>
          <w:rFonts w:eastAsia="Calibri" w:cs="Times New Roman"/>
        </w:rPr>
        <w:t>Lu</w:t>
      </w:r>
      <w:r w:rsidR="002D76D8">
        <w:rPr>
          <w:rFonts w:eastAsia="Calibri" w:cs="Times New Roman"/>
        </w:rPr>
        <w:t> </w:t>
      </w:r>
      <w:r w:rsidR="00866608" w:rsidRPr="002D76D8">
        <w:rPr>
          <w:rFonts w:eastAsia="Calibri" w:cs="Times New Roman"/>
        </w:rPr>
        <w:t>PSMA</w:t>
      </w:r>
      <w:r w:rsidR="00866608">
        <w:rPr>
          <w:rFonts w:eastAsia="Calibri" w:cs="Times New Roman"/>
        </w:rPr>
        <w:t xml:space="preserve"> products, either </w:t>
      </w:r>
      <w:r w:rsidR="00866608">
        <w:rPr>
          <w:szCs w:val="24"/>
          <w:vertAlign w:val="superscript"/>
        </w:rPr>
        <w:t>177</w:t>
      </w:r>
      <w:r w:rsidR="00866608">
        <w:rPr>
          <w:szCs w:val="24"/>
        </w:rPr>
        <w:t>Lu PSMA </w:t>
      </w:r>
      <w:proofErr w:type="spellStart"/>
      <w:r w:rsidR="00866608">
        <w:rPr>
          <w:szCs w:val="24"/>
        </w:rPr>
        <w:t>i&amp;t</w:t>
      </w:r>
      <w:proofErr w:type="spellEnd"/>
      <w:r w:rsidR="00866608">
        <w:rPr>
          <w:szCs w:val="24"/>
        </w:rPr>
        <w:t xml:space="preserve"> or </w:t>
      </w:r>
      <w:r w:rsidR="00866608">
        <w:rPr>
          <w:szCs w:val="24"/>
          <w:vertAlign w:val="superscript"/>
        </w:rPr>
        <w:t>177</w:t>
      </w:r>
      <w:r w:rsidR="00866608">
        <w:rPr>
          <w:szCs w:val="24"/>
        </w:rPr>
        <w:t>Lu PSMA-617.</w:t>
      </w:r>
    </w:p>
    <w:p w14:paraId="4A9B3DED" w14:textId="56C4E6D9" w:rsidR="000915A7" w:rsidRDefault="000915A7" w:rsidP="000915A7">
      <w:r>
        <w:t xml:space="preserve">MSAC noted from the ADAR that </w:t>
      </w:r>
      <w:r>
        <w:rPr>
          <w:vertAlign w:val="superscript"/>
        </w:rPr>
        <w:t>177</w:t>
      </w:r>
      <w:r>
        <w:t>Lu PSMA</w:t>
      </w:r>
      <w:r w:rsidR="00A521C1">
        <w:t> </w:t>
      </w:r>
      <w:proofErr w:type="spellStart"/>
      <w:r>
        <w:t>i&amp;t</w:t>
      </w:r>
      <w:proofErr w:type="spellEnd"/>
      <w:r>
        <w:t xml:space="preserve"> is currently produced under Good Laboratory Practice (GLP), not Good Manufacturing Practice (GMP). MSAC noted that in Australia, radiopharmaceuticals can be produced onsite for use in nuclear medicine facilities in hospitals under a TGA exemption</w:t>
      </w:r>
      <w:r w:rsidRPr="006D4858">
        <w:t>.</w:t>
      </w:r>
      <w:r>
        <w:t xml:space="preserve"> </w:t>
      </w:r>
      <w:r w:rsidRPr="000718B3">
        <w:t>MSAC noted that it was unclear when</w:t>
      </w:r>
      <w:r w:rsidR="003D459E" w:rsidRPr="000718B3">
        <w:t xml:space="preserve"> or if</w:t>
      </w:r>
      <w:r w:rsidRPr="000718B3">
        <w:t xml:space="preserve"> the manufacturer of </w:t>
      </w:r>
      <w:r w:rsidRPr="000718B3">
        <w:rPr>
          <w:vertAlign w:val="superscript"/>
        </w:rPr>
        <w:t>177</w:t>
      </w:r>
      <w:r w:rsidRPr="000718B3">
        <w:t>Lu PSMA-617 might apply for approval or funding in Australia.</w:t>
      </w:r>
      <w:r w:rsidR="000531D0">
        <w:t xml:space="preserve"> MSAC noted the differences between GMP and GLP </w:t>
      </w:r>
      <w:proofErr w:type="gramStart"/>
      <w:r w:rsidR="000531D0">
        <w:t>standards, but</w:t>
      </w:r>
      <w:proofErr w:type="gramEnd"/>
      <w:r w:rsidR="000531D0">
        <w:t xml:space="preserve"> concluded that the available evidence did not suggest that </w:t>
      </w:r>
      <w:r w:rsidR="000531D0">
        <w:rPr>
          <w:vertAlign w:val="superscript"/>
        </w:rPr>
        <w:t>177</w:t>
      </w:r>
      <w:r w:rsidR="000531D0">
        <w:t>Lu PSMA</w:t>
      </w:r>
      <w:r w:rsidR="00A521C1">
        <w:t> </w:t>
      </w:r>
      <w:proofErr w:type="spellStart"/>
      <w:r w:rsidR="000531D0">
        <w:t>i&amp;t</w:t>
      </w:r>
      <w:proofErr w:type="spellEnd"/>
      <w:r w:rsidR="000531D0">
        <w:t xml:space="preserve"> produced under GLP would </w:t>
      </w:r>
      <w:r w:rsidR="004D2B36">
        <w:t xml:space="preserve">necessarily </w:t>
      </w:r>
      <w:r w:rsidR="000531D0">
        <w:t xml:space="preserve">be clinically inferior to </w:t>
      </w:r>
      <w:r w:rsidR="000531D0">
        <w:rPr>
          <w:vertAlign w:val="superscript"/>
        </w:rPr>
        <w:t>177</w:t>
      </w:r>
      <w:r w:rsidR="000531D0">
        <w:t>Lu PSMA</w:t>
      </w:r>
      <w:r w:rsidR="004D1CE9">
        <w:t>-617</w:t>
      </w:r>
      <w:r w:rsidR="000531D0">
        <w:t xml:space="preserve"> produced under GMP.</w:t>
      </w:r>
    </w:p>
    <w:p w14:paraId="3CA91F1C" w14:textId="59BB6F60" w:rsidR="00E92832" w:rsidRDefault="008C3CC4" w:rsidP="00E92832">
      <w:r>
        <w:t>MSAC noted that e</w:t>
      </w:r>
      <w:r w:rsidR="00E92832">
        <w:t>ligibility for the VISION trial was set at uptake greater than liver activity</w:t>
      </w:r>
      <w:r w:rsidR="00560546">
        <w:t xml:space="preserve"> </w:t>
      </w:r>
      <w:r w:rsidR="0081659D">
        <w:t>(</w:t>
      </w:r>
      <w:r w:rsidR="00B9643D">
        <w:t xml:space="preserve">a threshold </w:t>
      </w:r>
      <w:r w:rsidR="00560546">
        <w:t xml:space="preserve">which </w:t>
      </w:r>
      <w:r w:rsidR="00797C2B">
        <w:t xml:space="preserve">the submission </w:t>
      </w:r>
      <w:r w:rsidR="00560546">
        <w:t xml:space="preserve">considered to be </w:t>
      </w:r>
      <w:r w:rsidR="00797C2B">
        <w:t xml:space="preserve">typically </w:t>
      </w:r>
      <w:r w:rsidR="00C67C6B">
        <w:t xml:space="preserve">an </w:t>
      </w:r>
      <w:proofErr w:type="spellStart"/>
      <w:r w:rsidR="00560546">
        <w:t>SUV</w:t>
      </w:r>
      <w:r w:rsidR="00560546" w:rsidRPr="00AF7A5B">
        <w:rPr>
          <w:vertAlign w:val="subscript"/>
        </w:rPr>
        <w:t>max</w:t>
      </w:r>
      <w:proofErr w:type="spellEnd"/>
      <w:r w:rsidR="00560546">
        <w:t xml:space="preserve"> of 5</w:t>
      </w:r>
      <w:r w:rsidR="00797C2B">
        <w:t>,</w:t>
      </w:r>
      <w:r w:rsidR="00006E41">
        <w:t xml:space="preserve"> however, </w:t>
      </w:r>
      <w:r w:rsidR="00797C2B">
        <w:t xml:space="preserve">MSAC considered </w:t>
      </w:r>
      <w:r w:rsidR="00E92832">
        <w:t xml:space="preserve">this </w:t>
      </w:r>
      <w:r w:rsidR="00797C2B">
        <w:t xml:space="preserve">to be </w:t>
      </w:r>
      <w:r w:rsidR="00E92832">
        <w:t xml:space="preserve">approximate, and may be </w:t>
      </w:r>
      <w:r w:rsidR="00797C2B">
        <w:t xml:space="preserve">vary across patients </w:t>
      </w:r>
      <w:r w:rsidR="00E92832">
        <w:t>in the range of 2–7</w:t>
      </w:r>
      <w:r w:rsidR="00797C2B">
        <w:t>)</w:t>
      </w:r>
      <w:r w:rsidR="00D97BA6">
        <w:t>. The VISION trial</w:t>
      </w:r>
      <w:r w:rsidR="00E92832">
        <w:t xml:space="preserve"> did not use </w:t>
      </w:r>
      <w:r w:rsidR="00797C2B">
        <w:t xml:space="preserve">post-therapy </w:t>
      </w:r>
      <w:r w:rsidR="00E92832">
        <w:t>SPECT/CT (but did have eight-weekly diagnostic CT plus bone scan</w:t>
      </w:r>
      <w:r w:rsidR="00797C2B">
        <w:t>s</w:t>
      </w:r>
      <w:r w:rsidR="00E92832">
        <w:t xml:space="preserve"> for 24 weeks, then 12</w:t>
      </w:r>
      <w:r w:rsidR="00797C2B">
        <w:t>-</w:t>
      </w:r>
      <w:r w:rsidR="00E92832">
        <w:t xml:space="preserve">weekly </w:t>
      </w:r>
      <w:r w:rsidR="00797C2B">
        <w:t xml:space="preserve">up </w:t>
      </w:r>
      <w:r w:rsidR="00E92832">
        <w:t xml:space="preserve">to two years to assess progression), and the control arm was </w:t>
      </w:r>
      <w:r w:rsidR="008F4D84">
        <w:t>best supportive care</w:t>
      </w:r>
      <w:r w:rsidR="00E92832">
        <w:t xml:space="preserve">. Eligibility for the </w:t>
      </w:r>
      <w:proofErr w:type="spellStart"/>
      <w:r w:rsidR="00E92832">
        <w:t>TheraP</w:t>
      </w:r>
      <w:proofErr w:type="spellEnd"/>
      <w:r w:rsidR="00E92832">
        <w:t xml:space="preserve"> trial was set at </w:t>
      </w:r>
      <w:proofErr w:type="spellStart"/>
      <w:r w:rsidR="00E92832">
        <w:t>SUV</w:t>
      </w:r>
      <w:r w:rsidR="00E92832">
        <w:rPr>
          <w:vertAlign w:val="subscript"/>
        </w:rPr>
        <w:t>max</w:t>
      </w:r>
      <w:proofErr w:type="spellEnd"/>
      <w:r w:rsidR="00E92832">
        <w:t xml:space="preserve"> ≥20 at disease site and &gt;10 at all measurable sites, used post-therapy SPECT/CT, and the control arm was </w:t>
      </w:r>
      <w:proofErr w:type="spellStart"/>
      <w:r w:rsidR="00E92832">
        <w:t>cabazitaxel</w:t>
      </w:r>
      <w:proofErr w:type="spellEnd"/>
      <w:r w:rsidR="00E92832">
        <w:t>.</w:t>
      </w:r>
    </w:p>
    <w:p w14:paraId="3F1B3E87" w14:textId="6921D4E4" w:rsidR="00E92832" w:rsidRDefault="00E92832" w:rsidP="00E92832">
      <w:r>
        <w:t xml:space="preserve">Noting the differences in </w:t>
      </w:r>
      <w:proofErr w:type="spellStart"/>
      <w:r>
        <w:t>SUV</w:t>
      </w:r>
      <w:r>
        <w:rPr>
          <w:vertAlign w:val="subscript"/>
        </w:rPr>
        <w:t>max</w:t>
      </w:r>
      <w:proofErr w:type="spellEnd"/>
      <w:r>
        <w:t xml:space="preserve"> thresholds used in the trials, MSAC queried whether the thresholds chosen in the application (&gt;15 at ≥1 disease site and &gt;10 at all measurable sites) </w:t>
      </w:r>
      <w:r w:rsidR="00A33B96">
        <w:t>we</w:t>
      </w:r>
      <w:r>
        <w:t xml:space="preserve">re appropriate. MSAC noted from the ADAR that PSMA PET/CT using a PSMA </w:t>
      </w:r>
      <w:proofErr w:type="spellStart"/>
      <w:r>
        <w:t>SUV</w:t>
      </w:r>
      <w:r>
        <w:rPr>
          <w:vertAlign w:val="subscript"/>
        </w:rPr>
        <w:t>max</w:t>
      </w:r>
      <w:proofErr w:type="spellEnd"/>
      <w:r>
        <w:t xml:space="preserve"> threshold of ≥15 results in at least similar effectiveness compared with an </w:t>
      </w:r>
      <w:proofErr w:type="spellStart"/>
      <w:r>
        <w:t>SUV</w:t>
      </w:r>
      <w:r>
        <w:rPr>
          <w:vertAlign w:val="subscript"/>
        </w:rPr>
        <w:t>max</w:t>
      </w:r>
      <w:proofErr w:type="spellEnd"/>
      <w:r>
        <w:t xml:space="preserve"> greater than liver activity. MSAC noted from a conference abstract presented at the </w:t>
      </w:r>
      <w:hyperlink r:id="rId11" w:history="1">
        <w:r>
          <w:rPr>
            <w:rStyle w:val="Hyperlink"/>
          </w:rPr>
          <w:t>2022 American Society of Clinical Oncology (ASCO) Annual Meeting</w:t>
        </w:r>
      </w:hyperlink>
      <w:r w:rsidR="00981110">
        <w:rPr>
          <w:rStyle w:val="FootnoteReference"/>
          <w:color w:val="0070C0"/>
          <w:u w:val="single"/>
        </w:rPr>
        <w:footnoteReference w:id="3"/>
      </w:r>
      <w:r>
        <w:t xml:space="preserve"> that an </w:t>
      </w:r>
      <w:proofErr w:type="spellStart"/>
      <w:r>
        <w:t>SUV</w:t>
      </w:r>
      <w:r>
        <w:rPr>
          <w:vertAlign w:val="subscript"/>
        </w:rPr>
        <w:t>mean</w:t>
      </w:r>
      <w:proofErr w:type="spellEnd"/>
      <w:r>
        <w:t xml:space="preserve"> of 10 (which is similar to an </w:t>
      </w:r>
      <w:proofErr w:type="spellStart"/>
      <w:r>
        <w:t>SUV</w:t>
      </w:r>
      <w:r>
        <w:rPr>
          <w:vertAlign w:val="subscript"/>
        </w:rPr>
        <w:t>max</w:t>
      </w:r>
      <w:proofErr w:type="spellEnd"/>
      <w:r>
        <w:t xml:space="preserve"> of 15) is highly predictive of patient response to therapy. MSAC also noted that there were no significant differences in reported health outcomes using different </w:t>
      </w:r>
      <w:proofErr w:type="spellStart"/>
      <w:r>
        <w:t>SUV</w:t>
      </w:r>
      <w:r>
        <w:rPr>
          <w:vertAlign w:val="subscript"/>
        </w:rPr>
        <w:t>max</w:t>
      </w:r>
      <w:proofErr w:type="spellEnd"/>
      <w:r>
        <w:t xml:space="preserve"> thresholds (based on naïve comparisons), and</w:t>
      </w:r>
      <w:r w:rsidR="008C3CC4">
        <w:t xml:space="preserve"> the ESC advice</w:t>
      </w:r>
      <w:r>
        <w:t xml:space="preserve"> that a higher and more restrictive </w:t>
      </w:r>
      <w:proofErr w:type="spellStart"/>
      <w:r>
        <w:t>SUV</w:t>
      </w:r>
      <w:r>
        <w:rPr>
          <w:vertAlign w:val="subscript"/>
        </w:rPr>
        <w:t>max</w:t>
      </w:r>
      <w:proofErr w:type="spellEnd"/>
      <w:r>
        <w:t xml:space="preserve"> threshold is a practical and safe approach when introducing a novel therapy. </w:t>
      </w:r>
      <w:r w:rsidR="008C3CC4">
        <w:t>Overall</w:t>
      </w:r>
      <w:r>
        <w:t xml:space="preserve">, </w:t>
      </w:r>
      <w:r w:rsidR="004017D3">
        <w:t xml:space="preserve">based on the available evidence, </w:t>
      </w:r>
      <w:r>
        <w:t xml:space="preserve">MSAC considered the proposed </w:t>
      </w:r>
      <w:proofErr w:type="spellStart"/>
      <w:r w:rsidR="004017D3">
        <w:t>SUV</w:t>
      </w:r>
      <w:r w:rsidR="004017D3">
        <w:rPr>
          <w:vertAlign w:val="subscript"/>
        </w:rPr>
        <w:t>max</w:t>
      </w:r>
      <w:proofErr w:type="spellEnd"/>
      <w:r w:rsidR="004017D3">
        <w:t xml:space="preserve"> </w:t>
      </w:r>
      <w:r>
        <w:t>thresholds in the application to be appropriate, noting that this c</w:t>
      </w:r>
      <w:r w:rsidR="00A33B96">
        <w:t>ould</w:t>
      </w:r>
      <w:r>
        <w:t xml:space="preserve"> be reviewed and adjusted </w:t>
      </w:r>
      <w:r w:rsidR="00E10F3F">
        <w:t xml:space="preserve">if higher certainty </w:t>
      </w:r>
      <w:r>
        <w:t xml:space="preserve">evidence </w:t>
      </w:r>
      <w:r w:rsidR="00E10F3F">
        <w:t xml:space="preserve">becomes </w:t>
      </w:r>
      <w:r>
        <w:t>available.</w:t>
      </w:r>
    </w:p>
    <w:p w14:paraId="2BC716ED" w14:textId="3D2DAC2F" w:rsidR="001B385A" w:rsidRDefault="001B385A" w:rsidP="001B385A">
      <w:r>
        <w:t xml:space="preserve">MSAC noted that the pre-MSAC response addressed ESC’s request to provide additional evidence supporting the use of SPECT/CT 24 hours after </w:t>
      </w:r>
      <w:r w:rsidRPr="00D806CE">
        <w:rPr>
          <w:iCs/>
          <w:vertAlign w:val="superscript"/>
        </w:rPr>
        <w:t>177</w:t>
      </w:r>
      <w:r>
        <w:rPr>
          <w:iCs/>
        </w:rPr>
        <w:t>Lu PSMA</w:t>
      </w:r>
      <w:r w:rsidR="004D1CE9">
        <w:rPr>
          <w:iCs/>
        </w:rPr>
        <w:t> </w:t>
      </w:r>
      <w:proofErr w:type="spellStart"/>
      <w:r w:rsidR="004D1CE9">
        <w:rPr>
          <w:iCs/>
        </w:rPr>
        <w:t>i&amp;t</w:t>
      </w:r>
      <w:proofErr w:type="spellEnd"/>
      <w:r>
        <w:t xml:space="preserve"> therapy. The applicant indicated that SPECT/CT is used to detect limited or exceptional response, so may be used to reduce futile </w:t>
      </w:r>
      <w:r>
        <w:lastRenderedPageBreak/>
        <w:t xml:space="preserve">or unnecessary treatment cycles. The applicant referred to the </w:t>
      </w:r>
      <w:proofErr w:type="spellStart"/>
      <w:r>
        <w:t>LuPIN</w:t>
      </w:r>
      <w:proofErr w:type="spellEnd"/>
      <w:r>
        <w:t xml:space="preserve"> trial that showed that SPECT imaging parameters correlated with patient outcomes such as PSA progression-free survival (PFS), while the Australian-based RE-SPECT trial demonstrated that SPECT/CT could be used to personalise treatment for </w:t>
      </w:r>
      <w:proofErr w:type="spellStart"/>
      <w:r>
        <w:t>mCRPC</w:t>
      </w:r>
      <w:proofErr w:type="spellEnd"/>
      <w:r>
        <w:t xml:space="preserve">, reducing the number of futile cycles without compromising patient outcomes. MSAC noted that SPECT/CT is currently being used in Australian clinical practice following </w:t>
      </w:r>
      <w:r>
        <w:rPr>
          <w:vertAlign w:val="superscript"/>
        </w:rPr>
        <w:t>177</w:t>
      </w:r>
      <w:r>
        <w:t>Lu PSMA</w:t>
      </w:r>
      <w:r w:rsidR="004D1CE9">
        <w:rPr>
          <w:iCs/>
        </w:rPr>
        <w:t> </w:t>
      </w:r>
      <w:proofErr w:type="spellStart"/>
      <w:r w:rsidR="004D1CE9">
        <w:rPr>
          <w:iCs/>
        </w:rPr>
        <w:t>i&amp;t</w:t>
      </w:r>
      <w:proofErr w:type="spellEnd"/>
      <w:r>
        <w:t xml:space="preserve"> therapy as a baseline for future comparisons, to implement treatment holidays in exceptional responders (which reduces futile radiation exposure and saves these doses, restricted to a maximum of six cycles, for later) and to consider therapy change if there has been significant disease progression. MSAC noted that SPECT/CT also enables radiation dosimetry of metastases and kidneys, which </w:t>
      </w:r>
      <w:r w:rsidR="0081659D">
        <w:t>facilitates</w:t>
      </w:r>
      <w:r w:rsidR="00CB5D0A">
        <w:t xml:space="preserve"> </w:t>
      </w:r>
      <w:r>
        <w:t xml:space="preserve">an adjustment of </w:t>
      </w:r>
      <w:r w:rsidR="0081659D">
        <w:t>administered activity if this is considered appropriate</w:t>
      </w:r>
      <w:r>
        <w:t xml:space="preserve">. Overall, MSAC considered it appropriate for an MBS item descriptor for the </w:t>
      </w:r>
      <w:r w:rsidRPr="00D806CE">
        <w:rPr>
          <w:iCs/>
          <w:vertAlign w:val="superscript"/>
        </w:rPr>
        <w:t>177</w:t>
      </w:r>
      <w:r>
        <w:rPr>
          <w:iCs/>
        </w:rPr>
        <w:t xml:space="preserve">Lu PSMA therapy (if </w:t>
      </w:r>
      <w:r w:rsidR="002D1CA3">
        <w:rPr>
          <w:iCs/>
        </w:rPr>
        <w:t xml:space="preserve">subsequently </w:t>
      </w:r>
      <w:r>
        <w:rPr>
          <w:iCs/>
        </w:rPr>
        <w:t>supported) to retain the proposed specification “followed 24 hours later by whole body Lu PSMA single-photon emission computed tomography (SPECT)”.</w:t>
      </w:r>
    </w:p>
    <w:p w14:paraId="133A9437" w14:textId="2819D3E1" w:rsidR="00E92832" w:rsidRDefault="00E92832" w:rsidP="00E92832">
      <w:r>
        <w:t xml:space="preserve">For comparative safety, MSAC noted </w:t>
      </w:r>
      <w:r w:rsidR="00A33B96">
        <w:t xml:space="preserve">from the trials </w:t>
      </w:r>
      <w:r>
        <w:t xml:space="preserve">that treatment with </w:t>
      </w:r>
      <w:r>
        <w:rPr>
          <w:vertAlign w:val="superscript"/>
        </w:rPr>
        <w:t>177</w:t>
      </w:r>
      <w:r>
        <w:t>Lu</w:t>
      </w:r>
      <w:r w:rsidR="003D6A82">
        <w:t> </w:t>
      </w:r>
      <w:r>
        <w:t>PSMA</w:t>
      </w:r>
      <w:r w:rsidR="004D1CE9">
        <w:t>-617</w:t>
      </w:r>
      <w:r w:rsidR="008C3CC4">
        <w:t xml:space="preserve"> </w:t>
      </w:r>
      <w:r>
        <w:t xml:space="preserve">was associated with a low incidence of adverse events (AEs) that led to dose reduction, </w:t>
      </w:r>
      <w:proofErr w:type="gramStart"/>
      <w:r>
        <w:t>interruption</w:t>
      </w:r>
      <w:proofErr w:type="gramEnd"/>
      <w:r>
        <w:t xml:space="preserve"> or discontinuation.</w:t>
      </w:r>
      <w:r w:rsidR="00D05BCB" w:rsidRPr="00D05BCB">
        <w:t xml:space="preserve"> </w:t>
      </w:r>
      <w:r w:rsidR="00D05BCB">
        <w:t xml:space="preserve">MSAC noted that there were no deaths attributed to study treatment in the </w:t>
      </w:r>
      <w:proofErr w:type="spellStart"/>
      <w:r w:rsidR="00D05BCB">
        <w:t>TheraP</w:t>
      </w:r>
      <w:proofErr w:type="spellEnd"/>
      <w:r w:rsidR="00D05BCB">
        <w:t xml:space="preserve"> trial. In the VISION trial, less than 0.1% of patients experienced a fatal AE that </w:t>
      </w:r>
      <w:proofErr w:type="gramStart"/>
      <w:r w:rsidR="00D05BCB">
        <w:t>was considered to be</w:t>
      </w:r>
      <w:proofErr w:type="gramEnd"/>
      <w:r w:rsidR="00D05BCB">
        <w:t xml:space="preserve"> related to </w:t>
      </w:r>
      <w:r w:rsidR="00D05BCB">
        <w:rPr>
          <w:vertAlign w:val="superscript"/>
        </w:rPr>
        <w:t>177</w:t>
      </w:r>
      <w:r w:rsidR="00D05BCB">
        <w:t>Lu PSMA</w:t>
      </w:r>
      <w:r w:rsidR="004D1CE9">
        <w:t>-617</w:t>
      </w:r>
      <w:r w:rsidR="00D05BCB">
        <w:t xml:space="preserve"> therapy.</w:t>
      </w:r>
      <w:r>
        <w:t xml:space="preserve"> MSAC </w:t>
      </w:r>
      <w:r w:rsidR="001E21DE">
        <w:t>considered</w:t>
      </w:r>
      <w:r>
        <w:t xml:space="preserve"> that </w:t>
      </w:r>
      <w:r>
        <w:rPr>
          <w:vertAlign w:val="superscript"/>
        </w:rPr>
        <w:t>177</w:t>
      </w:r>
      <w:r>
        <w:t>Lu</w:t>
      </w:r>
      <w:r w:rsidR="003D6A82">
        <w:t> </w:t>
      </w:r>
      <w:r>
        <w:t>PSMA</w:t>
      </w:r>
      <w:r w:rsidR="004D1CE9">
        <w:t xml:space="preserve">-617 (and thus </w:t>
      </w:r>
      <w:r w:rsidR="004D1CE9" w:rsidRPr="00D806CE">
        <w:rPr>
          <w:iCs/>
          <w:vertAlign w:val="superscript"/>
        </w:rPr>
        <w:t>177</w:t>
      </w:r>
      <w:r w:rsidR="004D1CE9">
        <w:rPr>
          <w:iCs/>
        </w:rPr>
        <w:t>Lu PSMA </w:t>
      </w:r>
      <w:proofErr w:type="spellStart"/>
      <w:r w:rsidR="004D1CE9">
        <w:rPr>
          <w:iCs/>
        </w:rPr>
        <w:t>i&amp;t</w:t>
      </w:r>
      <w:proofErr w:type="spellEnd"/>
      <w:r w:rsidR="004D1CE9">
        <w:rPr>
          <w:iCs/>
        </w:rPr>
        <w:t>)</w:t>
      </w:r>
      <w:r w:rsidR="008C3CC4">
        <w:t xml:space="preserve"> </w:t>
      </w:r>
      <w:r>
        <w:t xml:space="preserve">is inferior in safety compared with </w:t>
      </w:r>
      <w:r w:rsidR="002D76D8">
        <w:t>best supportive care</w:t>
      </w:r>
      <w:r>
        <w:t xml:space="preserve">, as there were more short-term AEs for </w:t>
      </w:r>
      <w:r w:rsidR="008C3CC4">
        <w:rPr>
          <w:vertAlign w:val="superscript"/>
        </w:rPr>
        <w:t>177</w:t>
      </w:r>
      <w:r>
        <w:t>Lu</w:t>
      </w:r>
      <w:r w:rsidR="003D6A82">
        <w:t> </w:t>
      </w:r>
      <w:r>
        <w:t>PSMA</w:t>
      </w:r>
      <w:r w:rsidR="004D1CE9">
        <w:t>-617</w:t>
      </w:r>
      <w:r w:rsidR="00D05BCB">
        <w:t xml:space="preserve"> in the </w:t>
      </w:r>
      <w:proofErr w:type="spellStart"/>
      <w:r w:rsidR="00D05BCB">
        <w:t>TheraP</w:t>
      </w:r>
      <w:proofErr w:type="spellEnd"/>
      <w:r w:rsidR="00D05BCB">
        <w:t xml:space="preserve"> trial</w:t>
      </w:r>
      <w:r>
        <w:t xml:space="preserve">. MSAC </w:t>
      </w:r>
      <w:r w:rsidR="00D05BCB">
        <w:t>considered that the different short-term side</w:t>
      </w:r>
      <w:r w:rsidR="00A33B96">
        <w:t>-</w:t>
      </w:r>
      <w:r w:rsidR="00D05BCB">
        <w:t xml:space="preserve">effect profiles of </w:t>
      </w:r>
      <w:r w:rsidR="00D05BCB">
        <w:rPr>
          <w:vertAlign w:val="superscript"/>
        </w:rPr>
        <w:t>177</w:t>
      </w:r>
      <w:r w:rsidR="00D05BCB">
        <w:t>Lu</w:t>
      </w:r>
      <w:r w:rsidR="00A521C1">
        <w:t> </w:t>
      </w:r>
      <w:r w:rsidR="00D05BCB">
        <w:t>PSMA</w:t>
      </w:r>
      <w:r w:rsidR="004D1CE9">
        <w:t>-617</w:t>
      </w:r>
      <w:r w:rsidR="00D05BCB">
        <w:t xml:space="preserve"> and </w:t>
      </w:r>
      <w:proofErr w:type="spellStart"/>
      <w:r w:rsidR="00D05BCB">
        <w:t>cabazitaxel</w:t>
      </w:r>
      <w:proofErr w:type="spellEnd"/>
      <w:r w:rsidR="00D05BCB">
        <w:t xml:space="preserve"> </w:t>
      </w:r>
      <w:r w:rsidR="00A33B96">
        <w:t>made</w:t>
      </w:r>
      <w:r w:rsidR="00D05BCB">
        <w:t xml:space="preserve"> direct comparison difficult (</w:t>
      </w:r>
      <w:proofErr w:type="gramStart"/>
      <w:r w:rsidR="00D05BCB">
        <w:t>e.g.</w:t>
      </w:r>
      <w:proofErr w:type="gramEnd"/>
      <w:r w:rsidR="00D05BCB">
        <w:t xml:space="preserve"> diarrhoea is worse with </w:t>
      </w:r>
      <w:proofErr w:type="spellStart"/>
      <w:r w:rsidR="00D05BCB">
        <w:t>cabazitaxel</w:t>
      </w:r>
      <w:proofErr w:type="spellEnd"/>
      <w:r w:rsidR="00D05BCB">
        <w:t>) but that</w:t>
      </w:r>
      <w:r>
        <w:t xml:space="preserve"> </w:t>
      </w:r>
      <w:r w:rsidR="00A36562">
        <w:t xml:space="preserve">the safety of </w:t>
      </w:r>
      <w:r>
        <w:rPr>
          <w:vertAlign w:val="superscript"/>
        </w:rPr>
        <w:t>177</w:t>
      </w:r>
      <w:r>
        <w:t>Lu</w:t>
      </w:r>
      <w:r w:rsidR="003D6A82">
        <w:t> </w:t>
      </w:r>
      <w:r>
        <w:t>PSMA</w:t>
      </w:r>
      <w:r w:rsidR="004D1CE9">
        <w:t xml:space="preserve">-617 (and thus </w:t>
      </w:r>
      <w:r w:rsidR="004D1CE9" w:rsidRPr="00D806CE">
        <w:rPr>
          <w:iCs/>
          <w:vertAlign w:val="superscript"/>
        </w:rPr>
        <w:t>177</w:t>
      </w:r>
      <w:r w:rsidR="004D1CE9">
        <w:rPr>
          <w:iCs/>
        </w:rPr>
        <w:t>Lu PSMA </w:t>
      </w:r>
      <w:proofErr w:type="spellStart"/>
      <w:r w:rsidR="004D1CE9">
        <w:rPr>
          <w:iCs/>
        </w:rPr>
        <w:t>i&amp;t</w:t>
      </w:r>
      <w:proofErr w:type="spellEnd"/>
      <w:r w:rsidR="004D1CE9">
        <w:rPr>
          <w:iCs/>
        </w:rPr>
        <w:t>)</w:t>
      </w:r>
      <w:r>
        <w:t xml:space="preserve"> </w:t>
      </w:r>
      <w:r w:rsidR="00D05BCB">
        <w:t>is at least noninferior</w:t>
      </w:r>
      <w:r w:rsidR="00492742">
        <w:t xml:space="preserve"> (</w:t>
      </w:r>
      <w:r w:rsidR="004017D3">
        <w:t xml:space="preserve">and </w:t>
      </w:r>
      <w:r w:rsidR="00492742">
        <w:t>likely superior</w:t>
      </w:r>
      <w:r w:rsidR="004017D3">
        <w:t xml:space="preserve"> as claimed</w:t>
      </w:r>
      <w:r w:rsidR="00492742">
        <w:t>)</w:t>
      </w:r>
      <w:r w:rsidR="00D05BCB">
        <w:t xml:space="preserve"> to</w:t>
      </w:r>
      <w:r>
        <w:t xml:space="preserve"> </w:t>
      </w:r>
      <w:proofErr w:type="spellStart"/>
      <w:r>
        <w:t>cabazitaxel</w:t>
      </w:r>
      <w:proofErr w:type="spellEnd"/>
      <w:r>
        <w:t>.</w:t>
      </w:r>
    </w:p>
    <w:p w14:paraId="4954CD48" w14:textId="5AD90805" w:rsidR="00E92832" w:rsidRDefault="00713668" w:rsidP="00E92832">
      <w:r>
        <w:t xml:space="preserve">For </w:t>
      </w:r>
      <w:r w:rsidR="00E92832">
        <w:t xml:space="preserve">clinical effectiveness, MSAC </w:t>
      </w:r>
      <w:r w:rsidR="004D1CE9">
        <w:t xml:space="preserve">considered </w:t>
      </w:r>
      <w:r w:rsidR="00E92832">
        <w:t xml:space="preserve">from the trials that </w:t>
      </w:r>
      <w:r w:rsidR="00E92832">
        <w:rPr>
          <w:vertAlign w:val="superscript"/>
        </w:rPr>
        <w:t>177</w:t>
      </w:r>
      <w:r w:rsidR="00E92832">
        <w:t>Lu</w:t>
      </w:r>
      <w:r w:rsidR="003D6A82">
        <w:t> </w:t>
      </w:r>
      <w:r w:rsidR="00E92832">
        <w:t>PSMA</w:t>
      </w:r>
      <w:r w:rsidR="004D1CE9">
        <w:t xml:space="preserve">-617 (and thus </w:t>
      </w:r>
      <w:r w:rsidR="004D1CE9" w:rsidRPr="00D806CE">
        <w:rPr>
          <w:iCs/>
          <w:vertAlign w:val="superscript"/>
        </w:rPr>
        <w:t>177</w:t>
      </w:r>
      <w:r w:rsidR="004D1CE9">
        <w:rPr>
          <w:iCs/>
        </w:rPr>
        <w:t>Lu PSMA </w:t>
      </w:r>
      <w:proofErr w:type="spellStart"/>
      <w:r w:rsidR="004D1CE9">
        <w:rPr>
          <w:iCs/>
        </w:rPr>
        <w:t>i&amp;t</w:t>
      </w:r>
      <w:proofErr w:type="spellEnd"/>
      <w:r w:rsidR="004D1CE9">
        <w:rPr>
          <w:iCs/>
        </w:rPr>
        <w:t>)</w:t>
      </w:r>
      <w:r w:rsidR="00E92832">
        <w:t xml:space="preserve"> is superior for PSA response, overall response rate, PFS, and several </w:t>
      </w:r>
      <w:proofErr w:type="gramStart"/>
      <w:r w:rsidR="00492742" w:rsidRPr="00492742">
        <w:t>quality of life</w:t>
      </w:r>
      <w:proofErr w:type="gramEnd"/>
      <w:r w:rsidR="00492742" w:rsidRPr="00492742">
        <w:t xml:space="preserve"> </w:t>
      </w:r>
      <w:r w:rsidR="00E92832">
        <w:t xml:space="preserve">domains and patient reported outcomes (e.g. pain scores) compared with </w:t>
      </w:r>
      <w:proofErr w:type="spellStart"/>
      <w:r w:rsidR="00E92832">
        <w:t>cabazitaxel</w:t>
      </w:r>
      <w:proofErr w:type="spellEnd"/>
      <w:r w:rsidR="00E92832">
        <w:t xml:space="preserve"> and </w:t>
      </w:r>
      <w:r w:rsidR="002D76D8">
        <w:t>best supportive care</w:t>
      </w:r>
      <w:r w:rsidR="00E92832">
        <w:t>.</w:t>
      </w:r>
      <w:r w:rsidR="004D1CE9">
        <w:t xml:space="preserve"> Similarly, MSAC considered that</w:t>
      </w:r>
      <w:r w:rsidR="00E92832">
        <w:t xml:space="preserve"> </w:t>
      </w:r>
      <w:r w:rsidR="00E92832">
        <w:rPr>
          <w:vertAlign w:val="superscript"/>
        </w:rPr>
        <w:t>177</w:t>
      </w:r>
      <w:r w:rsidR="00E92832">
        <w:t>Lu</w:t>
      </w:r>
      <w:r w:rsidR="003D6A82">
        <w:t> </w:t>
      </w:r>
      <w:r w:rsidR="00E92832">
        <w:t>PSMA</w:t>
      </w:r>
      <w:r w:rsidR="004D1CE9">
        <w:t xml:space="preserve">-617 (and thus </w:t>
      </w:r>
      <w:r w:rsidR="004D1CE9" w:rsidRPr="00D806CE">
        <w:rPr>
          <w:iCs/>
          <w:vertAlign w:val="superscript"/>
        </w:rPr>
        <w:t>177</w:t>
      </w:r>
      <w:r w:rsidR="004D1CE9">
        <w:rPr>
          <w:iCs/>
        </w:rPr>
        <w:t>Lu PSMA </w:t>
      </w:r>
      <w:proofErr w:type="spellStart"/>
      <w:r w:rsidR="004D1CE9">
        <w:rPr>
          <w:iCs/>
        </w:rPr>
        <w:t>i&amp;t</w:t>
      </w:r>
      <w:proofErr w:type="spellEnd"/>
      <w:r w:rsidR="004D1CE9">
        <w:rPr>
          <w:iCs/>
        </w:rPr>
        <w:t>)</w:t>
      </w:r>
      <w:r w:rsidR="00E92832">
        <w:t xml:space="preserve"> is superior to </w:t>
      </w:r>
      <w:r w:rsidR="002D76D8">
        <w:t>best supportive care</w:t>
      </w:r>
      <w:r w:rsidR="00E92832">
        <w:t xml:space="preserve"> for median OS and has </w:t>
      </w:r>
      <w:r w:rsidR="00492742">
        <w:t xml:space="preserve">similar </w:t>
      </w:r>
      <w:r w:rsidR="00E92832">
        <w:t xml:space="preserve">OS at three years compared with </w:t>
      </w:r>
      <w:proofErr w:type="spellStart"/>
      <w:r w:rsidR="00E92832">
        <w:t>cabazitaxel</w:t>
      </w:r>
      <w:proofErr w:type="spellEnd"/>
      <w:r w:rsidR="00E92832">
        <w:t>.</w:t>
      </w:r>
    </w:p>
    <w:p w14:paraId="5554320D" w14:textId="45C8FA08" w:rsidR="00E92832" w:rsidRDefault="00E92832" w:rsidP="00E92832">
      <w:r>
        <w:t>MSAC noted that the economic evaluation</w:t>
      </w:r>
      <w:r w:rsidR="006D31AF">
        <w:t xml:space="preserve"> was a cost-effectiveness analysis incorporating a cost</w:t>
      </w:r>
      <w:r w:rsidR="00A36562">
        <w:noBreakHyphen/>
      </w:r>
      <w:r w:rsidR="006D31AF">
        <w:t>utility analysis</w:t>
      </w:r>
      <w:r>
        <w:t>. MSAC noted that the partitioned survival model had three health states: PFS (utility value 0.74), progressed disease (utility value 0.59), and dead (utility value 0)</w:t>
      </w:r>
      <w:r w:rsidR="00A33B96">
        <w:t xml:space="preserve"> and adopted a proportional hazards approach</w:t>
      </w:r>
      <w:r>
        <w:t xml:space="preserve">. MSAC noted that in the </w:t>
      </w:r>
      <w:proofErr w:type="spellStart"/>
      <w:r>
        <w:t>TheraP</w:t>
      </w:r>
      <w:proofErr w:type="spellEnd"/>
      <w:r>
        <w:t xml:space="preserve"> trial, patient reported outcomes and </w:t>
      </w:r>
      <w:r w:rsidR="003836ED" w:rsidRPr="00492742">
        <w:t>quality of life</w:t>
      </w:r>
      <w:r>
        <w:t xml:space="preserve"> </w:t>
      </w:r>
      <w:r w:rsidR="00B1702C">
        <w:t xml:space="preserve">were </w:t>
      </w:r>
      <w:r>
        <w:t xml:space="preserve">better with </w:t>
      </w:r>
      <w:r w:rsidR="00703F3F">
        <w:rPr>
          <w:vertAlign w:val="superscript"/>
        </w:rPr>
        <w:t>177</w:t>
      </w:r>
      <w:r>
        <w:t>Lu</w:t>
      </w:r>
      <w:r w:rsidR="003D6A82">
        <w:t> </w:t>
      </w:r>
      <w:r>
        <w:t>PSMA</w:t>
      </w:r>
      <w:r w:rsidR="004D1CE9">
        <w:t>-617</w:t>
      </w:r>
      <w:r>
        <w:t xml:space="preserve"> than </w:t>
      </w:r>
      <w:proofErr w:type="spellStart"/>
      <w:r>
        <w:t>cabazitaxel</w:t>
      </w:r>
      <w:proofErr w:type="spellEnd"/>
      <w:r>
        <w:t xml:space="preserve">, suggesting that the utility of PFS should be higher with </w:t>
      </w:r>
      <w:r w:rsidR="00703F3F">
        <w:rPr>
          <w:vertAlign w:val="superscript"/>
        </w:rPr>
        <w:t>177</w:t>
      </w:r>
      <w:r>
        <w:t>Lu</w:t>
      </w:r>
      <w:r w:rsidR="003D6A82">
        <w:t> </w:t>
      </w:r>
      <w:r>
        <w:t>PSMA</w:t>
      </w:r>
      <w:r w:rsidR="004D1CE9">
        <w:rPr>
          <w:iCs/>
        </w:rPr>
        <w:t> </w:t>
      </w:r>
      <w:proofErr w:type="spellStart"/>
      <w:r w:rsidR="004D1CE9">
        <w:rPr>
          <w:iCs/>
        </w:rPr>
        <w:t>i&amp;t</w:t>
      </w:r>
      <w:proofErr w:type="spellEnd"/>
      <w:r>
        <w:t xml:space="preserve"> than </w:t>
      </w:r>
      <w:proofErr w:type="spellStart"/>
      <w:r>
        <w:t>cabazitaxel</w:t>
      </w:r>
      <w:proofErr w:type="spellEnd"/>
      <w:r>
        <w:t>.</w:t>
      </w:r>
      <w:r w:rsidR="000B7377">
        <w:t xml:space="preserve"> However, MSAC noted that ESC considered the </w:t>
      </w:r>
      <w:r w:rsidR="000B7377" w:rsidRPr="00525765">
        <w:rPr>
          <w:rFonts w:eastAsia="Calibri" w:cs="Times New Roman"/>
        </w:rPr>
        <w:t>utilities to be appropriate</w:t>
      </w:r>
      <w:r w:rsidR="000F0410">
        <w:rPr>
          <w:rFonts w:eastAsia="Calibri" w:cs="Times New Roman"/>
        </w:rPr>
        <w:t xml:space="preserve"> and</w:t>
      </w:r>
      <w:r w:rsidR="004017D3">
        <w:rPr>
          <w:rFonts w:eastAsia="Calibri" w:cs="Times New Roman"/>
        </w:rPr>
        <w:t xml:space="preserve"> noted</w:t>
      </w:r>
      <w:r w:rsidR="000F0410">
        <w:rPr>
          <w:rFonts w:eastAsia="Calibri" w:cs="Times New Roman"/>
        </w:rPr>
        <w:t xml:space="preserve"> the ICER was not overly sensitive to changes in utilit</w:t>
      </w:r>
      <w:r w:rsidR="004F559F">
        <w:rPr>
          <w:rFonts w:eastAsia="Calibri" w:cs="Times New Roman"/>
        </w:rPr>
        <w:t xml:space="preserve">y values (see Table </w:t>
      </w:r>
      <w:r w:rsidR="001F0081">
        <w:rPr>
          <w:rFonts w:eastAsia="Calibri" w:cs="Times New Roman"/>
        </w:rPr>
        <w:t>12</w:t>
      </w:r>
      <w:r w:rsidR="004F559F">
        <w:rPr>
          <w:rFonts w:eastAsia="Calibri" w:cs="Times New Roman"/>
        </w:rPr>
        <w:t>)</w:t>
      </w:r>
      <w:r w:rsidR="000B7377">
        <w:rPr>
          <w:rFonts w:eastAsia="Calibri" w:cs="Times New Roman"/>
        </w:rPr>
        <w:t>.</w:t>
      </w:r>
    </w:p>
    <w:p w14:paraId="1A10EFF8" w14:textId="1538F031" w:rsidR="00E92832" w:rsidRDefault="00E92832" w:rsidP="00E92832">
      <w:r>
        <w:t xml:space="preserve">MSAC noted that there were three key drivers of the economic model. The first was </w:t>
      </w:r>
      <w:proofErr w:type="spellStart"/>
      <w:r>
        <w:t>cabazitaxel</w:t>
      </w:r>
      <w:proofErr w:type="spellEnd"/>
      <w:r>
        <w:t xml:space="preserve"> OS, which the ADAR assumed to be the same as the OS hazard ratio (HR) of </w:t>
      </w:r>
      <w:r>
        <w:rPr>
          <w:vertAlign w:val="superscript"/>
        </w:rPr>
        <w:t>177</w:t>
      </w:r>
      <w:r>
        <w:t>Lu</w:t>
      </w:r>
      <w:r w:rsidR="003D6A82">
        <w:t> </w:t>
      </w:r>
      <w:r>
        <w:t>PSMA</w:t>
      </w:r>
      <w:r w:rsidR="004D1CE9">
        <w:t>-617</w:t>
      </w:r>
      <w:r>
        <w:t xml:space="preserve"> versus </w:t>
      </w:r>
      <w:r w:rsidR="002D76D8">
        <w:t>best supportive care</w:t>
      </w:r>
      <w:r>
        <w:t xml:space="preserve"> (HR=0.62). The second key driver was extrapolation, where the treatment effect continued beyond 20.9 months in the trial period for up to 10 years. The third key driver was the time horizon, which was 10 years in the base case.</w:t>
      </w:r>
    </w:p>
    <w:p w14:paraId="515B8DE0" w14:textId="69F186B2" w:rsidR="00704163" w:rsidRDefault="00704163" w:rsidP="00E92832">
      <w:r>
        <w:t xml:space="preserve">MSAC noted the ESC’s concerns with the proportional hazards approach and extrapolation method for OS and PFS, but the applicant maintained in </w:t>
      </w:r>
      <w:r w:rsidR="00A33B96">
        <w:t>its</w:t>
      </w:r>
      <w:r>
        <w:t xml:space="preserve"> pre-MSAC response that the methods used in the ADAR base case were appropriate, as the parametric curves used showed the best statistical (lowest AIC/BIC) fit (</w:t>
      </w:r>
      <w:proofErr w:type="gramStart"/>
      <w:r>
        <w:t>i.e.</w:t>
      </w:r>
      <w:proofErr w:type="gramEnd"/>
      <w:r>
        <w:t xml:space="preserve"> aligned best to the trial data) and also produced clinically plausible long-term estimates, as validated by results from other trials and local expert opinion.</w:t>
      </w:r>
    </w:p>
    <w:p w14:paraId="09CEE081" w14:textId="6BFB6608" w:rsidR="000F6A91" w:rsidRDefault="000F6A91" w:rsidP="00E92832">
      <w:r>
        <w:lastRenderedPageBreak/>
        <w:t xml:space="preserve">MSAC noted </w:t>
      </w:r>
      <w:r w:rsidR="00A33B96">
        <w:t>that</w:t>
      </w:r>
      <w:r>
        <w:t xml:space="preserve"> the applicant</w:t>
      </w:r>
      <w:r w:rsidR="00A33B96">
        <w:t>’s</w:t>
      </w:r>
      <w:r w:rsidR="004017D3">
        <w:t xml:space="preserve"> pre-MSAC response</w:t>
      </w:r>
      <w:r>
        <w:t xml:space="preserve"> </w:t>
      </w:r>
      <w:r w:rsidR="00A33B96">
        <w:t xml:space="preserve">responded to </w:t>
      </w:r>
      <w:r w:rsidR="003C5706">
        <w:t>an</w:t>
      </w:r>
      <w:r w:rsidR="00A33B96">
        <w:t xml:space="preserve"> ESC request by providing </w:t>
      </w:r>
      <w:r>
        <w:t xml:space="preserve">all available updated results from the </w:t>
      </w:r>
      <w:proofErr w:type="spellStart"/>
      <w:r>
        <w:t>TheraP</w:t>
      </w:r>
      <w:proofErr w:type="spellEnd"/>
      <w:r>
        <w:t xml:space="preserve"> trial </w:t>
      </w:r>
      <w:r>
        <w:rPr>
          <w:rFonts w:eastAsia="Calibri" w:cs="Times New Roman"/>
        </w:rPr>
        <w:t>including replacing assumption-based parameters in the model with th</w:t>
      </w:r>
      <w:r w:rsidR="008639FD">
        <w:rPr>
          <w:rFonts w:eastAsia="Calibri" w:cs="Times New Roman"/>
        </w:rPr>
        <w:t>e</w:t>
      </w:r>
      <w:r>
        <w:rPr>
          <w:rFonts w:eastAsia="Calibri" w:cs="Times New Roman"/>
        </w:rPr>
        <w:t xml:space="preserve"> updated data. </w:t>
      </w:r>
      <w:r w:rsidR="008E65B9">
        <w:rPr>
          <w:rFonts w:eastAsia="Calibri" w:cs="Times New Roman"/>
        </w:rPr>
        <w:t xml:space="preserve">This resulted </w:t>
      </w:r>
      <w:r w:rsidR="004017D3">
        <w:rPr>
          <w:rFonts w:eastAsia="Calibri" w:cs="Times New Roman"/>
        </w:rPr>
        <w:t>in</w:t>
      </w:r>
      <w:r w:rsidR="008639FD">
        <w:rPr>
          <w:rFonts w:eastAsia="Calibri" w:cs="Times New Roman"/>
        </w:rPr>
        <w:t xml:space="preserve"> amending</w:t>
      </w:r>
      <w:r>
        <w:rPr>
          <w:rFonts w:eastAsia="Calibri" w:cs="Times New Roman"/>
        </w:rPr>
        <w:t xml:space="preserve"> the </w:t>
      </w:r>
      <w:r w:rsidRPr="00A33B96">
        <w:rPr>
          <w:rFonts w:eastAsia="Calibri" w:cs="Times New Roman"/>
          <w:vertAlign w:val="superscript"/>
        </w:rPr>
        <w:t>177</w:t>
      </w:r>
      <w:r w:rsidRPr="000F6A91">
        <w:rPr>
          <w:rFonts w:eastAsia="Calibri" w:cs="Times New Roman"/>
        </w:rPr>
        <w:t>Lu</w:t>
      </w:r>
      <w:r>
        <w:rPr>
          <w:rFonts w:eastAsia="Calibri" w:cs="Times New Roman"/>
        </w:rPr>
        <w:t> </w:t>
      </w:r>
      <w:r w:rsidRPr="000F6A91">
        <w:rPr>
          <w:rFonts w:eastAsia="Calibri" w:cs="Times New Roman"/>
        </w:rPr>
        <w:t>PSMA</w:t>
      </w:r>
      <w:r w:rsidR="00F4038D">
        <w:rPr>
          <w:iCs/>
        </w:rPr>
        <w:t> </w:t>
      </w:r>
      <w:proofErr w:type="spellStart"/>
      <w:r w:rsidR="00F4038D">
        <w:rPr>
          <w:iCs/>
        </w:rPr>
        <w:t>i&amp;t</w:t>
      </w:r>
      <w:proofErr w:type="spellEnd"/>
      <w:r w:rsidRPr="000F6A91">
        <w:rPr>
          <w:rFonts w:eastAsia="Calibri" w:cs="Times New Roman"/>
        </w:rPr>
        <w:t>:</w:t>
      </w:r>
      <w:r>
        <w:rPr>
          <w:rFonts w:eastAsia="Calibri" w:cs="Times New Roman"/>
        </w:rPr>
        <w:t xml:space="preserve"> </w:t>
      </w:r>
      <w:proofErr w:type="spellStart"/>
      <w:r w:rsidRPr="000F6A91">
        <w:rPr>
          <w:rFonts w:eastAsia="Calibri" w:cs="Times New Roman"/>
        </w:rPr>
        <w:t>cabazitaxel</w:t>
      </w:r>
      <w:proofErr w:type="spellEnd"/>
      <w:r w:rsidRPr="000F6A91">
        <w:rPr>
          <w:rFonts w:eastAsia="Calibri" w:cs="Times New Roman"/>
        </w:rPr>
        <w:t xml:space="preserve"> OS and PFS HR to 1</w:t>
      </w:r>
      <w:r w:rsidR="000B7377">
        <w:rPr>
          <w:rFonts w:eastAsia="Calibri" w:cs="Times New Roman"/>
        </w:rPr>
        <w:t xml:space="preserve"> (</w:t>
      </w:r>
      <w:proofErr w:type="gramStart"/>
      <w:r w:rsidR="000B7377">
        <w:rPr>
          <w:rFonts w:eastAsia="Calibri" w:cs="Times New Roman"/>
        </w:rPr>
        <w:t>i.e.</w:t>
      </w:r>
      <w:proofErr w:type="gramEnd"/>
      <w:r w:rsidR="000B7377">
        <w:rPr>
          <w:rFonts w:eastAsia="Calibri" w:cs="Times New Roman"/>
        </w:rPr>
        <w:t xml:space="preserve"> from 0.62 in the base case)</w:t>
      </w:r>
      <w:r w:rsidRPr="000F6A91">
        <w:rPr>
          <w:rFonts w:eastAsia="Calibri" w:cs="Times New Roman"/>
        </w:rPr>
        <w:t xml:space="preserve"> and 0.62</w:t>
      </w:r>
      <w:r w:rsidR="004017D3">
        <w:rPr>
          <w:rFonts w:eastAsia="Calibri" w:cs="Times New Roman"/>
        </w:rPr>
        <w:t xml:space="preserve"> (from 0.63)</w:t>
      </w:r>
      <w:r w:rsidRPr="000F6A91">
        <w:rPr>
          <w:rFonts w:eastAsia="Calibri" w:cs="Times New Roman"/>
        </w:rPr>
        <w:t>, respectively</w:t>
      </w:r>
      <w:r w:rsidR="0032077A">
        <w:rPr>
          <w:rFonts w:eastAsia="Calibri" w:cs="Times New Roman"/>
        </w:rPr>
        <w:t xml:space="preserve"> based on the </w:t>
      </w:r>
      <w:r w:rsidR="0032077A">
        <w:t xml:space="preserve">three-year follow-up data from the </w:t>
      </w:r>
      <w:proofErr w:type="spellStart"/>
      <w:r w:rsidR="0032077A">
        <w:t>TheraP</w:t>
      </w:r>
      <w:proofErr w:type="spellEnd"/>
      <w:r w:rsidR="0032077A">
        <w:t xml:space="preserve"> trial.</w:t>
      </w:r>
    </w:p>
    <w:p w14:paraId="2C647CB0" w14:textId="7F5F23AA" w:rsidR="00327D2C" w:rsidRDefault="00E92832" w:rsidP="00E92832">
      <w:r>
        <w:t xml:space="preserve">MSAC noted that the pre-MSAC response </w:t>
      </w:r>
      <w:r w:rsidR="003C5706">
        <w:t xml:space="preserve">also responded to an ESC request by providing </w:t>
      </w:r>
      <w:r>
        <w:t xml:space="preserve">multivariate sensitivity analyses with a time horizon respecified to seven years (reduced from 10 years) </w:t>
      </w:r>
      <w:r w:rsidR="000B7377">
        <w:t xml:space="preserve">and </w:t>
      </w:r>
      <w:r>
        <w:t>using</w:t>
      </w:r>
      <w:r w:rsidR="000B7377">
        <w:t xml:space="preserve"> the</w:t>
      </w:r>
      <w:r>
        <w:t xml:space="preserve"> three-year follow-up data from the </w:t>
      </w:r>
      <w:proofErr w:type="spellStart"/>
      <w:r>
        <w:t>TheraP</w:t>
      </w:r>
      <w:proofErr w:type="spellEnd"/>
      <w:r>
        <w:t xml:space="preserve"> trial. This increased the ICER from $81,650 per </w:t>
      </w:r>
      <w:r w:rsidR="0032077A">
        <w:t>quality-adjusted life year (</w:t>
      </w:r>
      <w:r>
        <w:t>QALY</w:t>
      </w:r>
      <w:r w:rsidR="0032077A">
        <w:t>)</w:t>
      </w:r>
      <w:r>
        <w:t xml:space="preserve"> </w:t>
      </w:r>
      <w:r w:rsidR="004017D3">
        <w:t xml:space="preserve">in the ADAR </w:t>
      </w:r>
      <w:r>
        <w:t>base case to $202,659 per QALY</w:t>
      </w:r>
      <w:r w:rsidR="004017D3">
        <w:t xml:space="preserve"> </w:t>
      </w:r>
      <w:r w:rsidR="00440DD1">
        <w:t>(see Table 13)</w:t>
      </w:r>
      <w:r>
        <w:t>.</w:t>
      </w:r>
      <w:r w:rsidR="008E5D99">
        <w:t xml:space="preserve"> However, MSAC also noted that the applicant considered the comparator should be weighted more towards </w:t>
      </w:r>
      <w:r w:rsidR="008F4D84">
        <w:t xml:space="preserve">best supportive care </w:t>
      </w:r>
      <w:r w:rsidR="008E5D99">
        <w:t xml:space="preserve">due to the toxicity of </w:t>
      </w:r>
      <w:proofErr w:type="spellStart"/>
      <w:r w:rsidR="008E5D99">
        <w:t>cabazitaxel</w:t>
      </w:r>
      <w:proofErr w:type="spellEnd"/>
      <w:r w:rsidR="008E5D99">
        <w:t xml:space="preserve">, so used a comparator split of 75% </w:t>
      </w:r>
      <w:r w:rsidR="002D76D8">
        <w:t>best supportive care</w:t>
      </w:r>
      <w:r w:rsidR="008E5D99">
        <w:t xml:space="preserve"> to 25% </w:t>
      </w:r>
      <w:proofErr w:type="spellStart"/>
      <w:r w:rsidR="008E5D99">
        <w:t>cabazitaxel</w:t>
      </w:r>
      <w:proofErr w:type="spellEnd"/>
      <w:r w:rsidR="00BA2D14">
        <w:t>. MSAC noted that this was</w:t>
      </w:r>
      <w:r w:rsidR="003A7AA6">
        <w:t xml:space="preserve"> also</w:t>
      </w:r>
      <w:r w:rsidR="00BA2D14">
        <w:t xml:space="preserve"> </w:t>
      </w:r>
      <w:proofErr w:type="gramStart"/>
      <w:r w:rsidR="008E5D99">
        <w:t>similar to</w:t>
      </w:r>
      <w:proofErr w:type="gramEnd"/>
      <w:r w:rsidR="008E5D99">
        <w:t xml:space="preserve"> </w:t>
      </w:r>
      <w:r w:rsidR="003A7AA6">
        <w:t xml:space="preserve">the </w:t>
      </w:r>
      <w:r w:rsidR="008E5D99">
        <w:t xml:space="preserve">comparator split in olaparib in </w:t>
      </w:r>
      <w:proofErr w:type="spellStart"/>
      <w:r w:rsidR="008E5D99">
        <w:t>mCRCP</w:t>
      </w:r>
      <w:proofErr w:type="spellEnd"/>
      <w:r w:rsidR="00BA2D14">
        <w:t xml:space="preserve"> (</w:t>
      </w:r>
      <w:r w:rsidR="008E5D99" w:rsidRPr="0048595C">
        <w:rPr>
          <w:rFonts w:cs="Cambria Math"/>
        </w:rPr>
        <w:t xml:space="preserve">March 2021 </w:t>
      </w:r>
      <w:r w:rsidR="00A36562">
        <w:t>Pharmaceutical Benefits Advisory Committee (</w:t>
      </w:r>
      <w:r w:rsidR="008E5D99" w:rsidRPr="0048595C">
        <w:rPr>
          <w:rFonts w:cs="Cambria Math"/>
        </w:rPr>
        <w:t>PBAC</w:t>
      </w:r>
      <w:r w:rsidR="00A36562">
        <w:rPr>
          <w:rFonts w:cs="Cambria Math"/>
        </w:rPr>
        <w:t>)</w:t>
      </w:r>
      <w:r w:rsidR="008E5D99" w:rsidRPr="0048595C">
        <w:rPr>
          <w:rFonts w:cs="Cambria Math"/>
        </w:rPr>
        <w:t xml:space="preserve"> P</w:t>
      </w:r>
      <w:r w:rsidR="000B7377">
        <w:rPr>
          <w:rFonts w:cs="Cambria Math"/>
        </w:rPr>
        <w:t xml:space="preserve">ublic Summary </w:t>
      </w:r>
      <w:r w:rsidR="008E5D99" w:rsidRPr="0048595C">
        <w:rPr>
          <w:rFonts w:cs="Cambria Math"/>
        </w:rPr>
        <w:t>D</w:t>
      </w:r>
      <w:r w:rsidR="000B7377">
        <w:rPr>
          <w:rFonts w:cs="Cambria Math"/>
        </w:rPr>
        <w:t>ocument [PSD]</w:t>
      </w:r>
      <w:r w:rsidR="008E5D99">
        <w:rPr>
          <w:rFonts w:cs="Cambria Math"/>
        </w:rPr>
        <w:t>)</w:t>
      </w:r>
      <w:r w:rsidR="003C5706">
        <w:rPr>
          <w:rFonts w:cs="Cambria Math"/>
        </w:rPr>
        <w:t>.</w:t>
      </w:r>
      <w:r w:rsidR="008E5D99">
        <w:t xml:space="preserve"> Based on available evidence, MSAC considered this was appropriate. MSAC noted that</w:t>
      </w:r>
      <w:r w:rsidR="00BA2D14">
        <w:t xml:space="preserve"> </w:t>
      </w:r>
      <w:r w:rsidR="008E5D99">
        <w:t xml:space="preserve">removing the assumed effectiveness </w:t>
      </w:r>
      <w:r w:rsidR="008E5D99">
        <w:rPr>
          <w:rFonts w:eastAsia="Calibri" w:cs="Times New Roman"/>
        </w:rPr>
        <w:t>in term</w:t>
      </w:r>
      <w:r w:rsidR="00BA2D14">
        <w:rPr>
          <w:rFonts w:eastAsia="Calibri" w:cs="Times New Roman"/>
        </w:rPr>
        <w:t>s</w:t>
      </w:r>
      <w:r w:rsidR="008E5D99">
        <w:rPr>
          <w:rFonts w:eastAsia="Calibri" w:cs="Times New Roman"/>
        </w:rPr>
        <w:t xml:space="preserve"> of OS of </w:t>
      </w:r>
      <w:proofErr w:type="spellStart"/>
      <w:r w:rsidR="008E5D99" w:rsidRPr="000F6A91">
        <w:rPr>
          <w:rFonts w:eastAsia="Calibri" w:cs="Times New Roman"/>
        </w:rPr>
        <w:t>cabazitaxel</w:t>
      </w:r>
      <w:proofErr w:type="spellEnd"/>
      <w:r w:rsidR="008E5D99">
        <w:rPr>
          <w:rFonts w:eastAsia="Calibri" w:cs="Times New Roman"/>
        </w:rPr>
        <w:t xml:space="preserve"> in the pre-MSAC model</w:t>
      </w:r>
      <w:r w:rsidR="00BA2D14">
        <w:rPr>
          <w:rFonts w:eastAsia="Calibri" w:cs="Times New Roman"/>
        </w:rPr>
        <w:t xml:space="preserve"> </w:t>
      </w:r>
      <w:r w:rsidR="0032077A">
        <w:rPr>
          <w:rFonts w:eastAsia="Calibri" w:cs="Times New Roman"/>
        </w:rPr>
        <w:t xml:space="preserve">meant </w:t>
      </w:r>
      <w:r w:rsidR="008E5D99">
        <w:t xml:space="preserve">that the weighting of </w:t>
      </w:r>
      <w:proofErr w:type="spellStart"/>
      <w:r w:rsidR="008E5D99">
        <w:t>cabazitaxel</w:t>
      </w:r>
      <w:proofErr w:type="spellEnd"/>
      <w:r w:rsidR="008E5D99">
        <w:t xml:space="preserve"> versus standard care had a significant influence on the economic model, decreasing the ICER from $202,659 </w:t>
      </w:r>
      <w:r w:rsidR="00A36562">
        <w:t xml:space="preserve">per </w:t>
      </w:r>
      <w:r w:rsidR="008E5D99">
        <w:t>QALY</w:t>
      </w:r>
      <w:r w:rsidR="0032077A">
        <w:t xml:space="preserve"> </w:t>
      </w:r>
      <w:r w:rsidR="008E5D99">
        <w:t xml:space="preserve">to $111,405 per QALY. </w:t>
      </w:r>
      <w:r w:rsidR="004F559F">
        <w:t xml:space="preserve">MSAC noted the ICER was further improved </w:t>
      </w:r>
      <w:r w:rsidR="00E10F3F">
        <w:t>to</w:t>
      </w:r>
      <w:r w:rsidR="004F559F">
        <w:t xml:space="preserve"> $98,551 per QALY when compared </w:t>
      </w:r>
      <w:r w:rsidR="00E10F3F">
        <w:t>with</w:t>
      </w:r>
      <w:r w:rsidR="004F559F">
        <w:t xml:space="preserve"> </w:t>
      </w:r>
      <w:r w:rsidR="002D76D8">
        <w:t>best supportive care</w:t>
      </w:r>
      <w:r w:rsidR="003C5706">
        <w:t xml:space="preserve"> alone</w:t>
      </w:r>
      <w:r w:rsidR="004F559F">
        <w:t xml:space="preserve">. </w:t>
      </w:r>
      <w:r>
        <w:t>However, MSAC considered this time horizon</w:t>
      </w:r>
      <w:r w:rsidR="004F559F">
        <w:t xml:space="preserve"> </w:t>
      </w:r>
      <w:r w:rsidR="00E10F3F">
        <w:t xml:space="preserve">used in these sensitivity analyses </w:t>
      </w:r>
      <w:r>
        <w:t>to be inappropriate for the proposed population, not</w:t>
      </w:r>
      <w:r w:rsidR="00E10F3F">
        <w:t>ing</w:t>
      </w:r>
      <w:r>
        <w:t xml:space="preserve"> that it is not consistent with previous advice from the PBAC for medicines in later-line </w:t>
      </w:r>
      <w:proofErr w:type="spellStart"/>
      <w:r>
        <w:t>mCRPC</w:t>
      </w:r>
      <w:proofErr w:type="spellEnd"/>
      <w:r>
        <w:t xml:space="preserve"> treatment</w:t>
      </w:r>
      <w:r w:rsidR="0032077A">
        <w:t xml:space="preserve"> (Olaparib March 2021 PSD)</w:t>
      </w:r>
      <w:r>
        <w:t>. MSAC advised that a time horizon of five years would be more appropriat</w:t>
      </w:r>
      <w:r w:rsidR="008E5D99">
        <w:t>e</w:t>
      </w:r>
      <w:r w:rsidR="0032077A">
        <w:t xml:space="preserve"> in the base case model</w:t>
      </w:r>
      <w:r w:rsidR="00B801A7">
        <w:t>, noting that this change would increase the ICER</w:t>
      </w:r>
      <w:r w:rsidR="0032077A">
        <w:t>.</w:t>
      </w:r>
    </w:p>
    <w:p w14:paraId="0E1781CB" w14:textId="3EEAF1BB" w:rsidR="00E92832" w:rsidRDefault="007F7772" w:rsidP="00E92832">
      <w:r>
        <w:t xml:space="preserve">In relation to the financial implications, </w:t>
      </w:r>
      <w:r w:rsidR="00374E23">
        <w:t xml:space="preserve">MSAC noted the pre-MSAC response </w:t>
      </w:r>
      <w:r w:rsidR="000915A7">
        <w:t xml:space="preserve">also responded to an ESC request by </w:t>
      </w:r>
      <w:r>
        <w:t xml:space="preserve">providing recalculations which assumed 18% of patients receiving </w:t>
      </w:r>
      <w:r w:rsidR="00666C7A" w:rsidRPr="00666C7A">
        <w:t xml:space="preserve">Lu-PSMA </w:t>
      </w:r>
      <w:r>
        <w:t xml:space="preserve">would then receive </w:t>
      </w:r>
      <w:proofErr w:type="spellStart"/>
      <w:r w:rsidR="00666C7A" w:rsidRPr="00666C7A">
        <w:t>cabazitaxel</w:t>
      </w:r>
      <w:proofErr w:type="spellEnd"/>
      <w:r w:rsidR="00666C7A" w:rsidRPr="00666C7A">
        <w:t xml:space="preserve">, 15% </w:t>
      </w:r>
      <w:r>
        <w:t xml:space="preserve">of eligible patients would receive </w:t>
      </w:r>
      <w:r w:rsidRPr="00666C7A">
        <w:t xml:space="preserve">Lu-PSMA </w:t>
      </w:r>
      <w:r>
        <w:t>(</w:t>
      </w:r>
      <w:r w:rsidR="00666C7A" w:rsidRPr="00666C7A">
        <w:t>uptake</w:t>
      </w:r>
      <w:r>
        <w:t>)</w:t>
      </w:r>
      <w:r w:rsidR="00666C7A" w:rsidRPr="00666C7A">
        <w:t xml:space="preserve"> and a comparator split of 75% </w:t>
      </w:r>
      <w:r w:rsidR="002D76D8">
        <w:t>best supportive care</w:t>
      </w:r>
      <w:r w:rsidR="00666C7A" w:rsidRPr="00666C7A">
        <w:t xml:space="preserve">: 25% </w:t>
      </w:r>
      <w:proofErr w:type="spellStart"/>
      <w:r w:rsidR="00666C7A" w:rsidRPr="00666C7A">
        <w:t>cabazitaxel</w:t>
      </w:r>
      <w:proofErr w:type="spellEnd"/>
      <w:r w:rsidR="00666C7A">
        <w:t xml:space="preserve"> (consistent with </w:t>
      </w:r>
      <w:r w:rsidR="000915A7">
        <w:t xml:space="preserve">the </w:t>
      </w:r>
      <w:r w:rsidR="00666C7A">
        <w:t>pre-MSAC economic model)</w:t>
      </w:r>
      <w:r w:rsidR="000915A7">
        <w:t>. On this basis</w:t>
      </w:r>
      <w:r w:rsidR="00666C7A" w:rsidRPr="00666C7A">
        <w:t xml:space="preserve">, the estimated maximum financial </w:t>
      </w:r>
      <w:r>
        <w:t xml:space="preserve">implications </w:t>
      </w:r>
      <w:r w:rsidR="00666C7A" w:rsidRPr="00666C7A">
        <w:t xml:space="preserve">to the Government </w:t>
      </w:r>
      <w:r>
        <w:t xml:space="preserve">health budget would be </w:t>
      </w:r>
      <w:r w:rsidR="00666C7A" w:rsidRPr="00666C7A">
        <w:t>$13.3 million in Year 1 to $28.6 million in Year 6</w:t>
      </w:r>
      <w:r w:rsidR="00440DD1">
        <w:t xml:space="preserve"> (see Table</w:t>
      </w:r>
      <w:r w:rsidR="002D76D8">
        <w:t> </w:t>
      </w:r>
      <w:r w:rsidR="00440DD1">
        <w:t>15)</w:t>
      </w:r>
      <w:r w:rsidR="00666C7A" w:rsidRPr="00666C7A">
        <w:t>.</w:t>
      </w:r>
    </w:p>
    <w:p w14:paraId="324DCFE1" w14:textId="5F6921C5" w:rsidR="00E92832" w:rsidRDefault="00E92832" w:rsidP="00E92832">
      <w:r>
        <w:t xml:space="preserve">MSAC considered that training standards and accreditation that adequately protect patients </w:t>
      </w:r>
      <w:r w:rsidR="001F0081">
        <w:t>would be</w:t>
      </w:r>
      <w:r>
        <w:t xml:space="preserve"> essential. MSAC noted that the Department supports the Royal Australasian College of Physicians (RACP) and the RANZCR approving training and accreditation. MSAC noted that the Committee for Joint College Training (CJCT) has members appointed by RANZCR and RACP and is the body that sets training requirements for nuclear medicine. It has already ratified the training and accreditation standards for </w:t>
      </w:r>
      <w:proofErr w:type="spellStart"/>
      <w:r>
        <w:t>theranostics</w:t>
      </w:r>
      <w:proofErr w:type="spellEnd"/>
      <w:r>
        <w:t xml:space="preserve"> proposed by the AANMS, which are being incorporated into the nuclear medicine training program. MSAC noted that while the Department supports the AANMS’s proposed “grandparenting” arrangements, </w:t>
      </w:r>
      <w:r w:rsidR="0081659D">
        <w:t xml:space="preserve">the Department </w:t>
      </w:r>
      <w:r>
        <w:t xml:space="preserve">did not consider the </w:t>
      </w:r>
      <w:r w:rsidR="005E0823">
        <w:t xml:space="preserve">training </w:t>
      </w:r>
      <w:r>
        <w:t xml:space="preserve">requirements to be practical or </w:t>
      </w:r>
      <w:proofErr w:type="gramStart"/>
      <w:r>
        <w:t>achievable, and</w:t>
      </w:r>
      <w:proofErr w:type="gramEnd"/>
      <w:r>
        <w:t xml:space="preserve"> would restrict use. MSAC considered that</w:t>
      </w:r>
      <w:r w:rsidR="00372234">
        <w:t>,</w:t>
      </w:r>
      <w:r>
        <w:t xml:space="preserve"> as the requirements were for multiple types of radionuclide therapy (which is a standard part of nuclear medicine and not a novel technology) and not restricted to Lu</w:t>
      </w:r>
      <w:r w:rsidR="003D6A82">
        <w:t> </w:t>
      </w:r>
      <w:r>
        <w:t>PSMA, it should be readily available and achievable.</w:t>
      </w:r>
    </w:p>
    <w:p w14:paraId="6E2CA6FA" w14:textId="1179CCE2" w:rsidR="00E92832" w:rsidRDefault="00E92832" w:rsidP="00E92832">
      <w:r>
        <w:t xml:space="preserve">Overall, </w:t>
      </w:r>
      <w:r w:rsidR="00222351">
        <w:rPr>
          <w:szCs w:val="24"/>
        </w:rPr>
        <w:t xml:space="preserve">MSAC noted the limitations in the evidence comparing </w:t>
      </w:r>
      <w:r w:rsidR="00222351">
        <w:rPr>
          <w:szCs w:val="24"/>
          <w:vertAlign w:val="superscript"/>
        </w:rPr>
        <w:t>177</w:t>
      </w:r>
      <w:r w:rsidR="00222351">
        <w:rPr>
          <w:szCs w:val="24"/>
        </w:rPr>
        <w:t>Lu PSMA</w:t>
      </w:r>
      <w:r w:rsidR="00A521C1">
        <w:rPr>
          <w:szCs w:val="24"/>
        </w:rPr>
        <w:t> </w:t>
      </w:r>
      <w:proofErr w:type="spellStart"/>
      <w:r w:rsidR="00222351">
        <w:rPr>
          <w:szCs w:val="24"/>
        </w:rPr>
        <w:t>i&amp;t</w:t>
      </w:r>
      <w:proofErr w:type="spellEnd"/>
      <w:r w:rsidR="00222351">
        <w:rPr>
          <w:szCs w:val="24"/>
        </w:rPr>
        <w:t xml:space="preserve"> and </w:t>
      </w:r>
      <w:r w:rsidR="00222351">
        <w:rPr>
          <w:szCs w:val="24"/>
          <w:vertAlign w:val="superscript"/>
        </w:rPr>
        <w:t>177</w:t>
      </w:r>
      <w:r w:rsidR="00222351">
        <w:rPr>
          <w:szCs w:val="24"/>
        </w:rPr>
        <w:t>Lu PSMA</w:t>
      </w:r>
      <w:r w:rsidR="00A36562">
        <w:rPr>
          <w:szCs w:val="24"/>
        </w:rPr>
        <w:noBreakHyphen/>
      </w:r>
      <w:r w:rsidR="00222351">
        <w:rPr>
          <w:szCs w:val="24"/>
        </w:rPr>
        <w:t>617 products, but concluded from the evidence available that these two products are mutually noninferior</w:t>
      </w:r>
      <w:r w:rsidR="000F0410">
        <w:rPr>
          <w:szCs w:val="24"/>
        </w:rPr>
        <w:t xml:space="preserve"> and thus considered the evidence for </w:t>
      </w:r>
      <w:r w:rsidR="000F0410">
        <w:rPr>
          <w:szCs w:val="24"/>
          <w:vertAlign w:val="superscript"/>
        </w:rPr>
        <w:t>177</w:t>
      </w:r>
      <w:r w:rsidR="000F0410">
        <w:rPr>
          <w:szCs w:val="24"/>
        </w:rPr>
        <w:t xml:space="preserve">Lu PSMA-617 to be relevant for </w:t>
      </w:r>
      <w:r w:rsidR="000F0410">
        <w:rPr>
          <w:szCs w:val="24"/>
          <w:vertAlign w:val="superscript"/>
        </w:rPr>
        <w:t>177</w:t>
      </w:r>
      <w:r w:rsidR="000F0410">
        <w:rPr>
          <w:szCs w:val="24"/>
        </w:rPr>
        <w:t>Lu </w:t>
      </w:r>
      <w:r w:rsidR="000F0410" w:rsidRPr="00D522DE">
        <w:t>PSMA</w:t>
      </w:r>
      <w:r w:rsidR="000F0410">
        <w:t> </w:t>
      </w:r>
      <w:proofErr w:type="spellStart"/>
      <w:r w:rsidR="000F0410" w:rsidRPr="00D522DE">
        <w:t>i</w:t>
      </w:r>
      <w:r w:rsidR="000F0410">
        <w:rPr>
          <w:szCs w:val="24"/>
        </w:rPr>
        <w:t>&amp;t</w:t>
      </w:r>
      <w:proofErr w:type="spellEnd"/>
      <w:r w:rsidR="00222351">
        <w:rPr>
          <w:szCs w:val="24"/>
        </w:rPr>
        <w:t xml:space="preserve">. MSAC accepted the high certainty from the evidence that </w:t>
      </w:r>
      <w:r w:rsidR="00222351">
        <w:rPr>
          <w:szCs w:val="24"/>
          <w:vertAlign w:val="superscript"/>
        </w:rPr>
        <w:t>177</w:t>
      </w:r>
      <w:r w:rsidR="00222351">
        <w:rPr>
          <w:szCs w:val="24"/>
        </w:rPr>
        <w:t>Lu PSMA</w:t>
      </w:r>
      <w:r w:rsidR="00DC52F2">
        <w:t> </w:t>
      </w:r>
      <w:proofErr w:type="spellStart"/>
      <w:r w:rsidR="00DC52F2" w:rsidRPr="00D522DE">
        <w:t>i</w:t>
      </w:r>
      <w:r w:rsidR="00DC52F2">
        <w:rPr>
          <w:szCs w:val="24"/>
        </w:rPr>
        <w:t>&amp;t</w:t>
      </w:r>
      <w:proofErr w:type="spellEnd"/>
      <w:r w:rsidR="00222351">
        <w:rPr>
          <w:szCs w:val="24"/>
        </w:rPr>
        <w:t xml:space="preserve"> therapy is acceptably safe and effective, but that the </w:t>
      </w:r>
      <w:r w:rsidR="00FD02E8">
        <w:rPr>
          <w:szCs w:val="24"/>
        </w:rPr>
        <w:t>economic model generated a</w:t>
      </w:r>
      <w:r w:rsidR="00B801A7">
        <w:rPr>
          <w:szCs w:val="24"/>
        </w:rPr>
        <w:t xml:space="preserve">n </w:t>
      </w:r>
      <w:r w:rsidR="00FD02E8">
        <w:rPr>
          <w:szCs w:val="24"/>
        </w:rPr>
        <w:t xml:space="preserve">ICER per QALY close to $100,000 for </w:t>
      </w:r>
      <w:r w:rsidR="000F0410">
        <w:rPr>
          <w:szCs w:val="24"/>
        </w:rPr>
        <w:t xml:space="preserve">several </w:t>
      </w:r>
      <w:r w:rsidR="0011211D">
        <w:rPr>
          <w:szCs w:val="24"/>
        </w:rPr>
        <w:t xml:space="preserve">potentially </w:t>
      </w:r>
      <w:r w:rsidR="00FD02E8">
        <w:rPr>
          <w:szCs w:val="24"/>
        </w:rPr>
        <w:t>plausible scenarios which</w:t>
      </w:r>
      <w:r w:rsidR="00222351">
        <w:rPr>
          <w:szCs w:val="24"/>
        </w:rPr>
        <w:t xml:space="preserve"> was </w:t>
      </w:r>
      <w:r w:rsidR="004B4090">
        <w:rPr>
          <w:szCs w:val="24"/>
        </w:rPr>
        <w:t xml:space="preserve">unacceptably </w:t>
      </w:r>
      <w:r w:rsidR="000F0410">
        <w:rPr>
          <w:szCs w:val="24"/>
        </w:rPr>
        <w:t>high</w:t>
      </w:r>
      <w:r w:rsidR="0011211D">
        <w:rPr>
          <w:szCs w:val="24"/>
        </w:rPr>
        <w:t xml:space="preserve"> for the </w:t>
      </w:r>
      <w:r w:rsidR="0011211D">
        <w:rPr>
          <w:szCs w:val="24"/>
        </w:rPr>
        <w:lastRenderedPageBreak/>
        <w:t>proposed population and expected utilisation</w:t>
      </w:r>
      <w:r w:rsidR="00B801A7">
        <w:rPr>
          <w:szCs w:val="24"/>
        </w:rPr>
        <w:t xml:space="preserve"> and </w:t>
      </w:r>
      <w:r w:rsidR="004B4090">
        <w:rPr>
          <w:szCs w:val="24"/>
        </w:rPr>
        <w:t xml:space="preserve">was </w:t>
      </w:r>
      <w:r w:rsidR="00B801A7">
        <w:rPr>
          <w:szCs w:val="24"/>
        </w:rPr>
        <w:t>underestimated if a more appropriate 5-year time horizon were adopted</w:t>
      </w:r>
      <w:r w:rsidR="0011211D">
        <w:rPr>
          <w:szCs w:val="24"/>
        </w:rPr>
        <w:t xml:space="preserve">. MSAC </w:t>
      </w:r>
      <w:r w:rsidR="00B801A7">
        <w:rPr>
          <w:szCs w:val="24"/>
        </w:rPr>
        <w:t xml:space="preserve">advised that an </w:t>
      </w:r>
      <w:r w:rsidR="0011211D">
        <w:rPr>
          <w:szCs w:val="24"/>
        </w:rPr>
        <w:t xml:space="preserve">ICER </w:t>
      </w:r>
      <w:r w:rsidR="00B801A7">
        <w:rPr>
          <w:szCs w:val="24"/>
        </w:rPr>
        <w:t xml:space="preserve">in the range of those for </w:t>
      </w:r>
      <w:r w:rsidR="00512C08">
        <w:rPr>
          <w:szCs w:val="24"/>
        </w:rPr>
        <w:t xml:space="preserve">other treatments accepted by PBAC </w:t>
      </w:r>
      <w:r w:rsidR="004B4090">
        <w:rPr>
          <w:szCs w:val="24"/>
        </w:rPr>
        <w:t xml:space="preserve">using a 5-year time horizon </w:t>
      </w:r>
      <w:r w:rsidR="00512C08">
        <w:rPr>
          <w:szCs w:val="24"/>
        </w:rPr>
        <w:t>in later</w:t>
      </w:r>
      <w:r w:rsidR="00B801A7">
        <w:rPr>
          <w:szCs w:val="24"/>
        </w:rPr>
        <w:t>-</w:t>
      </w:r>
      <w:r w:rsidR="00512C08">
        <w:rPr>
          <w:szCs w:val="24"/>
        </w:rPr>
        <w:t xml:space="preserve">line </w:t>
      </w:r>
      <w:proofErr w:type="spellStart"/>
      <w:r w:rsidR="00512C08">
        <w:rPr>
          <w:szCs w:val="24"/>
        </w:rPr>
        <w:t>mCRPC</w:t>
      </w:r>
      <w:proofErr w:type="spellEnd"/>
      <w:r w:rsidR="00B801A7">
        <w:rPr>
          <w:szCs w:val="24"/>
        </w:rPr>
        <w:t xml:space="preserve"> would be more likely to be acceptable</w:t>
      </w:r>
      <w:r w:rsidR="00222351">
        <w:rPr>
          <w:szCs w:val="24"/>
        </w:rPr>
        <w:t>.</w:t>
      </w:r>
      <w:r w:rsidR="00FD02E8">
        <w:rPr>
          <w:szCs w:val="24"/>
        </w:rPr>
        <w:t xml:space="preserve"> </w:t>
      </w:r>
      <w:r w:rsidR="001454B3">
        <w:t xml:space="preserve">MSAC advised that the applicant consider how the ICER may be reduced including whether the proposed intervention should be placed </w:t>
      </w:r>
      <w:r w:rsidR="00B801A7">
        <w:t xml:space="preserve">after </w:t>
      </w:r>
      <w:proofErr w:type="spellStart"/>
      <w:r w:rsidR="00B801A7">
        <w:t>cabazitaxel</w:t>
      </w:r>
      <w:proofErr w:type="spellEnd"/>
      <w:r w:rsidR="00B801A7">
        <w:t xml:space="preserve"> and </w:t>
      </w:r>
      <w:r w:rsidR="001454B3">
        <w:t xml:space="preserve">against </w:t>
      </w:r>
      <w:r w:rsidR="002D76D8">
        <w:t>best supportive care</w:t>
      </w:r>
      <w:r w:rsidR="00B801A7">
        <w:t>, a subgroup in</w:t>
      </w:r>
      <w:r w:rsidR="00D35F07">
        <w:t xml:space="preserve"> which </w:t>
      </w:r>
      <w:r w:rsidR="00B801A7">
        <w:t xml:space="preserve">it </w:t>
      </w:r>
      <w:r w:rsidR="00D35F07">
        <w:t xml:space="preserve">demonstrated more favourable cost effectiveness. </w:t>
      </w:r>
      <w:r w:rsidR="00FD02E8">
        <w:t>MSAC also had concerns</w:t>
      </w:r>
      <w:r w:rsidR="00512C08">
        <w:t xml:space="preserve"> that the ICER was too uncertain due to</w:t>
      </w:r>
      <w:r w:rsidR="00FD02E8">
        <w:t xml:space="preserve"> the model sensitivity to OS differences between </w:t>
      </w:r>
      <w:r w:rsidR="00FD02E8">
        <w:rPr>
          <w:vertAlign w:val="superscript"/>
        </w:rPr>
        <w:t>177</w:t>
      </w:r>
      <w:r w:rsidR="00FD02E8">
        <w:t>Lu PSMA</w:t>
      </w:r>
      <w:r w:rsidR="00F4038D">
        <w:rPr>
          <w:iCs/>
        </w:rPr>
        <w:t> </w:t>
      </w:r>
      <w:proofErr w:type="spellStart"/>
      <w:r w:rsidR="00F4038D">
        <w:rPr>
          <w:iCs/>
        </w:rPr>
        <w:t>i&amp;t</w:t>
      </w:r>
      <w:proofErr w:type="spellEnd"/>
      <w:r w:rsidR="00FD02E8">
        <w:t xml:space="preserve"> and </w:t>
      </w:r>
      <w:proofErr w:type="spellStart"/>
      <w:r w:rsidR="00FD02E8">
        <w:t>cabazitaxel</w:t>
      </w:r>
      <w:proofErr w:type="spellEnd"/>
      <w:r w:rsidR="00FD02E8">
        <w:t>, as well as the time horizon used.</w:t>
      </w:r>
      <w:r w:rsidR="0011211D">
        <w:t xml:space="preserve"> MSAC advised </w:t>
      </w:r>
      <w:r w:rsidR="001454B3">
        <w:t>that a</w:t>
      </w:r>
      <w:r w:rsidR="0042408B">
        <w:t>ny</w:t>
      </w:r>
      <w:r w:rsidR="001454B3">
        <w:t xml:space="preserve"> resubmission should be considered through the standard pathway via ESC.</w:t>
      </w:r>
    </w:p>
    <w:p w14:paraId="61119F39" w14:textId="5C52AE90" w:rsidR="00F47D88" w:rsidRPr="00F47D88" w:rsidRDefault="00F47D88" w:rsidP="00E92832">
      <w:pPr>
        <w:rPr>
          <w:b/>
          <w:bCs/>
        </w:rPr>
      </w:pPr>
      <w:r w:rsidRPr="00F47D88">
        <w:rPr>
          <w:b/>
          <w:bCs/>
        </w:rPr>
        <w:t>Other matters</w:t>
      </w:r>
    </w:p>
    <w:p w14:paraId="122448F9" w14:textId="76998611" w:rsidR="00215355" w:rsidRDefault="00215355" w:rsidP="00E92832">
      <w:r>
        <w:t>MSAC noted that</w:t>
      </w:r>
      <w:r w:rsidR="00EC0F4D">
        <w:t xml:space="preserve"> </w:t>
      </w:r>
      <w:r>
        <w:t xml:space="preserve">patent-related issues were raised in the public consultation. </w:t>
      </w:r>
      <w:r w:rsidR="00EC0F4D">
        <w:t xml:space="preserve">MSAC </w:t>
      </w:r>
      <w:r w:rsidR="0046773A">
        <w:t>noted</w:t>
      </w:r>
      <w:r w:rsidR="00EC0F4D">
        <w:t xml:space="preserve"> that </w:t>
      </w:r>
      <w:r w:rsidR="0046773A">
        <w:t>advising</w:t>
      </w:r>
      <w:r w:rsidR="00EC0F4D">
        <w:t xml:space="preserve"> on patent matters </w:t>
      </w:r>
      <w:r w:rsidR="0046773A">
        <w:t xml:space="preserve">is </w:t>
      </w:r>
      <w:r w:rsidR="00EC0F4D">
        <w:t>not within its Terms of Reference</w:t>
      </w:r>
      <w:r w:rsidR="0046773A">
        <w:t xml:space="preserve"> and considered this to be a matter for government.</w:t>
      </w:r>
    </w:p>
    <w:p w14:paraId="6710B69D" w14:textId="335C8B53" w:rsidR="00772829" w:rsidRDefault="006669BE" w:rsidP="002A18BE">
      <w:pPr>
        <w:pStyle w:val="Heading2"/>
        <w:numPr>
          <w:ilvl w:val="0"/>
          <w:numId w:val="0"/>
        </w:numPr>
      </w:pPr>
      <w:bookmarkStart w:id="4" w:name="_Toc69491416"/>
      <w:bookmarkEnd w:id="1"/>
      <w:r>
        <w:t>4</w:t>
      </w:r>
      <w:r w:rsidR="00C36633">
        <w:t>.</w:t>
      </w:r>
      <w:r w:rsidR="00C36633">
        <w:tab/>
      </w:r>
      <w:r w:rsidR="00772829" w:rsidRPr="00CE28E3">
        <w:t>Background</w:t>
      </w:r>
      <w:bookmarkEnd w:id="4"/>
    </w:p>
    <w:p w14:paraId="7620163B" w14:textId="1D1432A5" w:rsidR="009D0A45" w:rsidRPr="009D0A45" w:rsidRDefault="009D0A45" w:rsidP="009D0A45">
      <w:r w:rsidRPr="00745D0E">
        <w:t xml:space="preserve">MSAC has not previously considered </w:t>
      </w:r>
      <w:r>
        <w:t>PSMA PET/CT for this purpose</w:t>
      </w:r>
      <w:r w:rsidR="002F5797">
        <w:t>,</w:t>
      </w:r>
      <w:r>
        <w:t xml:space="preserve"> </w:t>
      </w:r>
      <w:r w:rsidR="002F5797">
        <w:t>n</w:t>
      </w:r>
      <w:r>
        <w:t xml:space="preserve">or </w:t>
      </w:r>
      <w:r w:rsidRPr="00745D0E">
        <w:rPr>
          <w:vertAlign w:val="superscript"/>
        </w:rPr>
        <w:t>177</w:t>
      </w:r>
      <w:r w:rsidR="009F7816">
        <w:t>Lu PSMA</w:t>
      </w:r>
      <w:r w:rsidR="00F4038D">
        <w:rPr>
          <w:iCs/>
        </w:rPr>
        <w:t> </w:t>
      </w:r>
      <w:proofErr w:type="spellStart"/>
      <w:r w:rsidR="00F4038D">
        <w:rPr>
          <w:iCs/>
        </w:rPr>
        <w:t>i&amp;t</w:t>
      </w:r>
      <w:proofErr w:type="spellEnd"/>
      <w:r w:rsidR="00473420">
        <w:t xml:space="preserve"> </w:t>
      </w:r>
      <w:r w:rsidR="00473420" w:rsidRPr="0049584B">
        <w:t>with subsequent SPECT</w:t>
      </w:r>
      <w:r w:rsidR="007D4822" w:rsidRPr="0049584B">
        <w:t>/CT</w:t>
      </w:r>
      <w:r w:rsidR="00501015" w:rsidRPr="0049584B">
        <w:t>.</w:t>
      </w:r>
    </w:p>
    <w:p w14:paraId="6F52500A" w14:textId="10833E4F" w:rsidR="00772829" w:rsidRDefault="006669BE" w:rsidP="002A18BE">
      <w:pPr>
        <w:pStyle w:val="Heading2"/>
        <w:numPr>
          <w:ilvl w:val="0"/>
          <w:numId w:val="0"/>
        </w:numPr>
      </w:pPr>
      <w:bookmarkStart w:id="5" w:name="_Toc69491417"/>
      <w:r>
        <w:t>5</w:t>
      </w:r>
      <w:r w:rsidR="00C36633">
        <w:t>.</w:t>
      </w:r>
      <w:r w:rsidR="00C36633">
        <w:tab/>
      </w:r>
      <w:r w:rsidR="00772829" w:rsidRPr="00CE28E3">
        <w:t>Prerequisites to implementation of any funding advice</w:t>
      </w:r>
      <w:bookmarkEnd w:id="5"/>
    </w:p>
    <w:p w14:paraId="0B2DC461" w14:textId="455F51F3" w:rsidR="00D806CE" w:rsidRPr="00D806CE" w:rsidRDefault="002F5797" w:rsidP="00D806CE">
      <w:r>
        <w:t>Consistent with other radiopharmaceutical products for which the administration is funded through the MBS, t</w:t>
      </w:r>
      <w:r w:rsidR="00D806CE" w:rsidRPr="00745D0E">
        <w:t xml:space="preserve">he proposed </w:t>
      </w:r>
      <w:r w:rsidR="00FF6944">
        <w:t xml:space="preserve">product for the </w:t>
      </w:r>
      <w:r w:rsidR="00D806CE" w:rsidRPr="00745D0E">
        <w:t>therapeutic intervention</w:t>
      </w:r>
      <w:r w:rsidR="00D806CE" w:rsidRPr="00FF6944">
        <w:t xml:space="preserve"> </w:t>
      </w:r>
      <w:r w:rsidR="00FF6944" w:rsidRPr="00FF6944">
        <w:t>(</w:t>
      </w:r>
      <w:r w:rsidR="00D806CE" w:rsidRPr="00745D0E">
        <w:rPr>
          <w:vertAlign w:val="superscript"/>
        </w:rPr>
        <w:t>177</w:t>
      </w:r>
      <w:r w:rsidR="009F7816">
        <w:t>Lu </w:t>
      </w:r>
      <w:r w:rsidR="00886914">
        <w:t>PSMA </w:t>
      </w:r>
      <w:proofErr w:type="spellStart"/>
      <w:r w:rsidR="00886914">
        <w:t>i&amp;t</w:t>
      </w:r>
      <w:proofErr w:type="spellEnd"/>
      <w:r w:rsidR="00FF6944">
        <w:t>)</w:t>
      </w:r>
      <w:r w:rsidR="00D806CE" w:rsidRPr="00745D0E">
        <w:t>, is produced under G</w:t>
      </w:r>
      <w:r w:rsidR="00773F4C">
        <w:t>o</w:t>
      </w:r>
      <w:r w:rsidR="007932EA">
        <w:t xml:space="preserve">od </w:t>
      </w:r>
      <w:r w:rsidR="00D806CE" w:rsidRPr="00745D0E">
        <w:t>L</w:t>
      </w:r>
      <w:r w:rsidR="007932EA">
        <w:t xml:space="preserve">aboratory </w:t>
      </w:r>
      <w:r w:rsidR="00D806CE" w:rsidRPr="00745D0E">
        <w:t>P</w:t>
      </w:r>
      <w:r w:rsidR="007932EA">
        <w:t>ractice (GLP)</w:t>
      </w:r>
      <w:r w:rsidR="00D806CE" w:rsidRPr="00745D0E">
        <w:t xml:space="preserve"> in Australia. GLP</w:t>
      </w:r>
      <w:r>
        <w:t>-</w:t>
      </w:r>
      <w:r w:rsidR="00D806CE" w:rsidRPr="00745D0E">
        <w:t xml:space="preserve">compliant production of </w:t>
      </w:r>
      <w:r w:rsidR="00D806CE" w:rsidRPr="00745D0E">
        <w:rPr>
          <w:vertAlign w:val="superscript"/>
        </w:rPr>
        <w:t>177</w:t>
      </w:r>
      <w:r w:rsidR="009F7816">
        <w:t>Lu </w:t>
      </w:r>
      <w:r w:rsidR="00886914">
        <w:t>PSMA </w:t>
      </w:r>
      <w:proofErr w:type="spellStart"/>
      <w:r w:rsidR="00886914">
        <w:t>i&amp;t</w:t>
      </w:r>
      <w:proofErr w:type="spellEnd"/>
      <w:r w:rsidR="00D806CE" w:rsidRPr="00745D0E">
        <w:t xml:space="preserve"> is the current </w:t>
      </w:r>
      <w:r w:rsidR="00D806CE">
        <w:t>standard of care</w:t>
      </w:r>
      <w:r w:rsidR="00D806CE" w:rsidRPr="00745D0E">
        <w:t xml:space="preserve"> for the provision of </w:t>
      </w:r>
      <w:r>
        <w:t>radiopharmaceutical</w:t>
      </w:r>
      <w:r w:rsidR="00D806CE" w:rsidRPr="00745D0E">
        <w:t xml:space="preserve"> treatments </w:t>
      </w:r>
      <w:r w:rsidR="00FF6944">
        <w:t xml:space="preserve">for </w:t>
      </w:r>
      <w:proofErr w:type="spellStart"/>
      <w:r w:rsidR="00FF6944">
        <w:t>mCRPC</w:t>
      </w:r>
      <w:proofErr w:type="spellEnd"/>
      <w:r w:rsidR="00FF6944">
        <w:t xml:space="preserve"> </w:t>
      </w:r>
      <w:r w:rsidR="00D806CE" w:rsidRPr="00745D0E">
        <w:t>across Australia, within trials and clinically. It is routinely used in nuclear medicine departments for radiopharmac</w:t>
      </w:r>
      <w:r w:rsidR="007D1689">
        <w:t>eutical</w:t>
      </w:r>
      <w:r w:rsidR="00D806CE" w:rsidRPr="00745D0E">
        <w:t xml:space="preserve"> production across Australia</w:t>
      </w:r>
      <w:r w:rsidR="00D806CE">
        <w:t xml:space="preserve">. </w:t>
      </w:r>
      <w:r w:rsidR="00D806CE" w:rsidRPr="00745D0E">
        <w:t xml:space="preserve">GLP production of </w:t>
      </w:r>
      <w:r w:rsidR="00D806CE" w:rsidRPr="00745D0E">
        <w:rPr>
          <w:vertAlign w:val="superscript"/>
        </w:rPr>
        <w:t>177</w:t>
      </w:r>
      <w:r w:rsidR="009F7816">
        <w:t>Lu </w:t>
      </w:r>
      <w:r w:rsidR="00886914">
        <w:t>PSMA </w:t>
      </w:r>
      <w:proofErr w:type="spellStart"/>
      <w:r w:rsidR="00886914">
        <w:t>i&amp;t</w:t>
      </w:r>
      <w:proofErr w:type="spellEnd"/>
      <w:r w:rsidR="00D806CE" w:rsidRPr="00745D0E">
        <w:t xml:space="preserve"> is currently available through the TGA exemption for production of radiopharmaceuticals in public or private hospitals for local use and not for on-sale.</w:t>
      </w:r>
    </w:p>
    <w:p w14:paraId="44C3B242" w14:textId="3722D92E" w:rsidR="00772829" w:rsidRDefault="006669BE" w:rsidP="002A18BE">
      <w:pPr>
        <w:pStyle w:val="Heading2"/>
        <w:numPr>
          <w:ilvl w:val="0"/>
          <w:numId w:val="0"/>
        </w:numPr>
      </w:pPr>
      <w:bookmarkStart w:id="6" w:name="_Toc69491418"/>
      <w:r>
        <w:t>6</w:t>
      </w:r>
      <w:r w:rsidR="00C36633">
        <w:t>.</w:t>
      </w:r>
      <w:r w:rsidR="00C36633">
        <w:tab/>
      </w:r>
      <w:r w:rsidR="00772829" w:rsidRPr="00CE28E3">
        <w:t>Proposal for public funding</w:t>
      </w:r>
      <w:bookmarkEnd w:id="6"/>
    </w:p>
    <w:p w14:paraId="1E98E2C6" w14:textId="47CF08C0" w:rsidR="00D806CE" w:rsidRDefault="00816A2A" w:rsidP="00D806CE">
      <w:r>
        <w:t xml:space="preserve">The key change from the </w:t>
      </w:r>
      <w:r w:rsidR="00FF6944">
        <w:t>r</w:t>
      </w:r>
      <w:r>
        <w:t xml:space="preserve">atified PICO </w:t>
      </w:r>
      <w:r w:rsidR="00FF6944">
        <w:t>C</w:t>
      </w:r>
      <w:r>
        <w:t xml:space="preserve">onfirmation </w:t>
      </w:r>
      <w:r w:rsidR="00F4038D">
        <w:t>wa</w:t>
      </w:r>
      <w:r>
        <w:t>s that the ADAR removed the requirement (and proposed MBS item) for confirmatory testing with FDG PET/CT</w:t>
      </w:r>
      <w:r w:rsidR="00735FC0">
        <w:t xml:space="preserve"> as a </w:t>
      </w:r>
      <w:r w:rsidR="00E85748">
        <w:t xml:space="preserve">diagnostic </w:t>
      </w:r>
      <w:r w:rsidR="00735FC0">
        <w:t xml:space="preserve">component </w:t>
      </w:r>
      <w:r w:rsidR="00FF6944">
        <w:t>to help determine eligibility for</w:t>
      </w:r>
      <w:r w:rsidR="00735FC0">
        <w:t xml:space="preserve"> the </w:t>
      </w:r>
      <w:r w:rsidR="00FF6944">
        <w:t xml:space="preserve">therapeutic </w:t>
      </w:r>
      <w:r w:rsidR="00735FC0">
        <w:t>intervention</w:t>
      </w:r>
      <w:r>
        <w:t>.</w:t>
      </w:r>
    </w:p>
    <w:p w14:paraId="0054B453" w14:textId="21446BBB" w:rsidR="00E97F05" w:rsidRPr="00D806CE" w:rsidRDefault="00E97F05" w:rsidP="00D806CE">
      <w:r>
        <w:t xml:space="preserve">The proposed item descriptor for PSMA PET/CT requested in the ADAR is provided in </w:t>
      </w:r>
      <w:r>
        <w:fldChar w:fldCharType="begin"/>
      </w:r>
      <w:r>
        <w:instrText xml:space="preserve"> REF _Ref69481033 \h </w:instrText>
      </w:r>
      <w:r>
        <w:fldChar w:fldCharType="separate"/>
      </w:r>
      <w:r>
        <w:t>Table </w:t>
      </w:r>
      <w:r>
        <w:rPr>
          <w:noProof/>
        </w:rPr>
        <w:t>1</w:t>
      </w:r>
      <w:r>
        <w:fldChar w:fldCharType="end"/>
      </w:r>
      <w:r w:rsidR="00A961A9">
        <w:t xml:space="preserve">, with suggestions </w:t>
      </w:r>
      <w:r w:rsidR="00AD00DC">
        <w:t xml:space="preserve">from the Department </w:t>
      </w:r>
      <w:r w:rsidR="00A961A9">
        <w:t>identified as deleted text being struck out and inserted text being in italics</w:t>
      </w:r>
      <w:r>
        <w:t>.</w:t>
      </w:r>
    </w:p>
    <w:p w14:paraId="39392CFD" w14:textId="2199BE44" w:rsidR="003328A9" w:rsidRPr="00CE28E3" w:rsidRDefault="00310C3F" w:rsidP="006759CF">
      <w:pPr>
        <w:pStyle w:val="Caption"/>
        <w:rPr>
          <w:rFonts w:cs="Arial"/>
        </w:rPr>
      </w:pPr>
      <w:bookmarkStart w:id="7" w:name="_Ref69481033"/>
      <w:bookmarkStart w:id="8" w:name="_Hlk107393830"/>
      <w:r>
        <w:lastRenderedPageBreak/>
        <w:t>Table</w:t>
      </w:r>
      <w:r w:rsidR="004A4FDF">
        <w:t> </w:t>
      </w:r>
      <w:r w:rsidR="008440F9">
        <w:fldChar w:fldCharType="begin"/>
      </w:r>
      <w:r w:rsidR="008440F9">
        <w:instrText xml:space="preserve"> SEQ Table \* ARABIC </w:instrText>
      </w:r>
      <w:r w:rsidR="008440F9">
        <w:fldChar w:fldCharType="separate"/>
      </w:r>
      <w:r w:rsidR="00F8103E">
        <w:rPr>
          <w:noProof/>
        </w:rPr>
        <w:t>1</w:t>
      </w:r>
      <w:r w:rsidR="008440F9">
        <w:rPr>
          <w:noProof/>
        </w:rPr>
        <w:fldChar w:fldCharType="end"/>
      </w:r>
      <w:bookmarkEnd w:id="7"/>
      <w:r w:rsidR="003328A9" w:rsidRPr="00CE28E3">
        <w:rPr>
          <w:rFonts w:cs="Arial"/>
        </w:rPr>
        <w:tab/>
      </w:r>
      <w:r w:rsidR="00D806CE" w:rsidRPr="00745D0E">
        <w:t>Proposed item descriptor for PSMA PET/CT</w:t>
      </w:r>
      <w:r w:rsidR="00A63D9F">
        <w:t xml:space="preserve"> with subsequent suggestions</w:t>
      </w:r>
    </w:p>
    <w:tbl>
      <w:tblPr>
        <w:tblStyle w:val="TableGrid"/>
        <w:tblW w:w="5000" w:type="pct"/>
        <w:tblLook w:val="04A0" w:firstRow="1" w:lastRow="0" w:firstColumn="1" w:lastColumn="0" w:noHBand="0" w:noVBand="1"/>
        <w:tblCaption w:val="Proposed item descriptor for PSMA PET/CT"/>
        <w:tblDescription w:val="Proposed item descriptor for diagnostic testing of PSMA PET/CT for eligibility of 177Lu PSMA therapy in mCRPC. "/>
      </w:tblPr>
      <w:tblGrid>
        <w:gridCol w:w="9016"/>
      </w:tblGrid>
      <w:tr w:rsidR="00D806CE" w:rsidRPr="00745D0E" w14:paraId="58301CBF" w14:textId="77777777" w:rsidTr="004856FF">
        <w:trPr>
          <w:cantSplit/>
          <w:trHeight w:val="89"/>
        </w:trPr>
        <w:tc>
          <w:tcPr>
            <w:tcW w:w="5000" w:type="pct"/>
          </w:tcPr>
          <w:p w14:paraId="43CE30BA" w14:textId="77777777" w:rsidR="00D806CE" w:rsidRPr="00745D0E" w:rsidRDefault="00D806CE" w:rsidP="001C26DF">
            <w:pPr>
              <w:pStyle w:val="TableText"/>
              <w:keepNext/>
            </w:pPr>
            <w:bookmarkStart w:id="9" w:name="_Hlk107406970"/>
            <w:r w:rsidRPr="00745D0E">
              <w:t>Category 5 - Diagnostic Imaging Services</w:t>
            </w:r>
          </w:p>
        </w:tc>
      </w:tr>
      <w:tr w:rsidR="00D806CE" w:rsidRPr="00745D0E" w14:paraId="63373C05" w14:textId="77777777" w:rsidTr="004856FF">
        <w:trPr>
          <w:cantSplit/>
        </w:trPr>
        <w:tc>
          <w:tcPr>
            <w:tcW w:w="5000" w:type="pct"/>
          </w:tcPr>
          <w:p w14:paraId="48CBA8AC" w14:textId="77777777" w:rsidR="00D806CE" w:rsidRPr="00745D0E" w:rsidRDefault="00D806CE" w:rsidP="001C26DF">
            <w:pPr>
              <w:pStyle w:val="TableText"/>
              <w:keepNext/>
              <w:rPr>
                <w:lang w:eastAsia="ja-JP"/>
              </w:rPr>
            </w:pPr>
            <w:r w:rsidRPr="00745D0E">
              <w:rPr>
                <w:lang w:eastAsia="ja-JP"/>
              </w:rPr>
              <w:t>MBS item XXXX</w:t>
            </w:r>
          </w:p>
          <w:p w14:paraId="4812ADCB" w14:textId="46406EF0" w:rsidR="00D806CE" w:rsidRDefault="00D806CE" w:rsidP="001C26DF">
            <w:pPr>
              <w:pStyle w:val="TableText"/>
              <w:keepNext/>
              <w:rPr>
                <w:lang w:eastAsia="ja-JP"/>
              </w:rPr>
            </w:pPr>
            <w:r>
              <w:rPr>
                <w:lang w:eastAsia="ja-JP"/>
              </w:rPr>
              <w:t>Whole body prostate specific membrane antigen (PSMA) positron emission tomography (PET)</w:t>
            </w:r>
            <w:r w:rsidRPr="00A961A9">
              <w:rPr>
                <w:strike/>
                <w:lang w:eastAsia="ja-JP"/>
              </w:rPr>
              <w:t>/computerised tomography (CT)</w:t>
            </w:r>
            <w:r>
              <w:rPr>
                <w:lang w:eastAsia="ja-JP"/>
              </w:rPr>
              <w:t xml:space="preserve"> study, performed for the assessment of suitability for </w:t>
            </w:r>
            <w:r w:rsidRPr="00A961A9">
              <w:rPr>
                <w:strike/>
                <w:vertAlign w:val="superscript"/>
                <w:lang w:eastAsia="ja-JP"/>
              </w:rPr>
              <w:t>177</w:t>
            </w:r>
            <w:r>
              <w:rPr>
                <w:lang w:eastAsia="ja-JP"/>
              </w:rPr>
              <w:t>Lu</w:t>
            </w:r>
            <w:r w:rsidR="00BC130F" w:rsidRPr="006F256E">
              <w:rPr>
                <w:i/>
                <w:iCs/>
                <w:lang w:eastAsia="ja-JP"/>
              </w:rPr>
              <w:t>tetium 177</w:t>
            </w:r>
            <w:r>
              <w:rPr>
                <w:lang w:eastAsia="ja-JP"/>
              </w:rPr>
              <w:t xml:space="preserve"> PSMA therapy in a patient with metastatic castrate resistant prostate cancer </w:t>
            </w:r>
            <w:r w:rsidR="00BC130F" w:rsidRPr="006F256E">
              <w:rPr>
                <w:i/>
                <w:iCs/>
                <w:lang w:eastAsia="ja-JP"/>
              </w:rPr>
              <w:t>after progressive disease has developed while on at least one</w:t>
            </w:r>
            <w:r w:rsidR="00BC130F">
              <w:rPr>
                <w:lang w:eastAsia="ja-JP"/>
              </w:rPr>
              <w:t xml:space="preserve"> </w:t>
            </w:r>
            <w:r w:rsidRPr="006F256E">
              <w:rPr>
                <w:strike/>
                <w:lang w:eastAsia="ja-JP"/>
              </w:rPr>
              <w:t>who has previously received a</w:t>
            </w:r>
            <w:r>
              <w:rPr>
                <w:lang w:eastAsia="ja-JP"/>
              </w:rPr>
              <w:t xml:space="preserve"> </w:t>
            </w:r>
            <w:proofErr w:type="spellStart"/>
            <w:r>
              <w:rPr>
                <w:lang w:eastAsia="ja-JP"/>
              </w:rPr>
              <w:t>taxane</w:t>
            </w:r>
            <w:proofErr w:type="spellEnd"/>
            <w:r>
              <w:rPr>
                <w:lang w:eastAsia="ja-JP"/>
              </w:rPr>
              <w:t xml:space="preserve"> chemotherapy and</w:t>
            </w:r>
            <w:r w:rsidR="00BC130F">
              <w:rPr>
                <w:lang w:eastAsia="ja-JP"/>
              </w:rPr>
              <w:t xml:space="preserve"> </w:t>
            </w:r>
            <w:r w:rsidR="00BC130F" w:rsidRPr="006F256E">
              <w:rPr>
                <w:i/>
                <w:iCs/>
                <w:lang w:eastAsia="ja-JP"/>
              </w:rPr>
              <w:t>at least one</w:t>
            </w:r>
            <w:r>
              <w:rPr>
                <w:lang w:eastAsia="ja-JP"/>
              </w:rPr>
              <w:t xml:space="preserve"> androgen</w:t>
            </w:r>
            <w:r w:rsidR="00BC130F">
              <w:rPr>
                <w:lang w:eastAsia="ja-JP"/>
              </w:rPr>
              <w:t xml:space="preserve"> </w:t>
            </w:r>
            <w:r w:rsidR="00BC130F" w:rsidRPr="006F256E">
              <w:rPr>
                <w:i/>
                <w:iCs/>
                <w:lang w:eastAsia="ja-JP"/>
              </w:rPr>
              <w:t>receptor</w:t>
            </w:r>
            <w:r>
              <w:rPr>
                <w:lang w:eastAsia="ja-JP"/>
              </w:rPr>
              <w:t xml:space="preserve"> signalling inhibitor.</w:t>
            </w:r>
          </w:p>
          <w:p w14:paraId="30ECD809" w14:textId="2651734E" w:rsidR="00BC130F" w:rsidRDefault="00BC130F" w:rsidP="001C26DF">
            <w:pPr>
              <w:pStyle w:val="TableText"/>
              <w:keepNext/>
              <w:rPr>
                <w:lang w:eastAsia="ja-JP"/>
              </w:rPr>
            </w:pPr>
          </w:p>
          <w:p w14:paraId="1DC13DEC" w14:textId="4281B4FD" w:rsidR="00BC130F" w:rsidRPr="006F256E" w:rsidRDefault="00BC130F" w:rsidP="001C26DF">
            <w:pPr>
              <w:pStyle w:val="TableText"/>
              <w:keepNext/>
              <w:rPr>
                <w:i/>
                <w:iCs/>
                <w:lang w:eastAsia="ja-JP"/>
              </w:rPr>
            </w:pPr>
            <w:r w:rsidRPr="006F256E">
              <w:rPr>
                <w:i/>
                <w:iCs/>
                <w:lang w:eastAsia="ja-JP"/>
              </w:rPr>
              <w:t>(R) (</w:t>
            </w:r>
            <w:proofErr w:type="spellStart"/>
            <w:r w:rsidRPr="006F256E">
              <w:rPr>
                <w:i/>
                <w:iCs/>
                <w:lang w:eastAsia="ja-JP"/>
              </w:rPr>
              <w:t>Anaes</w:t>
            </w:r>
            <w:proofErr w:type="spellEnd"/>
            <w:r w:rsidRPr="006F256E">
              <w:rPr>
                <w:i/>
                <w:iCs/>
                <w:lang w:eastAsia="ja-JP"/>
              </w:rPr>
              <w:t>)</w:t>
            </w:r>
          </w:p>
          <w:p w14:paraId="59C12F0F" w14:textId="18CE2C60" w:rsidR="00D806CE" w:rsidRPr="006F256E" w:rsidRDefault="00D806CE" w:rsidP="00D57C45">
            <w:pPr>
              <w:pStyle w:val="TableText"/>
              <w:keepNext/>
              <w:spacing w:before="240"/>
              <w:rPr>
                <w:strike/>
              </w:rPr>
            </w:pPr>
            <w:r w:rsidRPr="006F256E">
              <w:rPr>
                <w:strike/>
                <w:lang w:eastAsia="ja-JP"/>
              </w:rPr>
              <w:t>Patient must be referred by oncology specialist.</w:t>
            </w:r>
          </w:p>
        </w:tc>
      </w:tr>
      <w:tr w:rsidR="00D806CE" w:rsidRPr="00745D0E" w14:paraId="6AD1D203" w14:textId="77777777" w:rsidTr="004856FF">
        <w:trPr>
          <w:cantSplit/>
          <w:trHeight w:val="223"/>
        </w:trPr>
        <w:tc>
          <w:tcPr>
            <w:tcW w:w="5000" w:type="pct"/>
          </w:tcPr>
          <w:p w14:paraId="59068965" w14:textId="6EF11100" w:rsidR="00D806CE" w:rsidRPr="00745D0E" w:rsidRDefault="00D806CE" w:rsidP="00783B61">
            <w:pPr>
              <w:pStyle w:val="TableText"/>
              <w:rPr>
                <w:snapToGrid w:val="0"/>
                <w:szCs w:val="20"/>
              </w:rPr>
            </w:pPr>
            <w:r w:rsidRPr="00745D0E">
              <w:rPr>
                <w:szCs w:val="20"/>
              </w:rPr>
              <w:t xml:space="preserve">Fee: </w:t>
            </w:r>
            <w:r w:rsidRPr="006F256E">
              <w:rPr>
                <w:i/>
                <w:iCs/>
                <w:szCs w:val="20"/>
              </w:rPr>
              <w:t>$</w:t>
            </w:r>
            <w:r w:rsidR="006F256E" w:rsidRPr="006F256E">
              <w:rPr>
                <w:i/>
                <w:iCs/>
                <w:szCs w:val="20"/>
              </w:rPr>
              <w:t>1,300</w:t>
            </w:r>
            <w:r w:rsidR="006F256E">
              <w:rPr>
                <w:szCs w:val="20"/>
              </w:rPr>
              <w:t xml:space="preserve"> </w:t>
            </w:r>
            <w:r w:rsidR="006F256E" w:rsidRPr="006F256E">
              <w:rPr>
                <w:strike/>
                <w:szCs w:val="20"/>
              </w:rPr>
              <w:t>$</w:t>
            </w:r>
            <w:r w:rsidRPr="006F256E">
              <w:rPr>
                <w:strike/>
                <w:szCs w:val="20"/>
              </w:rPr>
              <w:t>1,</w:t>
            </w:r>
            <w:r w:rsidR="006F256E" w:rsidRPr="006F256E">
              <w:rPr>
                <w:strike/>
                <w:szCs w:val="20"/>
              </w:rPr>
              <w:t>4</w:t>
            </w:r>
            <w:r w:rsidRPr="006F256E">
              <w:rPr>
                <w:strike/>
                <w:szCs w:val="20"/>
              </w:rPr>
              <w:t>00</w:t>
            </w:r>
            <w:r w:rsidRPr="005876A4">
              <w:rPr>
                <w:i/>
                <w:szCs w:val="20"/>
              </w:rPr>
              <w:t xml:space="preserve"> Benefit: 85% = $</w:t>
            </w:r>
            <w:r>
              <w:rPr>
                <w:i/>
                <w:szCs w:val="20"/>
              </w:rPr>
              <w:t>1,190</w:t>
            </w:r>
          </w:p>
        </w:tc>
      </w:tr>
    </w:tbl>
    <w:bookmarkEnd w:id="8"/>
    <w:bookmarkEnd w:id="9"/>
    <w:p w14:paraId="52328A31" w14:textId="418587F0" w:rsidR="001F758A" w:rsidRDefault="00D806CE" w:rsidP="00783B61">
      <w:pPr>
        <w:keepNext/>
        <w:spacing w:before="240"/>
      </w:pPr>
      <w:r>
        <w:t>The</w:t>
      </w:r>
      <w:r>
        <w:rPr>
          <w:noProof/>
        </w:rPr>
        <w:t xml:space="preserve"> request for PSMA PET/CT </w:t>
      </w:r>
      <w:r w:rsidR="00F4038D">
        <w:rPr>
          <w:noProof/>
        </w:rPr>
        <w:t>wa</w:t>
      </w:r>
      <w:r>
        <w:rPr>
          <w:noProof/>
        </w:rPr>
        <w:t xml:space="preserve">s </w:t>
      </w:r>
      <w:r w:rsidR="001F758A" w:rsidRPr="00745D0E">
        <w:t>radiotracer agnostic</w:t>
      </w:r>
      <w:r w:rsidR="001F758A">
        <w:t xml:space="preserve">. </w:t>
      </w:r>
      <w:r w:rsidR="0029412D">
        <w:t>The ADAR note</w:t>
      </w:r>
      <w:r w:rsidR="00F4038D">
        <w:t>d</w:t>
      </w:r>
      <w:r w:rsidR="0029412D">
        <w:t xml:space="preserve"> that </w:t>
      </w:r>
      <w:r w:rsidR="0029412D">
        <w:rPr>
          <w:vertAlign w:val="superscript"/>
        </w:rPr>
        <w:t>68</w:t>
      </w:r>
      <w:r w:rsidR="0029412D">
        <w:t xml:space="preserve">Ga or </w:t>
      </w:r>
      <w:r w:rsidR="0029412D">
        <w:rPr>
          <w:vertAlign w:val="superscript"/>
        </w:rPr>
        <w:t>18</w:t>
      </w:r>
      <w:r w:rsidR="0029412D">
        <w:t xml:space="preserve">F labelled </w:t>
      </w:r>
      <w:r w:rsidR="00892CCD">
        <w:t xml:space="preserve">tracers </w:t>
      </w:r>
      <w:r w:rsidR="0029412D">
        <w:t xml:space="preserve">are often used in Australia; </w:t>
      </w:r>
      <w:r w:rsidR="001F758A" w:rsidRPr="001F758A">
        <w:rPr>
          <w:vertAlign w:val="superscript"/>
        </w:rPr>
        <w:t>68</w:t>
      </w:r>
      <w:r w:rsidR="001F758A">
        <w:t>Gallium (</w:t>
      </w:r>
      <w:r w:rsidR="001F758A" w:rsidRPr="001F758A">
        <w:rPr>
          <w:vertAlign w:val="superscript"/>
        </w:rPr>
        <w:t>68</w:t>
      </w:r>
      <w:r w:rsidR="001F758A" w:rsidRPr="001F758A">
        <w:t>G</w:t>
      </w:r>
      <w:r w:rsidR="001F758A">
        <w:t>a</w:t>
      </w:r>
      <w:r w:rsidR="001F758A" w:rsidRPr="001F758A">
        <w:t>)</w:t>
      </w:r>
      <w:r w:rsidR="001F758A">
        <w:t>-PSMA-11 was used in all trials presented in the ADAR for determining patient eligibility. The ADAR claim</w:t>
      </w:r>
      <w:r w:rsidR="00F4038D">
        <w:t>ed</w:t>
      </w:r>
      <w:r w:rsidR="001F758A">
        <w:t xml:space="preserve"> PSMA radiotracers used for</w:t>
      </w:r>
      <w:r w:rsidR="001F758A" w:rsidRPr="00745D0E">
        <w:t xml:space="preserve"> PSMA PET/CT for patients with </w:t>
      </w:r>
      <w:proofErr w:type="spellStart"/>
      <w:r w:rsidR="001F758A" w:rsidRPr="00745D0E">
        <w:t>mCRPC</w:t>
      </w:r>
      <w:proofErr w:type="spellEnd"/>
      <w:r w:rsidR="001F758A" w:rsidRPr="00745D0E">
        <w:t xml:space="preserve"> to determine eligibility for </w:t>
      </w:r>
      <w:r w:rsidR="001F758A" w:rsidRPr="00745D0E">
        <w:rPr>
          <w:vertAlign w:val="superscript"/>
        </w:rPr>
        <w:t>177</w:t>
      </w:r>
      <w:r w:rsidR="009F7816">
        <w:t>Lu </w:t>
      </w:r>
      <w:r w:rsidR="00886914">
        <w:t>PSMA </w:t>
      </w:r>
      <w:proofErr w:type="spellStart"/>
      <w:r w:rsidR="00886914">
        <w:t>i&amp;t</w:t>
      </w:r>
      <w:proofErr w:type="spellEnd"/>
      <w:r w:rsidR="001F758A" w:rsidRPr="00745D0E">
        <w:t xml:space="preserve"> </w:t>
      </w:r>
      <w:r w:rsidR="001F758A">
        <w:t>are considered interchangeable for the following reasons:</w:t>
      </w:r>
    </w:p>
    <w:p w14:paraId="77EC4A58" w14:textId="351A4B64" w:rsidR="001F758A" w:rsidRPr="00365548" w:rsidRDefault="00842A4C" w:rsidP="00CB0324">
      <w:pPr>
        <w:pStyle w:val="ListParagraph"/>
        <w:numPr>
          <w:ilvl w:val="0"/>
          <w:numId w:val="11"/>
        </w:numPr>
        <w:spacing w:after="200" w:line="276" w:lineRule="auto"/>
        <w:ind w:left="284" w:hanging="284"/>
      </w:pPr>
      <w:r w:rsidRPr="00365548">
        <w:t xml:space="preserve">The </w:t>
      </w:r>
      <w:r w:rsidR="001F758A" w:rsidRPr="00365548">
        <w:t xml:space="preserve">PSMA PET/CT scan requested in this application is the same as that in Application 1632 </w:t>
      </w:r>
      <w:r w:rsidRPr="00365548">
        <w:t xml:space="preserve">from which </w:t>
      </w:r>
      <w:r w:rsidR="001F758A" w:rsidRPr="00365548">
        <w:t>a tracer agnostic PSMA PET/CT was accepted</w:t>
      </w:r>
      <w:r w:rsidRPr="00365548">
        <w:t xml:space="preserve"> by MSAC</w:t>
      </w:r>
      <w:r w:rsidR="002102F3" w:rsidRPr="00365548">
        <w:t xml:space="preserve"> in early</w:t>
      </w:r>
      <w:r w:rsidR="00365548">
        <w:t>-</w:t>
      </w:r>
      <w:r w:rsidR="002102F3" w:rsidRPr="00365548">
        <w:t>stage prostate cancer</w:t>
      </w:r>
      <w:r w:rsidR="001F758A" w:rsidRPr="006046E7">
        <w:t>.</w:t>
      </w:r>
    </w:p>
    <w:p w14:paraId="3EED1C49" w14:textId="2736F5F1" w:rsidR="001F758A" w:rsidRPr="007E5F2A" w:rsidRDefault="001F758A" w:rsidP="00CB0324">
      <w:pPr>
        <w:pStyle w:val="ListParagraph"/>
        <w:numPr>
          <w:ilvl w:val="0"/>
          <w:numId w:val="11"/>
        </w:numPr>
        <w:spacing w:after="200" w:line="276" w:lineRule="auto"/>
        <w:ind w:left="284" w:hanging="284"/>
      </w:pPr>
      <w:r>
        <w:t>MSAC advised in</w:t>
      </w:r>
      <w:r w:rsidRPr="00745D0E">
        <w:t xml:space="preserve"> Application 1632 that it would be preferable not to specify any radiopharmaceutical tracers in the MBS item descriptors, </w:t>
      </w:r>
      <w:r w:rsidRPr="007E5F2A">
        <w:t>“to allow clinicians and nuclear medicine physicians the choice of radiopharmaceutical tracer, and to allow for any future improved radiopharmaceutical tracers to be used as well”</w:t>
      </w:r>
      <w:r w:rsidRPr="00745D0E">
        <w:t xml:space="preserve"> </w:t>
      </w:r>
      <w:r w:rsidRPr="00745D0E">
        <w:fldChar w:fldCharType="begin"/>
      </w:r>
      <w:r>
        <w:instrText xml:space="preserve"> ADDIN EN.CITE &lt;EndNote&gt;&lt;Cite&gt;&lt;Author&gt;MSAC PSD 1632&lt;/Author&gt;&lt;Year&gt;2021&lt;/Year&gt;&lt;RecNum&gt;15&lt;/RecNum&gt;&lt;Pages&gt;5&lt;/Pages&gt;&lt;DisplayText&gt;(MSAC PSD 1632, 2021)&lt;/DisplayText&gt;&lt;record&gt;&lt;rec-number&gt;15&lt;/rec-number&gt;&lt;foreign-keys&gt;&lt;key app="EN" db-id="fpzesst98x95suetv2hxppzt995wtxas9fet" timestamp="1642050431"&gt;15&lt;/key&gt;&lt;/foreign-keys&gt;&lt;ref-type name="Government Document"&gt;46&lt;/ref-type&gt;&lt;contributors&gt;&lt;authors&gt;&lt;author&gt;MSAC PSD 1632,&lt;/author&gt;&lt;/authors&gt;&lt;/contributors&gt;&lt;titles&gt;&lt;title&gt;Application 1632 – PSMA PET/CT imaging for informing treatment&amp;#xD;of patients with prostate cancer&lt;/title&gt;&lt;/titles&gt;&lt;dates&gt;&lt;year&gt;2021&lt;/year&gt;&lt;/dates&gt;&lt;urls&gt;&lt;/urls&gt;&lt;/record&gt;&lt;/Cite&gt;&lt;/EndNote&gt;</w:instrText>
      </w:r>
      <w:r w:rsidRPr="00745D0E">
        <w:fldChar w:fldCharType="separate"/>
      </w:r>
      <w:r w:rsidRPr="00745D0E">
        <w:rPr>
          <w:noProof/>
        </w:rPr>
        <w:t>(MSAC PSD 1632, 2021</w:t>
      </w:r>
      <w:r w:rsidR="006046E7">
        <w:rPr>
          <w:noProof/>
        </w:rPr>
        <w:t>, p.4</w:t>
      </w:r>
      <w:r w:rsidRPr="00745D0E">
        <w:rPr>
          <w:noProof/>
        </w:rPr>
        <w:t>)</w:t>
      </w:r>
      <w:r w:rsidRPr="00745D0E">
        <w:fldChar w:fldCharType="end"/>
      </w:r>
      <w:r w:rsidRPr="007E5F2A">
        <w:t>.</w:t>
      </w:r>
    </w:p>
    <w:p w14:paraId="29630259" w14:textId="3BC25382" w:rsidR="001F758A" w:rsidRPr="007E5F2A" w:rsidRDefault="001F758A" w:rsidP="00CB0324">
      <w:pPr>
        <w:pStyle w:val="ListParagraph"/>
        <w:numPr>
          <w:ilvl w:val="0"/>
          <w:numId w:val="11"/>
        </w:numPr>
        <w:spacing w:after="200" w:line="276" w:lineRule="auto"/>
        <w:ind w:left="284" w:hanging="284"/>
      </w:pPr>
      <w:r>
        <w:t xml:space="preserve">Compared to </w:t>
      </w:r>
      <w:r w:rsidR="007D4822">
        <w:t>gallium 68 (</w:t>
      </w:r>
      <w:r w:rsidRPr="004D16D6">
        <w:rPr>
          <w:vertAlign w:val="superscript"/>
        </w:rPr>
        <w:t>68</w:t>
      </w:r>
      <w:r>
        <w:t>Ga</w:t>
      </w:r>
      <w:r w:rsidR="007D4822">
        <w:t>)</w:t>
      </w:r>
      <w:r>
        <w:t xml:space="preserve">, </w:t>
      </w:r>
      <w:r w:rsidRPr="004D16D6">
        <w:rPr>
          <w:vertAlign w:val="superscript"/>
        </w:rPr>
        <w:t>18</w:t>
      </w:r>
      <w:r>
        <w:t xml:space="preserve">F has a longer half-life of 110 minutes compared to 68 minutes for </w:t>
      </w:r>
      <w:r w:rsidRPr="004D16D6">
        <w:rPr>
          <w:vertAlign w:val="superscript"/>
        </w:rPr>
        <w:t>68</w:t>
      </w:r>
      <w:r>
        <w:t>Ga</w:t>
      </w:r>
      <w:r w:rsidR="006046E7">
        <w:t>,</w:t>
      </w:r>
      <w:r>
        <w:t xml:space="preserve"> making it more suitable for distribution from centralised GMP manufacturers. </w:t>
      </w:r>
      <w:r w:rsidRPr="004D16D6">
        <w:rPr>
          <w:vertAlign w:val="superscript"/>
        </w:rPr>
        <w:t>68</w:t>
      </w:r>
      <w:r>
        <w:t>Ga-based radiotracers are more commonly produced at the PET/CT location (“in-house”) with no, or very limited distribution.</w:t>
      </w:r>
    </w:p>
    <w:p w14:paraId="6028E897" w14:textId="53B671EF" w:rsidR="006759CF" w:rsidRDefault="001F758A" w:rsidP="006759CF">
      <w:pPr>
        <w:pStyle w:val="ListParagraph"/>
        <w:numPr>
          <w:ilvl w:val="0"/>
          <w:numId w:val="11"/>
        </w:numPr>
        <w:spacing w:after="200" w:line="276" w:lineRule="auto"/>
        <w:ind w:left="284" w:hanging="284"/>
      </w:pPr>
      <w:r>
        <w:t xml:space="preserve">PET instrumentation and resultant </w:t>
      </w:r>
      <w:r w:rsidRPr="001F758A">
        <w:t>maximum standardised uptake value</w:t>
      </w:r>
      <w:r>
        <w:t xml:space="preserve"> (</w:t>
      </w:r>
      <w:proofErr w:type="spellStart"/>
      <w:r>
        <w:t>SUV</w:t>
      </w:r>
      <w:r w:rsidRPr="00BE1439">
        <w:rPr>
          <w:vertAlign w:val="subscript"/>
        </w:rPr>
        <w:t>max</w:t>
      </w:r>
      <w:proofErr w:type="spellEnd"/>
      <w:r w:rsidRPr="001F758A">
        <w:t>)</w:t>
      </w:r>
      <w:r>
        <w:t xml:space="preserve"> measurement is consistent for patients with </w:t>
      </w:r>
      <w:proofErr w:type="spellStart"/>
      <w:r>
        <w:t>mCRPC</w:t>
      </w:r>
      <w:proofErr w:type="spellEnd"/>
      <w:r w:rsidRPr="00807D0B">
        <w:rPr>
          <w:bCs/>
        </w:rPr>
        <w:t xml:space="preserve"> </w:t>
      </w:r>
      <w:r>
        <w:rPr>
          <w:bCs/>
        </w:rPr>
        <w:t xml:space="preserve">across available PSMA radiotracers in Australia. This is because </w:t>
      </w:r>
      <w:r>
        <w:t xml:space="preserve">all operating PET instrumentation which are listed on the </w:t>
      </w:r>
      <w:r w:rsidR="00AB3860">
        <w:t>Location Specific Practice Number (</w:t>
      </w:r>
      <w:r>
        <w:t>LSPN</w:t>
      </w:r>
      <w:r w:rsidR="00AB3860">
        <w:t>)</w:t>
      </w:r>
      <w:r>
        <w:t xml:space="preserve"> for Medicare purposes undergo regular quality control/quality assurance program to ensure that SUV measurements are within acceptable limits.</w:t>
      </w:r>
    </w:p>
    <w:p w14:paraId="193DAFF3" w14:textId="51A3D2E3" w:rsidR="006759CF" w:rsidRPr="00F52F83" w:rsidRDefault="006759CF" w:rsidP="00DE2346">
      <w:pPr>
        <w:spacing w:after="200" w:line="276" w:lineRule="auto"/>
      </w:pPr>
      <w:r>
        <w:t xml:space="preserve">The ADAR additionally </w:t>
      </w:r>
      <w:r w:rsidR="0029412D">
        <w:t xml:space="preserve">summarised the results of </w:t>
      </w:r>
      <w:proofErr w:type="spellStart"/>
      <w:r w:rsidR="004B20ED">
        <w:t>Hoberück</w:t>
      </w:r>
      <w:proofErr w:type="spellEnd"/>
      <w:r w:rsidR="0029412D">
        <w:t xml:space="preserve"> (2021)</w:t>
      </w:r>
      <w:r w:rsidR="004C02C8">
        <w:rPr>
          <w:rStyle w:val="FootnoteReference"/>
        </w:rPr>
        <w:footnoteReference w:id="4"/>
      </w:r>
      <w:r w:rsidR="0029412D">
        <w:t xml:space="preserve"> who reported a retrospective analysis of 46 prostate cancer patients (median age: 71 years) who underwent consecutive </w:t>
      </w:r>
      <w:r w:rsidR="0029412D" w:rsidRPr="0029412D">
        <w:rPr>
          <w:vertAlign w:val="superscript"/>
        </w:rPr>
        <w:t>68</w:t>
      </w:r>
      <w:r w:rsidR="0029412D">
        <w:t>Ga</w:t>
      </w:r>
      <w:r w:rsidR="00F52F83">
        <w:t> </w:t>
      </w:r>
      <w:r w:rsidR="0029412D">
        <w:t>PSMA</w:t>
      </w:r>
      <w:r w:rsidR="00F52F83">
        <w:t> </w:t>
      </w:r>
      <w:r w:rsidR="0029412D">
        <w:t xml:space="preserve">11 and </w:t>
      </w:r>
      <w:r w:rsidR="0029412D" w:rsidRPr="0029412D">
        <w:rPr>
          <w:vertAlign w:val="superscript"/>
        </w:rPr>
        <w:t>18</w:t>
      </w:r>
      <w:r w:rsidR="0029412D">
        <w:t>F</w:t>
      </w:r>
      <w:r w:rsidR="00F52F83">
        <w:t> </w:t>
      </w:r>
      <w:r w:rsidR="0029412D">
        <w:t>PSMA</w:t>
      </w:r>
      <w:r w:rsidR="00F52F83">
        <w:t> </w:t>
      </w:r>
      <w:r w:rsidR="0029412D">
        <w:t>1007</w:t>
      </w:r>
      <w:r w:rsidR="00F52F83">
        <w:t> </w:t>
      </w:r>
      <w:r w:rsidR="0029412D">
        <w:t xml:space="preserve">PET/CT or PET/MRI within a mean of 12 ± 8.0 days. There was no significant difference between </w:t>
      </w:r>
      <w:r w:rsidR="0029412D">
        <w:rPr>
          <w:vertAlign w:val="superscript"/>
        </w:rPr>
        <w:t>18</w:t>
      </w:r>
      <w:r w:rsidR="0029412D">
        <w:t>F</w:t>
      </w:r>
      <w:r w:rsidR="00F52F83">
        <w:t> </w:t>
      </w:r>
      <w:r w:rsidR="0029412D">
        <w:t>PSMA</w:t>
      </w:r>
      <w:r w:rsidR="00F52F83">
        <w:t> </w:t>
      </w:r>
      <w:r w:rsidR="0029412D">
        <w:t xml:space="preserve">1007 and </w:t>
      </w:r>
      <w:r w:rsidR="0029412D">
        <w:rPr>
          <w:vertAlign w:val="superscript"/>
        </w:rPr>
        <w:t>68</w:t>
      </w:r>
      <w:r w:rsidR="0029412D">
        <w:t>Ga</w:t>
      </w:r>
      <w:r w:rsidR="00F52F83">
        <w:t> </w:t>
      </w:r>
      <w:r w:rsidR="0029412D">
        <w:t>PSMA</w:t>
      </w:r>
      <w:r w:rsidR="00F52F83">
        <w:t> </w:t>
      </w:r>
      <w:r w:rsidR="0029412D">
        <w:t xml:space="preserve">11 in the </w:t>
      </w:r>
      <w:proofErr w:type="spellStart"/>
      <w:r w:rsidR="0029412D">
        <w:t>SUV</w:t>
      </w:r>
      <w:r w:rsidR="0029412D">
        <w:rPr>
          <w:vertAlign w:val="subscript"/>
        </w:rPr>
        <w:t>max</w:t>
      </w:r>
      <w:proofErr w:type="spellEnd"/>
      <w:r w:rsidR="0029412D">
        <w:t xml:space="preserve"> locally (31.5 vs 32.7; p=0.658), in lymph node metastases (28.9 vs 24.9; p=0.30) or in bone metastases (22.9 vs 27.6; p=0.286). </w:t>
      </w:r>
      <w:bookmarkStart w:id="10" w:name="_Hlk102947362"/>
      <w:r w:rsidR="0029412D" w:rsidRPr="007450B3">
        <w:t>The authors also reported that “[</w:t>
      </w:r>
      <w:proofErr w:type="spellStart"/>
      <w:r w:rsidR="0029412D" w:rsidRPr="007450B3">
        <w:t>i</w:t>
      </w:r>
      <w:proofErr w:type="spellEnd"/>
      <w:r w:rsidR="0029412D" w:rsidRPr="007450B3">
        <w:t>]n [</w:t>
      </w:r>
      <w:r w:rsidR="0029412D" w:rsidRPr="007450B3">
        <w:rPr>
          <w:vertAlign w:val="superscript"/>
        </w:rPr>
        <w:t>18</w:t>
      </w:r>
      <w:r w:rsidR="0029412D" w:rsidRPr="007450B3">
        <w:t>F]-F-PSMA-1007 PET, more patients featured presumable unspecific uptake in the lymph nodes (52.2% vs. 28.3%; p&lt;0.001), bones (71.7% vs. 23.9%; p&lt;0.001) and ganglia (71.7% vs. 43.5%; p&lt;0.001). Probable unspecific, exclusively [</w:t>
      </w:r>
      <w:r w:rsidR="0029412D" w:rsidRPr="007450B3">
        <w:rPr>
          <w:vertAlign w:val="superscript"/>
        </w:rPr>
        <w:t>18</w:t>
      </w:r>
      <w:r w:rsidR="0029412D" w:rsidRPr="007450B3">
        <w:t xml:space="preserve">F]-F-PSMA-1007-positive lesions mainly occurred in the ribs (58.7%), </w:t>
      </w:r>
      <w:r w:rsidR="0029412D" w:rsidRPr="007450B3">
        <w:lastRenderedPageBreak/>
        <w:t>axillary lymph nodes (39.1%) and cervical ganglia (28.3%)</w:t>
      </w:r>
      <w:r w:rsidR="000F6395">
        <w:t>”</w:t>
      </w:r>
      <w:r w:rsidR="0029412D" w:rsidRPr="007450B3">
        <w:t xml:space="preserve">. </w:t>
      </w:r>
      <w:proofErr w:type="spellStart"/>
      <w:r w:rsidR="004B20ED">
        <w:t>Hoberück</w:t>
      </w:r>
      <w:proofErr w:type="spellEnd"/>
      <w:r w:rsidR="0029412D" w:rsidRPr="007450B3">
        <w:t xml:space="preserve"> (2021) concluded that “it appears reasonable to choose the PSMA radiotracer depending on local availability with attention to the greater occurrence of nonspecific bone findings with [</w:t>
      </w:r>
      <w:r w:rsidR="0029412D" w:rsidRPr="007450B3">
        <w:rPr>
          <w:vertAlign w:val="superscript"/>
        </w:rPr>
        <w:t>18</w:t>
      </w:r>
      <w:r w:rsidR="0029412D" w:rsidRPr="007450B3">
        <w:t>F]-F-PSMA-1007”.</w:t>
      </w:r>
      <w:bookmarkEnd w:id="10"/>
    </w:p>
    <w:p w14:paraId="1091FE95" w14:textId="1B4D290E" w:rsidR="00892CCD" w:rsidRPr="004B20ED" w:rsidRDefault="001F758A" w:rsidP="001F758A">
      <w:pPr>
        <w:spacing w:after="200" w:line="276" w:lineRule="auto"/>
      </w:pPr>
      <w:r w:rsidRPr="00F52F83">
        <w:t xml:space="preserve">PASC noted that </w:t>
      </w:r>
      <w:r w:rsidR="000F6395">
        <w:t>“</w:t>
      </w:r>
      <w:r w:rsidRPr="00F52F83">
        <w:t xml:space="preserve">although MSAC accepted that all available diagnostic PSMA agents may be equivalent (MSAC 1632 PSD), it is not established that all will give the same </w:t>
      </w:r>
      <w:proofErr w:type="spellStart"/>
      <w:r w:rsidRPr="00F52F83">
        <w:t>lesional</w:t>
      </w:r>
      <w:proofErr w:type="spellEnd"/>
      <w:r w:rsidRPr="00F52F83">
        <w:t xml:space="preserve"> </w:t>
      </w:r>
      <w:proofErr w:type="spellStart"/>
      <w:r w:rsidRPr="00F52F83">
        <w:t>SUV</w:t>
      </w:r>
      <w:r w:rsidRPr="00F52F83">
        <w:rPr>
          <w:vertAlign w:val="subscript"/>
        </w:rPr>
        <w:t>max</w:t>
      </w:r>
      <w:proofErr w:type="spellEnd"/>
      <w:r w:rsidRPr="00F52F83">
        <w:t xml:space="preserve"> values as required in the PICO. PASC also noted that SUV can vary dependent on the camera and software used. The assessment report for this application will need to provide analytical concordance data across diagnostic PSMA ligand options available in Australia against the different PSMA criteria as proposed in the item descriptor and as defined in the trials.” </w:t>
      </w:r>
      <w:r w:rsidRPr="000F6395">
        <w:t>[PICO, p14].</w:t>
      </w:r>
    </w:p>
    <w:p w14:paraId="269839A5" w14:textId="2128C187" w:rsidR="00892CCD" w:rsidRPr="00F52F83" w:rsidRDefault="007935C6" w:rsidP="007935C6">
      <w:pPr>
        <w:spacing w:after="200" w:line="276" w:lineRule="auto"/>
      </w:pPr>
      <w:r w:rsidRPr="00F52F83">
        <w:t xml:space="preserve">The data from </w:t>
      </w:r>
      <w:proofErr w:type="spellStart"/>
      <w:r w:rsidR="004B20ED">
        <w:t>Hoberück</w:t>
      </w:r>
      <w:proofErr w:type="spellEnd"/>
      <w:r w:rsidRPr="00F52F83">
        <w:t xml:space="preserve"> (2021) did not provide concordance data across diagnostic PSMA ligand options available in Australia against the different PSMA criteria as proposed in the item descriptor (</w:t>
      </w:r>
      <w:proofErr w:type="spellStart"/>
      <w:r w:rsidRPr="00F52F83">
        <w:t>SUV</w:t>
      </w:r>
      <w:r w:rsidRPr="00F52F83">
        <w:rPr>
          <w:vertAlign w:val="subscript"/>
        </w:rPr>
        <w:t>max</w:t>
      </w:r>
      <w:proofErr w:type="spellEnd"/>
      <w:r w:rsidRPr="00F52F83">
        <w:rPr>
          <w:vertAlign w:val="subscript"/>
        </w:rPr>
        <w:t xml:space="preserve"> </w:t>
      </w:r>
      <w:r w:rsidRPr="00F52F83">
        <w:t>&gt;15</w:t>
      </w:r>
      <w:r w:rsidRPr="004B20ED">
        <w:t xml:space="preserve"> </w:t>
      </w:r>
      <w:r w:rsidRPr="00F52F83">
        <w:t xml:space="preserve">at a single site of disease and </w:t>
      </w:r>
      <w:proofErr w:type="spellStart"/>
      <w:r w:rsidRPr="00F52F83">
        <w:t>SUV</w:t>
      </w:r>
      <w:r w:rsidRPr="00F52F83">
        <w:rPr>
          <w:vertAlign w:val="subscript"/>
        </w:rPr>
        <w:t>max</w:t>
      </w:r>
      <w:proofErr w:type="spellEnd"/>
      <w:r w:rsidRPr="00F52F83">
        <w:t xml:space="preserve"> &gt;10 at all sites of measurable disease) nor as defined in the </w:t>
      </w:r>
      <w:r w:rsidR="00F52F83">
        <w:t xml:space="preserve">two </w:t>
      </w:r>
      <w:r w:rsidRPr="00F52F83">
        <w:t xml:space="preserve">trials </w:t>
      </w:r>
      <w:r w:rsidR="001C26DF" w:rsidRPr="00F52F83">
        <w:t xml:space="preserve">included as the main evidentiary basis of the ADAR </w:t>
      </w:r>
      <w:r w:rsidRPr="00F52F83">
        <w:t>(</w:t>
      </w:r>
      <w:proofErr w:type="spellStart"/>
      <w:r w:rsidRPr="00F52F83">
        <w:t>TheraP</w:t>
      </w:r>
      <w:proofErr w:type="spellEnd"/>
      <w:r w:rsidRPr="00F52F83">
        <w:t xml:space="preserve">: </w:t>
      </w:r>
      <w:r w:rsidR="00CA32D6" w:rsidRPr="00F52F83">
        <w:t xml:space="preserve">PSMA PET/CT </w:t>
      </w:r>
      <w:proofErr w:type="spellStart"/>
      <w:r w:rsidRPr="00F52F83">
        <w:t>SUV</w:t>
      </w:r>
      <w:r w:rsidRPr="00F52F83">
        <w:rPr>
          <w:vertAlign w:val="subscript"/>
        </w:rPr>
        <w:t>max</w:t>
      </w:r>
      <w:proofErr w:type="spellEnd"/>
      <w:r w:rsidRPr="00F52F83">
        <w:t xml:space="preserve"> ≥20 at a site of disease and &gt;10 at all other measurable sites of metastatic disease or VISION: </w:t>
      </w:r>
      <w:r w:rsidR="00CA32D6" w:rsidRPr="00F52F83">
        <w:t xml:space="preserve">PSMA PET/CT </w:t>
      </w:r>
      <w:proofErr w:type="spellStart"/>
      <w:r w:rsidRPr="00F52F83">
        <w:t>SUV</w:t>
      </w:r>
      <w:r w:rsidRPr="00F52F83">
        <w:rPr>
          <w:vertAlign w:val="subscript"/>
        </w:rPr>
        <w:t>max</w:t>
      </w:r>
      <w:proofErr w:type="spellEnd"/>
      <w:r w:rsidRPr="00F52F83">
        <w:rPr>
          <w:vertAlign w:val="subscript"/>
        </w:rPr>
        <w:t xml:space="preserve"> </w:t>
      </w:r>
      <w:r w:rsidRPr="00F52F83">
        <w:t xml:space="preserve">uptake greater than that of liver parenchyma (approximately </w:t>
      </w:r>
      <w:proofErr w:type="spellStart"/>
      <w:r w:rsidRPr="00F52F83">
        <w:t>SUV</w:t>
      </w:r>
      <w:r w:rsidRPr="00F52F83">
        <w:rPr>
          <w:vertAlign w:val="subscript"/>
        </w:rPr>
        <w:t>max</w:t>
      </w:r>
      <w:proofErr w:type="spellEnd"/>
      <w:r w:rsidRPr="00F52F83">
        <w:t xml:space="preserve"> threshold of 5 (IQR 4-7)) in one or more metastatic lesions of any size in any organ system). </w:t>
      </w:r>
      <w:proofErr w:type="spellStart"/>
      <w:r w:rsidR="004B20ED">
        <w:t>Hoberück</w:t>
      </w:r>
      <w:proofErr w:type="spellEnd"/>
      <w:r w:rsidRPr="00F52F83">
        <w:t xml:space="preserve"> also included only six patients (13.0%) undergoing imaging for follow-up of known metastases or evaluation for PSMA-targeted radioligand therapy; the remainder had biochemically recurrent disease (n=30; 65.2%) or were undergoing primary staging (n=10; 21.7%).</w:t>
      </w:r>
    </w:p>
    <w:p w14:paraId="0334089A" w14:textId="29AEEE7B" w:rsidR="007935C6" w:rsidRPr="00F52F83" w:rsidRDefault="007935C6" w:rsidP="001F758A">
      <w:pPr>
        <w:spacing w:after="200" w:line="276" w:lineRule="auto"/>
      </w:pPr>
      <w:r>
        <w:t xml:space="preserve">The proposed item descriptor for treatment with </w:t>
      </w:r>
      <w:r w:rsidRPr="00745D0E">
        <w:rPr>
          <w:vertAlign w:val="superscript"/>
        </w:rPr>
        <w:t>177</w:t>
      </w:r>
      <w:r w:rsidR="009F7816">
        <w:t>Lu </w:t>
      </w:r>
      <w:r w:rsidR="00886914">
        <w:t>PSMA </w:t>
      </w:r>
      <w:proofErr w:type="spellStart"/>
      <w:r w:rsidR="00886914">
        <w:t>i&amp;t</w:t>
      </w:r>
      <w:proofErr w:type="spellEnd"/>
      <w:r>
        <w:t xml:space="preserve"> requested in the ADAR is provided in </w:t>
      </w:r>
      <w:r>
        <w:fldChar w:fldCharType="begin"/>
      </w:r>
      <w:r>
        <w:instrText xml:space="preserve"> REF _Ref88831907 \h </w:instrText>
      </w:r>
      <w:r>
        <w:fldChar w:fldCharType="separate"/>
      </w:r>
      <w:r w:rsidRPr="00745D0E">
        <w:t xml:space="preserve">Table </w:t>
      </w:r>
      <w:r>
        <w:rPr>
          <w:noProof/>
        </w:rPr>
        <w:t>2</w:t>
      </w:r>
      <w:r>
        <w:fldChar w:fldCharType="end"/>
      </w:r>
      <w:r>
        <w:t xml:space="preserve">. </w:t>
      </w:r>
      <w:r w:rsidRPr="00F52F83">
        <w:t xml:space="preserve">Suggested changes </w:t>
      </w:r>
      <w:r w:rsidR="00F52F83" w:rsidRPr="00F52F83">
        <w:t>in str</w:t>
      </w:r>
      <w:r w:rsidR="00F52F83">
        <w:t>ike</w:t>
      </w:r>
      <w:r w:rsidR="00F52F83" w:rsidRPr="00F52F83">
        <w:t xml:space="preserve">through and italicised text </w:t>
      </w:r>
      <w:r w:rsidR="00F52F83">
        <w:t xml:space="preserve">were added </w:t>
      </w:r>
      <w:r w:rsidRPr="00F52F83">
        <w:t xml:space="preserve">to be consistent with the </w:t>
      </w:r>
      <w:r w:rsidR="00F52F83" w:rsidRPr="00F52F83">
        <w:t>r</w:t>
      </w:r>
      <w:r w:rsidRPr="00F52F83">
        <w:t>atified PICO Confirmation</w:t>
      </w:r>
      <w:r w:rsidR="00700947">
        <w:t xml:space="preserve"> and subsequent Departmental advice</w:t>
      </w:r>
      <w:r w:rsidRPr="00F52F83">
        <w:t>.</w:t>
      </w:r>
    </w:p>
    <w:p w14:paraId="7822ECE5" w14:textId="683E7840" w:rsidR="009C2D01" w:rsidRPr="00E40ACF" w:rsidRDefault="00A61E03" w:rsidP="001F758A">
      <w:pPr>
        <w:spacing w:after="200" w:line="276" w:lineRule="auto"/>
      </w:pPr>
      <w:r>
        <w:t xml:space="preserve">Although </w:t>
      </w:r>
      <w:r w:rsidR="009C2D01" w:rsidRPr="00F52F83">
        <w:t xml:space="preserve">the item descriptor in the ADAR did not </w:t>
      </w:r>
      <w:r>
        <w:t>include</w:t>
      </w:r>
      <w:r w:rsidR="009C2D01" w:rsidRPr="00794A18">
        <w:t xml:space="preserve"> post-therapy SPECT/CT,</w:t>
      </w:r>
      <w:r w:rsidR="008B0666" w:rsidRPr="00794A18">
        <w:t xml:space="preserve"> the proposed fee </w:t>
      </w:r>
      <w:r w:rsidR="00F4038D">
        <w:t>wa</w:t>
      </w:r>
      <w:r w:rsidR="008B0666" w:rsidRPr="00794A18">
        <w:t>s described in the ADAR to be “</w:t>
      </w:r>
      <w:r w:rsidR="008B0666" w:rsidRPr="00E40ACF">
        <w:t xml:space="preserve">based around an assumption of $5,500/dose for the labelling of </w:t>
      </w:r>
      <w:r w:rsidR="008B0666" w:rsidRPr="00E40ACF">
        <w:rPr>
          <w:vertAlign w:val="superscript"/>
        </w:rPr>
        <w:t>177</w:t>
      </w:r>
      <w:r w:rsidR="008B0666" w:rsidRPr="00E40ACF">
        <w:t xml:space="preserve">Lu to </w:t>
      </w:r>
      <w:r w:rsidR="00886914">
        <w:t>PSMA </w:t>
      </w:r>
      <w:proofErr w:type="spellStart"/>
      <w:r w:rsidR="00886914">
        <w:t>i&amp;t</w:t>
      </w:r>
      <w:proofErr w:type="spellEnd"/>
      <w:r w:rsidR="008B0666" w:rsidRPr="00E40ACF">
        <w:t xml:space="preserve"> peptide by a certified radiopharmaceutical scientist using the current TGA exemption for GLP compliant production. Administration costs of $2,500 include the time required for safe administration by a </w:t>
      </w:r>
      <w:proofErr w:type="spellStart"/>
      <w:r w:rsidR="008B0666" w:rsidRPr="00E40ACF">
        <w:t>theranostics</w:t>
      </w:r>
      <w:proofErr w:type="spellEnd"/>
      <w:r w:rsidR="008B0666" w:rsidRPr="00E40ACF">
        <w:t xml:space="preserve"> medical specialist, nurse, medical radiation scientist, and medical physicist, and 30 minutes on a </w:t>
      </w:r>
      <w:r w:rsidR="008B0666" w:rsidRPr="00E40ACF">
        <w:rPr>
          <w:u w:val="single"/>
        </w:rPr>
        <w:t>SPECT/CT machine following treatment</w:t>
      </w:r>
      <w:r w:rsidR="008B0666" w:rsidRPr="00E40ACF">
        <w:t>.</w:t>
      </w:r>
      <w:r w:rsidR="008B0666" w:rsidRPr="00F52F83">
        <w:t>”</w:t>
      </w:r>
      <w:r w:rsidR="009C2D01" w:rsidRPr="00F52F83">
        <w:t xml:space="preserve"> </w:t>
      </w:r>
      <w:r>
        <w:t xml:space="preserve">The Pre-ESC response confirmed that the proposed cost of </w:t>
      </w:r>
      <w:r w:rsidRPr="00BE2022">
        <w:rPr>
          <w:vertAlign w:val="superscript"/>
        </w:rPr>
        <w:t>177</w:t>
      </w:r>
      <w:r w:rsidR="009F7816">
        <w:t>Lu PSMA</w:t>
      </w:r>
      <w:r w:rsidR="00F4038D">
        <w:rPr>
          <w:iCs/>
        </w:rPr>
        <w:t> </w:t>
      </w:r>
      <w:proofErr w:type="spellStart"/>
      <w:r w:rsidR="00F4038D">
        <w:rPr>
          <w:iCs/>
        </w:rPr>
        <w:t>i&amp;t</w:t>
      </w:r>
      <w:proofErr w:type="spellEnd"/>
      <w:r>
        <w:t xml:space="preserve"> is inclusive of the production and preparation of </w:t>
      </w:r>
      <w:r w:rsidRPr="00762EC5">
        <w:rPr>
          <w:vertAlign w:val="superscript"/>
        </w:rPr>
        <w:t>177</w:t>
      </w:r>
      <w:r>
        <w:t xml:space="preserve">Lu, administration, immediate </w:t>
      </w:r>
      <w:proofErr w:type="gramStart"/>
      <w:r>
        <w:t>aftercare</w:t>
      </w:r>
      <w:proofErr w:type="gramEnd"/>
      <w:r>
        <w:t xml:space="preserve"> </w:t>
      </w:r>
      <w:r w:rsidRPr="00DD5948">
        <w:rPr>
          <w:u w:val="single"/>
        </w:rPr>
        <w:t>and post-treatment SPECT/CT</w:t>
      </w:r>
      <w:r>
        <w:t xml:space="preserve">. The </w:t>
      </w:r>
      <w:r w:rsidR="007C683C">
        <w:t>a</w:t>
      </w:r>
      <w:r>
        <w:t xml:space="preserve">pplicant agreed with the explicit inclusion of post-treatment SPECT/CT in the item descriptor as suggested by the commentary if deemed appropriate by MSAC. </w:t>
      </w:r>
      <w:r w:rsidR="009055EA">
        <w:t xml:space="preserve">The </w:t>
      </w:r>
      <w:r w:rsidR="00B97B5F" w:rsidRPr="007C683C">
        <w:t>Department</w:t>
      </w:r>
      <w:r w:rsidR="009055EA">
        <w:t xml:space="preserve"> advised</w:t>
      </w:r>
      <w:r w:rsidR="00B97B5F" w:rsidRPr="007C683C">
        <w:t xml:space="preserve"> that “</w:t>
      </w:r>
      <w:r w:rsidR="00B97B5F" w:rsidRPr="007C683C">
        <w:rPr>
          <w:vertAlign w:val="superscript"/>
        </w:rPr>
        <w:t>177</w:t>
      </w:r>
      <w:r w:rsidR="00B97B5F" w:rsidRPr="007C683C">
        <w:t xml:space="preserve">Lu emits a spectrum of radiation, including beta rays, which treat the malignancy, and, in addition, two low energy gamma rays which are useful for imaging with SPECT. The latter is an integral part of the </w:t>
      </w:r>
      <w:proofErr w:type="spellStart"/>
      <w:r w:rsidR="00B97B5F" w:rsidRPr="007C683C">
        <w:t>theranostic</w:t>
      </w:r>
      <w:proofErr w:type="spellEnd"/>
      <w:r w:rsidR="00B97B5F" w:rsidRPr="007C683C">
        <w:t xml:space="preserve"> service and does not require separate reimbursement”</w:t>
      </w:r>
      <w:r w:rsidR="00C63FD0" w:rsidRPr="007C683C">
        <w:t>, indicating that post SPECT/CT should be included.</w:t>
      </w:r>
      <w:r w:rsidR="007F5E7E" w:rsidRPr="007C683C">
        <w:t xml:space="preserve"> </w:t>
      </w:r>
      <w:r w:rsidR="007F5E7E" w:rsidRPr="00E40ACF">
        <w:t>The ADAR state</w:t>
      </w:r>
      <w:r w:rsidR="00C96A30">
        <w:t>d</w:t>
      </w:r>
      <w:r w:rsidR="007F5E7E" w:rsidRPr="00E40ACF">
        <w:t xml:space="preserve"> the use of SPECT/CT may be an early indicator of limited response to </w:t>
      </w:r>
      <w:r w:rsidR="007F5E7E" w:rsidRPr="00E40ACF">
        <w:rPr>
          <w:vertAlign w:val="superscript"/>
        </w:rPr>
        <w:t>177</w:t>
      </w:r>
      <w:r w:rsidR="009F7816">
        <w:t>Lu PSMA</w:t>
      </w:r>
      <w:r w:rsidR="007F5E7E" w:rsidRPr="00E40ACF">
        <w:t xml:space="preserve">-617 therapy </w:t>
      </w:r>
      <w:r w:rsidR="00684576" w:rsidRPr="00E40ACF">
        <w:t>based on serial imaging analysis after cycles 1 and 3 that indicated an increase in SPECT</w:t>
      </w:r>
      <w:r w:rsidR="00C96A30">
        <w:t>/CT</w:t>
      </w:r>
      <w:r w:rsidR="00684576" w:rsidRPr="00E40ACF">
        <w:t xml:space="preserve"> total tumour volume was associated with shorter PSA PFS. Th</w:t>
      </w:r>
      <w:r w:rsidR="005369FD" w:rsidRPr="00E40ACF">
        <w:t>e</w:t>
      </w:r>
      <w:r w:rsidR="00684576" w:rsidRPr="00E40ACF">
        <w:t xml:space="preserve"> ADAR suggested that SPECT/CT may</w:t>
      </w:r>
      <w:r w:rsidR="007F5E7E" w:rsidRPr="00E40ACF">
        <w:t xml:space="preserve"> reduce the number of unnecessary subsequent </w:t>
      </w:r>
      <w:r w:rsidR="009F7816">
        <w:t>Lu PSMA</w:t>
      </w:r>
      <w:r w:rsidR="007F5E7E" w:rsidRPr="00E40ACF">
        <w:t xml:space="preserve"> treatment cycles for patients.</w:t>
      </w:r>
      <w:r w:rsidR="00684576" w:rsidRPr="00E40ACF">
        <w:t xml:space="preserve"> </w:t>
      </w:r>
      <w:r w:rsidR="00684576" w:rsidRPr="00F52F83">
        <w:t xml:space="preserve">Post-treatment SPECT/CT was utilised in the </w:t>
      </w:r>
      <w:proofErr w:type="spellStart"/>
      <w:r w:rsidR="00684576" w:rsidRPr="00F52F83">
        <w:t>TheraP</w:t>
      </w:r>
      <w:proofErr w:type="spellEnd"/>
      <w:r w:rsidR="00684576" w:rsidRPr="00F52F83">
        <w:t xml:space="preserve"> trial, but not in VISION. In VISION, patients were reassessed after four cycles before receiving further cycles; only patients with evidence of response, signs of residual disease (on CT with contrast/MRI or bone scan) and good tolerance </w:t>
      </w:r>
      <w:r w:rsidR="00684576" w:rsidRPr="00F52F83">
        <w:lastRenderedPageBreak/>
        <w:t>to treatment could receive cycles five and six. Patients in both trials had a median of 5.0 cycles of treatment.</w:t>
      </w:r>
    </w:p>
    <w:p w14:paraId="1808BEFC" w14:textId="123FBA9D" w:rsidR="001F758A" w:rsidRPr="00745D0E" w:rsidRDefault="001F758A" w:rsidP="002004CD">
      <w:pPr>
        <w:pStyle w:val="TableHeading0"/>
        <w:keepNext/>
        <w:spacing w:before="360"/>
      </w:pPr>
      <w:bookmarkStart w:id="11" w:name="_Ref88831907"/>
      <w:bookmarkStart w:id="12" w:name="_Ref89674475"/>
      <w:r w:rsidRPr="00745D0E">
        <w:t xml:space="preserve">Table </w:t>
      </w:r>
      <w:r w:rsidR="008440F9">
        <w:fldChar w:fldCharType="begin"/>
      </w:r>
      <w:r w:rsidR="008440F9">
        <w:instrText xml:space="preserve"> SEQ Table \* ARABIC </w:instrText>
      </w:r>
      <w:r w:rsidR="008440F9">
        <w:fldChar w:fldCharType="separate"/>
      </w:r>
      <w:r w:rsidR="00364E19">
        <w:rPr>
          <w:noProof/>
        </w:rPr>
        <w:t>2</w:t>
      </w:r>
      <w:r w:rsidR="008440F9">
        <w:rPr>
          <w:noProof/>
        </w:rPr>
        <w:fldChar w:fldCharType="end"/>
      </w:r>
      <w:bookmarkEnd w:id="11"/>
      <w:bookmarkEnd w:id="12"/>
      <w:r>
        <w:rPr>
          <w:noProof/>
        </w:rPr>
        <w:tab/>
      </w:r>
      <w:r w:rsidRPr="00745D0E">
        <w:t xml:space="preserve">Proposed item descriptor for </w:t>
      </w:r>
      <w:r w:rsidRPr="00745D0E">
        <w:rPr>
          <w:vertAlign w:val="superscript"/>
        </w:rPr>
        <w:t>177</w:t>
      </w:r>
      <w:r w:rsidR="009F7816">
        <w:t>Lu PSMA</w:t>
      </w:r>
      <w:r w:rsidR="00F52F83">
        <w:t xml:space="preserve"> with </w:t>
      </w:r>
      <w:r w:rsidR="007C683C">
        <w:t>subsequent suggestions</w:t>
      </w:r>
    </w:p>
    <w:tbl>
      <w:tblPr>
        <w:tblStyle w:val="HealthConsult1"/>
        <w:tblW w:w="0" w:type="auto"/>
        <w:tblInd w:w="0" w:type="dxa"/>
        <w:tblLook w:val="04A0" w:firstRow="1" w:lastRow="0" w:firstColumn="1" w:lastColumn="0" w:noHBand="0" w:noVBand="1"/>
        <w:tblCaption w:val="Proposed Item Descriptor for 177 Lu PSMA"/>
        <w:tblDescription w:val="Proposed item descriptor for therapeutic procedure of 177Lu PSMA therapy in mCRPC. "/>
      </w:tblPr>
      <w:tblGrid>
        <w:gridCol w:w="9016"/>
      </w:tblGrid>
      <w:tr w:rsidR="001F758A" w:rsidRPr="00745D0E" w14:paraId="1049D42E" w14:textId="77777777" w:rsidTr="004856FF">
        <w:trPr>
          <w:trHeight w:val="70"/>
        </w:trPr>
        <w:tc>
          <w:tcPr>
            <w:tcW w:w="9016" w:type="dxa"/>
          </w:tcPr>
          <w:p w14:paraId="2293845E" w14:textId="3906E7DD" w:rsidR="001F758A" w:rsidRPr="00745D0E" w:rsidRDefault="001F758A" w:rsidP="002004CD">
            <w:pPr>
              <w:pStyle w:val="Tabletext0"/>
              <w:keepNext/>
              <w:rPr>
                <w:b/>
                <w:bCs/>
              </w:rPr>
            </w:pPr>
            <w:r w:rsidRPr="00745D0E">
              <w:rPr>
                <w:b/>
                <w:bCs/>
              </w:rPr>
              <w:t>Category 3 - Therapeutic Procedures T3. Therapeutic Nuclear Medicine</w:t>
            </w:r>
          </w:p>
        </w:tc>
      </w:tr>
      <w:tr w:rsidR="001F758A" w:rsidRPr="00745D0E" w14:paraId="66F67821" w14:textId="77777777" w:rsidTr="004856FF">
        <w:tc>
          <w:tcPr>
            <w:tcW w:w="9016" w:type="dxa"/>
          </w:tcPr>
          <w:p w14:paraId="7B5DADDE" w14:textId="77777777" w:rsidR="001F758A" w:rsidRDefault="001F758A" w:rsidP="002004CD">
            <w:pPr>
              <w:pStyle w:val="Tabletext0"/>
              <w:keepNext/>
            </w:pPr>
            <w:r>
              <w:t>MBS item ZZZZ</w:t>
            </w:r>
          </w:p>
          <w:p w14:paraId="53E41096" w14:textId="6B594A00" w:rsidR="001F758A" w:rsidRDefault="001F758A" w:rsidP="002004CD">
            <w:pPr>
              <w:pStyle w:val="Tabletext0"/>
              <w:keepNext/>
            </w:pPr>
            <w:r>
              <w:t xml:space="preserve">Administration of </w:t>
            </w:r>
            <w:r w:rsidRPr="006F256E">
              <w:rPr>
                <w:strike/>
                <w:vertAlign w:val="superscript"/>
                <w:lang w:eastAsia="ja-JP"/>
              </w:rPr>
              <w:t>177</w:t>
            </w:r>
            <w:r>
              <w:t>Lu</w:t>
            </w:r>
            <w:r w:rsidR="00DA0100" w:rsidRPr="006F256E">
              <w:rPr>
                <w:i/>
                <w:iCs/>
              </w:rPr>
              <w:t>tetium 177</w:t>
            </w:r>
            <w:r>
              <w:t xml:space="preserve"> </w:t>
            </w:r>
            <w:r w:rsidR="00886914">
              <w:t>PSMA </w:t>
            </w:r>
            <w:proofErr w:type="spellStart"/>
            <w:r w:rsidR="00886914" w:rsidRPr="006F256E">
              <w:rPr>
                <w:strike/>
              </w:rPr>
              <w:t>i&amp;t</w:t>
            </w:r>
            <w:proofErr w:type="spellEnd"/>
            <w:r>
              <w:t xml:space="preserve"> </w:t>
            </w:r>
            <w:r w:rsidR="00A70D9D">
              <w:rPr>
                <w:i/>
                <w:iCs/>
              </w:rPr>
              <w:t xml:space="preserve">followed 24 hours later by whole body </w:t>
            </w:r>
            <w:r w:rsidR="009F7816">
              <w:rPr>
                <w:i/>
                <w:iCs/>
              </w:rPr>
              <w:t>Lu PSMA</w:t>
            </w:r>
            <w:r w:rsidR="00A70D9D">
              <w:rPr>
                <w:i/>
                <w:iCs/>
              </w:rPr>
              <w:t xml:space="preserve"> single-photon emission computed tomography (SPECT)</w:t>
            </w:r>
            <w:r w:rsidR="00BC130F" w:rsidDel="00BC130F">
              <w:rPr>
                <w:i/>
                <w:iCs/>
              </w:rPr>
              <w:t xml:space="preserve"> </w:t>
            </w:r>
            <w:r>
              <w:t xml:space="preserve">for treatment of </w:t>
            </w:r>
            <w:r w:rsidR="00BC130F" w:rsidRPr="006F256E">
              <w:rPr>
                <w:i/>
                <w:iCs/>
              </w:rPr>
              <w:t>a</w:t>
            </w:r>
            <w:r w:rsidR="00BC130F">
              <w:t xml:space="preserve"> </w:t>
            </w:r>
            <w:r>
              <w:t>patient</w:t>
            </w:r>
            <w:r w:rsidRPr="006F256E">
              <w:rPr>
                <w:strike/>
              </w:rPr>
              <w:t>s</w:t>
            </w:r>
            <w:r>
              <w:t xml:space="preserve"> with </w:t>
            </w:r>
            <w:r w:rsidRPr="006F256E">
              <w:rPr>
                <w:strike/>
              </w:rPr>
              <w:t>progressive</w:t>
            </w:r>
            <w:r>
              <w:t xml:space="preserve"> metastatic castrate resistant prostate cancer</w:t>
            </w:r>
            <w:r w:rsidR="00BC130F">
              <w:t xml:space="preserve">, </w:t>
            </w:r>
            <w:r w:rsidRPr="006F256E">
              <w:rPr>
                <w:strike/>
              </w:rPr>
              <w:t>after disease progression on chemotherapy and at least one androgen signalling inhibitor</w:t>
            </w:r>
            <w:r w:rsidR="00A730E5">
              <w:rPr>
                <w:i/>
                <w:iCs/>
              </w:rPr>
              <w:t xml:space="preserve"> </w:t>
            </w:r>
            <w:r>
              <w:t xml:space="preserve">who </w:t>
            </w:r>
            <w:r w:rsidRPr="006F256E">
              <w:rPr>
                <w:i/>
                <w:iCs/>
              </w:rPr>
              <w:t>is</w:t>
            </w:r>
            <w:r w:rsidR="00A730E5">
              <w:t xml:space="preserve"> </w:t>
            </w:r>
            <w:r w:rsidR="00A730E5" w:rsidRPr="006F256E">
              <w:rPr>
                <w:strike/>
              </w:rPr>
              <w:t>are</w:t>
            </w:r>
            <w:r w:rsidR="00A730E5">
              <w:t xml:space="preserve"> </w:t>
            </w:r>
            <w:r>
              <w:t>PSMA-positive as determined by PSMA PET</w:t>
            </w:r>
            <w:r w:rsidRPr="00700947">
              <w:rPr>
                <w:strike/>
              </w:rPr>
              <w:t>/CT</w:t>
            </w:r>
            <w:r>
              <w:t xml:space="preserve"> defined as </w:t>
            </w:r>
            <w:proofErr w:type="spellStart"/>
            <w:r>
              <w:t>SUV</w:t>
            </w:r>
            <w:r w:rsidRPr="00F2603C">
              <w:rPr>
                <w:vertAlign w:val="subscript"/>
              </w:rPr>
              <w:t>max</w:t>
            </w:r>
            <w:proofErr w:type="spellEnd"/>
            <w:r>
              <w:t xml:space="preserve"> &gt;15 at a single site of disease and </w:t>
            </w:r>
            <w:proofErr w:type="spellStart"/>
            <w:r>
              <w:t>SUV</w:t>
            </w:r>
            <w:r w:rsidRPr="00F2603C">
              <w:rPr>
                <w:vertAlign w:val="subscript"/>
              </w:rPr>
              <w:t>max</w:t>
            </w:r>
            <w:proofErr w:type="spellEnd"/>
            <w:r>
              <w:t xml:space="preserve"> &gt;10 at all sites of </w:t>
            </w:r>
            <w:r w:rsidRPr="00781AA3">
              <w:t>measurable disease</w:t>
            </w:r>
            <w:r w:rsidR="00BC130F" w:rsidRPr="00700947">
              <w:rPr>
                <w:i/>
                <w:iCs/>
              </w:rPr>
              <w:t xml:space="preserve">, after progressive disease has developed while on at least one </w:t>
            </w:r>
            <w:proofErr w:type="spellStart"/>
            <w:r w:rsidR="00BC130F" w:rsidRPr="00700947">
              <w:rPr>
                <w:i/>
                <w:iCs/>
              </w:rPr>
              <w:t>taxane</w:t>
            </w:r>
            <w:proofErr w:type="spellEnd"/>
            <w:r w:rsidR="00BC130F" w:rsidRPr="00700947">
              <w:rPr>
                <w:i/>
                <w:iCs/>
              </w:rPr>
              <w:t xml:space="preserve"> chemotherapy and at least one androgen receptor signalling inhibitor</w:t>
            </w:r>
          </w:p>
          <w:p w14:paraId="6F5D3CE8" w14:textId="4878E0A4" w:rsidR="001F758A" w:rsidRPr="00745D0E" w:rsidRDefault="001F758A" w:rsidP="002004CD">
            <w:pPr>
              <w:pStyle w:val="Tabletext0"/>
              <w:keepNext/>
            </w:pPr>
            <w:r w:rsidRPr="00700947">
              <w:rPr>
                <w:strike/>
              </w:rPr>
              <w:t>Patients are</w:t>
            </w:r>
            <w:r w:rsidR="001B4DEE">
              <w:t xml:space="preserve"> </w:t>
            </w:r>
            <w:r w:rsidR="001B4DEE" w:rsidRPr="00700947">
              <w:rPr>
                <w:i/>
                <w:iCs/>
              </w:rPr>
              <w:t>A patient is</w:t>
            </w:r>
            <w:r>
              <w:t xml:space="preserve"> eligible to </w:t>
            </w:r>
            <w:r w:rsidR="00BC130F" w:rsidRPr="00700947">
              <w:rPr>
                <w:i/>
                <w:iCs/>
              </w:rPr>
              <w:t>claim once per cycle up to</w:t>
            </w:r>
            <w:r w:rsidR="00BC130F">
              <w:t xml:space="preserve"> </w:t>
            </w:r>
            <w:r w:rsidRPr="00700947">
              <w:rPr>
                <w:strike/>
              </w:rPr>
              <w:t>receive</w:t>
            </w:r>
            <w:r>
              <w:t xml:space="preserve"> a maximum of 6 cycles</w:t>
            </w:r>
            <w:r w:rsidR="00BC130F">
              <w:t xml:space="preserve"> </w:t>
            </w:r>
            <w:r w:rsidR="00BC130F" w:rsidRPr="00700947">
              <w:rPr>
                <w:i/>
                <w:iCs/>
              </w:rPr>
              <w:t>in each course of therapy</w:t>
            </w:r>
            <w:r>
              <w:t xml:space="preserve">. </w:t>
            </w:r>
            <w:r w:rsidRPr="00700947">
              <w:rPr>
                <w:strike/>
              </w:rPr>
              <w:t>Treatment can be ceased before 6 cycles if there is evidence of disease progression, unacceptable toxicity or if the patient is no longer deriving clinical benefit in the opinion of the treating Nuclear Medicine Specialist.</w:t>
            </w:r>
          </w:p>
        </w:tc>
      </w:tr>
      <w:tr w:rsidR="001F758A" w:rsidRPr="00745D0E" w14:paraId="6F3CDB82" w14:textId="77777777" w:rsidTr="004856FF">
        <w:tc>
          <w:tcPr>
            <w:tcW w:w="9016" w:type="dxa"/>
            <w:vAlign w:val="center"/>
          </w:tcPr>
          <w:p w14:paraId="186B80E7" w14:textId="77777777" w:rsidR="001F758A" w:rsidRPr="00745D0E" w:rsidRDefault="001F758A" w:rsidP="00783B61">
            <w:pPr>
              <w:pStyle w:val="Tabletext0"/>
              <w:rPr>
                <w:rFonts w:ascii="Calibri" w:hAnsi="Calibri"/>
                <w:sz w:val="22"/>
              </w:rPr>
            </w:pPr>
            <w:r w:rsidRPr="00E26265">
              <w:t xml:space="preserve">Fee: </w:t>
            </w:r>
            <w:r w:rsidRPr="000F1405">
              <w:t>$8</w:t>
            </w:r>
            <w:r>
              <w:t>,</w:t>
            </w:r>
            <w:r w:rsidRPr="000F1405">
              <w:t>000</w:t>
            </w:r>
            <w:r w:rsidRPr="002E5AFD">
              <w:rPr>
                <w:iCs/>
              </w:rPr>
              <w:t xml:space="preserve"> Benefit: 85% = $6,800</w:t>
            </w:r>
          </w:p>
        </w:tc>
      </w:tr>
    </w:tbl>
    <w:p w14:paraId="575A0B6D" w14:textId="69745710" w:rsidR="009C2D01" w:rsidRPr="007C683C" w:rsidRDefault="009C2D01" w:rsidP="009C2D01">
      <w:pPr>
        <w:spacing w:after="200" w:line="276" w:lineRule="auto"/>
      </w:pPr>
      <w:r w:rsidRPr="00F52F83">
        <w:t>The item descriptor</w:t>
      </w:r>
      <w:r w:rsidR="004E3C3E">
        <w:t xml:space="preserve"> proposed by the ADAR</w:t>
      </w:r>
      <w:r w:rsidRPr="00F52F83">
        <w:t xml:space="preserve"> specifie</w:t>
      </w:r>
      <w:r w:rsidR="007C683C">
        <w:t>d</w:t>
      </w:r>
      <w:r w:rsidRPr="00F52F83">
        <w:t xml:space="preserve"> </w:t>
      </w:r>
      <w:r w:rsidRPr="00F52F83">
        <w:rPr>
          <w:vertAlign w:val="superscript"/>
        </w:rPr>
        <w:t>177</w:t>
      </w:r>
      <w:r w:rsidR="009F7816">
        <w:t>Lu </w:t>
      </w:r>
      <w:r w:rsidR="00886914">
        <w:t>PSMA </w:t>
      </w:r>
      <w:proofErr w:type="spellStart"/>
      <w:r w:rsidR="00886914">
        <w:t>i&amp;t</w:t>
      </w:r>
      <w:proofErr w:type="spellEnd"/>
      <w:r w:rsidR="00A106CF" w:rsidRPr="00836A36">
        <w:t xml:space="preserve"> </w:t>
      </w:r>
      <w:r w:rsidR="00A106CF" w:rsidRPr="00F52F83">
        <w:t xml:space="preserve">(unlike the </w:t>
      </w:r>
      <w:r w:rsidR="00372234" w:rsidRPr="00F52F83">
        <w:t>r</w:t>
      </w:r>
      <w:r w:rsidR="00A106CF" w:rsidRPr="00F52F83">
        <w:t xml:space="preserve">atified PICO </w:t>
      </w:r>
      <w:r w:rsidR="00372234" w:rsidRPr="00F52F83">
        <w:t>C</w:t>
      </w:r>
      <w:r w:rsidR="00A106CF" w:rsidRPr="00F52F83">
        <w:t>onfirmation)</w:t>
      </w:r>
      <w:r w:rsidR="009C46BD" w:rsidRPr="00F52F83">
        <w:t xml:space="preserve"> which was </w:t>
      </w:r>
      <w:r w:rsidR="009C46BD" w:rsidRPr="00F52F83">
        <w:rPr>
          <w:vertAlign w:val="superscript"/>
        </w:rPr>
        <w:t>177</w:t>
      </w:r>
      <w:r w:rsidR="009F7816">
        <w:t>Lu PSMA</w:t>
      </w:r>
      <w:r w:rsidR="009C46BD" w:rsidRPr="00F52F83">
        <w:t xml:space="preserve"> product agnostic</w:t>
      </w:r>
      <w:r w:rsidRPr="00836A36">
        <w:t xml:space="preserve">. </w:t>
      </w:r>
      <w:r w:rsidR="009C46BD" w:rsidRPr="00F52F83">
        <w:t xml:space="preserve">The </w:t>
      </w:r>
      <w:proofErr w:type="spellStart"/>
      <w:r w:rsidR="009C46BD" w:rsidRPr="00F52F83">
        <w:t>TheraP</w:t>
      </w:r>
      <w:proofErr w:type="spellEnd"/>
      <w:r w:rsidR="009C46BD" w:rsidRPr="00F52F83">
        <w:t xml:space="preserve"> and VISION trials (the main evidentiary base for the ADAR) assessed </w:t>
      </w:r>
      <w:r w:rsidR="009C46BD" w:rsidRPr="00F52F83">
        <w:rPr>
          <w:vertAlign w:val="superscript"/>
        </w:rPr>
        <w:t>177</w:t>
      </w:r>
      <w:r w:rsidR="009F7816">
        <w:t>Lu PSMA</w:t>
      </w:r>
      <w:r w:rsidR="009C46BD" w:rsidRPr="00F52F83">
        <w:t>-617</w:t>
      </w:r>
      <w:r w:rsidR="00CA32D6" w:rsidRPr="00F52F83">
        <w:t xml:space="preserve">; </w:t>
      </w:r>
      <w:proofErr w:type="gramStart"/>
      <w:r w:rsidR="00CA32D6" w:rsidRPr="00F52F83">
        <w:t>thus</w:t>
      </w:r>
      <w:proofErr w:type="gramEnd"/>
      <w:r w:rsidR="00CA32D6" w:rsidRPr="00F52F83">
        <w:t xml:space="preserve"> the ADAR </w:t>
      </w:r>
      <w:r w:rsidR="00F4038D">
        <w:t>wa</w:t>
      </w:r>
      <w:r w:rsidR="00CA32D6" w:rsidRPr="00F52F83">
        <w:t xml:space="preserve">s reliant on the acceptance that </w:t>
      </w:r>
      <w:r w:rsidR="00CA32D6" w:rsidRPr="00F52F83">
        <w:rPr>
          <w:vertAlign w:val="superscript"/>
        </w:rPr>
        <w:t>177</w:t>
      </w:r>
      <w:r w:rsidR="009F7816">
        <w:t>Lu </w:t>
      </w:r>
      <w:r w:rsidR="00886914">
        <w:t>PSMA </w:t>
      </w:r>
      <w:proofErr w:type="spellStart"/>
      <w:r w:rsidR="00886914">
        <w:t>i&amp;t</w:t>
      </w:r>
      <w:proofErr w:type="spellEnd"/>
      <w:r w:rsidR="00CA32D6" w:rsidRPr="00F52F83">
        <w:t xml:space="preserve"> and </w:t>
      </w:r>
      <w:r w:rsidR="00CA5090">
        <w:t>-</w:t>
      </w:r>
      <w:r w:rsidR="00CA32D6" w:rsidRPr="00F52F83">
        <w:t>617 are non-inferior</w:t>
      </w:r>
      <w:r w:rsidR="00CA32D6" w:rsidRPr="007C683C">
        <w:t>.</w:t>
      </w:r>
    </w:p>
    <w:p w14:paraId="18AEF3D5" w14:textId="6A940F70" w:rsidR="00054128" w:rsidRPr="007C683C" w:rsidRDefault="00947C4A" w:rsidP="00054128">
      <w:pPr>
        <w:spacing w:after="200" w:line="276" w:lineRule="auto"/>
      </w:pPr>
      <w:r w:rsidRPr="007C683C">
        <w:t xml:space="preserve">The </w:t>
      </w:r>
      <w:r w:rsidR="00073A7D">
        <w:t xml:space="preserve">proposed </w:t>
      </w:r>
      <w:r w:rsidRPr="007C683C">
        <w:t>item descriptor limit</w:t>
      </w:r>
      <w:r w:rsidR="00F4038D">
        <w:t>ed</w:t>
      </w:r>
      <w:r w:rsidRPr="007C683C">
        <w:t xml:space="preserve"> </w:t>
      </w:r>
      <w:r w:rsidR="00F4038D" w:rsidRPr="00F52F83">
        <w:rPr>
          <w:vertAlign w:val="superscript"/>
        </w:rPr>
        <w:t>177</w:t>
      </w:r>
      <w:r w:rsidR="00F4038D">
        <w:t>Lu PSMA</w:t>
      </w:r>
      <w:bookmarkStart w:id="13" w:name="_Hlk113899721"/>
      <w:r w:rsidR="00F4038D">
        <w:t> </w:t>
      </w:r>
      <w:proofErr w:type="spellStart"/>
      <w:r w:rsidR="00F4038D">
        <w:t>i&amp;t</w:t>
      </w:r>
      <w:bookmarkEnd w:id="13"/>
      <w:proofErr w:type="spellEnd"/>
      <w:r w:rsidR="00F4038D" w:rsidRPr="00836A36">
        <w:t xml:space="preserve"> </w:t>
      </w:r>
      <w:r w:rsidRPr="007C683C">
        <w:t xml:space="preserve">use to those with ‘progressive’ </w:t>
      </w:r>
      <w:proofErr w:type="spellStart"/>
      <w:r w:rsidRPr="007C683C">
        <w:t>mCRPC</w:t>
      </w:r>
      <w:proofErr w:type="spellEnd"/>
      <w:r w:rsidRPr="007C683C">
        <w:t>, however ‘progressive</w:t>
      </w:r>
      <w:r w:rsidR="007302FA" w:rsidRPr="007C683C">
        <w:t>’</w:t>
      </w:r>
      <w:r w:rsidRPr="007C683C">
        <w:t xml:space="preserve"> </w:t>
      </w:r>
      <w:r w:rsidR="00F4038D">
        <w:t>wa</w:t>
      </w:r>
      <w:r w:rsidRPr="007C683C">
        <w:t>s not defined. ‘Progressive’ disease was defined as by a rising PSA as per Prostate Cancer Working Group 3 (PCWG3) criteria</w:t>
      </w:r>
      <w:r w:rsidRPr="00836A36">
        <w:t xml:space="preserve"> </w:t>
      </w:r>
      <w:r w:rsidRPr="007C683C">
        <w:t xml:space="preserve">in </w:t>
      </w:r>
      <w:proofErr w:type="spellStart"/>
      <w:r w:rsidRPr="007C683C">
        <w:t>TheraP</w:t>
      </w:r>
      <w:r w:rsidR="007302FA" w:rsidRPr="007C683C">
        <w:t>.</w:t>
      </w:r>
      <w:proofErr w:type="spellEnd"/>
      <w:r w:rsidR="007302FA" w:rsidRPr="007C683C">
        <w:t xml:space="preserve"> Other studies included in the ADAR stipulated that progression be additionally demonstrated with new sites of disease on conventional imaging (CT and bone scan)</w:t>
      </w:r>
      <w:r w:rsidR="002847A2" w:rsidRPr="007C683C">
        <w:t>.</w:t>
      </w:r>
      <w:r w:rsidR="00054128" w:rsidRPr="007C683C">
        <w:t xml:space="preserve">Although both the </w:t>
      </w:r>
      <w:proofErr w:type="spellStart"/>
      <w:r w:rsidR="00054128" w:rsidRPr="007C683C">
        <w:t>TheraP</w:t>
      </w:r>
      <w:proofErr w:type="spellEnd"/>
      <w:r w:rsidR="00054128" w:rsidRPr="007C683C">
        <w:t xml:space="preserve"> and VISION trials employed PSMA PET/CT for determining eligibility to the trials</w:t>
      </w:r>
      <w:r w:rsidR="00CA32D6" w:rsidRPr="007C683C">
        <w:t xml:space="preserve"> (see above</w:t>
      </w:r>
      <w:r w:rsidR="00992548" w:rsidRPr="007C683C">
        <w:t xml:space="preserve"> for eligibility criteria</w:t>
      </w:r>
      <w:r w:rsidR="00CA32D6" w:rsidRPr="007C683C">
        <w:t>)</w:t>
      </w:r>
      <w:r w:rsidR="00054128" w:rsidRPr="007C683C">
        <w:t>, neither enrolled patients based on the maximum standardised uptake value (</w:t>
      </w:r>
      <w:proofErr w:type="spellStart"/>
      <w:r w:rsidR="00054128" w:rsidRPr="007C683C">
        <w:t>SUV</w:t>
      </w:r>
      <w:r w:rsidR="00054128" w:rsidRPr="007C683C">
        <w:rPr>
          <w:vertAlign w:val="subscript"/>
        </w:rPr>
        <w:t>max</w:t>
      </w:r>
      <w:proofErr w:type="spellEnd"/>
      <w:r w:rsidR="00054128" w:rsidRPr="007C683C">
        <w:t>) proposed in this ADAR (</w:t>
      </w:r>
      <w:proofErr w:type="spellStart"/>
      <w:r w:rsidR="00054128" w:rsidRPr="007C683C">
        <w:t>SUV</w:t>
      </w:r>
      <w:r w:rsidR="00054128" w:rsidRPr="007C683C">
        <w:rPr>
          <w:vertAlign w:val="subscript"/>
        </w:rPr>
        <w:t>max</w:t>
      </w:r>
      <w:proofErr w:type="spellEnd"/>
      <w:r w:rsidR="00054128" w:rsidRPr="007C683C">
        <w:t xml:space="preserve"> &gt;15 at a single site of disease and </w:t>
      </w:r>
      <w:proofErr w:type="spellStart"/>
      <w:r w:rsidR="00054128" w:rsidRPr="007C683C">
        <w:t>SUV</w:t>
      </w:r>
      <w:r w:rsidR="00054128" w:rsidRPr="007C683C">
        <w:rPr>
          <w:vertAlign w:val="subscript"/>
        </w:rPr>
        <w:t>max</w:t>
      </w:r>
      <w:proofErr w:type="spellEnd"/>
      <w:r w:rsidR="00054128" w:rsidRPr="007C683C">
        <w:t xml:space="preserve"> &gt;10 at all sites of measurable disease).</w:t>
      </w:r>
    </w:p>
    <w:p w14:paraId="24E74B56" w14:textId="6CB76C83" w:rsidR="00054128" w:rsidRPr="00D75832" w:rsidRDefault="00054128" w:rsidP="00054128">
      <w:pPr>
        <w:spacing w:after="200" w:line="276" w:lineRule="auto"/>
      </w:pPr>
      <w:r w:rsidRPr="007C683C">
        <w:t xml:space="preserve">The </w:t>
      </w:r>
      <w:r w:rsidR="00073A7D">
        <w:t xml:space="preserve">proposed </w:t>
      </w:r>
      <w:r w:rsidRPr="007C683C">
        <w:t xml:space="preserve">item descriptor for </w:t>
      </w:r>
      <w:r w:rsidRPr="007C683C">
        <w:rPr>
          <w:vertAlign w:val="superscript"/>
        </w:rPr>
        <w:t>177</w:t>
      </w:r>
      <w:r w:rsidR="009F7816">
        <w:t>Lu PSMA</w:t>
      </w:r>
      <w:r w:rsidR="00F4038D">
        <w:t> </w:t>
      </w:r>
      <w:proofErr w:type="spellStart"/>
      <w:r w:rsidR="00F4038D">
        <w:t>i&amp;t</w:t>
      </w:r>
      <w:proofErr w:type="spellEnd"/>
      <w:r w:rsidRPr="007C683C">
        <w:t xml:space="preserve"> d</w:t>
      </w:r>
      <w:r w:rsidR="00F4038D">
        <w:t>id</w:t>
      </w:r>
      <w:r w:rsidRPr="007C683C">
        <w:t xml:space="preserve"> not specify how ‘evidence of disease progression’ should be measured </w:t>
      </w:r>
      <w:r w:rsidR="00761E17" w:rsidRPr="007C683C">
        <w:t xml:space="preserve">for treatment with </w:t>
      </w:r>
      <w:r w:rsidR="00761E17" w:rsidRPr="007C683C">
        <w:rPr>
          <w:vertAlign w:val="superscript"/>
        </w:rPr>
        <w:t>177</w:t>
      </w:r>
      <w:r w:rsidR="009F7816">
        <w:t>Lu PSMA</w:t>
      </w:r>
      <w:r w:rsidR="00F4038D">
        <w:t> </w:t>
      </w:r>
      <w:proofErr w:type="spellStart"/>
      <w:r w:rsidR="00F4038D">
        <w:t>i&amp;t</w:t>
      </w:r>
      <w:proofErr w:type="spellEnd"/>
      <w:r w:rsidR="00761E17" w:rsidRPr="007C683C">
        <w:t xml:space="preserve"> to cease before 6 cycles </w:t>
      </w:r>
      <w:r w:rsidRPr="007C683C">
        <w:t>(</w:t>
      </w:r>
      <w:proofErr w:type="spellStart"/>
      <w:r w:rsidRPr="007C683C">
        <w:t>i.e</w:t>
      </w:r>
      <w:proofErr w:type="spellEnd"/>
      <w:r w:rsidRPr="007C683C">
        <w:t>, prostate specific antigen (PSA)</w:t>
      </w:r>
      <w:r w:rsidR="004A605B" w:rsidRPr="007C683C">
        <w:t xml:space="preserve"> </w:t>
      </w:r>
      <w:r w:rsidRPr="007C683C">
        <w:t xml:space="preserve">or radiographic progression as per </w:t>
      </w:r>
      <w:proofErr w:type="spellStart"/>
      <w:r w:rsidRPr="007C683C">
        <w:t>TheraP</w:t>
      </w:r>
      <w:proofErr w:type="spellEnd"/>
      <w:r w:rsidRPr="007C683C">
        <w:t xml:space="preserve"> or image-based progression only as per VISION). There is a marked difference between PFS reported in the </w:t>
      </w:r>
      <w:r w:rsidRPr="007C683C">
        <w:rPr>
          <w:vertAlign w:val="superscript"/>
        </w:rPr>
        <w:t>177</w:t>
      </w:r>
      <w:r w:rsidR="009F7816">
        <w:t>Lu PSMA</w:t>
      </w:r>
      <w:r w:rsidRPr="007C683C">
        <w:t xml:space="preserve">-617 arms in </w:t>
      </w:r>
      <w:proofErr w:type="spellStart"/>
      <w:r w:rsidRPr="007C683C">
        <w:t>TheraP</w:t>
      </w:r>
      <w:proofErr w:type="spellEnd"/>
      <w:r w:rsidRPr="007C683C">
        <w:t xml:space="preserve"> (5.1 months) versus VISION (8.7 months), however </w:t>
      </w:r>
      <w:r w:rsidR="00A730E5" w:rsidRPr="007C683C">
        <w:t>similar</w:t>
      </w:r>
      <w:r w:rsidRPr="007C683C">
        <w:t xml:space="preserve"> radiologic/</w:t>
      </w:r>
      <w:r w:rsidR="00684576" w:rsidRPr="007C683C">
        <w:t xml:space="preserve"> </w:t>
      </w:r>
      <w:r w:rsidRPr="007C683C">
        <w:t xml:space="preserve">radiographic PFS </w:t>
      </w:r>
      <w:r w:rsidR="00A730E5" w:rsidRPr="007C683C">
        <w:t xml:space="preserve">was observed </w:t>
      </w:r>
      <w:r w:rsidRPr="007C683C">
        <w:t xml:space="preserve">in </w:t>
      </w:r>
      <w:proofErr w:type="spellStart"/>
      <w:r w:rsidRPr="007C683C">
        <w:t>TheraP</w:t>
      </w:r>
      <w:proofErr w:type="spellEnd"/>
      <w:r w:rsidRPr="007C683C">
        <w:t xml:space="preserve"> </w:t>
      </w:r>
      <w:r w:rsidR="00AC2F21" w:rsidRPr="007C683C">
        <w:t>(</w:t>
      </w:r>
      <w:r w:rsidRPr="007C683C">
        <w:t>approximately 9 months</w:t>
      </w:r>
      <w:r w:rsidR="00AC2F21" w:rsidRPr="007C683C">
        <w:t>)</w:t>
      </w:r>
      <w:r w:rsidRPr="007C683C">
        <w:t xml:space="preserve"> compared with 8.7 months in VISION. The definition of PFS </w:t>
      </w:r>
      <w:r w:rsidR="00F4038D">
        <w:t>had</w:t>
      </w:r>
      <w:r w:rsidRPr="007C683C">
        <w:t xml:space="preserve"> implications for the cost-effectiveness and overall cost of listing </w:t>
      </w:r>
      <w:r w:rsidRPr="007C683C">
        <w:rPr>
          <w:vertAlign w:val="superscript"/>
        </w:rPr>
        <w:t>177</w:t>
      </w:r>
      <w:r w:rsidR="009F7816">
        <w:t>Lu PSMA</w:t>
      </w:r>
      <w:r w:rsidR="00F4038D">
        <w:t> </w:t>
      </w:r>
      <w:proofErr w:type="spellStart"/>
      <w:r w:rsidR="00F4038D">
        <w:t>i&amp;t</w:t>
      </w:r>
      <w:proofErr w:type="spellEnd"/>
      <w:r w:rsidRPr="007C683C">
        <w:t xml:space="preserve"> </w:t>
      </w:r>
      <w:r w:rsidRPr="00D75832">
        <w:t>on the MBS.</w:t>
      </w:r>
    </w:p>
    <w:p w14:paraId="74F96B97" w14:textId="1FA18455" w:rsidR="008440F9" w:rsidRDefault="00C03833" w:rsidP="008440F9">
      <w:pPr>
        <w:spacing w:after="200" w:line="276" w:lineRule="auto"/>
      </w:pPr>
      <w:r w:rsidRPr="00D75832">
        <w:t xml:space="preserve">Although treatment with androgen signalling inhibitors (ASIs) should cease upon initiation of treatment with </w:t>
      </w:r>
      <w:r w:rsidRPr="00D75832">
        <w:rPr>
          <w:vertAlign w:val="superscript"/>
        </w:rPr>
        <w:t>177</w:t>
      </w:r>
      <w:r w:rsidR="009F7816">
        <w:t>Lu PSMA</w:t>
      </w:r>
      <w:r w:rsidR="00F4038D">
        <w:t> </w:t>
      </w:r>
      <w:proofErr w:type="spellStart"/>
      <w:r w:rsidR="00F4038D">
        <w:t>i&amp;t</w:t>
      </w:r>
      <w:proofErr w:type="spellEnd"/>
      <w:r w:rsidRPr="00D75832">
        <w:t xml:space="preserve"> based on the PBS restrictions for ASIs</w:t>
      </w:r>
      <w:r w:rsidR="00054128" w:rsidRPr="00D75832">
        <w:t xml:space="preserve">, there is a possibility that use of ASIs may continue in patients undertaking treatment with </w:t>
      </w:r>
      <w:r w:rsidR="00054128" w:rsidRPr="00D75832">
        <w:rPr>
          <w:vertAlign w:val="superscript"/>
        </w:rPr>
        <w:t>177</w:t>
      </w:r>
      <w:r w:rsidR="009F7816">
        <w:t>Lu PSMA</w:t>
      </w:r>
      <w:r w:rsidR="00F4038D">
        <w:t> </w:t>
      </w:r>
      <w:proofErr w:type="spellStart"/>
      <w:r w:rsidR="00F4038D">
        <w:t>i&amp;t</w:t>
      </w:r>
      <w:proofErr w:type="spellEnd"/>
      <w:r w:rsidRPr="00D75832">
        <w:t>, as observed in the VISION trial</w:t>
      </w:r>
      <w:r w:rsidR="00054128" w:rsidRPr="00D75832">
        <w:t>.</w:t>
      </w:r>
      <w:r w:rsidR="008440F9">
        <w:br w:type="page"/>
      </w:r>
    </w:p>
    <w:p w14:paraId="34E0B08F" w14:textId="47EAE649" w:rsidR="00772829" w:rsidRDefault="006669BE" w:rsidP="002A18BE">
      <w:pPr>
        <w:pStyle w:val="Heading2"/>
        <w:numPr>
          <w:ilvl w:val="0"/>
          <w:numId w:val="0"/>
        </w:numPr>
      </w:pPr>
      <w:bookmarkStart w:id="14" w:name="_Toc69491419"/>
      <w:r>
        <w:t>7</w:t>
      </w:r>
      <w:r w:rsidR="00C36633">
        <w:t>.</w:t>
      </w:r>
      <w:r w:rsidR="00C36633">
        <w:tab/>
      </w:r>
      <w:r w:rsidR="00772829" w:rsidRPr="00CE28E3">
        <w:t>Population</w:t>
      </w:r>
      <w:bookmarkEnd w:id="14"/>
    </w:p>
    <w:p w14:paraId="3D059539" w14:textId="77777777" w:rsidR="00CD5D29" w:rsidRDefault="00CD5D29" w:rsidP="007D1689">
      <w:pPr>
        <w:keepNext/>
        <w:spacing w:after="0"/>
      </w:pPr>
      <w:r>
        <w:t>Patients who have:</w:t>
      </w:r>
    </w:p>
    <w:p w14:paraId="1A3A7AFC" w14:textId="2A51A011" w:rsidR="00CD5D29" w:rsidRDefault="00CD5D29" w:rsidP="007D1689">
      <w:pPr>
        <w:pStyle w:val="ListParagraph"/>
        <w:numPr>
          <w:ilvl w:val="0"/>
          <w:numId w:val="15"/>
        </w:numPr>
        <w:spacing w:before="0" w:after="0" w:line="240" w:lineRule="auto"/>
      </w:pPr>
      <w:r>
        <w:t xml:space="preserve">progressive or symptomatic </w:t>
      </w:r>
      <w:proofErr w:type="spellStart"/>
      <w:r>
        <w:t>mCRPC</w:t>
      </w:r>
      <w:proofErr w:type="spellEnd"/>
      <w:r>
        <w:t>, AND</w:t>
      </w:r>
    </w:p>
    <w:p w14:paraId="508CCFC4" w14:textId="13B2D3A4" w:rsidR="00CD5D29" w:rsidRDefault="00CD5D29" w:rsidP="007D1689">
      <w:pPr>
        <w:pStyle w:val="ListParagraph"/>
        <w:numPr>
          <w:ilvl w:val="0"/>
          <w:numId w:val="15"/>
        </w:numPr>
        <w:spacing w:before="0" w:after="0" w:line="240" w:lineRule="auto"/>
      </w:pPr>
      <w:r>
        <w:t>received:</w:t>
      </w:r>
    </w:p>
    <w:p w14:paraId="450B7136" w14:textId="7A1C0B0D" w:rsidR="00CD5D29" w:rsidRDefault="00CD5D29" w:rsidP="007D1689">
      <w:pPr>
        <w:spacing w:before="0" w:after="0"/>
        <w:ind w:left="568" w:hanging="284"/>
      </w:pPr>
      <w:r>
        <w:lastRenderedPageBreak/>
        <w:t>-</w:t>
      </w:r>
      <w:r>
        <w:tab/>
        <w:t xml:space="preserve">at least one ASI (abiraterone / enzalutamide / </w:t>
      </w:r>
      <w:proofErr w:type="spellStart"/>
      <w:r>
        <w:t>darolutamide</w:t>
      </w:r>
      <w:proofErr w:type="spellEnd"/>
      <w:r>
        <w:t xml:space="preserve"> via PBS/RPBS), AND</w:t>
      </w:r>
    </w:p>
    <w:p w14:paraId="002AF82F" w14:textId="736147E8" w:rsidR="00CD5D29" w:rsidRDefault="00CD5D29" w:rsidP="007D1689">
      <w:pPr>
        <w:spacing w:before="0"/>
        <w:ind w:left="568" w:hanging="284"/>
      </w:pPr>
      <w:r>
        <w:t>-</w:t>
      </w:r>
      <w:r>
        <w:tab/>
        <w:t xml:space="preserve">at least one line of chemotherapy (docetaxel +/- </w:t>
      </w:r>
      <w:proofErr w:type="spellStart"/>
      <w:r>
        <w:t>cabazitaxel</w:t>
      </w:r>
      <w:proofErr w:type="spellEnd"/>
      <w:r>
        <w:t xml:space="preserve"> via PBS/RPBS)</w:t>
      </w:r>
      <w:r w:rsidR="007302FA">
        <w:t>.</w:t>
      </w:r>
    </w:p>
    <w:p w14:paraId="4457F343" w14:textId="2905F866" w:rsidR="00CD5D29" w:rsidRDefault="00CD5D29" w:rsidP="00741CB2">
      <w:pPr>
        <w:keepNext/>
        <w:spacing w:after="0" w:line="240" w:lineRule="auto"/>
      </w:pPr>
      <w:r w:rsidRPr="006F47DD">
        <w:rPr>
          <w:u w:val="single"/>
        </w:rPr>
        <w:t>Diagnostic test</w:t>
      </w:r>
      <w:r>
        <w:t>: PSMA PET/CT</w:t>
      </w:r>
    </w:p>
    <w:p w14:paraId="47A93FFA" w14:textId="0FA4A977" w:rsidR="00CD5D29" w:rsidRPr="00811447" w:rsidRDefault="00CD5D29" w:rsidP="00741CB2">
      <w:pPr>
        <w:spacing w:before="0"/>
      </w:pPr>
      <w:r w:rsidRPr="00811447">
        <w:rPr>
          <w:i/>
          <w:iCs/>
        </w:rPr>
        <w:t>If positive</w:t>
      </w:r>
      <w:r>
        <w:t xml:space="preserve"> (</w:t>
      </w:r>
      <w:proofErr w:type="spellStart"/>
      <w:r w:rsidRPr="00D61DEB">
        <w:t>SUV</w:t>
      </w:r>
      <w:r w:rsidRPr="000F1405">
        <w:rPr>
          <w:vertAlign w:val="subscript"/>
        </w:rPr>
        <w:t>max</w:t>
      </w:r>
      <w:proofErr w:type="spellEnd"/>
      <w:r w:rsidRPr="00D61DEB">
        <w:t xml:space="preserve"> of &gt;15 at </w:t>
      </w:r>
      <w:r>
        <w:rPr>
          <w:rFonts w:cs="Calibri"/>
        </w:rPr>
        <w:t>≥</w:t>
      </w:r>
      <w:r>
        <w:t>1</w:t>
      </w:r>
      <w:r w:rsidRPr="00D61DEB">
        <w:t xml:space="preserve"> </w:t>
      </w:r>
      <w:r>
        <w:t xml:space="preserve">disease </w:t>
      </w:r>
      <w:r w:rsidRPr="00D61DEB">
        <w:t xml:space="preserve">site </w:t>
      </w:r>
      <w:r w:rsidRPr="008A595F">
        <w:rPr>
          <w:i/>
          <w:iCs/>
        </w:rPr>
        <w:t>AND</w:t>
      </w:r>
      <w:r w:rsidRPr="00D61DEB">
        <w:t xml:space="preserve"> </w:t>
      </w:r>
      <w:proofErr w:type="spellStart"/>
      <w:r w:rsidRPr="00D61DEB">
        <w:t>SUV</w:t>
      </w:r>
      <w:r w:rsidRPr="000F1405">
        <w:rPr>
          <w:vertAlign w:val="subscript"/>
        </w:rPr>
        <w:t>max</w:t>
      </w:r>
      <w:proofErr w:type="spellEnd"/>
      <w:r w:rsidRPr="00D61DEB">
        <w:t xml:space="preserve"> &gt;10 at all </w:t>
      </w:r>
      <w:r>
        <w:t xml:space="preserve">measurable </w:t>
      </w:r>
      <w:r w:rsidRPr="00D61DEB">
        <w:t>sites</w:t>
      </w:r>
      <w:r>
        <w:t>)</w:t>
      </w:r>
      <w:r w:rsidR="00DF5994">
        <w:t xml:space="preserve"> and</w:t>
      </w:r>
      <w:r>
        <w:t xml:space="preserve"> adequate marrow/liver/renal function</w:t>
      </w:r>
      <w:r w:rsidR="00DF5994">
        <w:t>, patients</w:t>
      </w:r>
      <w:r>
        <w:t xml:space="preserve"> are </w:t>
      </w:r>
      <w:r w:rsidR="00DF5994">
        <w:t xml:space="preserve">then </w:t>
      </w:r>
      <w:r>
        <w:t>eligible for</w:t>
      </w:r>
    </w:p>
    <w:p w14:paraId="43083FA6" w14:textId="77777777" w:rsidR="00CD5D29" w:rsidRDefault="00CD5D29" w:rsidP="00DF5994">
      <w:pPr>
        <w:keepNext/>
        <w:spacing w:after="0" w:line="240" w:lineRule="auto"/>
      </w:pPr>
      <w:r w:rsidRPr="006F47DD">
        <w:rPr>
          <w:u w:val="single"/>
        </w:rPr>
        <w:t>Therapeutic intervention</w:t>
      </w:r>
      <w:r>
        <w:t>:</w:t>
      </w:r>
    </w:p>
    <w:p w14:paraId="2E7E9760" w14:textId="2B86EAB4" w:rsidR="00CD5D29" w:rsidRDefault="00CD5D29" w:rsidP="00CB0324">
      <w:pPr>
        <w:pStyle w:val="ListParagraph"/>
        <w:numPr>
          <w:ilvl w:val="0"/>
          <w:numId w:val="15"/>
        </w:numPr>
        <w:spacing w:before="0" w:after="0" w:line="240" w:lineRule="auto"/>
      </w:pPr>
      <w:r w:rsidRPr="00307387">
        <w:rPr>
          <w:vertAlign w:val="superscript"/>
        </w:rPr>
        <w:t>177</w:t>
      </w:r>
      <w:r w:rsidR="009F7816">
        <w:t>Lu </w:t>
      </w:r>
      <w:r w:rsidR="00886914">
        <w:t>PSMA </w:t>
      </w:r>
      <w:proofErr w:type="spellStart"/>
      <w:r w:rsidR="00886914">
        <w:t>i&amp;t</w:t>
      </w:r>
      <w:proofErr w:type="spellEnd"/>
      <w:r>
        <w:t xml:space="preserve">, 7.5-8.5 </w:t>
      </w:r>
      <w:proofErr w:type="spellStart"/>
      <w:r>
        <w:t>GBq</w:t>
      </w:r>
      <w:proofErr w:type="spellEnd"/>
      <w:r>
        <w:t xml:space="preserve"> IVI every 6 weeks for up to 6 cycles</w:t>
      </w:r>
    </w:p>
    <w:p w14:paraId="7EDECC7E" w14:textId="3FE666B5" w:rsidR="00CD5D29" w:rsidRDefault="00CD5D29" w:rsidP="00CB0324">
      <w:pPr>
        <w:pStyle w:val="ListParagraph"/>
        <w:numPr>
          <w:ilvl w:val="0"/>
          <w:numId w:val="15"/>
        </w:numPr>
        <w:spacing w:before="0" w:after="0" w:line="240" w:lineRule="auto"/>
      </w:pPr>
      <w:r w:rsidRPr="00307387">
        <w:rPr>
          <w:vertAlign w:val="superscript"/>
        </w:rPr>
        <w:t>177</w:t>
      </w:r>
      <w:r w:rsidR="009F7816">
        <w:t>Lu PSMA</w:t>
      </w:r>
      <w:r>
        <w:t xml:space="preserve"> SPECT/CT 24 hours post-infusion</w:t>
      </w:r>
      <w:r w:rsidR="00665903">
        <w:t xml:space="preserve"> for each cycle</w:t>
      </w:r>
    </w:p>
    <w:p w14:paraId="25684253" w14:textId="67F0E1A4" w:rsidR="00CD5D29" w:rsidRDefault="00CD5D29" w:rsidP="00DF5994">
      <w:pPr>
        <w:spacing w:before="160" w:after="120"/>
      </w:pPr>
      <w:r>
        <w:t>The diagnostic test (PSMA PET/CT) will not replace any currently funded tests.</w:t>
      </w:r>
    </w:p>
    <w:p w14:paraId="65B97CD7" w14:textId="77D43647" w:rsidR="00CD5D29" w:rsidRDefault="00CD5D29" w:rsidP="00CD5D29">
      <w:r w:rsidRPr="00741CB2">
        <w:t>The intervention</w:t>
      </w:r>
      <w:r>
        <w:t xml:space="preserve"> (</w:t>
      </w:r>
      <w:r w:rsidRPr="00307387">
        <w:rPr>
          <w:vertAlign w:val="superscript"/>
        </w:rPr>
        <w:t>177</w:t>
      </w:r>
      <w:r w:rsidR="009F7816">
        <w:t>Lu </w:t>
      </w:r>
      <w:r w:rsidR="00886914">
        <w:t>PSMA </w:t>
      </w:r>
      <w:proofErr w:type="spellStart"/>
      <w:r w:rsidR="00886914">
        <w:t>i&amp;t</w:t>
      </w:r>
      <w:proofErr w:type="spellEnd"/>
      <w:r>
        <w:t xml:space="preserve">) will replace or displace </w:t>
      </w:r>
      <w:proofErr w:type="spellStart"/>
      <w:r>
        <w:t>cabazitaxel</w:t>
      </w:r>
      <w:proofErr w:type="spellEnd"/>
      <w:r>
        <w:t xml:space="preserve"> and displace best supportive care.</w:t>
      </w:r>
    </w:p>
    <w:p w14:paraId="66BDFCC1" w14:textId="7961C2CC" w:rsidR="00772829" w:rsidRDefault="006669BE" w:rsidP="002A18BE">
      <w:pPr>
        <w:pStyle w:val="Heading2"/>
        <w:numPr>
          <w:ilvl w:val="0"/>
          <w:numId w:val="0"/>
        </w:numPr>
      </w:pPr>
      <w:bookmarkStart w:id="15" w:name="_Toc69491420"/>
      <w:r>
        <w:t>8</w:t>
      </w:r>
      <w:r w:rsidR="00C36633">
        <w:t>.</w:t>
      </w:r>
      <w:r w:rsidR="00C36633">
        <w:tab/>
      </w:r>
      <w:r w:rsidR="00772829" w:rsidRPr="00CE28E3">
        <w:t>Comparator</w:t>
      </w:r>
      <w:bookmarkEnd w:id="15"/>
    </w:p>
    <w:p w14:paraId="13A9DDA0" w14:textId="5D79EC44" w:rsidR="00291FD7" w:rsidRDefault="00291FD7" w:rsidP="007D1689">
      <w:pPr>
        <w:keepNext/>
        <w:spacing w:after="0" w:line="240" w:lineRule="auto"/>
      </w:pPr>
      <w:r>
        <w:rPr>
          <w:u w:val="single"/>
        </w:rPr>
        <w:t>Diagnostic t</w:t>
      </w:r>
      <w:r w:rsidRPr="000F1405">
        <w:rPr>
          <w:u w:val="single"/>
        </w:rPr>
        <w:t>est</w:t>
      </w:r>
      <w:r w:rsidRPr="000F1405">
        <w:t>:</w:t>
      </w:r>
      <w:r>
        <w:t xml:space="preserve"> no testing with PSMA PET/CT</w:t>
      </w:r>
    </w:p>
    <w:p w14:paraId="76A80D4D" w14:textId="77777777" w:rsidR="00291FD7" w:rsidRDefault="00291FD7" w:rsidP="00741CB2">
      <w:pPr>
        <w:keepNext/>
        <w:spacing w:after="0" w:line="240" w:lineRule="auto"/>
      </w:pPr>
      <w:r>
        <w:rPr>
          <w:u w:val="single"/>
        </w:rPr>
        <w:t>T</w:t>
      </w:r>
      <w:r w:rsidRPr="000F1405">
        <w:rPr>
          <w:u w:val="single"/>
        </w:rPr>
        <w:t>herapy</w:t>
      </w:r>
      <w:r w:rsidRPr="000F1405">
        <w:t>:</w:t>
      </w:r>
    </w:p>
    <w:p w14:paraId="28133C6F" w14:textId="5D3FAE25" w:rsidR="00291FD7" w:rsidRDefault="00741CB2" w:rsidP="00CB0324">
      <w:pPr>
        <w:pStyle w:val="ListParagraph"/>
        <w:numPr>
          <w:ilvl w:val="0"/>
          <w:numId w:val="16"/>
        </w:numPr>
        <w:spacing w:before="0" w:after="0" w:line="240" w:lineRule="auto"/>
      </w:pPr>
      <w:proofErr w:type="spellStart"/>
      <w:r>
        <w:t>c</w:t>
      </w:r>
      <w:r w:rsidR="00291FD7">
        <w:t>abazitaxel</w:t>
      </w:r>
      <w:proofErr w:type="spellEnd"/>
      <w:r w:rsidR="00291FD7">
        <w:t>; or</w:t>
      </w:r>
    </w:p>
    <w:p w14:paraId="26957F12" w14:textId="005526F1" w:rsidR="009E6BEE" w:rsidRDefault="00291FD7" w:rsidP="002D11CF">
      <w:pPr>
        <w:pStyle w:val="ListParagraph"/>
        <w:numPr>
          <w:ilvl w:val="0"/>
          <w:numId w:val="16"/>
        </w:numPr>
        <w:spacing w:before="0" w:after="0" w:line="240" w:lineRule="auto"/>
      </w:pPr>
      <w:r>
        <w:t>standard care</w:t>
      </w:r>
      <w:r w:rsidR="009E6BEE">
        <w:t xml:space="preserve"> (</w:t>
      </w:r>
      <w:r w:rsidR="00FC1CB9">
        <w:t xml:space="preserve">interchangeable with </w:t>
      </w:r>
      <w:r w:rsidR="00DB005C">
        <w:t>best supportive care</w:t>
      </w:r>
      <w:r w:rsidR="009E6BEE">
        <w:t>)</w:t>
      </w:r>
      <w:r>
        <w:t xml:space="preserve"> if prior </w:t>
      </w:r>
      <w:proofErr w:type="spellStart"/>
      <w:r>
        <w:t>cabazitaxel</w:t>
      </w:r>
      <w:proofErr w:type="spellEnd"/>
      <w:r>
        <w:t xml:space="preserve">, or unsuitable/unwilling for </w:t>
      </w:r>
      <w:proofErr w:type="spellStart"/>
      <w:r>
        <w:t>cabazitaxel</w:t>
      </w:r>
      <w:proofErr w:type="spellEnd"/>
      <w:r>
        <w:t>.</w:t>
      </w:r>
    </w:p>
    <w:p w14:paraId="47BC3A84" w14:textId="266F4F06" w:rsidR="00772829" w:rsidRPr="00CE28E3" w:rsidRDefault="006669BE" w:rsidP="002A18BE">
      <w:pPr>
        <w:pStyle w:val="Heading2"/>
        <w:numPr>
          <w:ilvl w:val="0"/>
          <w:numId w:val="0"/>
        </w:numPr>
      </w:pPr>
      <w:bookmarkStart w:id="16" w:name="_Toc69491421"/>
      <w:r>
        <w:t>9</w:t>
      </w:r>
      <w:r w:rsidR="00C36633">
        <w:t>.</w:t>
      </w:r>
      <w:r w:rsidR="00C36633">
        <w:tab/>
      </w:r>
      <w:r w:rsidR="00772829" w:rsidRPr="00CE28E3">
        <w:t xml:space="preserve">Summary of public consultation </w:t>
      </w:r>
      <w:r w:rsidR="0052575D">
        <w:t>input</w:t>
      </w:r>
      <w:bookmarkEnd w:id="16"/>
    </w:p>
    <w:p w14:paraId="22E76784" w14:textId="728BEA89" w:rsidR="005866A7" w:rsidRPr="004025F0" w:rsidRDefault="00D4454C" w:rsidP="005866A7">
      <w:pPr>
        <w:rPr>
          <w:rFonts w:cstheme="minorHAnsi"/>
        </w:rPr>
      </w:pPr>
      <w:bookmarkStart w:id="17" w:name="_Toc69491422"/>
      <w:r>
        <w:rPr>
          <w:rFonts w:cstheme="minorHAnsi"/>
        </w:rPr>
        <w:t>Consultation input</w:t>
      </w:r>
      <w:r w:rsidRPr="004025F0">
        <w:rPr>
          <w:rFonts w:cstheme="minorHAnsi"/>
        </w:rPr>
        <w:t xml:space="preserve"> </w:t>
      </w:r>
      <w:r>
        <w:rPr>
          <w:rFonts w:cstheme="minorHAnsi"/>
        </w:rPr>
        <w:t xml:space="preserve">was received </w:t>
      </w:r>
      <w:r w:rsidR="005866A7" w:rsidRPr="004025F0">
        <w:rPr>
          <w:rFonts w:cstheme="minorHAnsi"/>
        </w:rPr>
        <w:t xml:space="preserve">from 18 organisations and 23 individuals </w:t>
      </w:r>
      <w:r w:rsidR="008B5DC4">
        <w:rPr>
          <w:rFonts w:cstheme="minorHAnsi"/>
        </w:rPr>
        <w:t>prior to</w:t>
      </w:r>
      <w:r w:rsidR="008B5DC4" w:rsidRPr="004025F0">
        <w:rPr>
          <w:rFonts w:cstheme="minorHAnsi"/>
        </w:rPr>
        <w:t xml:space="preserve"> </w:t>
      </w:r>
      <w:r w:rsidR="005866A7" w:rsidRPr="004025F0">
        <w:rPr>
          <w:rFonts w:cstheme="minorHAnsi"/>
        </w:rPr>
        <w:t xml:space="preserve">PASC consideration </w:t>
      </w:r>
      <w:r>
        <w:rPr>
          <w:rFonts w:cstheme="minorHAnsi"/>
        </w:rPr>
        <w:t>in</w:t>
      </w:r>
      <w:r w:rsidR="005866A7" w:rsidRPr="004025F0">
        <w:rPr>
          <w:rFonts w:cstheme="minorHAnsi"/>
        </w:rPr>
        <w:t xml:space="preserve"> December 2021</w:t>
      </w:r>
      <w:r w:rsidR="00DC59CA">
        <w:rPr>
          <w:rFonts w:cstheme="minorHAnsi"/>
        </w:rPr>
        <w:t xml:space="preserve">. Ahead of the MSAC consideration, </w:t>
      </w:r>
      <w:r w:rsidR="00064770">
        <w:rPr>
          <w:rFonts w:cstheme="minorHAnsi"/>
        </w:rPr>
        <w:t xml:space="preserve">two </w:t>
      </w:r>
      <w:r w:rsidR="00960E0D">
        <w:rPr>
          <w:rFonts w:cstheme="minorHAnsi"/>
        </w:rPr>
        <w:t>additional</w:t>
      </w:r>
      <w:r w:rsidR="00DC59CA">
        <w:rPr>
          <w:rFonts w:cstheme="minorHAnsi"/>
        </w:rPr>
        <w:t xml:space="preserve"> </w:t>
      </w:r>
      <w:r>
        <w:rPr>
          <w:rFonts w:cstheme="minorHAnsi"/>
        </w:rPr>
        <w:t>individual</w:t>
      </w:r>
      <w:r w:rsidR="00064770">
        <w:rPr>
          <w:rFonts w:cstheme="minorHAnsi"/>
        </w:rPr>
        <w:t>s</w:t>
      </w:r>
      <w:r w:rsidR="00DC59CA">
        <w:rPr>
          <w:rFonts w:cstheme="minorHAnsi"/>
        </w:rPr>
        <w:t xml:space="preserve"> and </w:t>
      </w:r>
      <w:r w:rsidR="006A5885">
        <w:rPr>
          <w:rFonts w:cstheme="minorHAnsi"/>
        </w:rPr>
        <w:t xml:space="preserve">four </w:t>
      </w:r>
      <w:r w:rsidR="00960E0D">
        <w:rPr>
          <w:rFonts w:cstheme="minorHAnsi"/>
        </w:rPr>
        <w:t xml:space="preserve">additional </w:t>
      </w:r>
      <w:r>
        <w:rPr>
          <w:rFonts w:cstheme="minorHAnsi"/>
        </w:rPr>
        <w:t>organisations provided input</w:t>
      </w:r>
      <w:r w:rsidR="00F938A9">
        <w:rPr>
          <w:rFonts w:cstheme="minorHAnsi"/>
        </w:rPr>
        <w:t xml:space="preserve"> (</w:t>
      </w:r>
      <w:r w:rsidR="00D225CA">
        <w:rPr>
          <w:rFonts w:cstheme="minorHAnsi"/>
        </w:rPr>
        <w:t>22</w:t>
      </w:r>
      <w:r w:rsidR="00F938A9">
        <w:rPr>
          <w:rFonts w:cstheme="minorHAnsi"/>
        </w:rPr>
        <w:t xml:space="preserve"> organisations in total)</w:t>
      </w:r>
      <w:r w:rsidR="00DC59CA">
        <w:rPr>
          <w:rFonts w:cstheme="minorHAnsi"/>
        </w:rPr>
        <w:t xml:space="preserve">, and </w:t>
      </w:r>
      <w:r w:rsidR="006A5885">
        <w:rPr>
          <w:rFonts w:cstheme="minorHAnsi"/>
        </w:rPr>
        <w:t xml:space="preserve">8 </w:t>
      </w:r>
      <w:r>
        <w:rPr>
          <w:rFonts w:cstheme="minorHAnsi"/>
        </w:rPr>
        <w:t xml:space="preserve">organisations provided </w:t>
      </w:r>
      <w:r w:rsidR="00960E0D">
        <w:rPr>
          <w:rFonts w:cstheme="minorHAnsi"/>
        </w:rPr>
        <w:t>further</w:t>
      </w:r>
      <w:r>
        <w:rPr>
          <w:rFonts w:cstheme="minorHAnsi"/>
        </w:rPr>
        <w:t xml:space="preserve"> </w:t>
      </w:r>
      <w:r w:rsidR="00DC59CA">
        <w:rPr>
          <w:rFonts w:cstheme="minorHAnsi"/>
        </w:rPr>
        <w:t xml:space="preserve">input. </w:t>
      </w:r>
    </w:p>
    <w:p w14:paraId="227AF378" w14:textId="21E4CE27" w:rsidR="005866A7" w:rsidRPr="004025F0" w:rsidRDefault="00537A51" w:rsidP="005866A7">
      <w:pPr>
        <w:rPr>
          <w:rFonts w:cstheme="minorHAnsi"/>
        </w:rPr>
      </w:pPr>
      <w:r w:rsidRPr="00D4454C">
        <w:rPr>
          <w:rFonts w:cstheme="minorHAnsi"/>
        </w:rPr>
        <w:t xml:space="preserve">All </w:t>
      </w:r>
      <w:r w:rsidR="00DC59CA">
        <w:rPr>
          <w:rFonts w:cstheme="minorHAnsi"/>
        </w:rPr>
        <w:t xml:space="preserve">individual </w:t>
      </w:r>
      <w:r w:rsidRPr="00D4454C">
        <w:rPr>
          <w:rFonts w:cstheme="minorHAnsi"/>
        </w:rPr>
        <w:t xml:space="preserve">consumers and specialists </w:t>
      </w:r>
      <w:r w:rsidR="00DC59CA">
        <w:rPr>
          <w:rFonts w:cstheme="minorHAnsi"/>
        </w:rPr>
        <w:t xml:space="preserve">and most organisations </w:t>
      </w:r>
      <w:r>
        <w:rPr>
          <w:rFonts w:cstheme="minorHAnsi"/>
        </w:rPr>
        <w:t xml:space="preserve">that provided input </w:t>
      </w:r>
      <w:r w:rsidRPr="00D4454C">
        <w:rPr>
          <w:rFonts w:cstheme="minorHAnsi"/>
        </w:rPr>
        <w:t>were supportive of the application</w:t>
      </w:r>
      <w:r w:rsidR="00DC59CA">
        <w:rPr>
          <w:rFonts w:cstheme="minorHAnsi"/>
        </w:rPr>
        <w:t xml:space="preserve">. </w:t>
      </w:r>
    </w:p>
    <w:p w14:paraId="61DB0521" w14:textId="3E2BE982" w:rsidR="005866A7" w:rsidRPr="004025F0" w:rsidRDefault="005866A7" w:rsidP="007D1689">
      <w:pPr>
        <w:keepNext/>
        <w:rPr>
          <w:rFonts w:cstheme="minorHAnsi"/>
        </w:rPr>
      </w:pPr>
      <w:r w:rsidRPr="004025F0">
        <w:rPr>
          <w:rFonts w:cstheme="minorHAnsi"/>
        </w:rPr>
        <w:t>Advantages of the proposed therapy were</w:t>
      </w:r>
      <w:r w:rsidR="00B46E63">
        <w:rPr>
          <w:rFonts w:cstheme="minorHAnsi"/>
        </w:rPr>
        <w:t xml:space="preserve"> said to include the following</w:t>
      </w:r>
      <w:r w:rsidRPr="004025F0">
        <w:rPr>
          <w:rFonts w:cstheme="minorHAnsi"/>
        </w:rPr>
        <w:t>:</w:t>
      </w:r>
    </w:p>
    <w:p w14:paraId="2A60A838" w14:textId="301B1244" w:rsidR="005866A7" w:rsidRPr="004025F0" w:rsidRDefault="005866A7" w:rsidP="005866A7">
      <w:pPr>
        <w:pStyle w:val="ListParagraph"/>
        <w:numPr>
          <w:ilvl w:val="0"/>
          <w:numId w:val="40"/>
        </w:numPr>
        <w:spacing w:before="0" w:after="200" w:line="276" w:lineRule="auto"/>
        <w:rPr>
          <w:rFonts w:cstheme="minorHAnsi"/>
        </w:rPr>
      </w:pPr>
      <w:proofErr w:type="spellStart"/>
      <w:r w:rsidRPr="004025F0">
        <w:rPr>
          <w:rFonts w:cstheme="minorHAnsi"/>
        </w:rPr>
        <w:t>Lu</w:t>
      </w:r>
      <w:r w:rsidR="00886914">
        <w:rPr>
          <w:rFonts w:cstheme="minorHAnsi"/>
        </w:rPr>
        <w:t>PSMA</w:t>
      </w:r>
      <w:proofErr w:type="spellEnd"/>
      <w:r w:rsidR="00886914">
        <w:rPr>
          <w:rFonts w:cstheme="minorHAnsi"/>
        </w:rPr>
        <w:t> </w:t>
      </w:r>
      <w:proofErr w:type="spellStart"/>
      <w:r w:rsidR="00886914">
        <w:rPr>
          <w:rFonts w:cstheme="minorHAnsi"/>
        </w:rPr>
        <w:t>i&amp;t</w:t>
      </w:r>
      <w:proofErr w:type="spellEnd"/>
      <w:r w:rsidRPr="004025F0">
        <w:rPr>
          <w:rFonts w:cstheme="minorHAnsi"/>
        </w:rPr>
        <w:t xml:space="preserve"> therapy is well tolerated by patients, improves progression</w:t>
      </w:r>
      <w:r w:rsidR="00E231AE">
        <w:rPr>
          <w:rFonts w:cstheme="minorHAnsi"/>
        </w:rPr>
        <w:t>-</w:t>
      </w:r>
      <w:r w:rsidRPr="004025F0">
        <w:rPr>
          <w:rFonts w:cstheme="minorHAnsi"/>
        </w:rPr>
        <w:t>free and overall survival, and improves quality of life for patients with advanced prostate cancer.</w:t>
      </w:r>
    </w:p>
    <w:p w14:paraId="59222F07" w14:textId="77777777" w:rsidR="005866A7" w:rsidRPr="004025F0" w:rsidRDefault="005866A7" w:rsidP="005866A7">
      <w:pPr>
        <w:pStyle w:val="ListParagraph"/>
        <w:numPr>
          <w:ilvl w:val="0"/>
          <w:numId w:val="40"/>
        </w:numPr>
        <w:spacing w:before="0" w:after="200" w:line="276" w:lineRule="auto"/>
        <w:rPr>
          <w:rFonts w:cstheme="minorHAnsi"/>
        </w:rPr>
      </w:pPr>
      <w:r w:rsidRPr="004025F0">
        <w:rPr>
          <w:rFonts w:cstheme="minorHAnsi"/>
        </w:rPr>
        <w:t xml:space="preserve">Consumers noted benefits relating to extension of life, improvement in quality of life and wellbeing for themselves, their </w:t>
      </w:r>
      <w:proofErr w:type="spellStart"/>
      <w:r w:rsidRPr="004025F0">
        <w:rPr>
          <w:rFonts w:cstheme="minorHAnsi"/>
        </w:rPr>
        <w:t>carers</w:t>
      </w:r>
      <w:proofErr w:type="spellEnd"/>
      <w:r w:rsidRPr="004025F0">
        <w:rPr>
          <w:rFonts w:cstheme="minorHAnsi"/>
        </w:rPr>
        <w:t xml:space="preserve">, </w:t>
      </w:r>
      <w:proofErr w:type="gramStart"/>
      <w:r w:rsidRPr="004025F0">
        <w:rPr>
          <w:rFonts w:cstheme="minorHAnsi"/>
        </w:rPr>
        <w:t>family</w:t>
      </w:r>
      <w:proofErr w:type="gramEnd"/>
      <w:r w:rsidRPr="004025F0">
        <w:rPr>
          <w:rFonts w:cstheme="minorHAnsi"/>
        </w:rPr>
        <w:t xml:space="preserve"> and friends.</w:t>
      </w:r>
    </w:p>
    <w:p w14:paraId="0F7312B6" w14:textId="77777777" w:rsidR="005866A7" w:rsidRPr="004025F0" w:rsidRDefault="005866A7" w:rsidP="005866A7">
      <w:pPr>
        <w:pStyle w:val="ListParagraph"/>
        <w:numPr>
          <w:ilvl w:val="0"/>
          <w:numId w:val="40"/>
        </w:numPr>
        <w:spacing w:before="0" w:after="200" w:line="276" w:lineRule="auto"/>
        <w:rPr>
          <w:rFonts w:cstheme="minorHAnsi"/>
        </w:rPr>
      </w:pPr>
      <w:r w:rsidRPr="004025F0">
        <w:rPr>
          <w:rFonts w:cstheme="minorHAnsi"/>
        </w:rPr>
        <w:t>Consumers and consumer organisations considered that public funding would make this treatment more accessible and affordable, which would provide more equitable access to this treatment.</w:t>
      </w:r>
    </w:p>
    <w:p w14:paraId="4CA18A90" w14:textId="74F82EA3" w:rsidR="005866A7" w:rsidRPr="004025F0" w:rsidRDefault="005866A7" w:rsidP="005866A7">
      <w:pPr>
        <w:pStyle w:val="ListParagraph"/>
        <w:numPr>
          <w:ilvl w:val="0"/>
          <w:numId w:val="40"/>
        </w:numPr>
        <w:spacing w:before="0" w:after="200" w:line="276" w:lineRule="auto"/>
        <w:rPr>
          <w:rFonts w:cstheme="minorHAnsi"/>
        </w:rPr>
      </w:pPr>
      <w:r w:rsidRPr="004025F0">
        <w:rPr>
          <w:rFonts w:cstheme="minorHAnsi"/>
        </w:rPr>
        <w:t>This treatment is already funded through the Department of Veterans</w:t>
      </w:r>
      <w:r w:rsidR="00EF1961">
        <w:rPr>
          <w:rFonts w:cstheme="minorHAnsi"/>
        </w:rPr>
        <w:t>’</w:t>
      </w:r>
      <w:r w:rsidRPr="004025F0">
        <w:rPr>
          <w:rFonts w:cstheme="minorHAnsi"/>
        </w:rPr>
        <w:t xml:space="preserve"> Affairs (DVA) and so Medicare funding would allow all men with advanced prostate cancer in Australia to be eligible for funding of the treatment.</w:t>
      </w:r>
    </w:p>
    <w:p w14:paraId="6C4D83DC" w14:textId="4E4A3FFF" w:rsidR="005866A7" w:rsidRPr="004025F0" w:rsidRDefault="005866A7" w:rsidP="007D1689">
      <w:pPr>
        <w:keepNext/>
        <w:rPr>
          <w:rFonts w:cstheme="minorHAnsi"/>
        </w:rPr>
      </w:pPr>
      <w:r w:rsidRPr="004025F0">
        <w:rPr>
          <w:rFonts w:cstheme="minorHAnsi"/>
        </w:rPr>
        <w:t>Disadvantages of the proposed therapy were</w:t>
      </w:r>
      <w:r w:rsidR="00B46E63">
        <w:rPr>
          <w:rFonts w:cstheme="minorHAnsi"/>
        </w:rPr>
        <w:t xml:space="preserve"> said to include the following</w:t>
      </w:r>
      <w:r w:rsidRPr="004025F0">
        <w:rPr>
          <w:rFonts w:cstheme="minorHAnsi"/>
        </w:rPr>
        <w:t>:</w:t>
      </w:r>
    </w:p>
    <w:p w14:paraId="74C88F0C" w14:textId="2326DE06" w:rsidR="005866A7" w:rsidRPr="004025F0" w:rsidRDefault="005866A7" w:rsidP="005866A7">
      <w:pPr>
        <w:pStyle w:val="ListParagraph"/>
        <w:numPr>
          <w:ilvl w:val="0"/>
          <w:numId w:val="40"/>
        </w:numPr>
        <w:spacing w:before="0" w:after="200" w:line="276" w:lineRule="auto"/>
        <w:rPr>
          <w:rFonts w:cstheme="minorHAnsi"/>
        </w:rPr>
      </w:pPr>
      <w:r w:rsidRPr="004025F0">
        <w:rPr>
          <w:rFonts w:cstheme="minorHAnsi"/>
        </w:rPr>
        <w:t>It was noted that there were</w:t>
      </w:r>
      <w:r w:rsidR="00E231AE">
        <w:rPr>
          <w:rFonts w:cstheme="minorHAnsi"/>
        </w:rPr>
        <w:t xml:space="preserve"> no</w:t>
      </w:r>
      <w:r w:rsidRPr="004025F0">
        <w:rPr>
          <w:rFonts w:cstheme="minorHAnsi"/>
        </w:rPr>
        <w:t xml:space="preserve"> randomised controlled trials (RCTs) to confirm the safety, </w:t>
      </w:r>
      <w:proofErr w:type="gramStart"/>
      <w:r w:rsidRPr="004025F0">
        <w:rPr>
          <w:rFonts w:cstheme="minorHAnsi"/>
        </w:rPr>
        <w:t>efficacy</w:t>
      </w:r>
      <w:proofErr w:type="gramEnd"/>
      <w:r w:rsidRPr="004025F0">
        <w:rPr>
          <w:rFonts w:cstheme="minorHAnsi"/>
        </w:rPr>
        <w:t xml:space="preserve"> and favourable benefit-risk profile of this agent, nor any study investigating the optimum administered activity, number of cycles, or interval between cycles.</w:t>
      </w:r>
    </w:p>
    <w:p w14:paraId="6E2AE290" w14:textId="35009607" w:rsidR="00FD4681" w:rsidRPr="004025F0" w:rsidRDefault="005866A7" w:rsidP="00FD4681">
      <w:pPr>
        <w:pStyle w:val="ListParagraph"/>
        <w:numPr>
          <w:ilvl w:val="0"/>
          <w:numId w:val="40"/>
        </w:numPr>
        <w:spacing w:before="0" w:after="200" w:line="276" w:lineRule="auto"/>
        <w:rPr>
          <w:rFonts w:cstheme="minorHAnsi"/>
        </w:rPr>
      </w:pPr>
      <w:r w:rsidRPr="004025F0">
        <w:rPr>
          <w:rFonts w:cstheme="minorHAnsi"/>
        </w:rPr>
        <w:lastRenderedPageBreak/>
        <w:t xml:space="preserve">Two </w:t>
      </w:r>
      <w:r w:rsidR="00215355">
        <w:rPr>
          <w:rFonts w:cstheme="minorHAnsi"/>
        </w:rPr>
        <w:t>commercial</w:t>
      </w:r>
      <w:r w:rsidRPr="004025F0">
        <w:rPr>
          <w:rFonts w:cstheme="minorHAnsi"/>
        </w:rPr>
        <w:t xml:space="preserve"> companies consider</w:t>
      </w:r>
      <w:r w:rsidR="007E62A7">
        <w:rPr>
          <w:rFonts w:cstheme="minorHAnsi"/>
        </w:rPr>
        <w:t>ed</w:t>
      </w:r>
      <w:r w:rsidRPr="004025F0">
        <w:rPr>
          <w:rFonts w:cstheme="minorHAnsi"/>
        </w:rPr>
        <w:t xml:space="preserve"> that there was insufficient evidence to support the application’s claim that </w:t>
      </w:r>
      <w:r w:rsidRPr="004025F0">
        <w:rPr>
          <w:rFonts w:cstheme="minorHAnsi"/>
          <w:vertAlign w:val="superscript"/>
        </w:rPr>
        <w:t>177</w:t>
      </w:r>
      <w:r w:rsidR="009F7816">
        <w:rPr>
          <w:rFonts w:cstheme="minorHAnsi"/>
        </w:rPr>
        <w:t>Lu </w:t>
      </w:r>
      <w:r w:rsidR="00886914">
        <w:rPr>
          <w:rFonts w:cstheme="minorHAnsi"/>
        </w:rPr>
        <w:t>PSMA </w:t>
      </w:r>
      <w:proofErr w:type="spellStart"/>
      <w:r w:rsidR="00886914">
        <w:rPr>
          <w:rFonts w:cstheme="minorHAnsi"/>
        </w:rPr>
        <w:t>i&amp;t</w:t>
      </w:r>
      <w:proofErr w:type="spellEnd"/>
      <w:r w:rsidRPr="004025F0">
        <w:rPr>
          <w:rFonts w:cstheme="minorHAnsi"/>
        </w:rPr>
        <w:t xml:space="preserve"> and </w:t>
      </w:r>
      <w:r w:rsidRPr="004025F0">
        <w:rPr>
          <w:rFonts w:cstheme="minorHAnsi"/>
          <w:vertAlign w:val="superscript"/>
        </w:rPr>
        <w:t>177</w:t>
      </w:r>
      <w:r w:rsidR="009F7816">
        <w:rPr>
          <w:rFonts w:cstheme="minorHAnsi"/>
        </w:rPr>
        <w:t>Lu </w:t>
      </w:r>
      <w:r w:rsidR="00886914">
        <w:rPr>
          <w:rFonts w:cstheme="minorHAnsi"/>
        </w:rPr>
        <w:t>PSMA-617</w:t>
      </w:r>
      <w:r w:rsidRPr="004025F0">
        <w:rPr>
          <w:rFonts w:cstheme="minorHAnsi"/>
        </w:rPr>
        <w:t xml:space="preserve"> are equivalent, and that the limited body of available data does not allow for a reliable clinical comparison </w:t>
      </w:r>
      <w:r w:rsidR="00446334">
        <w:rPr>
          <w:rFonts w:cstheme="minorHAnsi"/>
        </w:rPr>
        <w:t>between the two structurally different products</w:t>
      </w:r>
      <w:r w:rsidRPr="004025F0">
        <w:rPr>
          <w:rFonts w:cstheme="minorHAnsi"/>
        </w:rPr>
        <w:t>.</w:t>
      </w:r>
    </w:p>
    <w:p w14:paraId="4D24B093" w14:textId="07B1EA58" w:rsidR="005866A7" w:rsidRDefault="00FD4681" w:rsidP="00FD4681">
      <w:pPr>
        <w:pStyle w:val="ListParagraph"/>
        <w:numPr>
          <w:ilvl w:val="0"/>
          <w:numId w:val="40"/>
        </w:numPr>
        <w:spacing w:before="0" w:after="200" w:line="276" w:lineRule="auto"/>
        <w:rPr>
          <w:rFonts w:cstheme="minorHAnsi"/>
        </w:rPr>
      </w:pPr>
      <w:r w:rsidRPr="004025F0">
        <w:rPr>
          <w:rFonts w:cstheme="minorHAnsi"/>
        </w:rPr>
        <w:t xml:space="preserve">One </w:t>
      </w:r>
      <w:r w:rsidR="00215355">
        <w:rPr>
          <w:rFonts w:cstheme="minorHAnsi"/>
        </w:rPr>
        <w:t>commercial</w:t>
      </w:r>
      <w:r w:rsidRPr="004025F0">
        <w:rPr>
          <w:rFonts w:cstheme="minorHAnsi"/>
        </w:rPr>
        <w:t xml:space="preserve"> company noted that </w:t>
      </w:r>
      <w:r w:rsidRPr="004025F0">
        <w:rPr>
          <w:rFonts w:cstheme="minorHAnsi"/>
          <w:vertAlign w:val="superscript"/>
        </w:rPr>
        <w:t>177</w:t>
      </w:r>
      <w:r>
        <w:rPr>
          <w:rFonts w:cstheme="minorHAnsi"/>
        </w:rPr>
        <w:t>Lu PSMA </w:t>
      </w:r>
      <w:proofErr w:type="spellStart"/>
      <w:r>
        <w:rPr>
          <w:rFonts w:cstheme="minorHAnsi"/>
        </w:rPr>
        <w:t>i&amp;t</w:t>
      </w:r>
      <w:proofErr w:type="spellEnd"/>
      <w:r w:rsidRPr="004025F0">
        <w:rPr>
          <w:rFonts w:cstheme="minorHAnsi"/>
        </w:rPr>
        <w:t xml:space="preserve"> is proposed to be produced under TGA exemption in public hospitals. It considered that this would limit the availability of the service and may result in variable service due to the lack of regulated quality standards and oversight.</w:t>
      </w:r>
    </w:p>
    <w:p w14:paraId="2A857ED4" w14:textId="61EEA945" w:rsidR="0026694A" w:rsidRPr="007C24D5" w:rsidRDefault="007E62A7" w:rsidP="007C24D5">
      <w:pPr>
        <w:pStyle w:val="ListParagraph"/>
        <w:numPr>
          <w:ilvl w:val="0"/>
          <w:numId w:val="40"/>
        </w:numPr>
        <w:spacing w:before="0" w:after="200" w:line="276" w:lineRule="auto"/>
        <w:rPr>
          <w:rFonts w:cstheme="minorHAnsi"/>
        </w:rPr>
      </w:pPr>
      <w:r>
        <w:rPr>
          <w:rFonts w:cstheme="minorHAnsi"/>
        </w:rPr>
        <w:t>A cancer treatment organisation</w:t>
      </w:r>
      <w:r w:rsidR="005866A7" w:rsidRPr="004025F0">
        <w:rPr>
          <w:rFonts w:cstheme="minorHAnsi"/>
        </w:rPr>
        <w:t xml:space="preserve"> considered that the main disadvantage would be the need for specialised facilities to safely administer this treatment and enough practitioners trained in this specialised area of medicine.</w:t>
      </w:r>
    </w:p>
    <w:p w14:paraId="0BE53AC1" w14:textId="169B4A55" w:rsidR="005866A7" w:rsidRPr="004025F0" w:rsidRDefault="005866A7" w:rsidP="00783B61">
      <w:pPr>
        <w:keepNext/>
        <w:rPr>
          <w:rFonts w:cstheme="minorHAnsi"/>
        </w:rPr>
      </w:pPr>
      <w:r w:rsidRPr="004025F0">
        <w:rPr>
          <w:rFonts w:cstheme="minorHAnsi"/>
        </w:rPr>
        <w:t xml:space="preserve">Other comments raised regarding the proposed </w:t>
      </w:r>
      <w:r w:rsidR="00DB1C02">
        <w:rPr>
          <w:rFonts w:cstheme="minorHAnsi"/>
        </w:rPr>
        <w:t>interventions</w:t>
      </w:r>
      <w:r w:rsidRPr="004025F0">
        <w:rPr>
          <w:rFonts w:cstheme="minorHAnsi"/>
        </w:rPr>
        <w:t xml:space="preserve"> were:</w:t>
      </w:r>
    </w:p>
    <w:p w14:paraId="740BB1A9" w14:textId="77777777" w:rsidR="005866A7" w:rsidRPr="004025F0" w:rsidRDefault="005866A7" w:rsidP="005866A7">
      <w:pPr>
        <w:pStyle w:val="ListParagraph"/>
        <w:numPr>
          <w:ilvl w:val="0"/>
          <w:numId w:val="40"/>
        </w:numPr>
        <w:spacing w:before="0" w:after="200" w:line="276" w:lineRule="auto"/>
        <w:rPr>
          <w:rFonts w:cstheme="minorHAnsi"/>
        </w:rPr>
      </w:pPr>
      <w:r w:rsidRPr="004025F0">
        <w:rPr>
          <w:rFonts w:cstheme="minorHAnsi"/>
        </w:rPr>
        <w:t>It was noted that the treatment provides improved palliation, improved mobility and could lead to reduced hospital admission and reduced need for palliative care services.</w:t>
      </w:r>
    </w:p>
    <w:p w14:paraId="7FAB9F65" w14:textId="6FDFD410" w:rsidR="005866A7" w:rsidRPr="004025F0" w:rsidRDefault="007E62A7" w:rsidP="005866A7">
      <w:pPr>
        <w:pStyle w:val="ListParagraph"/>
        <w:numPr>
          <w:ilvl w:val="0"/>
          <w:numId w:val="40"/>
        </w:numPr>
        <w:spacing w:before="0" w:after="200" w:line="276" w:lineRule="auto"/>
        <w:rPr>
          <w:rFonts w:cstheme="minorHAnsi"/>
        </w:rPr>
      </w:pPr>
      <w:r>
        <w:rPr>
          <w:rFonts w:cstheme="minorHAnsi"/>
        </w:rPr>
        <w:t>A clinical specialist organisation</w:t>
      </w:r>
      <w:r w:rsidR="005866A7" w:rsidRPr="004025F0">
        <w:rPr>
          <w:rFonts w:cstheme="minorHAnsi"/>
        </w:rPr>
        <w:t xml:space="preserve"> noted that this </w:t>
      </w:r>
      <w:r w:rsidR="00AB45FF">
        <w:rPr>
          <w:rFonts w:cstheme="minorHAnsi"/>
        </w:rPr>
        <w:t>intervention</w:t>
      </w:r>
      <w:r w:rsidR="00AB45FF" w:rsidRPr="004025F0">
        <w:rPr>
          <w:rFonts w:cstheme="minorHAnsi"/>
        </w:rPr>
        <w:t xml:space="preserve"> </w:t>
      </w:r>
      <w:r w:rsidR="005866A7" w:rsidRPr="004025F0">
        <w:rPr>
          <w:rFonts w:cstheme="minorHAnsi"/>
        </w:rPr>
        <w:t>would provide another layer of treatment for patients who received all available treatment.</w:t>
      </w:r>
    </w:p>
    <w:p w14:paraId="24167FF1" w14:textId="36844EE4" w:rsidR="008B5DC4" w:rsidRPr="008B5DC4" w:rsidRDefault="008B5DC4" w:rsidP="008B5DC4">
      <w:pPr>
        <w:pStyle w:val="ListParagraph"/>
        <w:numPr>
          <w:ilvl w:val="0"/>
          <w:numId w:val="40"/>
        </w:numPr>
        <w:rPr>
          <w:rFonts w:cstheme="minorHAnsi"/>
        </w:rPr>
      </w:pPr>
      <w:r>
        <w:rPr>
          <w:rFonts w:cstheme="minorHAnsi"/>
        </w:rPr>
        <w:t>A clinical specialist organisation</w:t>
      </w:r>
      <w:r w:rsidRPr="004025F0">
        <w:rPr>
          <w:rFonts w:cstheme="minorHAnsi"/>
        </w:rPr>
        <w:t xml:space="preserve"> </w:t>
      </w:r>
      <w:r w:rsidRPr="008B5DC4">
        <w:rPr>
          <w:rFonts w:cstheme="minorHAnsi"/>
        </w:rPr>
        <w:t xml:space="preserve">considered that until there is further evidence, the treatment should not be combined with other PBS-listed agents such as androgen signalling inhibitors, </w:t>
      </w:r>
      <w:proofErr w:type="gramStart"/>
      <w:r w:rsidRPr="008B5DC4">
        <w:rPr>
          <w:rFonts w:cstheme="minorHAnsi"/>
        </w:rPr>
        <w:t>chemotherapy</w:t>
      </w:r>
      <w:proofErr w:type="gramEnd"/>
      <w:r w:rsidRPr="008B5DC4">
        <w:rPr>
          <w:rFonts w:cstheme="minorHAnsi"/>
        </w:rPr>
        <w:t xml:space="preserve"> or PARP inhibitors. </w:t>
      </w:r>
      <w:r>
        <w:rPr>
          <w:rFonts w:cstheme="minorHAnsi"/>
        </w:rPr>
        <w:t xml:space="preserve">It also </w:t>
      </w:r>
      <w:r w:rsidRPr="008B5DC4">
        <w:rPr>
          <w:rFonts w:cstheme="minorHAnsi"/>
        </w:rPr>
        <w:t xml:space="preserve">considered that in some circumstances where a patient’s disease might disappear after only say two doses, only to relapse </w:t>
      </w:r>
      <w:proofErr w:type="gramStart"/>
      <w:r w:rsidRPr="008B5DC4">
        <w:rPr>
          <w:rFonts w:cstheme="minorHAnsi"/>
        </w:rPr>
        <w:t>later on</w:t>
      </w:r>
      <w:proofErr w:type="gramEnd"/>
      <w:r w:rsidRPr="008B5DC4">
        <w:rPr>
          <w:rFonts w:cstheme="minorHAnsi"/>
        </w:rPr>
        <w:t>, that retreatment should be possible for these patients up to a maximum cumulative of 6 doses.</w:t>
      </w:r>
    </w:p>
    <w:p w14:paraId="760EE165" w14:textId="75A0F007" w:rsidR="005866A7" w:rsidRPr="004025F0" w:rsidRDefault="007E62A7" w:rsidP="005866A7">
      <w:pPr>
        <w:pStyle w:val="ListParagraph"/>
        <w:numPr>
          <w:ilvl w:val="0"/>
          <w:numId w:val="40"/>
        </w:numPr>
        <w:spacing w:before="0" w:after="200" w:line="276" w:lineRule="auto"/>
        <w:rPr>
          <w:rFonts w:cstheme="minorHAnsi"/>
        </w:rPr>
      </w:pPr>
      <w:r>
        <w:rPr>
          <w:rFonts w:cstheme="minorHAnsi"/>
        </w:rPr>
        <w:t>A clinical specialist organisation</w:t>
      </w:r>
      <w:r w:rsidR="005866A7" w:rsidRPr="004025F0">
        <w:rPr>
          <w:rFonts w:cstheme="minorHAnsi"/>
        </w:rPr>
        <w:t xml:space="preserve"> considered that this treatment must be administered in collaboration with nuclear radiologists, radiation oncologist and medical oncologists as part of a multidisciplinary team.</w:t>
      </w:r>
    </w:p>
    <w:p w14:paraId="33E9DBB3" w14:textId="5E7F4F5B" w:rsidR="005866A7" w:rsidRPr="004025F0" w:rsidRDefault="005866A7" w:rsidP="005866A7">
      <w:pPr>
        <w:pStyle w:val="ListParagraph"/>
        <w:numPr>
          <w:ilvl w:val="0"/>
          <w:numId w:val="40"/>
        </w:numPr>
        <w:spacing w:before="0" w:after="200" w:line="276" w:lineRule="auto"/>
        <w:rPr>
          <w:rFonts w:cstheme="minorHAnsi"/>
        </w:rPr>
      </w:pPr>
      <w:r w:rsidRPr="004025F0">
        <w:rPr>
          <w:rFonts w:cstheme="minorHAnsi"/>
        </w:rPr>
        <w:t>Other organisations and specialists noted that services associated with the proposed treatment would be routine pathology (blood) tests, monitoring PSA levels, and PSMA PET</w:t>
      </w:r>
      <w:r w:rsidR="00FD1A94">
        <w:rPr>
          <w:rFonts w:cstheme="minorHAnsi"/>
        </w:rPr>
        <w:t>/</w:t>
      </w:r>
      <w:r w:rsidRPr="004025F0">
        <w:rPr>
          <w:rFonts w:cstheme="minorHAnsi"/>
        </w:rPr>
        <w:t xml:space="preserve">CT and FDG PET/CT scans for confirmation and location of prostate metastases and to select </w:t>
      </w:r>
      <w:proofErr w:type="gramStart"/>
      <w:r w:rsidRPr="004025F0">
        <w:rPr>
          <w:rFonts w:cstheme="minorHAnsi"/>
        </w:rPr>
        <w:t>that patients</w:t>
      </w:r>
      <w:proofErr w:type="gramEnd"/>
      <w:r w:rsidRPr="004025F0">
        <w:rPr>
          <w:rFonts w:cstheme="minorHAnsi"/>
        </w:rPr>
        <w:t xml:space="preserve"> who are most likely to benefit from the treatment.</w:t>
      </w:r>
    </w:p>
    <w:p w14:paraId="2D9E2D2F" w14:textId="346CA409" w:rsidR="005866A7" w:rsidRPr="004025F0" w:rsidRDefault="007E62A7" w:rsidP="005866A7">
      <w:pPr>
        <w:pStyle w:val="ListParagraph"/>
        <w:numPr>
          <w:ilvl w:val="0"/>
          <w:numId w:val="40"/>
        </w:numPr>
        <w:spacing w:before="0" w:after="200" w:line="276" w:lineRule="auto"/>
        <w:rPr>
          <w:rFonts w:cstheme="minorHAnsi"/>
        </w:rPr>
      </w:pPr>
      <w:r>
        <w:rPr>
          <w:rFonts w:cstheme="minorHAnsi"/>
        </w:rPr>
        <w:t>A cancer treatment organisation</w:t>
      </w:r>
      <w:r w:rsidR="005866A7" w:rsidRPr="004025F0">
        <w:rPr>
          <w:rFonts w:cstheme="minorHAnsi"/>
        </w:rPr>
        <w:t xml:space="preserve"> noted that FDG PET is not routinely used and based on the VISION trial, not required in significantly improving patient outcomes. </w:t>
      </w:r>
      <w:r>
        <w:rPr>
          <w:rFonts w:cstheme="minorHAnsi"/>
        </w:rPr>
        <w:t xml:space="preserve">It </w:t>
      </w:r>
      <w:r w:rsidR="005866A7" w:rsidRPr="004025F0">
        <w:rPr>
          <w:rFonts w:cstheme="minorHAnsi"/>
        </w:rPr>
        <w:t>considered the cut-off for platelets of &gt;75</w:t>
      </w:r>
      <w:r w:rsidR="00073A7D">
        <w:rPr>
          <w:rFonts w:cstheme="minorHAnsi"/>
        </w:rPr>
        <w:t> </w:t>
      </w:r>
      <w:r w:rsidR="005866A7" w:rsidRPr="004025F0">
        <w:rPr>
          <w:rFonts w:cstheme="minorHAnsi"/>
        </w:rPr>
        <w:t>x</w:t>
      </w:r>
      <w:r w:rsidR="00073A7D">
        <w:rPr>
          <w:rFonts w:cstheme="minorHAnsi"/>
        </w:rPr>
        <w:t> </w:t>
      </w:r>
      <w:r w:rsidR="005866A7" w:rsidRPr="004025F0">
        <w:rPr>
          <w:rFonts w:cstheme="minorHAnsi"/>
        </w:rPr>
        <w:t>10</w:t>
      </w:r>
      <w:r w:rsidR="005866A7" w:rsidRPr="004025F0">
        <w:rPr>
          <w:rFonts w:cstheme="minorHAnsi"/>
          <w:vertAlign w:val="superscript"/>
        </w:rPr>
        <w:t>9</w:t>
      </w:r>
      <w:r w:rsidR="005866A7" w:rsidRPr="004025F0">
        <w:rPr>
          <w:rFonts w:cstheme="minorHAnsi"/>
        </w:rPr>
        <w:t>/L for patients to be too low, as most trials have specified platelets to be &gt;100</w:t>
      </w:r>
      <w:r w:rsidR="00073A7D">
        <w:rPr>
          <w:rFonts w:cstheme="minorHAnsi"/>
        </w:rPr>
        <w:t> </w:t>
      </w:r>
      <w:r w:rsidR="005866A7" w:rsidRPr="004025F0">
        <w:rPr>
          <w:rFonts w:cstheme="minorHAnsi"/>
        </w:rPr>
        <w:t>x</w:t>
      </w:r>
      <w:r w:rsidR="00073A7D">
        <w:rPr>
          <w:rFonts w:cstheme="minorHAnsi"/>
        </w:rPr>
        <w:t> </w:t>
      </w:r>
      <w:r w:rsidR="005866A7" w:rsidRPr="004025F0">
        <w:rPr>
          <w:rFonts w:cstheme="minorHAnsi"/>
        </w:rPr>
        <w:t>10</w:t>
      </w:r>
      <w:r w:rsidR="005866A7" w:rsidRPr="004025F0">
        <w:rPr>
          <w:rFonts w:cstheme="minorHAnsi"/>
          <w:vertAlign w:val="superscript"/>
        </w:rPr>
        <w:t>9</w:t>
      </w:r>
      <w:r w:rsidR="005866A7" w:rsidRPr="004025F0">
        <w:rPr>
          <w:rFonts w:cstheme="minorHAnsi"/>
        </w:rPr>
        <w:t>/L.</w:t>
      </w:r>
    </w:p>
    <w:p w14:paraId="0BFD619D" w14:textId="5378F3B2" w:rsidR="005866A7" w:rsidRDefault="00AB45FF" w:rsidP="00FD4681">
      <w:pPr>
        <w:pStyle w:val="ListParagraph"/>
        <w:numPr>
          <w:ilvl w:val="0"/>
          <w:numId w:val="40"/>
        </w:numPr>
        <w:spacing w:before="0" w:after="200" w:line="276" w:lineRule="auto"/>
        <w:rPr>
          <w:rFonts w:cstheme="minorHAnsi"/>
        </w:rPr>
      </w:pPr>
      <w:r>
        <w:rPr>
          <w:rFonts w:cstheme="minorHAnsi"/>
        </w:rPr>
        <w:t>A cancer treatment organisation</w:t>
      </w:r>
      <w:r w:rsidRPr="004025F0">
        <w:rPr>
          <w:rFonts w:cstheme="minorHAnsi"/>
        </w:rPr>
        <w:t xml:space="preserve"> </w:t>
      </w:r>
      <w:r w:rsidR="005866A7" w:rsidRPr="004025F0">
        <w:rPr>
          <w:rFonts w:cstheme="minorHAnsi"/>
        </w:rPr>
        <w:t xml:space="preserve">considered that the costs were underestimated, as the cost of the isotope would be around $6,000, and costs associated with the physician, physicist, nurse, IV fluids, facility fee and dosimetry imaging would also need to be considered. A specialist noted that the proposed fee appeared to be based on at-cost pricing of </w:t>
      </w:r>
      <w:r w:rsidR="005866A7" w:rsidRPr="004025F0">
        <w:rPr>
          <w:rFonts w:cstheme="minorHAnsi"/>
          <w:vertAlign w:val="superscript"/>
        </w:rPr>
        <w:t>177</w:t>
      </w:r>
      <w:r w:rsidR="005866A7" w:rsidRPr="004025F0">
        <w:rPr>
          <w:rFonts w:cstheme="minorHAnsi"/>
        </w:rPr>
        <w:t>Lu.</w:t>
      </w:r>
      <w:r w:rsidR="008B5DC4" w:rsidRPr="008B5DC4">
        <w:rPr>
          <w:rFonts w:cstheme="minorHAnsi"/>
        </w:rPr>
        <w:t xml:space="preserve"> </w:t>
      </w:r>
      <w:r>
        <w:rPr>
          <w:rFonts w:cstheme="minorHAnsi"/>
        </w:rPr>
        <w:t>Another organisation</w:t>
      </w:r>
      <w:r w:rsidR="008B5DC4" w:rsidRPr="004025F0">
        <w:rPr>
          <w:rFonts w:cstheme="minorHAnsi"/>
        </w:rPr>
        <w:t xml:space="preserve"> </w:t>
      </w:r>
      <w:r w:rsidR="008B5DC4">
        <w:rPr>
          <w:rFonts w:cstheme="minorHAnsi"/>
        </w:rPr>
        <w:t>advised</w:t>
      </w:r>
      <w:r w:rsidR="008B5DC4" w:rsidRPr="004025F0">
        <w:rPr>
          <w:rFonts w:cstheme="minorHAnsi"/>
        </w:rPr>
        <w:t xml:space="preserve"> that its members have found the cost to be at least $10,000 per cycle and that the DVA are already funding patients to receive this treatment at this cost.</w:t>
      </w:r>
    </w:p>
    <w:p w14:paraId="1B8F04C9" w14:textId="53CACF55" w:rsidR="008111EA" w:rsidRPr="00960E0D" w:rsidRDefault="008111EA" w:rsidP="00FD4681">
      <w:pPr>
        <w:pStyle w:val="ListParagraph"/>
        <w:numPr>
          <w:ilvl w:val="0"/>
          <w:numId w:val="40"/>
        </w:numPr>
        <w:spacing w:before="0" w:after="200" w:line="276" w:lineRule="auto"/>
        <w:rPr>
          <w:rFonts w:cstheme="minorHAnsi"/>
        </w:rPr>
      </w:pPr>
      <w:r>
        <w:rPr>
          <w:rFonts w:cstheme="minorHAnsi"/>
        </w:rPr>
        <w:t>One organisation</w:t>
      </w:r>
      <w:r w:rsidRPr="004025F0">
        <w:rPr>
          <w:rFonts w:cstheme="minorHAnsi"/>
        </w:rPr>
        <w:t xml:space="preserve"> was concerned that there is no policy framework in place for </w:t>
      </w:r>
      <w:proofErr w:type="spellStart"/>
      <w:r w:rsidRPr="004025F0">
        <w:rPr>
          <w:rFonts w:cstheme="minorHAnsi"/>
        </w:rPr>
        <w:t>theranostics</w:t>
      </w:r>
      <w:proofErr w:type="spellEnd"/>
      <w:r w:rsidRPr="004025F0">
        <w:rPr>
          <w:rFonts w:cstheme="minorHAnsi"/>
        </w:rPr>
        <w:t xml:space="preserve"> before MSAC considers this </w:t>
      </w:r>
      <w:r w:rsidR="00960E0D" w:rsidRPr="004025F0">
        <w:rPr>
          <w:rFonts w:cstheme="minorHAnsi"/>
        </w:rPr>
        <w:t>application and</w:t>
      </w:r>
      <w:r w:rsidRPr="004025F0">
        <w:rPr>
          <w:rFonts w:cstheme="minorHAnsi"/>
        </w:rPr>
        <w:t xml:space="preserve"> does not support the AANMS Position Statement of Practice of </w:t>
      </w:r>
      <w:proofErr w:type="spellStart"/>
      <w:r w:rsidRPr="004025F0">
        <w:rPr>
          <w:rFonts w:cstheme="minorHAnsi"/>
        </w:rPr>
        <w:t>Theranostics</w:t>
      </w:r>
      <w:proofErr w:type="spellEnd"/>
      <w:r w:rsidRPr="004025F0">
        <w:rPr>
          <w:rFonts w:cstheme="minorHAnsi"/>
        </w:rPr>
        <w:t>.</w:t>
      </w:r>
    </w:p>
    <w:p w14:paraId="06C00C42" w14:textId="11266FD3" w:rsidR="008B5DC4" w:rsidRPr="00FD4681" w:rsidRDefault="008B5DC4" w:rsidP="00FD4681">
      <w:pPr>
        <w:pStyle w:val="ListParagraph"/>
        <w:numPr>
          <w:ilvl w:val="0"/>
          <w:numId w:val="40"/>
        </w:numPr>
        <w:spacing w:before="0" w:after="200" w:line="276" w:lineRule="auto"/>
        <w:rPr>
          <w:rFonts w:cstheme="minorHAnsi"/>
        </w:rPr>
      </w:pPr>
      <w:r>
        <w:rPr>
          <w:rFonts w:cstheme="minorHAnsi"/>
        </w:rPr>
        <w:t>A commercial organisation raised concern</w:t>
      </w:r>
      <w:r w:rsidR="008111EA">
        <w:rPr>
          <w:rFonts w:cstheme="minorHAnsi"/>
        </w:rPr>
        <w:t xml:space="preserve"> regarding </w:t>
      </w:r>
      <w:r>
        <w:rPr>
          <w:rFonts w:cstheme="minorHAnsi"/>
        </w:rPr>
        <w:t>patent</w:t>
      </w:r>
      <w:r w:rsidR="00B46E63">
        <w:rPr>
          <w:rFonts w:cstheme="minorHAnsi"/>
        </w:rPr>
        <w:t xml:space="preserve"> issues </w:t>
      </w:r>
      <w:r w:rsidR="001C3AC3">
        <w:rPr>
          <w:rFonts w:cstheme="minorHAnsi"/>
        </w:rPr>
        <w:t>arising from any manufacture, use or administration of</w:t>
      </w:r>
      <w:r w:rsidR="00B46E63">
        <w:rPr>
          <w:rFonts w:cstheme="minorHAnsi"/>
        </w:rPr>
        <w:t xml:space="preserve"> </w:t>
      </w:r>
      <w:r w:rsidR="00B46E63" w:rsidRPr="004025F0">
        <w:rPr>
          <w:rFonts w:cstheme="minorHAnsi"/>
          <w:vertAlign w:val="superscript"/>
        </w:rPr>
        <w:t>177</w:t>
      </w:r>
      <w:r w:rsidR="00B46E63">
        <w:rPr>
          <w:rFonts w:cstheme="minorHAnsi"/>
        </w:rPr>
        <w:t>Lu PSMA </w:t>
      </w:r>
      <w:proofErr w:type="spellStart"/>
      <w:r w:rsidR="00B46E63">
        <w:rPr>
          <w:rFonts w:cstheme="minorHAnsi"/>
        </w:rPr>
        <w:t>i&amp;t</w:t>
      </w:r>
      <w:proofErr w:type="spellEnd"/>
      <w:r w:rsidR="001C3AC3">
        <w:rPr>
          <w:rFonts w:cstheme="minorHAnsi"/>
        </w:rPr>
        <w:t xml:space="preserve"> in Australia</w:t>
      </w:r>
      <w:r w:rsidR="008111EA">
        <w:rPr>
          <w:rFonts w:cstheme="minorHAnsi"/>
        </w:rPr>
        <w:t>.</w:t>
      </w:r>
    </w:p>
    <w:p w14:paraId="03C7A1F1" w14:textId="7D4BD6A5" w:rsidR="00772829" w:rsidRDefault="006669BE" w:rsidP="002A18BE">
      <w:pPr>
        <w:pStyle w:val="Heading2"/>
        <w:numPr>
          <w:ilvl w:val="0"/>
          <w:numId w:val="0"/>
        </w:numPr>
      </w:pPr>
      <w:r>
        <w:lastRenderedPageBreak/>
        <w:t>10</w:t>
      </w:r>
      <w:r w:rsidR="00C36633">
        <w:t>.</w:t>
      </w:r>
      <w:r w:rsidR="00C36633">
        <w:tab/>
      </w:r>
      <w:r w:rsidR="00772829" w:rsidRPr="00CE28E3">
        <w:t>Characteristics of the evidence base</w:t>
      </w:r>
      <w:bookmarkEnd w:id="17"/>
    </w:p>
    <w:p w14:paraId="5EDA9621" w14:textId="754A1700" w:rsidR="00CD5D29" w:rsidRPr="00CD5D29" w:rsidRDefault="00291FD7" w:rsidP="00CD5D29">
      <w:r>
        <w:fldChar w:fldCharType="begin"/>
      </w:r>
      <w:r>
        <w:instrText xml:space="preserve"> REF _Ref69725659 \h </w:instrText>
      </w:r>
      <w:r>
        <w:fldChar w:fldCharType="separate"/>
      </w:r>
      <w:r w:rsidRPr="00CE28E3">
        <w:t>Table</w:t>
      </w:r>
      <w:r>
        <w:t> </w:t>
      </w:r>
      <w:r>
        <w:rPr>
          <w:noProof/>
        </w:rPr>
        <w:t>3</w:t>
      </w:r>
      <w:r>
        <w:fldChar w:fldCharType="end"/>
      </w:r>
      <w:r>
        <w:t xml:space="preserve"> presents a summary of the key features of the included evidence.</w:t>
      </w:r>
    </w:p>
    <w:p w14:paraId="005968B3" w14:textId="2B44C01A" w:rsidR="00956ACE" w:rsidRPr="00CE28E3" w:rsidRDefault="00956ACE" w:rsidP="009A06F4">
      <w:pPr>
        <w:pStyle w:val="Caption"/>
        <w:rPr>
          <w:sz w:val="16"/>
          <w:szCs w:val="16"/>
        </w:rPr>
      </w:pPr>
      <w:bookmarkStart w:id="18" w:name="_Ref69725659"/>
      <w:r w:rsidRPr="00CE28E3">
        <w:t>Table</w:t>
      </w:r>
      <w:r w:rsidR="004A4FDF">
        <w:t> </w:t>
      </w:r>
      <w:r w:rsidR="008440F9">
        <w:fldChar w:fldCharType="begin"/>
      </w:r>
      <w:r w:rsidR="008440F9">
        <w:instrText xml:space="preserve"> SEQ Table \* ARABIC </w:instrText>
      </w:r>
      <w:r w:rsidR="008440F9">
        <w:fldChar w:fldCharType="separate"/>
      </w:r>
      <w:r w:rsidR="00364E19">
        <w:rPr>
          <w:noProof/>
        </w:rPr>
        <w:t>3</w:t>
      </w:r>
      <w:r w:rsidR="008440F9">
        <w:rPr>
          <w:noProof/>
        </w:rPr>
        <w:fldChar w:fldCharType="end"/>
      </w:r>
      <w:bookmarkEnd w:id="18"/>
      <w:r w:rsidRPr="00CE28E3">
        <w:tab/>
        <w:t>Key features of the included evidence</w:t>
      </w:r>
    </w:p>
    <w:tbl>
      <w:tblPr>
        <w:tblStyle w:val="TableGrid1"/>
        <w:tblW w:w="5000" w:type="pct"/>
        <w:tblLook w:val="04A0" w:firstRow="1" w:lastRow="0" w:firstColumn="1" w:lastColumn="0" w:noHBand="0" w:noVBand="1"/>
      </w:tblPr>
      <w:tblGrid>
        <w:gridCol w:w="1978"/>
        <w:gridCol w:w="3688"/>
        <w:gridCol w:w="1700"/>
        <w:gridCol w:w="1650"/>
      </w:tblGrid>
      <w:tr w:rsidR="00956ACE" w:rsidRPr="00CE28E3" w14:paraId="530E3954" w14:textId="77777777" w:rsidTr="00DB1C02">
        <w:trPr>
          <w:cnfStyle w:val="100000000000" w:firstRow="1" w:lastRow="0" w:firstColumn="0" w:lastColumn="0" w:oddVBand="0" w:evenVBand="0" w:oddHBand="0" w:evenHBand="0" w:firstRowFirstColumn="0" w:firstRowLastColumn="0" w:lastRowFirstColumn="0" w:lastRowLastColumn="0"/>
          <w:tblHeader/>
        </w:trPr>
        <w:tc>
          <w:tcPr>
            <w:tcW w:w="1097" w:type="pct"/>
            <w:tcBorders>
              <w:top w:val="single" w:sz="4" w:space="0" w:color="auto"/>
              <w:left w:val="single" w:sz="4" w:space="0" w:color="auto"/>
              <w:bottom w:val="single" w:sz="4" w:space="0" w:color="auto"/>
              <w:right w:val="single" w:sz="4" w:space="0" w:color="auto"/>
            </w:tcBorders>
            <w:vAlign w:val="bottom"/>
          </w:tcPr>
          <w:p w14:paraId="0112563A" w14:textId="3CE1178E" w:rsidR="00956ACE" w:rsidRPr="00CE28E3" w:rsidRDefault="00BC4972" w:rsidP="00670650">
            <w:pPr>
              <w:pStyle w:val="TableText"/>
              <w:keepNext/>
              <w:rPr>
                <w:b/>
              </w:rPr>
            </w:pPr>
            <w:bookmarkStart w:id="19" w:name="ColumnTitle_Table4"/>
            <w:bookmarkStart w:id="20" w:name="_Hlk68276288"/>
            <w:bookmarkEnd w:id="19"/>
            <w:r>
              <w:rPr>
                <w:b/>
              </w:rPr>
              <w:t>Criteri</w:t>
            </w:r>
            <w:r w:rsidR="004D4425">
              <w:rPr>
                <w:b/>
              </w:rPr>
              <w:t>on</w:t>
            </w:r>
          </w:p>
        </w:tc>
        <w:tc>
          <w:tcPr>
            <w:tcW w:w="2045" w:type="pct"/>
            <w:tcBorders>
              <w:top w:val="single" w:sz="4" w:space="0" w:color="auto"/>
              <w:left w:val="single" w:sz="4" w:space="0" w:color="auto"/>
              <w:bottom w:val="single" w:sz="4" w:space="0" w:color="auto"/>
              <w:right w:val="single" w:sz="4" w:space="0" w:color="auto"/>
            </w:tcBorders>
            <w:vAlign w:val="bottom"/>
            <w:hideMark/>
          </w:tcPr>
          <w:p w14:paraId="37828F38" w14:textId="77777777" w:rsidR="00956ACE" w:rsidRPr="00CE28E3" w:rsidRDefault="00956ACE" w:rsidP="00670650">
            <w:pPr>
              <w:pStyle w:val="TableText"/>
              <w:keepNext/>
              <w:rPr>
                <w:b/>
              </w:rPr>
            </w:pPr>
            <w:r w:rsidRPr="00CE28E3">
              <w:rPr>
                <w:b/>
              </w:rPr>
              <w:t>Type of evidence supplied</w:t>
            </w:r>
          </w:p>
        </w:tc>
        <w:tc>
          <w:tcPr>
            <w:tcW w:w="943" w:type="pct"/>
            <w:tcBorders>
              <w:top w:val="single" w:sz="4" w:space="0" w:color="auto"/>
              <w:left w:val="single" w:sz="4" w:space="0" w:color="auto"/>
              <w:bottom w:val="single" w:sz="4" w:space="0" w:color="auto"/>
              <w:right w:val="single" w:sz="4" w:space="0" w:color="auto"/>
            </w:tcBorders>
            <w:vAlign w:val="bottom"/>
            <w:hideMark/>
          </w:tcPr>
          <w:p w14:paraId="26BD1646" w14:textId="77777777" w:rsidR="00956ACE" w:rsidRPr="00CE28E3" w:rsidRDefault="00956ACE" w:rsidP="00670650">
            <w:pPr>
              <w:pStyle w:val="TableText"/>
              <w:keepNext/>
              <w:rPr>
                <w:b/>
              </w:rPr>
            </w:pPr>
            <w:r w:rsidRPr="00CE28E3">
              <w:rPr>
                <w:b/>
              </w:rPr>
              <w:t>Extent of evidence supplied</w:t>
            </w:r>
          </w:p>
        </w:tc>
        <w:tc>
          <w:tcPr>
            <w:tcW w:w="915" w:type="pct"/>
            <w:tcBorders>
              <w:top w:val="single" w:sz="4" w:space="0" w:color="auto"/>
              <w:left w:val="single" w:sz="4" w:space="0" w:color="auto"/>
              <w:bottom w:val="single" w:sz="4" w:space="0" w:color="auto"/>
              <w:right w:val="single" w:sz="4" w:space="0" w:color="auto"/>
            </w:tcBorders>
            <w:vAlign w:val="bottom"/>
            <w:hideMark/>
          </w:tcPr>
          <w:p w14:paraId="3F0C39B2" w14:textId="77777777" w:rsidR="00956ACE" w:rsidRPr="00CE28E3" w:rsidRDefault="00956ACE" w:rsidP="00DB1C02">
            <w:pPr>
              <w:pStyle w:val="TableText"/>
              <w:keepNext/>
              <w:ind w:right="-154"/>
              <w:rPr>
                <w:b/>
              </w:rPr>
            </w:pPr>
            <w:r w:rsidRPr="00CE28E3">
              <w:rPr>
                <w:b/>
              </w:rPr>
              <w:t>Overall risk of bias in evidence base</w:t>
            </w:r>
          </w:p>
        </w:tc>
      </w:tr>
      <w:tr w:rsidR="00956ACE" w:rsidRPr="00CE28E3" w14:paraId="34571304" w14:textId="77777777" w:rsidTr="00DB1C02">
        <w:tc>
          <w:tcPr>
            <w:tcW w:w="1097" w:type="pct"/>
            <w:tcBorders>
              <w:top w:val="single" w:sz="4" w:space="0" w:color="auto"/>
              <w:left w:val="single" w:sz="4" w:space="0" w:color="auto"/>
              <w:bottom w:val="single" w:sz="4" w:space="0" w:color="auto"/>
              <w:right w:val="single" w:sz="4" w:space="0" w:color="auto"/>
            </w:tcBorders>
            <w:hideMark/>
          </w:tcPr>
          <w:p w14:paraId="63BA3949" w14:textId="6C836FA8" w:rsidR="00956ACE" w:rsidRPr="00D809B3" w:rsidRDefault="00D809B3" w:rsidP="00670650">
            <w:pPr>
              <w:pStyle w:val="TableText"/>
              <w:keepNext/>
            </w:pPr>
            <w:r>
              <w:rPr>
                <w:vertAlign w:val="superscript"/>
              </w:rPr>
              <w:t>177</w:t>
            </w:r>
            <w:r w:rsidR="009F7816">
              <w:t>Lu </w:t>
            </w:r>
            <w:r w:rsidR="00886914">
              <w:t>PSMA </w:t>
            </w:r>
            <w:proofErr w:type="spellStart"/>
            <w:r w:rsidR="00886914">
              <w:t>i&amp;t</w:t>
            </w:r>
            <w:proofErr w:type="spellEnd"/>
            <w:r>
              <w:t xml:space="preserve"> versus -617</w:t>
            </w:r>
          </w:p>
        </w:tc>
        <w:tc>
          <w:tcPr>
            <w:tcW w:w="2045" w:type="pct"/>
            <w:tcBorders>
              <w:top w:val="single" w:sz="4" w:space="0" w:color="auto"/>
              <w:left w:val="single" w:sz="4" w:space="0" w:color="auto"/>
              <w:bottom w:val="single" w:sz="4" w:space="0" w:color="auto"/>
              <w:right w:val="single" w:sz="4" w:space="0" w:color="auto"/>
            </w:tcBorders>
            <w:hideMark/>
          </w:tcPr>
          <w:p w14:paraId="38FBF9D4" w14:textId="413AF3BB" w:rsidR="00956ACE" w:rsidRPr="00DB1C02" w:rsidRDefault="00D809B3" w:rsidP="00D809B3">
            <w:pPr>
              <w:pStyle w:val="TableText"/>
              <w:keepNext/>
              <w:rPr>
                <w:iCs/>
              </w:rPr>
            </w:pPr>
            <w:r w:rsidRPr="00DB1C02">
              <w:rPr>
                <w:iCs/>
              </w:rPr>
              <w:t xml:space="preserve">2 single </w:t>
            </w:r>
            <w:r w:rsidRPr="00DB1C02">
              <w:rPr>
                <w:iCs/>
                <w:vertAlign w:val="superscript"/>
              </w:rPr>
              <w:t>177</w:t>
            </w:r>
            <w:r w:rsidR="009F7816">
              <w:rPr>
                <w:iCs/>
              </w:rPr>
              <w:t>Lu PSMA</w:t>
            </w:r>
            <w:r w:rsidRPr="00DB1C02">
              <w:rPr>
                <w:iCs/>
              </w:rPr>
              <w:t xml:space="preserve">-617 arms </w:t>
            </w:r>
            <w:r w:rsidR="002A6E7A" w:rsidRPr="00DB1C02">
              <w:rPr>
                <w:iCs/>
              </w:rPr>
              <w:t>from 2 RCTs</w:t>
            </w:r>
          </w:p>
          <w:p w14:paraId="619687C6" w14:textId="2C045ACB" w:rsidR="00D809B3" w:rsidRPr="00DB1C02" w:rsidRDefault="00D809B3" w:rsidP="00D809B3">
            <w:pPr>
              <w:pStyle w:val="TableText"/>
              <w:keepNext/>
              <w:rPr>
                <w:iCs/>
              </w:rPr>
            </w:pPr>
            <w:r w:rsidRPr="00DB1C02">
              <w:rPr>
                <w:iCs/>
              </w:rPr>
              <w:t>2 retrospective studies</w:t>
            </w:r>
            <w:r w:rsidR="00E2049E" w:rsidRPr="00DB1C02">
              <w:rPr>
                <w:iCs/>
              </w:rPr>
              <w:t xml:space="preserve"> (one </w:t>
            </w:r>
            <w:r w:rsidR="00E2049E" w:rsidRPr="00DB1C02">
              <w:rPr>
                <w:iCs/>
                <w:vertAlign w:val="superscript"/>
              </w:rPr>
              <w:t>177</w:t>
            </w:r>
            <w:r w:rsidR="009F7816">
              <w:rPr>
                <w:iCs/>
              </w:rPr>
              <w:t>Lu </w:t>
            </w:r>
            <w:r w:rsidR="00886914">
              <w:rPr>
                <w:iCs/>
              </w:rPr>
              <w:t>PSMA </w:t>
            </w:r>
            <w:proofErr w:type="spellStart"/>
            <w:r w:rsidR="00886914">
              <w:rPr>
                <w:iCs/>
              </w:rPr>
              <w:t>i&amp;t</w:t>
            </w:r>
            <w:proofErr w:type="spellEnd"/>
            <w:r w:rsidR="00E2049E" w:rsidRPr="00DB1C02">
              <w:rPr>
                <w:iCs/>
              </w:rPr>
              <w:t xml:space="preserve"> and </w:t>
            </w:r>
            <w:r w:rsidR="00761E17" w:rsidRPr="00DB1C02">
              <w:rPr>
                <w:iCs/>
              </w:rPr>
              <w:t xml:space="preserve">one </w:t>
            </w:r>
            <w:r w:rsidR="00E2049E" w:rsidRPr="00DB1C02">
              <w:rPr>
                <w:iCs/>
                <w:vertAlign w:val="superscript"/>
              </w:rPr>
              <w:t>177</w:t>
            </w:r>
            <w:r w:rsidR="009F7816">
              <w:rPr>
                <w:iCs/>
              </w:rPr>
              <w:t>Lu PSMA</w:t>
            </w:r>
            <w:r w:rsidR="00E2049E" w:rsidRPr="00DB1C02">
              <w:rPr>
                <w:iCs/>
              </w:rPr>
              <w:t>-617)</w:t>
            </w:r>
          </w:p>
          <w:p w14:paraId="2C8B9F95" w14:textId="51D0A8D8" w:rsidR="00D809B3" w:rsidRPr="00DB1C02" w:rsidRDefault="00D809B3" w:rsidP="00D809B3">
            <w:pPr>
              <w:pStyle w:val="TableText"/>
              <w:keepNext/>
              <w:rPr>
                <w:iCs/>
              </w:rPr>
            </w:pPr>
            <w:r w:rsidRPr="00DB1C02">
              <w:rPr>
                <w:iCs/>
              </w:rPr>
              <w:t>2 registries</w:t>
            </w:r>
            <w:r w:rsidR="00E2049E" w:rsidRPr="00DB1C02">
              <w:rPr>
                <w:iCs/>
              </w:rPr>
              <w:t xml:space="preserve"> (</w:t>
            </w:r>
            <w:r w:rsidR="00E2049E" w:rsidRPr="00DB1C02">
              <w:rPr>
                <w:iCs/>
                <w:vertAlign w:val="superscript"/>
              </w:rPr>
              <w:t>177</w:t>
            </w:r>
            <w:r w:rsidR="009F7816">
              <w:rPr>
                <w:iCs/>
              </w:rPr>
              <w:t>Lu </w:t>
            </w:r>
            <w:r w:rsidR="00886914">
              <w:rPr>
                <w:iCs/>
              </w:rPr>
              <w:t>PSMA </w:t>
            </w:r>
            <w:proofErr w:type="spellStart"/>
            <w:r w:rsidR="00886914">
              <w:rPr>
                <w:iCs/>
              </w:rPr>
              <w:t>i&amp;t</w:t>
            </w:r>
            <w:proofErr w:type="spellEnd"/>
            <w:r w:rsidR="00E2049E" w:rsidRPr="00DB1C02">
              <w:rPr>
                <w:iCs/>
              </w:rPr>
              <w:t>)</w:t>
            </w:r>
          </w:p>
          <w:p w14:paraId="7A348354" w14:textId="53E82EE5" w:rsidR="00D809B3" w:rsidRPr="00DB1C02" w:rsidRDefault="00D809B3" w:rsidP="00670650">
            <w:pPr>
              <w:pStyle w:val="TableText"/>
              <w:keepNext/>
              <w:rPr>
                <w:iCs/>
              </w:rPr>
            </w:pPr>
            <w:r w:rsidRPr="00DB1C02">
              <w:rPr>
                <w:iCs/>
              </w:rPr>
              <w:t>1 matched analysis</w:t>
            </w:r>
            <w:r w:rsidR="002E5AFD" w:rsidRPr="00DB1C02">
              <w:rPr>
                <w:iCs/>
              </w:rPr>
              <w:t xml:space="preserve"> found during the evaluation</w:t>
            </w:r>
            <w:r w:rsidR="00E2049E" w:rsidRPr="00DB1C02">
              <w:rPr>
                <w:iCs/>
              </w:rPr>
              <w:t xml:space="preserve"> (</w:t>
            </w:r>
            <w:r w:rsidR="00E2049E" w:rsidRPr="00DB1C02">
              <w:rPr>
                <w:iCs/>
                <w:vertAlign w:val="superscript"/>
              </w:rPr>
              <w:t>177</w:t>
            </w:r>
            <w:r w:rsidR="009F7816">
              <w:rPr>
                <w:iCs/>
              </w:rPr>
              <w:t>Lu </w:t>
            </w:r>
            <w:r w:rsidR="00886914">
              <w:rPr>
                <w:iCs/>
              </w:rPr>
              <w:t>PSMA </w:t>
            </w:r>
            <w:proofErr w:type="spellStart"/>
            <w:r w:rsidR="00886914">
              <w:rPr>
                <w:iCs/>
              </w:rPr>
              <w:t>i&amp;t</w:t>
            </w:r>
            <w:proofErr w:type="spellEnd"/>
            <w:r w:rsidR="00E2049E" w:rsidRPr="00DB1C02">
              <w:rPr>
                <w:iCs/>
              </w:rPr>
              <w:t xml:space="preserve"> and </w:t>
            </w:r>
            <w:r w:rsidR="00E2049E" w:rsidRPr="00DB1C02">
              <w:rPr>
                <w:iCs/>
                <w:vertAlign w:val="superscript"/>
              </w:rPr>
              <w:t>177</w:t>
            </w:r>
            <w:r w:rsidR="009F7816">
              <w:rPr>
                <w:iCs/>
              </w:rPr>
              <w:t>Lu PSMA</w:t>
            </w:r>
            <w:r w:rsidR="00E2049E" w:rsidRPr="00DB1C02">
              <w:rPr>
                <w:iCs/>
              </w:rPr>
              <w:t>-617)</w:t>
            </w:r>
          </w:p>
        </w:tc>
        <w:tc>
          <w:tcPr>
            <w:tcW w:w="943" w:type="pct"/>
            <w:tcBorders>
              <w:top w:val="single" w:sz="4" w:space="0" w:color="auto"/>
              <w:left w:val="single" w:sz="4" w:space="0" w:color="auto"/>
              <w:bottom w:val="single" w:sz="4" w:space="0" w:color="auto"/>
              <w:right w:val="single" w:sz="4" w:space="0" w:color="auto"/>
            </w:tcBorders>
            <w:hideMark/>
          </w:tcPr>
          <w:p w14:paraId="0677DEFF" w14:textId="77777777" w:rsidR="002A6E7A" w:rsidRDefault="008440F9" w:rsidP="00670650">
            <w:pPr>
              <w:pStyle w:val="TableText"/>
              <w:keepNext/>
            </w:pPr>
            <w:sdt>
              <w:sdtPr>
                <w:id w:val="1454910707"/>
                <w14:checkbox>
                  <w14:checked w14:val="1"/>
                  <w14:checkedState w14:val="2612" w14:font="MS Gothic"/>
                  <w14:uncheckedState w14:val="2610" w14:font="MS Gothic"/>
                </w14:checkbox>
              </w:sdtPr>
              <w:sdtEndPr/>
              <w:sdtContent>
                <w:r w:rsidR="00D809B3">
                  <w:rPr>
                    <w:rFonts w:ascii="MS Gothic" w:eastAsia="MS Gothic" w:hAnsi="MS Gothic" w:hint="eastAsia"/>
                  </w:rPr>
                  <w:t>☒</w:t>
                </w:r>
              </w:sdtContent>
            </w:sdt>
            <w:r w:rsidR="00956ACE" w:rsidRPr="00CE28E3">
              <w:tab/>
              <w:t>k=</w:t>
            </w:r>
            <w:r w:rsidR="00D809B3">
              <w:t>7</w:t>
            </w:r>
          </w:p>
          <w:p w14:paraId="4B9F173D" w14:textId="4074DF50" w:rsidR="00956ACE" w:rsidRPr="00CE28E3" w:rsidRDefault="00956ACE" w:rsidP="00670650">
            <w:pPr>
              <w:pStyle w:val="TableText"/>
              <w:keepNext/>
            </w:pPr>
            <w:r w:rsidRPr="00CE28E3">
              <w:tab/>
              <w:t>n=</w:t>
            </w:r>
            <w:r w:rsidR="00D809B3">
              <w:t>1,</w:t>
            </w:r>
            <w:r w:rsidR="00A901F9">
              <w:t>237</w:t>
            </w:r>
          </w:p>
        </w:tc>
        <w:tc>
          <w:tcPr>
            <w:tcW w:w="915" w:type="pct"/>
            <w:tcBorders>
              <w:top w:val="single" w:sz="4" w:space="0" w:color="auto"/>
              <w:left w:val="single" w:sz="4" w:space="0" w:color="auto"/>
              <w:bottom w:val="single" w:sz="4" w:space="0" w:color="auto"/>
              <w:right w:val="single" w:sz="4" w:space="0" w:color="auto"/>
            </w:tcBorders>
            <w:hideMark/>
          </w:tcPr>
          <w:p w14:paraId="314B6464" w14:textId="16EF114A" w:rsidR="00956ACE" w:rsidRPr="00CE28E3" w:rsidRDefault="00A01EAB" w:rsidP="00670650">
            <w:pPr>
              <w:pStyle w:val="TableText"/>
              <w:keepNext/>
            </w:pPr>
            <w:r>
              <w:t>High, comparison of single arms across studies</w:t>
            </w:r>
          </w:p>
        </w:tc>
      </w:tr>
      <w:tr w:rsidR="00D809B3" w:rsidRPr="00CE28E3" w14:paraId="66E8E035" w14:textId="77777777" w:rsidTr="00DB1C02">
        <w:tc>
          <w:tcPr>
            <w:tcW w:w="1097" w:type="pct"/>
            <w:tcBorders>
              <w:top w:val="single" w:sz="4" w:space="0" w:color="auto"/>
              <w:left w:val="single" w:sz="4" w:space="0" w:color="auto"/>
              <w:bottom w:val="single" w:sz="4" w:space="0" w:color="auto"/>
              <w:right w:val="single" w:sz="4" w:space="0" w:color="auto"/>
            </w:tcBorders>
          </w:tcPr>
          <w:p w14:paraId="4ECD9D43" w14:textId="0EEE3BBB" w:rsidR="00D809B3" w:rsidRPr="00D809B3" w:rsidRDefault="00D809B3" w:rsidP="00670650">
            <w:pPr>
              <w:pStyle w:val="TableText"/>
              <w:keepNext/>
            </w:pPr>
            <w:proofErr w:type="spellStart"/>
            <w:r>
              <w:t>SUV</w:t>
            </w:r>
            <w:r w:rsidRPr="00F2603C">
              <w:rPr>
                <w:vertAlign w:val="subscript"/>
              </w:rPr>
              <w:t>max</w:t>
            </w:r>
            <w:proofErr w:type="spellEnd"/>
            <w:r>
              <w:t xml:space="preserve"> &gt;15 at a single site of disease and </w:t>
            </w:r>
            <w:proofErr w:type="spellStart"/>
            <w:r>
              <w:t>SUV</w:t>
            </w:r>
            <w:r w:rsidRPr="00F2603C">
              <w:rPr>
                <w:vertAlign w:val="subscript"/>
              </w:rPr>
              <w:t>max</w:t>
            </w:r>
            <w:proofErr w:type="spellEnd"/>
            <w:r>
              <w:t xml:space="preserve"> &gt;10 at all sites of </w:t>
            </w:r>
            <w:r w:rsidRPr="00781AA3">
              <w:t>measurable disease</w:t>
            </w:r>
          </w:p>
        </w:tc>
        <w:tc>
          <w:tcPr>
            <w:tcW w:w="2045" w:type="pct"/>
            <w:tcBorders>
              <w:top w:val="single" w:sz="4" w:space="0" w:color="auto"/>
              <w:left w:val="single" w:sz="4" w:space="0" w:color="auto"/>
              <w:bottom w:val="single" w:sz="4" w:space="0" w:color="auto"/>
              <w:right w:val="single" w:sz="4" w:space="0" w:color="auto"/>
            </w:tcBorders>
          </w:tcPr>
          <w:p w14:paraId="69E4F985" w14:textId="4B5D052F" w:rsidR="00D809B3" w:rsidRPr="002A6E7A" w:rsidRDefault="00D809B3" w:rsidP="00D809B3">
            <w:pPr>
              <w:pStyle w:val="TableText"/>
              <w:keepNext/>
            </w:pPr>
            <w:r w:rsidRPr="002A6E7A">
              <w:t xml:space="preserve">2 single </w:t>
            </w:r>
            <w:r w:rsidRPr="002A6E7A">
              <w:rPr>
                <w:vertAlign w:val="superscript"/>
              </w:rPr>
              <w:t>177</w:t>
            </w:r>
            <w:r w:rsidR="009F7816">
              <w:t>Lu PSMA</w:t>
            </w:r>
            <w:r w:rsidRPr="002A6E7A">
              <w:t xml:space="preserve">-617 arms </w:t>
            </w:r>
            <w:r w:rsidR="002A6E7A" w:rsidRPr="002A6E7A">
              <w:t>from 2 RCTs</w:t>
            </w:r>
          </w:p>
          <w:p w14:paraId="411705D5" w14:textId="7C59FCE1" w:rsidR="00D809B3" w:rsidRPr="002A6E7A" w:rsidRDefault="00D809B3" w:rsidP="00670650">
            <w:pPr>
              <w:pStyle w:val="TableText"/>
              <w:keepNext/>
            </w:pPr>
            <w:r w:rsidRPr="002A6E7A">
              <w:t>3 prospective studies</w:t>
            </w:r>
            <w:r w:rsidR="00E2049E">
              <w:t xml:space="preserve"> (</w:t>
            </w:r>
            <w:r w:rsidR="00E2049E" w:rsidRPr="002A6E7A">
              <w:rPr>
                <w:vertAlign w:val="superscript"/>
              </w:rPr>
              <w:t>177</w:t>
            </w:r>
            <w:r w:rsidR="009F7816">
              <w:t>Lu PSMA</w:t>
            </w:r>
            <w:r w:rsidR="00E2049E" w:rsidRPr="002A6E7A">
              <w:t>-617</w:t>
            </w:r>
            <w:r w:rsidR="00E2049E">
              <w:t>)</w:t>
            </w:r>
          </w:p>
        </w:tc>
        <w:tc>
          <w:tcPr>
            <w:tcW w:w="943" w:type="pct"/>
            <w:tcBorders>
              <w:top w:val="single" w:sz="4" w:space="0" w:color="auto"/>
              <w:left w:val="single" w:sz="4" w:space="0" w:color="auto"/>
              <w:bottom w:val="single" w:sz="4" w:space="0" w:color="auto"/>
              <w:right w:val="single" w:sz="4" w:space="0" w:color="auto"/>
            </w:tcBorders>
          </w:tcPr>
          <w:p w14:paraId="47E0CEBF" w14:textId="77777777" w:rsidR="002A6E7A" w:rsidRDefault="008440F9" w:rsidP="00670650">
            <w:pPr>
              <w:pStyle w:val="TableText"/>
              <w:keepNext/>
            </w:pPr>
            <w:sdt>
              <w:sdtPr>
                <w:id w:val="-1509899848"/>
                <w14:checkbox>
                  <w14:checked w14:val="1"/>
                  <w14:checkedState w14:val="2612" w14:font="MS Gothic"/>
                  <w14:uncheckedState w14:val="2610" w14:font="MS Gothic"/>
                </w14:checkbox>
              </w:sdtPr>
              <w:sdtEndPr/>
              <w:sdtContent>
                <w:r w:rsidR="00D809B3">
                  <w:rPr>
                    <w:rFonts w:ascii="MS Gothic" w:eastAsia="MS Gothic" w:hAnsi="MS Gothic" w:hint="eastAsia"/>
                  </w:rPr>
                  <w:t>☒</w:t>
                </w:r>
              </w:sdtContent>
            </w:sdt>
            <w:r w:rsidR="00D809B3" w:rsidRPr="00CE28E3">
              <w:tab/>
              <w:t>k=</w:t>
            </w:r>
            <w:r w:rsidR="00D809B3">
              <w:t>5</w:t>
            </w:r>
          </w:p>
          <w:p w14:paraId="2B4784D6" w14:textId="16684065" w:rsidR="00D809B3" w:rsidRDefault="00D809B3" w:rsidP="00670650">
            <w:pPr>
              <w:pStyle w:val="TableText"/>
              <w:keepNext/>
            </w:pPr>
            <w:r w:rsidRPr="00CE28E3">
              <w:tab/>
              <w:t>n=</w:t>
            </w:r>
            <w:r w:rsidR="00CD5D29">
              <w:t>584</w:t>
            </w:r>
          </w:p>
        </w:tc>
        <w:tc>
          <w:tcPr>
            <w:tcW w:w="915" w:type="pct"/>
            <w:tcBorders>
              <w:top w:val="single" w:sz="4" w:space="0" w:color="auto"/>
              <w:left w:val="single" w:sz="4" w:space="0" w:color="auto"/>
              <w:bottom w:val="single" w:sz="4" w:space="0" w:color="auto"/>
              <w:right w:val="single" w:sz="4" w:space="0" w:color="auto"/>
            </w:tcBorders>
          </w:tcPr>
          <w:p w14:paraId="71BFD204" w14:textId="4BA6FE04" w:rsidR="00D809B3" w:rsidRPr="00DB1C02" w:rsidRDefault="00A01EAB" w:rsidP="00670650">
            <w:pPr>
              <w:pStyle w:val="TableText"/>
              <w:keepNext/>
            </w:pPr>
            <w:r w:rsidRPr="00DB1C02">
              <w:t>High, comparison of single arms across studies</w:t>
            </w:r>
          </w:p>
        </w:tc>
      </w:tr>
      <w:tr w:rsidR="00956ACE" w:rsidRPr="00CE28E3" w14:paraId="020F989B" w14:textId="77777777" w:rsidTr="00DB1C02">
        <w:tc>
          <w:tcPr>
            <w:tcW w:w="1097" w:type="pct"/>
            <w:tcBorders>
              <w:top w:val="single" w:sz="4" w:space="0" w:color="auto"/>
              <w:left w:val="single" w:sz="4" w:space="0" w:color="auto"/>
              <w:bottom w:val="single" w:sz="4" w:space="0" w:color="auto"/>
              <w:right w:val="single" w:sz="4" w:space="0" w:color="auto"/>
            </w:tcBorders>
            <w:hideMark/>
          </w:tcPr>
          <w:p w14:paraId="252A909C" w14:textId="7A000F91" w:rsidR="00956ACE" w:rsidRPr="00CE28E3" w:rsidRDefault="00956ACE" w:rsidP="00670650">
            <w:pPr>
              <w:pStyle w:val="TableText"/>
              <w:keepNext/>
            </w:pPr>
            <w:r w:rsidRPr="00CE28E3">
              <w:t>Change in patient management</w:t>
            </w:r>
          </w:p>
        </w:tc>
        <w:tc>
          <w:tcPr>
            <w:tcW w:w="2045" w:type="pct"/>
            <w:tcBorders>
              <w:top w:val="single" w:sz="4" w:space="0" w:color="auto"/>
              <w:left w:val="single" w:sz="4" w:space="0" w:color="auto"/>
              <w:bottom w:val="single" w:sz="4" w:space="0" w:color="auto"/>
              <w:right w:val="single" w:sz="4" w:space="0" w:color="auto"/>
            </w:tcBorders>
            <w:hideMark/>
          </w:tcPr>
          <w:p w14:paraId="44D44CAB" w14:textId="7EA79612" w:rsidR="00D809B3" w:rsidRDefault="00D809B3" w:rsidP="00D809B3">
            <w:pPr>
              <w:pStyle w:val="TableText"/>
              <w:keepNext/>
            </w:pPr>
            <w:r>
              <w:t xml:space="preserve">2 single </w:t>
            </w:r>
            <w:r>
              <w:rPr>
                <w:vertAlign w:val="superscript"/>
              </w:rPr>
              <w:t>177</w:t>
            </w:r>
            <w:r w:rsidR="009F7816">
              <w:t>Lu PSMA</w:t>
            </w:r>
            <w:r>
              <w:t xml:space="preserve">-617 arms </w:t>
            </w:r>
            <w:r w:rsidR="002A6E7A">
              <w:t>from 2 RCTs</w:t>
            </w:r>
          </w:p>
          <w:p w14:paraId="6CFA7EE5" w14:textId="5B310876" w:rsidR="00956ACE" w:rsidRPr="00CE28E3" w:rsidRDefault="00D809B3" w:rsidP="00D809B3">
            <w:pPr>
              <w:pStyle w:val="TableText"/>
              <w:keepNext/>
            </w:pPr>
            <w:r>
              <w:t>3 prospective studies</w:t>
            </w:r>
            <w:r w:rsidR="00E2049E">
              <w:t xml:space="preserve"> (</w:t>
            </w:r>
            <w:r w:rsidR="00E2049E" w:rsidRPr="002A6E7A">
              <w:rPr>
                <w:vertAlign w:val="superscript"/>
              </w:rPr>
              <w:t>177</w:t>
            </w:r>
            <w:r w:rsidR="009F7816">
              <w:t>Lu PSMA</w:t>
            </w:r>
            <w:r w:rsidR="00E2049E" w:rsidRPr="002A6E7A">
              <w:t>-617</w:t>
            </w:r>
            <w:r w:rsidR="00E2049E">
              <w:t>)</w:t>
            </w:r>
          </w:p>
        </w:tc>
        <w:tc>
          <w:tcPr>
            <w:tcW w:w="943" w:type="pct"/>
            <w:tcBorders>
              <w:top w:val="single" w:sz="4" w:space="0" w:color="auto"/>
              <w:left w:val="single" w:sz="4" w:space="0" w:color="auto"/>
              <w:bottom w:val="single" w:sz="4" w:space="0" w:color="auto"/>
              <w:right w:val="single" w:sz="4" w:space="0" w:color="auto"/>
            </w:tcBorders>
            <w:hideMark/>
          </w:tcPr>
          <w:p w14:paraId="6B034842" w14:textId="77777777" w:rsidR="002A6E7A" w:rsidRDefault="008440F9" w:rsidP="00670650">
            <w:pPr>
              <w:pStyle w:val="TableText"/>
              <w:keepNext/>
            </w:pPr>
            <w:sdt>
              <w:sdtPr>
                <w:id w:val="-1943214893"/>
                <w14:checkbox>
                  <w14:checked w14:val="1"/>
                  <w14:checkedState w14:val="2612" w14:font="MS Gothic"/>
                  <w14:uncheckedState w14:val="2610" w14:font="MS Gothic"/>
                </w14:checkbox>
              </w:sdtPr>
              <w:sdtEndPr/>
              <w:sdtContent>
                <w:r w:rsidR="00D809B3">
                  <w:rPr>
                    <w:rFonts w:ascii="MS Gothic" w:eastAsia="MS Gothic" w:hAnsi="MS Gothic" w:hint="eastAsia"/>
                  </w:rPr>
                  <w:t>☒</w:t>
                </w:r>
              </w:sdtContent>
            </w:sdt>
            <w:r w:rsidR="00956ACE" w:rsidRPr="00CE28E3">
              <w:tab/>
              <w:t>k=</w:t>
            </w:r>
            <w:r w:rsidR="00D809B3">
              <w:t>5</w:t>
            </w:r>
          </w:p>
          <w:p w14:paraId="60E3094E" w14:textId="406FBA66" w:rsidR="00956ACE" w:rsidRPr="00CE28E3" w:rsidRDefault="00956ACE" w:rsidP="00670650">
            <w:pPr>
              <w:pStyle w:val="TableText"/>
              <w:keepNext/>
            </w:pPr>
            <w:r w:rsidRPr="00CE28E3">
              <w:tab/>
              <w:t>n=</w:t>
            </w:r>
            <w:r w:rsidR="00A901F9">
              <w:t>1,455</w:t>
            </w:r>
          </w:p>
        </w:tc>
        <w:tc>
          <w:tcPr>
            <w:tcW w:w="915" w:type="pct"/>
            <w:tcBorders>
              <w:top w:val="single" w:sz="4" w:space="0" w:color="auto"/>
              <w:left w:val="single" w:sz="4" w:space="0" w:color="auto"/>
              <w:bottom w:val="single" w:sz="4" w:space="0" w:color="auto"/>
              <w:right w:val="single" w:sz="4" w:space="0" w:color="auto"/>
            </w:tcBorders>
            <w:hideMark/>
          </w:tcPr>
          <w:p w14:paraId="00E8E7C1" w14:textId="194EB20D" w:rsidR="00956ACE" w:rsidRPr="00CE28E3" w:rsidRDefault="00A01EAB" w:rsidP="00670650">
            <w:pPr>
              <w:pStyle w:val="TableText"/>
              <w:keepNext/>
            </w:pPr>
            <w:r>
              <w:t>High, comparison of single arms across studies</w:t>
            </w:r>
          </w:p>
        </w:tc>
      </w:tr>
      <w:tr w:rsidR="00956ACE" w:rsidRPr="00CE28E3" w14:paraId="0A575DD3" w14:textId="77777777" w:rsidTr="00DB1C02">
        <w:tc>
          <w:tcPr>
            <w:tcW w:w="1097" w:type="pct"/>
            <w:tcBorders>
              <w:top w:val="single" w:sz="4" w:space="0" w:color="auto"/>
              <w:left w:val="single" w:sz="4" w:space="0" w:color="auto"/>
              <w:bottom w:val="single" w:sz="4" w:space="0" w:color="auto"/>
              <w:right w:val="single" w:sz="4" w:space="0" w:color="auto"/>
            </w:tcBorders>
            <w:hideMark/>
          </w:tcPr>
          <w:p w14:paraId="2B5E1C59" w14:textId="230E535B" w:rsidR="00956ACE" w:rsidRPr="00CE28E3" w:rsidRDefault="00956ACE" w:rsidP="00670650">
            <w:pPr>
              <w:pStyle w:val="TableText"/>
              <w:keepNext/>
            </w:pPr>
            <w:r w:rsidRPr="00CE28E3">
              <w:t>Health outcomes</w:t>
            </w:r>
          </w:p>
        </w:tc>
        <w:tc>
          <w:tcPr>
            <w:tcW w:w="2045" w:type="pct"/>
            <w:tcBorders>
              <w:top w:val="single" w:sz="4" w:space="0" w:color="auto"/>
              <w:left w:val="single" w:sz="4" w:space="0" w:color="auto"/>
              <w:bottom w:val="single" w:sz="4" w:space="0" w:color="auto"/>
              <w:right w:val="single" w:sz="4" w:space="0" w:color="auto"/>
            </w:tcBorders>
          </w:tcPr>
          <w:p w14:paraId="02AAE4C4" w14:textId="1E023884" w:rsidR="00956ACE" w:rsidRDefault="00D809B3" w:rsidP="00D809B3">
            <w:pPr>
              <w:pStyle w:val="TableText"/>
            </w:pPr>
            <w:r>
              <w:t xml:space="preserve">2 </w:t>
            </w:r>
            <w:r w:rsidR="002A6E7A">
              <w:t xml:space="preserve">OL </w:t>
            </w:r>
            <w:r>
              <w:t>RCTs</w:t>
            </w:r>
          </w:p>
          <w:p w14:paraId="281AC8B7" w14:textId="40F0ABC6" w:rsidR="00D809B3" w:rsidRDefault="00D809B3" w:rsidP="00CB0324">
            <w:pPr>
              <w:pStyle w:val="TableText"/>
              <w:numPr>
                <w:ilvl w:val="0"/>
                <w:numId w:val="14"/>
              </w:numPr>
              <w:ind w:left="193" w:hanging="193"/>
            </w:pPr>
            <w:r>
              <w:rPr>
                <w:vertAlign w:val="superscript"/>
              </w:rPr>
              <w:t>177</w:t>
            </w:r>
            <w:r w:rsidR="009F7816">
              <w:t>Lu PSMA</w:t>
            </w:r>
            <w:r>
              <w:t xml:space="preserve">-617 versus </w:t>
            </w:r>
            <w:proofErr w:type="spellStart"/>
            <w:r>
              <w:t>cabazitaxel</w:t>
            </w:r>
            <w:proofErr w:type="spellEnd"/>
          </w:p>
          <w:p w14:paraId="54723D7C" w14:textId="0728DDEC" w:rsidR="00D809B3" w:rsidRPr="00D809B3" w:rsidRDefault="00D809B3" w:rsidP="00CB0324">
            <w:pPr>
              <w:pStyle w:val="TableText"/>
              <w:numPr>
                <w:ilvl w:val="0"/>
                <w:numId w:val="14"/>
              </w:numPr>
              <w:ind w:left="193" w:hanging="193"/>
            </w:pPr>
            <w:r>
              <w:rPr>
                <w:vertAlign w:val="superscript"/>
              </w:rPr>
              <w:t>177</w:t>
            </w:r>
            <w:r w:rsidR="009F7816">
              <w:t>Lu PSMA</w:t>
            </w:r>
            <w:r>
              <w:t>-617 + BSc versus BSc alone</w:t>
            </w:r>
          </w:p>
        </w:tc>
        <w:tc>
          <w:tcPr>
            <w:tcW w:w="943" w:type="pct"/>
            <w:tcBorders>
              <w:top w:val="single" w:sz="4" w:space="0" w:color="auto"/>
              <w:left w:val="single" w:sz="4" w:space="0" w:color="auto"/>
              <w:bottom w:val="single" w:sz="4" w:space="0" w:color="auto"/>
              <w:right w:val="single" w:sz="4" w:space="0" w:color="auto"/>
            </w:tcBorders>
          </w:tcPr>
          <w:p w14:paraId="6408AD0F" w14:textId="77777777" w:rsidR="002A6E7A" w:rsidRDefault="008440F9" w:rsidP="00DF5994">
            <w:pPr>
              <w:pStyle w:val="TableText"/>
              <w:keepNext/>
            </w:pPr>
            <w:sdt>
              <w:sdtPr>
                <w:id w:val="-605892943"/>
                <w14:checkbox>
                  <w14:checked w14:val="1"/>
                  <w14:checkedState w14:val="2612" w14:font="MS Gothic"/>
                  <w14:uncheckedState w14:val="2610" w14:font="MS Gothic"/>
                </w14:checkbox>
              </w:sdtPr>
              <w:sdtEndPr/>
              <w:sdtContent>
                <w:r w:rsidR="00D809B3">
                  <w:rPr>
                    <w:rFonts w:ascii="MS Gothic" w:eastAsia="MS Gothic" w:hAnsi="MS Gothic" w:hint="eastAsia"/>
                  </w:rPr>
                  <w:t>☒</w:t>
                </w:r>
              </w:sdtContent>
            </w:sdt>
            <w:r w:rsidR="00956ACE" w:rsidRPr="00CE28E3">
              <w:tab/>
              <w:t>k=</w:t>
            </w:r>
            <w:r w:rsidR="00D809B3">
              <w:t>2</w:t>
            </w:r>
          </w:p>
          <w:p w14:paraId="496A8CDC" w14:textId="3BE40F96" w:rsidR="00956ACE" w:rsidRPr="00CE28E3" w:rsidRDefault="00956ACE" w:rsidP="00DF5994">
            <w:pPr>
              <w:pStyle w:val="TableText"/>
              <w:keepNext/>
            </w:pPr>
            <w:r w:rsidRPr="00CE28E3">
              <w:tab/>
              <w:t>n=</w:t>
            </w:r>
            <w:r w:rsidR="00D809B3">
              <w:t>1,031</w:t>
            </w:r>
          </w:p>
        </w:tc>
        <w:tc>
          <w:tcPr>
            <w:tcW w:w="915" w:type="pct"/>
            <w:tcBorders>
              <w:top w:val="single" w:sz="4" w:space="0" w:color="auto"/>
              <w:left w:val="single" w:sz="4" w:space="0" w:color="auto"/>
              <w:bottom w:val="single" w:sz="4" w:space="0" w:color="auto"/>
              <w:right w:val="single" w:sz="4" w:space="0" w:color="auto"/>
            </w:tcBorders>
            <w:hideMark/>
          </w:tcPr>
          <w:p w14:paraId="17AAB10F" w14:textId="0ACCE8D8" w:rsidR="00956ACE" w:rsidRPr="00D809B3" w:rsidRDefault="00A01EAB" w:rsidP="00D809B3">
            <w:pPr>
              <w:pStyle w:val="TableText"/>
            </w:pPr>
            <w:r>
              <w:t xml:space="preserve">Low, although both </w:t>
            </w:r>
            <w:proofErr w:type="gramStart"/>
            <w:r>
              <w:t>open-label</w:t>
            </w:r>
            <w:proofErr w:type="gramEnd"/>
          </w:p>
        </w:tc>
      </w:tr>
    </w:tbl>
    <w:p w14:paraId="36B53B57" w14:textId="4591FA55" w:rsidR="00956ACE" w:rsidRDefault="00291FD7" w:rsidP="00B8535F">
      <w:pPr>
        <w:pStyle w:val="TableFigureFooter"/>
      </w:pPr>
      <w:bookmarkStart w:id="21" w:name="_Hlk68276301"/>
      <w:bookmarkEnd w:id="20"/>
      <w:r w:rsidRPr="00291FD7">
        <w:rPr>
          <w:vertAlign w:val="superscript"/>
        </w:rPr>
        <w:t>177</w:t>
      </w:r>
      <w:r>
        <w:t>Lu</w:t>
      </w:r>
      <w:r w:rsidR="002854E7">
        <w:t xml:space="preserve"> </w:t>
      </w:r>
      <w:r>
        <w:t>=</w:t>
      </w:r>
      <w:r w:rsidR="002854E7">
        <w:t xml:space="preserve"> </w:t>
      </w:r>
      <w:r w:rsidRPr="00291FD7">
        <w:rPr>
          <w:vertAlign w:val="superscript"/>
        </w:rPr>
        <w:t>177</w:t>
      </w:r>
      <w:r w:rsidR="00DB1C02">
        <w:t>l</w:t>
      </w:r>
      <w:r>
        <w:t>utetium; BSc</w:t>
      </w:r>
      <w:r w:rsidR="002854E7">
        <w:t xml:space="preserve"> </w:t>
      </w:r>
      <w:r>
        <w:t>=</w:t>
      </w:r>
      <w:r w:rsidR="002854E7">
        <w:t xml:space="preserve"> </w:t>
      </w:r>
      <w:r>
        <w:t xml:space="preserve">best supportive care; </w:t>
      </w:r>
      <w:r w:rsidR="00956ACE" w:rsidRPr="00291FD7">
        <w:t>k</w:t>
      </w:r>
      <w:r w:rsidR="002854E7">
        <w:t xml:space="preserve"> </w:t>
      </w:r>
      <w:r w:rsidR="00956ACE" w:rsidRPr="00CE28E3">
        <w:t>=</w:t>
      </w:r>
      <w:r w:rsidR="002854E7">
        <w:t xml:space="preserve"> </w:t>
      </w:r>
      <w:r w:rsidR="00956ACE" w:rsidRPr="00CE28E3">
        <w:t>number of studies</w:t>
      </w:r>
      <w:r>
        <w:t>;</w:t>
      </w:r>
      <w:r w:rsidR="00956ACE" w:rsidRPr="00CE28E3">
        <w:t xml:space="preserve"> n</w:t>
      </w:r>
      <w:r w:rsidR="002854E7">
        <w:t xml:space="preserve"> </w:t>
      </w:r>
      <w:r w:rsidR="00956ACE" w:rsidRPr="00CE28E3">
        <w:t>=</w:t>
      </w:r>
      <w:r w:rsidR="002854E7">
        <w:t xml:space="preserve"> </w:t>
      </w:r>
      <w:r w:rsidR="00956ACE" w:rsidRPr="00CE28E3">
        <w:t>number of patients</w:t>
      </w:r>
      <w:r>
        <w:t xml:space="preserve">; </w:t>
      </w:r>
      <w:r w:rsidR="0066344E">
        <w:t xml:space="preserve">OL = open label; </w:t>
      </w:r>
      <w:r>
        <w:t>PSMA</w:t>
      </w:r>
      <w:r w:rsidR="002854E7">
        <w:t xml:space="preserve"> </w:t>
      </w:r>
      <w:r>
        <w:t>=</w:t>
      </w:r>
      <w:r w:rsidR="002854E7">
        <w:t xml:space="preserve"> </w:t>
      </w:r>
      <w:r>
        <w:t>p</w:t>
      </w:r>
      <w:r w:rsidRPr="00291FD7">
        <w:t>rostate specific membrane antige</w:t>
      </w:r>
      <w:r>
        <w:t>n; RCT</w:t>
      </w:r>
      <w:r w:rsidR="002854E7">
        <w:t xml:space="preserve"> </w:t>
      </w:r>
      <w:r>
        <w:t>=</w:t>
      </w:r>
      <w:r w:rsidR="002854E7">
        <w:t xml:space="preserve"> </w:t>
      </w:r>
      <w:r>
        <w:t>randomised controlled trial;</w:t>
      </w:r>
      <w:r w:rsidRPr="00291FD7">
        <w:t xml:space="preserve"> </w:t>
      </w:r>
      <w:proofErr w:type="spellStart"/>
      <w:r>
        <w:t>SUV</w:t>
      </w:r>
      <w:r>
        <w:rPr>
          <w:vertAlign w:val="subscript"/>
        </w:rPr>
        <w:t>max</w:t>
      </w:r>
      <w:proofErr w:type="spellEnd"/>
      <w:r w:rsidR="002854E7">
        <w:t xml:space="preserve"> </w:t>
      </w:r>
      <w:r>
        <w:t>=</w:t>
      </w:r>
      <w:r w:rsidRPr="00291FD7">
        <w:t xml:space="preserve"> maximum standardised uptake value</w:t>
      </w:r>
    </w:p>
    <w:p w14:paraId="3B9FC2AD" w14:textId="19CBC8DF" w:rsidR="00772829" w:rsidRDefault="006669BE" w:rsidP="002A18BE">
      <w:pPr>
        <w:pStyle w:val="Heading2"/>
        <w:numPr>
          <w:ilvl w:val="0"/>
          <w:numId w:val="0"/>
        </w:numPr>
      </w:pPr>
      <w:bookmarkStart w:id="22" w:name="_Toc69491423"/>
      <w:bookmarkEnd w:id="21"/>
      <w:r>
        <w:t>11</w:t>
      </w:r>
      <w:r w:rsidR="00C36633">
        <w:t>.</w:t>
      </w:r>
      <w:r w:rsidR="00C36633">
        <w:tab/>
      </w:r>
      <w:r w:rsidR="00772829" w:rsidRPr="00CE28E3">
        <w:t>Comparative safety</w:t>
      </w:r>
      <w:bookmarkEnd w:id="22"/>
    </w:p>
    <w:p w14:paraId="30489245" w14:textId="797B5E50" w:rsidR="00F93412" w:rsidRDefault="00F93412" w:rsidP="002A6E7A">
      <w:pPr>
        <w:keepNext/>
        <w:rPr>
          <w:u w:val="single"/>
        </w:rPr>
      </w:pPr>
      <w:r w:rsidRPr="00291FD7">
        <w:rPr>
          <w:u w:val="single"/>
          <w:vertAlign w:val="superscript"/>
        </w:rPr>
        <w:t>177</w:t>
      </w:r>
      <w:r w:rsidR="009F7816">
        <w:rPr>
          <w:u w:val="single"/>
        </w:rPr>
        <w:t>Lu PSMA</w:t>
      </w:r>
      <w:r w:rsidRPr="00291FD7">
        <w:rPr>
          <w:u w:val="single"/>
        </w:rPr>
        <w:t>-</w:t>
      </w:r>
      <w:r>
        <w:rPr>
          <w:u w:val="single"/>
        </w:rPr>
        <w:t>617</w:t>
      </w:r>
      <w:r w:rsidRPr="00291FD7">
        <w:rPr>
          <w:u w:val="single"/>
        </w:rPr>
        <w:t xml:space="preserve"> versus </w:t>
      </w:r>
      <w:proofErr w:type="spellStart"/>
      <w:r>
        <w:rPr>
          <w:u w:val="single"/>
        </w:rPr>
        <w:t>cabazitaxel</w:t>
      </w:r>
      <w:proofErr w:type="spellEnd"/>
    </w:p>
    <w:p w14:paraId="0CB7FD76" w14:textId="6912990C" w:rsidR="00F93412" w:rsidRDefault="000F104A" w:rsidP="00F93412">
      <w:r>
        <w:t>Overall, a lower proportion of patients experienced an adverse event (AE)</w:t>
      </w:r>
      <w:r w:rsidRPr="00EA58D9">
        <w:t xml:space="preserve"> </w:t>
      </w:r>
      <w:r>
        <w:t xml:space="preserve">in the </w:t>
      </w:r>
      <w:r w:rsidRPr="00155A91">
        <w:rPr>
          <w:vertAlign w:val="superscript"/>
        </w:rPr>
        <w:t>177</w:t>
      </w:r>
      <w:r w:rsidR="009F7816">
        <w:t>Lu PSMA</w:t>
      </w:r>
      <w:r>
        <w:t xml:space="preserve">-617 </w:t>
      </w:r>
      <w:r w:rsidR="002A6E7A">
        <w:t xml:space="preserve">arm </w:t>
      </w:r>
      <w:r>
        <w:t xml:space="preserve">compared to </w:t>
      </w:r>
      <w:r w:rsidR="002A6E7A">
        <w:t xml:space="preserve">the </w:t>
      </w:r>
      <w:proofErr w:type="spellStart"/>
      <w:r>
        <w:t>cabazitaxel</w:t>
      </w:r>
      <w:proofErr w:type="spellEnd"/>
      <w:r>
        <w:t xml:space="preserve"> arm </w:t>
      </w:r>
      <w:r w:rsidR="002A6E7A">
        <w:t xml:space="preserve">(86.7% vs 92.9%, respectively) </w:t>
      </w:r>
      <w:r>
        <w:t xml:space="preserve">in </w:t>
      </w:r>
      <w:proofErr w:type="spellStart"/>
      <w:r>
        <w:t>TheraP.</w:t>
      </w:r>
      <w:proofErr w:type="spellEnd"/>
      <w:r>
        <w:t xml:space="preserve"> Grade 3 and 4 AEs were lower in the </w:t>
      </w:r>
      <w:r w:rsidRPr="00155A91">
        <w:rPr>
          <w:vertAlign w:val="superscript"/>
        </w:rPr>
        <w:t>177</w:t>
      </w:r>
      <w:r w:rsidR="009F7816">
        <w:t>Lu PSMA</w:t>
      </w:r>
      <w:r>
        <w:t xml:space="preserve">-617 </w:t>
      </w:r>
      <w:r w:rsidR="002A6E7A">
        <w:t xml:space="preserve">arm </w:t>
      </w:r>
      <w:r>
        <w:t xml:space="preserve">compared to </w:t>
      </w:r>
      <w:r w:rsidR="002A6E7A">
        <w:t xml:space="preserve">the </w:t>
      </w:r>
      <w:proofErr w:type="spellStart"/>
      <w:r>
        <w:t>cabazitaxel</w:t>
      </w:r>
      <w:proofErr w:type="spellEnd"/>
      <w:r>
        <w:t xml:space="preserve"> </w:t>
      </w:r>
      <w:r w:rsidR="002A6E7A">
        <w:t xml:space="preserve">arm </w:t>
      </w:r>
      <w:r>
        <w:t>(32.7% vs 52.9%, respectively).</w:t>
      </w:r>
    </w:p>
    <w:p w14:paraId="09864C49" w14:textId="3E334A43" w:rsidR="00BD112C" w:rsidRPr="00F93412" w:rsidRDefault="00BD112C" w:rsidP="00F93412">
      <w:r>
        <w:t>The pre-MSAC response</w:t>
      </w:r>
      <w:r w:rsidR="007D1689">
        <w:t xml:space="preserve"> from the </w:t>
      </w:r>
      <w:r w:rsidR="0078536C">
        <w:t>applicant</w:t>
      </w:r>
      <w:r>
        <w:t xml:space="preserve"> noted that </w:t>
      </w:r>
      <w:r w:rsidR="007D1689">
        <w:t xml:space="preserve">the safety results over the 3-year follow-up of the </w:t>
      </w:r>
      <w:proofErr w:type="spellStart"/>
      <w:r w:rsidR="007D1689">
        <w:t>TheraP</w:t>
      </w:r>
      <w:proofErr w:type="spellEnd"/>
      <w:r w:rsidR="007D1689">
        <w:t xml:space="preserve"> trial showed consistency with the earlier follow</w:t>
      </w:r>
      <w:r w:rsidR="00783B61">
        <w:t>-up</w:t>
      </w:r>
      <w:r>
        <w:t>.</w:t>
      </w:r>
    </w:p>
    <w:p w14:paraId="57D33486" w14:textId="4EF6577A" w:rsidR="00F93412" w:rsidRDefault="00F93412" w:rsidP="002A6E7A">
      <w:pPr>
        <w:keepNext/>
        <w:rPr>
          <w:u w:val="single"/>
        </w:rPr>
      </w:pPr>
      <w:r w:rsidRPr="00291FD7">
        <w:rPr>
          <w:u w:val="single"/>
          <w:vertAlign w:val="superscript"/>
        </w:rPr>
        <w:t>177</w:t>
      </w:r>
      <w:r w:rsidR="009F7816">
        <w:rPr>
          <w:u w:val="single"/>
        </w:rPr>
        <w:t>Lu PSMA</w:t>
      </w:r>
      <w:r w:rsidRPr="00291FD7">
        <w:rPr>
          <w:u w:val="single"/>
        </w:rPr>
        <w:t>-</w:t>
      </w:r>
      <w:r>
        <w:rPr>
          <w:u w:val="single"/>
        </w:rPr>
        <w:t>617 + best supportive care versus best supportive care alone</w:t>
      </w:r>
    </w:p>
    <w:p w14:paraId="28B8BB6A" w14:textId="204E5431" w:rsidR="000F104A" w:rsidRDefault="000F104A" w:rsidP="00F93412">
      <w:r>
        <w:t xml:space="preserve">A numerically higher proportion of patients experienced an AE in the </w:t>
      </w:r>
      <w:r w:rsidRPr="00155A91">
        <w:rPr>
          <w:vertAlign w:val="superscript"/>
        </w:rPr>
        <w:t>177</w:t>
      </w:r>
      <w:r w:rsidR="009F7816">
        <w:t>Lu PSMA</w:t>
      </w:r>
      <w:r>
        <w:t xml:space="preserve">-617 + </w:t>
      </w:r>
      <w:r w:rsidR="00DB005C">
        <w:t>best supportive care</w:t>
      </w:r>
      <w:r>
        <w:t xml:space="preserve"> arm compared to </w:t>
      </w:r>
      <w:r w:rsidR="002A6E7A">
        <w:t xml:space="preserve">the </w:t>
      </w:r>
      <w:r w:rsidR="00DB005C">
        <w:t>best supportive care</w:t>
      </w:r>
      <w:r>
        <w:t xml:space="preserve"> alone </w:t>
      </w:r>
      <w:r w:rsidR="002A6E7A">
        <w:t xml:space="preserve">arm </w:t>
      </w:r>
      <w:r>
        <w:t xml:space="preserve">(98.1% vs 82.9%, respectively) in VISION. Grade 3 and 4 </w:t>
      </w:r>
      <w:r w:rsidR="002A6E7A">
        <w:t xml:space="preserve">AEs </w:t>
      </w:r>
      <w:r>
        <w:t xml:space="preserve">were numerically higher in the </w:t>
      </w:r>
      <w:r w:rsidRPr="00155A91">
        <w:rPr>
          <w:vertAlign w:val="superscript"/>
        </w:rPr>
        <w:t>177</w:t>
      </w:r>
      <w:r w:rsidR="009F7816">
        <w:t>Lu PSMA</w:t>
      </w:r>
      <w:r>
        <w:t xml:space="preserve">-617 + </w:t>
      </w:r>
      <w:r w:rsidR="00DB005C">
        <w:t>best supportive care</w:t>
      </w:r>
      <w:r>
        <w:t xml:space="preserve"> arm compared to </w:t>
      </w:r>
      <w:r w:rsidR="002A6E7A">
        <w:t xml:space="preserve">the </w:t>
      </w:r>
      <w:r w:rsidR="00DB005C">
        <w:t>best supportive care</w:t>
      </w:r>
      <w:r>
        <w:t xml:space="preserve"> alone </w:t>
      </w:r>
      <w:r w:rsidR="002D76D8">
        <w:t xml:space="preserve">arm </w:t>
      </w:r>
      <w:r>
        <w:t>(52.7% vs 38.0%, respectively) in VISION.</w:t>
      </w:r>
    </w:p>
    <w:p w14:paraId="04FFA09A" w14:textId="154DB015" w:rsidR="000F104A" w:rsidRDefault="000F104A" w:rsidP="000F104A">
      <w:r>
        <w:t xml:space="preserve">The median number of cycles per patient of </w:t>
      </w:r>
      <w:r w:rsidRPr="000F104A">
        <w:rPr>
          <w:vertAlign w:val="superscript"/>
        </w:rPr>
        <w:t>177</w:t>
      </w:r>
      <w:r w:rsidR="009F7816">
        <w:t>Lu PSMA</w:t>
      </w:r>
      <w:r>
        <w:t xml:space="preserve">-617 in both </w:t>
      </w:r>
      <w:proofErr w:type="spellStart"/>
      <w:r>
        <w:t>TheraP</w:t>
      </w:r>
      <w:proofErr w:type="spellEnd"/>
      <w:r>
        <w:t xml:space="preserve"> and VISION was 5.0.</w:t>
      </w:r>
    </w:p>
    <w:p w14:paraId="2FF44CE9" w14:textId="2E0E5CA1" w:rsidR="000F104A" w:rsidRPr="004D638B" w:rsidRDefault="000F104A" w:rsidP="000F104A">
      <w:r>
        <w:t xml:space="preserve">In the </w:t>
      </w:r>
      <w:r w:rsidRPr="000F104A">
        <w:rPr>
          <w:vertAlign w:val="superscript"/>
        </w:rPr>
        <w:t>177</w:t>
      </w:r>
      <w:r w:rsidR="009F7816">
        <w:t>Lu PSMA</w:t>
      </w:r>
      <w:r>
        <w:t xml:space="preserve">-617 arm in both </w:t>
      </w:r>
      <w:proofErr w:type="spellStart"/>
      <w:r>
        <w:t>TheraP</w:t>
      </w:r>
      <w:proofErr w:type="spellEnd"/>
      <w:r>
        <w:t xml:space="preserve"> and VISION, fatigue (75.5% and 75.3% in </w:t>
      </w:r>
      <w:proofErr w:type="spellStart"/>
      <w:r>
        <w:t>TheraP</w:t>
      </w:r>
      <w:proofErr w:type="spellEnd"/>
      <w:r>
        <w:t xml:space="preserve"> and VISION, respectively), dry mouth (43.1% and 22.9%), nausea (40.8% and 35.3%) and anaemia (27.6% and 31.8%) were the most common AEs. Almost </w:t>
      </w:r>
      <w:proofErr w:type="gramStart"/>
      <w:r>
        <w:t>all of</w:t>
      </w:r>
      <w:proofErr w:type="gramEnd"/>
      <w:r>
        <w:t xml:space="preserve"> these frequent AEs were Grade 1 or 2, with less than 6.0% of pat</w:t>
      </w:r>
      <w:r w:rsidR="003D459E">
        <w:t>i</w:t>
      </w:r>
      <w:r>
        <w:t xml:space="preserve">ents experiencing a Grade 3 or 4 AE with the exception of pain in </w:t>
      </w:r>
      <w:proofErr w:type="spellStart"/>
      <w:r>
        <w:t>TheraP</w:t>
      </w:r>
      <w:proofErr w:type="spellEnd"/>
      <w:r>
        <w:t xml:space="preserve"> and anaemia in VISION. In </w:t>
      </w:r>
      <w:proofErr w:type="spellStart"/>
      <w:r>
        <w:t>TheraP</w:t>
      </w:r>
      <w:proofErr w:type="spellEnd"/>
      <w:r>
        <w:t xml:space="preserve"> a high proportion of patients experienced any grade </w:t>
      </w:r>
      <w:r>
        <w:lastRenderedPageBreak/>
        <w:t>pain (72.4% vs 65.9% in</w:t>
      </w:r>
      <w:r w:rsidR="004108F2">
        <w:t xml:space="preserve"> the</w:t>
      </w:r>
      <w:r>
        <w:t xml:space="preserve"> </w:t>
      </w:r>
      <w:r w:rsidRPr="000F104A">
        <w:rPr>
          <w:vertAlign w:val="superscript"/>
        </w:rPr>
        <w:t>177</w:t>
      </w:r>
      <w:r w:rsidR="009F7816">
        <w:t>Lu PSMA</w:t>
      </w:r>
      <w:r>
        <w:t xml:space="preserve">-617 and </w:t>
      </w:r>
      <w:proofErr w:type="spellStart"/>
      <w:r>
        <w:t>cabazitaxel</w:t>
      </w:r>
      <w:proofErr w:type="spellEnd"/>
      <w:r>
        <w:t xml:space="preserve"> arms, respectively). This included any patient that had bone, buttock, chest wall, flank, neck, extremity, tumour pain or pelvic pain. Nonetheless, less than 11.0% of patients experienced a Grade 3 or 4 AE and therefore </w:t>
      </w:r>
      <w:proofErr w:type="gramStart"/>
      <w:r>
        <w:t>the majority of</w:t>
      </w:r>
      <w:proofErr w:type="gramEnd"/>
      <w:r>
        <w:t xml:space="preserve"> patients experienced pain that was mild to moderate in intensity. None of these common AEs were Grade 5.</w:t>
      </w:r>
    </w:p>
    <w:p w14:paraId="0C41CFF7" w14:textId="56518415" w:rsidR="000F104A" w:rsidRDefault="000F104A" w:rsidP="000F104A">
      <w:pPr>
        <w:rPr>
          <w:u w:val="single"/>
        </w:rPr>
      </w:pPr>
      <w:r>
        <w:t xml:space="preserve">Overall, treatment with </w:t>
      </w:r>
      <w:r>
        <w:rPr>
          <w:vertAlign w:val="superscript"/>
        </w:rPr>
        <w:t>177</w:t>
      </w:r>
      <w:r w:rsidR="009F7816">
        <w:t>Lu PSMA</w:t>
      </w:r>
      <w:r>
        <w:t xml:space="preserve">-617 was associated with a low incidence of AEs that led to dose reduction, </w:t>
      </w:r>
      <w:proofErr w:type="gramStart"/>
      <w:r>
        <w:t>interruption</w:t>
      </w:r>
      <w:proofErr w:type="gramEnd"/>
      <w:r>
        <w:t xml:space="preserve"> or discontinuation. There were no deaths attributed to study treatment in </w:t>
      </w:r>
      <w:proofErr w:type="spellStart"/>
      <w:r>
        <w:t>TheraP.</w:t>
      </w:r>
      <w:proofErr w:type="spellEnd"/>
      <w:r>
        <w:t xml:space="preserve"> In VISION, less than 1.0% of patients experienced an AE that led to death that was considered by the investigators to be related to </w:t>
      </w:r>
      <w:r>
        <w:rPr>
          <w:vertAlign w:val="superscript"/>
        </w:rPr>
        <w:t>177</w:t>
      </w:r>
      <w:r w:rsidR="009F7816">
        <w:t>Lu PSMA</w:t>
      </w:r>
      <w:r>
        <w:t>-617.</w:t>
      </w:r>
    </w:p>
    <w:p w14:paraId="6BBED03F" w14:textId="5FAEE1A9" w:rsidR="000F104A" w:rsidRDefault="000F104A" w:rsidP="008A0137">
      <w:pPr>
        <w:keepNext/>
        <w:rPr>
          <w:u w:val="single"/>
        </w:rPr>
      </w:pPr>
      <w:r w:rsidRPr="00291FD7">
        <w:rPr>
          <w:u w:val="single"/>
          <w:vertAlign w:val="superscript"/>
        </w:rPr>
        <w:t>177</w:t>
      </w:r>
      <w:r w:rsidR="009F7816">
        <w:rPr>
          <w:u w:val="single"/>
        </w:rPr>
        <w:t>Lu </w:t>
      </w:r>
      <w:r w:rsidR="00886914">
        <w:rPr>
          <w:u w:val="single"/>
        </w:rPr>
        <w:t>PSMA </w:t>
      </w:r>
      <w:proofErr w:type="spellStart"/>
      <w:r w:rsidR="00886914">
        <w:rPr>
          <w:u w:val="single"/>
        </w:rPr>
        <w:t>i&amp;t</w:t>
      </w:r>
      <w:proofErr w:type="spellEnd"/>
      <w:r>
        <w:rPr>
          <w:u w:val="single"/>
        </w:rPr>
        <w:t xml:space="preserve"> versus -617</w:t>
      </w:r>
    </w:p>
    <w:p w14:paraId="3558E444" w14:textId="50B4C907" w:rsidR="00BD112C" w:rsidRDefault="00F93412" w:rsidP="00F93412">
      <w:r w:rsidRPr="002C255B">
        <w:t xml:space="preserve">The safety of </w:t>
      </w:r>
      <w:r w:rsidRPr="002C255B">
        <w:rPr>
          <w:vertAlign w:val="superscript"/>
        </w:rPr>
        <w:t>177</w:t>
      </w:r>
      <w:r w:rsidRPr="002C255B">
        <w:t>Lu</w:t>
      </w:r>
      <w:r w:rsidR="00886914">
        <w:t>PSMA </w:t>
      </w:r>
      <w:proofErr w:type="spellStart"/>
      <w:r w:rsidR="00886914">
        <w:t>i&amp;t</w:t>
      </w:r>
      <w:proofErr w:type="spellEnd"/>
      <w:r w:rsidRPr="002C255B">
        <w:t xml:space="preserve"> and </w:t>
      </w:r>
      <w:r w:rsidRPr="002C255B">
        <w:rPr>
          <w:vertAlign w:val="superscript"/>
        </w:rPr>
        <w:t>177</w:t>
      </w:r>
      <w:r w:rsidR="009F7816">
        <w:t>Lu PSMA</w:t>
      </w:r>
      <w:r w:rsidRPr="002C255B">
        <w:t xml:space="preserve">-617 was </w:t>
      </w:r>
      <w:r w:rsidR="004108F2">
        <w:t xml:space="preserve">compared </w:t>
      </w:r>
      <w:r w:rsidRPr="002C255B">
        <w:t xml:space="preserve">across </w:t>
      </w:r>
      <w:r w:rsidR="004108F2">
        <w:t xml:space="preserve">single arms from </w:t>
      </w:r>
      <w:r w:rsidRPr="002C255B">
        <w:t>the studies.</w:t>
      </w:r>
      <w:r>
        <w:rPr>
          <w:i/>
          <w:iCs/>
        </w:rPr>
        <w:t xml:space="preserve"> </w:t>
      </w:r>
      <w:r>
        <w:t>Overall, the incidence of Grade 3</w:t>
      </w:r>
      <w:r>
        <w:rPr>
          <w:rFonts w:cstheme="minorHAnsi"/>
        </w:rPr>
        <w:t>–</w:t>
      </w:r>
      <w:r>
        <w:t>4 anaemia (</w:t>
      </w:r>
      <w:r>
        <w:rPr>
          <w:rFonts w:cstheme="minorHAnsi"/>
        </w:rPr>
        <w:t>≥</w:t>
      </w:r>
      <w:r>
        <w:t>5% of patients) was between 0</w:t>
      </w:r>
      <w:r>
        <w:rPr>
          <w:rFonts w:cstheme="minorHAnsi"/>
        </w:rPr>
        <w:t>–</w:t>
      </w:r>
      <w:r>
        <w:t xml:space="preserve">6.5% for patients treated with </w:t>
      </w:r>
      <w:r w:rsidRPr="00340CFA">
        <w:rPr>
          <w:vertAlign w:val="superscript"/>
        </w:rPr>
        <w:t>177</w:t>
      </w:r>
      <w:r w:rsidR="009F7816">
        <w:t>Lu </w:t>
      </w:r>
      <w:r w:rsidR="00886914">
        <w:t>PSMA </w:t>
      </w:r>
      <w:proofErr w:type="spellStart"/>
      <w:r w:rsidR="00886914">
        <w:t>i&amp;t</w:t>
      </w:r>
      <w:proofErr w:type="spellEnd"/>
      <w:r>
        <w:t xml:space="preserve"> and between 0</w:t>
      </w:r>
      <w:r>
        <w:rPr>
          <w:rFonts w:cstheme="minorHAnsi"/>
        </w:rPr>
        <w:t>–</w:t>
      </w:r>
      <w:r>
        <w:t xml:space="preserve">12.9% for patients treated with </w:t>
      </w:r>
      <w:r w:rsidRPr="00340CFA">
        <w:rPr>
          <w:vertAlign w:val="superscript"/>
        </w:rPr>
        <w:t>177</w:t>
      </w:r>
      <w:r w:rsidR="009F7816">
        <w:t>Lu PSMA</w:t>
      </w:r>
      <w:r>
        <w:t>-617. The incidence of Grade 3</w:t>
      </w:r>
      <w:r>
        <w:rPr>
          <w:rFonts w:cstheme="minorHAnsi"/>
        </w:rPr>
        <w:t>–</w:t>
      </w:r>
      <w:r>
        <w:t>4 thrombocytopenia was between 1.9</w:t>
      </w:r>
      <w:r>
        <w:rPr>
          <w:rFonts w:cstheme="minorHAnsi"/>
        </w:rPr>
        <w:t>–</w:t>
      </w:r>
      <w:r>
        <w:t xml:space="preserve">3.4% for patients treated with </w:t>
      </w:r>
      <w:r w:rsidRPr="00340CFA">
        <w:rPr>
          <w:vertAlign w:val="superscript"/>
        </w:rPr>
        <w:t>177</w:t>
      </w:r>
      <w:r w:rsidR="009F7816">
        <w:t>Lu </w:t>
      </w:r>
      <w:r w:rsidR="00886914">
        <w:t>PSMA </w:t>
      </w:r>
      <w:proofErr w:type="spellStart"/>
      <w:r w:rsidR="00886914">
        <w:t>i&amp;t</w:t>
      </w:r>
      <w:proofErr w:type="spellEnd"/>
      <w:r>
        <w:t xml:space="preserve"> and between 0</w:t>
      </w:r>
      <w:r>
        <w:rPr>
          <w:rFonts w:cstheme="minorHAnsi"/>
        </w:rPr>
        <w:t>–</w:t>
      </w:r>
      <w:r>
        <w:t xml:space="preserve">11.2% for patients treated with </w:t>
      </w:r>
      <w:r w:rsidRPr="00340CFA">
        <w:rPr>
          <w:vertAlign w:val="superscript"/>
        </w:rPr>
        <w:t>177</w:t>
      </w:r>
      <w:r w:rsidR="009F7816">
        <w:t>Lu PSMA</w:t>
      </w:r>
      <w:r>
        <w:t>-617. Similarly, the incidence of Grade 3</w:t>
      </w:r>
      <w:r>
        <w:rPr>
          <w:rFonts w:cstheme="minorHAnsi"/>
        </w:rPr>
        <w:t>–</w:t>
      </w:r>
      <w:r>
        <w:t xml:space="preserve">4 lymphopenia was 5.7% for patients treated with </w:t>
      </w:r>
      <w:r w:rsidRPr="00340CFA">
        <w:rPr>
          <w:vertAlign w:val="superscript"/>
        </w:rPr>
        <w:t>177</w:t>
      </w:r>
      <w:r w:rsidR="009F7816">
        <w:t>Lu </w:t>
      </w:r>
      <w:r w:rsidR="00886914">
        <w:t>PSMA </w:t>
      </w:r>
      <w:proofErr w:type="spellStart"/>
      <w:r w:rsidR="00886914">
        <w:t>i&amp;t</w:t>
      </w:r>
      <w:proofErr w:type="spellEnd"/>
      <w:r>
        <w:t xml:space="preserve"> and between 0</w:t>
      </w:r>
      <w:r>
        <w:rPr>
          <w:rFonts w:cstheme="minorHAnsi"/>
        </w:rPr>
        <w:t>–</w:t>
      </w:r>
      <w:r>
        <w:t xml:space="preserve">11.2% for patients treated with </w:t>
      </w:r>
      <w:r w:rsidRPr="00340CFA">
        <w:rPr>
          <w:vertAlign w:val="superscript"/>
        </w:rPr>
        <w:t>177</w:t>
      </w:r>
      <w:r w:rsidR="009F7816">
        <w:t>Lu PSMA</w:t>
      </w:r>
      <w:r>
        <w:t>-617.</w:t>
      </w:r>
    </w:p>
    <w:p w14:paraId="3717AA01" w14:textId="4AE8186C" w:rsidR="00772829" w:rsidRDefault="00C36633" w:rsidP="002A18BE">
      <w:pPr>
        <w:pStyle w:val="Heading2"/>
        <w:numPr>
          <w:ilvl w:val="0"/>
          <w:numId w:val="0"/>
        </w:numPr>
      </w:pPr>
      <w:bookmarkStart w:id="23" w:name="_Toc69491424"/>
      <w:r>
        <w:t>1</w:t>
      </w:r>
      <w:r w:rsidR="006669BE">
        <w:t>2</w:t>
      </w:r>
      <w:r>
        <w:t>.</w:t>
      </w:r>
      <w:r>
        <w:tab/>
      </w:r>
      <w:r w:rsidR="00772829" w:rsidRPr="00CE28E3">
        <w:t>Comparative effectiveness</w:t>
      </w:r>
      <w:bookmarkEnd w:id="23"/>
    </w:p>
    <w:p w14:paraId="6E34C113" w14:textId="3EA2167E" w:rsidR="000F104A" w:rsidRDefault="000F104A" w:rsidP="008A0137">
      <w:pPr>
        <w:keepNext/>
        <w:rPr>
          <w:u w:val="single"/>
        </w:rPr>
      </w:pPr>
      <w:r w:rsidRPr="00291FD7">
        <w:rPr>
          <w:u w:val="single"/>
          <w:vertAlign w:val="superscript"/>
        </w:rPr>
        <w:t>177</w:t>
      </w:r>
      <w:r w:rsidR="009F7816">
        <w:rPr>
          <w:u w:val="single"/>
        </w:rPr>
        <w:t>Lu </w:t>
      </w:r>
      <w:r w:rsidR="00886914">
        <w:rPr>
          <w:u w:val="single"/>
        </w:rPr>
        <w:t>PSMA </w:t>
      </w:r>
      <w:proofErr w:type="spellStart"/>
      <w:r w:rsidR="00886914">
        <w:rPr>
          <w:u w:val="single"/>
        </w:rPr>
        <w:t>i&amp;t</w:t>
      </w:r>
      <w:proofErr w:type="spellEnd"/>
      <w:r w:rsidRPr="00291FD7">
        <w:rPr>
          <w:u w:val="single"/>
        </w:rPr>
        <w:t xml:space="preserve"> versus -617</w:t>
      </w:r>
    </w:p>
    <w:p w14:paraId="78DFF0B5" w14:textId="69D25187" w:rsidR="000F104A" w:rsidRDefault="000F104A" w:rsidP="007D3C94">
      <w:pPr>
        <w:keepNext/>
      </w:pPr>
      <w:r>
        <w:t>The ADAR claim</w:t>
      </w:r>
      <w:r w:rsidR="00FF6A6D">
        <w:t>ed that</w:t>
      </w:r>
      <w:r>
        <w:t xml:space="preserve"> </w:t>
      </w:r>
      <w:r w:rsidRPr="00291FD7">
        <w:rPr>
          <w:vertAlign w:val="superscript"/>
        </w:rPr>
        <w:t>177</w:t>
      </w:r>
      <w:r w:rsidR="009F7816">
        <w:t>Lu PSMA</w:t>
      </w:r>
      <w:r>
        <w:t xml:space="preserve">-617 is radio-equivalent (radiation delivery equivalent) to </w:t>
      </w:r>
      <w:r w:rsidRPr="00291FD7">
        <w:rPr>
          <w:vertAlign w:val="superscript"/>
        </w:rPr>
        <w:t>177</w:t>
      </w:r>
      <w:r w:rsidR="009F7816">
        <w:t>Lu </w:t>
      </w:r>
      <w:r w:rsidR="00886914">
        <w:t>PSMA </w:t>
      </w:r>
      <w:proofErr w:type="spellStart"/>
      <w:r w:rsidR="00886914">
        <w:t>i&amp;t</w:t>
      </w:r>
      <w:proofErr w:type="spellEnd"/>
      <w:r w:rsidR="00FF6A6D">
        <w:t xml:space="preserve"> on</w:t>
      </w:r>
      <w:r>
        <w:t xml:space="preserve"> the following</w:t>
      </w:r>
      <w:r w:rsidR="00FF6A6D">
        <w:t xml:space="preserve"> basis</w:t>
      </w:r>
      <w:r>
        <w:t>:</w:t>
      </w:r>
    </w:p>
    <w:p w14:paraId="422244DE" w14:textId="2E639B5F" w:rsidR="000F104A" w:rsidRDefault="000F104A" w:rsidP="008A0137">
      <w:pPr>
        <w:pStyle w:val="ListParagraph"/>
        <w:numPr>
          <w:ilvl w:val="0"/>
          <w:numId w:val="16"/>
        </w:numPr>
        <w:spacing w:before="0" w:after="0" w:line="240" w:lineRule="auto"/>
      </w:pPr>
      <w:r w:rsidRPr="002004CD">
        <w:rPr>
          <w:vertAlign w:val="superscript"/>
        </w:rPr>
        <w:t>177</w:t>
      </w:r>
      <w:r w:rsidR="009F7816">
        <w:t>Lu PSMA</w:t>
      </w:r>
      <w:r>
        <w:t xml:space="preserve">-617 and </w:t>
      </w:r>
      <w:r w:rsidRPr="00291FD7">
        <w:rPr>
          <w:vertAlign w:val="superscript"/>
        </w:rPr>
        <w:t>177</w:t>
      </w:r>
      <w:r w:rsidR="009F7816">
        <w:t>Lu </w:t>
      </w:r>
      <w:r w:rsidR="00886914">
        <w:t>PSMA </w:t>
      </w:r>
      <w:proofErr w:type="spellStart"/>
      <w:r w:rsidR="00886914">
        <w:t>i&amp;t</w:t>
      </w:r>
      <w:proofErr w:type="spellEnd"/>
      <w:r>
        <w:t xml:space="preserve"> have near-identical chemical structures. The difference is in the chemical chelator.</w:t>
      </w:r>
    </w:p>
    <w:p w14:paraId="37B8CEE4" w14:textId="11C75C56" w:rsidR="000F104A" w:rsidRDefault="000F104A" w:rsidP="008A0137">
      <w:pPr>
        <w:pStyle w:val="ListParagraph"/>
        <w:numPr>
          <w:ilvl w:val="0"/>
          <w:numId w:val="16"/>
        </w:numPr>
        <w:spacing w:before="0" w:after="0" w:line="240" w:lineRule="auto"/>
      </w:pPr>
      <w:r>
        <w:t>There is clinical evidence to support that this minor difference has negligible impact on the radiation dose delivered to tumour and non-tumour organs between the two agents.</w:t>
      </w:r>
    </w:p>
    <w:p w14:paraId="29047AFF" w14:textId="13940279" w:rsidR="00E85748" w:rsidRDefault="000F104A" w:rsidP="008A0137">
      <w:pPr>
        <w:pStyle w:val="ListParagraph"/>
        <w:numPr>
          <w:ilvl w:val="0"/>
          <w:numId w:val="16"/>
        </w:numPr>
        <w:spacing w:before="0" w:after="0" w:line="240" w:lineRule="auto"/>
      </w:pPr>
      <w:r>
        <w:t xml:space="preserve">Patient outcomes in terms of </w:t>
      </w:r>
      <w:r w:rsidRPr="005E2FE6">
        <w:t xml:space="preserve">response rates </w:t>
      </w:r>
      <w:r w:rsidRPr="005D0BF1">
        <w:t xml:space="preserve">(see </w:t>
      </w:r>
      <w:r w:rsidRPr="005D0BF1">
        <w:fldChar w:fldCharType="begin"/>
      </w:r>
      <w:r w:rsidRPr="005D0BF1">
        <w:instrText xml:space="preserve"> REF _Ref93411079 \h </w:instrText>
      </w:r>
      <w:r w:rsidR="00041C48" w:rsidRPr="005D0BF1">
        <w:instrText xml:space="preserve"> \* MERGEFORMAT </w:instrText>
      </w:r>
      <w:r w:rsidRPr="005D0BF1">
        <w:fldChar w:fldCharType="separate"/>
      </w:r>
      <w:r w:rsidR="001B6D69" w:rsidRPr="005D0BF1">
        <w:t xml:space="preserve">Table </w:t>
      </w:r>
      <w:r w:rsidR="001B6D69" w:rsidRPr="005D0BF1">
        <w:rPr>
          <w:noProof/>
        </w:rPr>
        <w:t>4</w:t>
      </w:r>
      <w:r w:rsidRPr="005D0BF1">
        <w:fldChar w:fldCharType="end"/>
      </w:r>
      <w:r w:rsidRPr="005D0BF1">
        <w:t>)</w:t>
      </w:r>
      <w:r w:rsidRPr="005E2FE6">
        <w:t xml:space="preserve"> and safety are comparable between the two agents </w:t>
      </w:r>
      <w:r w:rsidRPr="005D0BF1">
        <w:t xml:space="preserve">(see </w:t>
      </w:r>
      <w:r w:rsidR="00041C48" w:rsidRPr="005D0BF1">
        <w:t>above</w:t>
      </w:r>
      <w:r w:rsidRPr="005D0BF1">
        <w:t>)</w:t>
      </w:r>
      <w:r w:rsidRPr="005E2FE6">
        <w:t xml:space="preserve">, demonstrated across multiple clinical settings. </w:t>
      </w:r>
      <w:r w:rsidRPr="005D0BF1">
        <w:t xml:space="preserve">The </w:t>
      </w:r>
      <w:r w:rsidR="009D34DE" w:rsidRPr="005D0BF1">
        <w:t xml:space="preserve">PSA50 </w:t>
      </w:r>
      <w:r w:rsidR="00EF2216" w:rsidRPr="005D0BF1">
        <w:t xml:space="preserve">response rates </w:t>
      </w:r>
      <w:r w:rsidR="00A609D0" w:rsidRPr="005D0BF1">
        <w:t xml:space="preserve">show </w:t>
      </w:r>
      <w:r w:rsidRPr="005D0BF1">
        <w:t xml:space="preserve">no statistically significant differences between the therapies, given all </w:t>
      </w:r>
      <w:r w:rsidR="00041C48" w:rsidRPr="005D0BF1">
        <w:t xml:space="preserve">point estimates for </w:t>
      </w:r>
      <w:r w:rsidR="00041C48" w:rsidRPr="005D0BF1">
        <w:rPr>
          <w:vertAlign w:val="superscript"/>
        </w:rPr>
        <w:t>177</w:t>
      </w:r>
      <w:r w:rsidR="009F7816">
        <w:t>Lu </w:t>
      </w:r>
      <w:r w:rsidR="00886914">
        <w:t>PSMA </w:t>
      </w:r>
      <w:proofErr w:type="spellStart"/>
      <w:r w:rsidR="00886914">
        <w:t>i&amp;t</w:t>
      </w:r>
      <w:proofErr w:type="spellEnd"/>
      <w:r w:rsidR="00041C48" w:rsidRPr="005D0BF1">
        <w:t xml:space="preserve"> lie within the </w:t>
      </w:r>
      <w:r w:rsidRPr="005D0BF1">
        <w:t>95% CIs</w:t>
      </w:r>
      <w:r w:rsidRPr="005E2FE6">
        <w:t xml:space="preserve"> </w:t>
      </w:r>
      <w:r w:rsidR="00041C48" w:rsidRPr="005D0BF1">
        <w:t xml:space="preserve">of at least one estimate for </w:t>
      </w:r>
      <w:r w:rsidR="00041C48" w:rsidRPr="005D0BF1">
        <w:rPr>
          <w:vertAlign w:val="superscript"/>
        </w:rPr>
        <w:t>177</w:t>
      </w:r>
      <w:r w:rsidR="009F7816">
        <w:t>Lu PSMA</w:t>
      </w:r>
      <w:r w:rsidR="00041C48" w:rsidRPr="005D0BF1">
        <w:t>-617</w:t>
      </w:r>
      <w:r w:rsidR="00EF2216" w:rsidRPr="005D0BF1">
        <w:t xml:space="preserve"> (although just for </w:t>
      </w:r>
      <w:proofErr w:type="spellStart"/>
      <w:r w:rsidR="00EF2216" w:rsidRPr="005D0BF1">
        <w:t>GenesisCare</w:t>
      </w:r>
      <w:proofErr w:type="spellEnd"/>
      <w:r w:rsidR="00EF2216" w:rsidRPr="005D0BF1">
        <w:t xml:space="preserve"> and </w:t>
      </w:r>
      <w:r w:rsidR="005D0BF1">
        <w:t xml:space="preserve">the </w:t>
      </w:r>
      <w:r w:rsidR="00EF2216" w:rsidRPr="005D0BF1">
        <w:t xml:space="preserve">Peter MacCallum Cancer Centre (PMCC) compared with </w:t>
      </w:r>
      <w:proofErr w:type="spellStart"/>
      <w:r w:rsidR="00EF2216" w:rsidRPr="005D0BF1">
        <w:t>TheraP</w:t>
      </w:r>
      <w:proofErr w:type="spellEnd"/>
      <w:r w:rsidR="00EF2216" w:rsidRPr="005D0BF1">
        <w:t>) and vice versa.</w:t>
      </w:r>
    </w:p>
    <w:p w14:paraId="58673F44" w14:textId="2EE0017E" w:rsidR="000F104A" w:rsidRDefault="000F104A" w:rsidP="000F104A">
      <w:pPr>
        <w:pStyle w:val="Caption"/>
      </w:pPr>
      <w:bookmarkStart w:id="24" w:name="_Ref93411079"/>
      <w:r>
        <w:lastRenderedPageBreak/>
        <w:t xml:space="preserve">Table </w:t>
      </w:r>
      <w:r w:rsidR="008440F9">
        <w:fldChar w:fldCharType="begin"/>
      </w:r>
      <w:r w:rsidR="008440F9">
        <w:instrText xml:space="preserve"> SEQ Table \* ARABIC </w:instrText>
      </w:r>
      <w:r w:rsidR="008440F9">
        <w:fldChar w:fldCharType="separate"/>
      </w:r>
      <w:r w:rsidR="00364E19">
        <w:rPr>
          <w:noProof/>
        </w:rPr>
        <w:t>4</w:t>
      </w:r>
      <w:r w:rsidR="008440F9">
        <w:rPr>
          <w:noProof/>
        </w:rPr>
        <w:fldChar w:fldCharType="end"/>
      </w:r>
      <w:bookmarkEnd w:id="24"/>
      <w:r>
        <w:tab/>
        <w:t>Comparison of response rates</w:t>
      </w:r>
      <w:r w:rsidR="00041C48">
        <w:t xml:space="preserve">, </w:t>
      </w:r>
      <w:r w:rsidR="00041C48" w:rsidRPr="005D0BF1">
        <w:t>PFS and OS</w:t>
      </w:r>
      <w:r>
        <w:t xml:space="preserve"> between </w:t>
      </w:r>
      <w:r w:rsidRPr="00C16498">
        <w:rPr>
          <w:vertAlign w:val="superscript"/>
        </w:rPr>
        <w:t>177</w:t>
      </w:r>
      <w:r w:rsidR="009F7816">
        <w:t>Lu </w:t>
      </w:r>
      <w:r w:rsidR="00886914">
        <w:t>PSMA </w:t>
      </w:r>
      <w:proofErr w:type="spellStart"/>
      <w:r w:rsidR="00886914">
        <w:t>i&amp;t</w:t>
      </w:r>
      <w:proofErr w:type="spellEnd"/>
      <w:r>
        <w:t xml:space="preserve"> and </w:t>
      </w:r>
      <w:r w:rsidRPr="00C16498">
        <w:rPr>
          <w:vertAlign w:val="superscript"/>
        </w:rPr>
        <w:t>177</w:t>
      </w:r>
      <w:r w:rsidR="009F7816">
        <w:t>Lu PSMA</w:t>
      </w:r>
      <w:r>
        <w:t>-617</w:t>
      </w:r>
    </w:p>
    <w:tbl>
      <w:tblPr>
        <w:tblStyle w:val="AZTable11"/>
        <w:tblW w:w="5112" w:type="pct"/>
        <w:tblLook w:val="04A0" w:firstRow="1" w:lastRow="0" w:firstColumn="1" w:lastColumn="0" w:noHBand="0" w:noVBand="1"/>
      </w:tblPr>
      <w:tblGrid>
        <w:gridCol w:w="2829"/>
        <w:gridCol w:w="1276"/>
        <w:gridCol w:w="1276"/>
        <w:gridCol w:w="1560"/>
        <w:gridCol w:w="1134"/>
        <w:gridCol w:w="1136"/>
        <w:gridCol w:w="7"/>
      </w:tblGrid>
      <w:tr w:rsidR="005D0BF1" w:rsidRPr="005D0BF1" w14:paraId="7070FB80" w14:textId="77777777" w:rsidTr="005D0BF1">
        <w:trPr>
          <w:cnfStyle w:val="100000000000" w:firstRow="1" w:lastRow="0" w:firstColumn="0" w:lastColumn="0" w:oddVBand="0" w:evenVBand="0" w:oddHBand="0" w:evenHBand="0" w:firstRowFirstColumn="0" w:firstRowLastColumn="0" w:lastRowFirstColumn="0" w:lastRowLastColumn="0"/>
        </w:trPr>
        <w:tc>
          <w:tcPr>
            <w:tcW w:w="1534" w:type="pct"/>
            <w:tcBorders>
              <w:top w:val="single" w:sz="4" w:space="0" w:color="auto"/>
              <w:left w:val="single" w:sz="4" w:space="0" w:color="auto"/>
              <w:bottom w:val="nil"/>
              <w:right w:val="single" w:sz="4" w:space="0" w:color="auto"/>
            </w:tcBorders>
          </w:tcPr>
          <w:p w14:paraId="77DA51E6" w14:textId="77777777" w:rsidR="005D0BF1" w:rsidRPr="005D0BF1" w:rsidRDefault="005D0BF1" w:rsidP="00783B61">
            <w:pPr>
              <w:pStyle w:val="Tabletext0"/>
              <w:keepNext/>
            </w:pPr>
          </w:p>
        </w:tc>
        <w:tc>
          <w:tcPr>
            <w:tcW w:w="2230" w:type="pct"/>
            <w:gridSpan w:val="3"/>
            <w:tcBorders>
              <w:top w:val="single" w:sz="4" w:space="0" w:color="auto"/>
              <w:left w:val="single" w:sz="4" w:space="0" w:color="auto"/>
              <w:bottom w:val="single" w:sz="4" w:space="0" w:color="auto"/>
              <w:right w:val="single" w:sz="4" w:space="0" w:color="auto"/>
            </w:tcBorders>
            <w:hideMark/>
          </w:tcPr>
          <w:p w14:paraId="44726166" w14:textId="18199B93" w:rsidR="005D0BF1" w:rsidRPr="005D0BF1" w:rsidRDefault="005D0BF1" w:rsidP="00783B61">
            <w:pPr>
              <w:pStyle w:val="Tabletext0"/>
              <w:keepNext/>
              <w:jc w:val="center"/>
            </w:pPr>
            <w:r w:rsidRPr="005D0BF1">
              <w:rPr>
                <w:b/>
                <w:bCs/>
                <w:vertAlign w:val="superscript"/>
              </w:rPr>
              <w:t>177</w:t>
            </w:r>
            <w:r w:rsidR="009F7816">
              <w:rPr>
                <w:b/>
                <w:bCs/>
              </w:rPr>
              <w:t>Lu </w:t>
            </w:r>
            <w:r w:rsidR="00886914">
              <w:rPr>
                <w:b/>
                <w:bCs/>
              </w:rPr>
              <w:t>PSMA </w:t>
            </w:r>
            <w:proofErr w:type="spellStart"/>
            <w:r w:rsidR="00886914">
              <w:rPr>
                <w:b/>
                <w:bCs/>
              </w:rPr>
              <w:t>i&amp;t</w:t>
            </w:r>
            <w:proofErr w:type="spellEnd"/>
          </w:p>
        </w:tc>
        <w:tc>
          <w:tcPr>
            <w:tcW w:w="1235" w:type="pct"/>
            <w:gridSpan w:val="3"/>
            <w:tcBorders>
              <w:top w:val="single" w:sz="4" w:space="0" w:color="auto"/>
              <w:left w:val="single" w:sz="4" w:space="0" w:color="auto"/>
              <w:bottom w:val="single" w:sz="4" w:space="0" w:color="auto"/>
              <w:right w:val="single" w:sz="4" w:space="0" w:color="auto"/>
            </w:tcBorders>
            <w:hideMark/>
          </w:tcPr>
          <w:p w14:paraId="2D21456C" w14:textId="28FE4C97" w:rsidR="005D0BF1" w:rsidRPr="005D0BF1" w:rsidRDefault="005D0BF1" w:rsidP="00783B61">
            <w:pPr>
              <w:pStyle w:val="Tabletext0"/>
              <w:keepNext/>
              <w:jc w:val="center"/>
            </w:pPr>
            <w:r w:rsidRPr="005D0BF1">
              <w:rPr>
                <w:b/>
                <w:bCs/>
                <w:vertAlign w:val="superscript"/>
              </w:rPr>
              <w:t>177</w:t>
            </w:r>
            <w:r w:rsidR="009F7816">
              <w:rPr>
                <w:b/>
                <w:bCs/>
              </w:rPr>
              <w:t>Lu PSMA</w:t>
            </w:r>
            <w:r w:rsidRPr="005D0BF1">
              <w:rPr>
                <w:b/>
                <w:bCs/>
              </w:rPr>
              <w:t>-617</w:t>
            </w:r>
          </w:p>
        </w:tc>
      </w:tr>
      <w:tr w:rsidR="005D0BF1" w:rsidRPr="005D0BF1" w14:paraId="25DFC3F2" w14:textId="77777777" w:rsidTr="005D0BF1">
        <w:trPr>
          <w:gridAfter w:val="1"/>
          <w:wAfter w:w="4" w:type="pct"/>
        </w:trPr>
        <w:tc>
          <w:tcPr>
            <w:tcW w:w="1534" w:type="pct"/>
            <w:tcBorders>
              <w:top w:val="nil"/>
              <w:left w:val="single" w:sz="4" w:space="0" w:color="auto"/>
              <w:bottom w:val="single" w:sz="4" w:space="0" w:color="auto"/>
              <w:right w:val="single" w:sz="4" w:space="0" w:color="auto"/>
            </w:tcBorders>
          </w:tcPr>
          <w:p w14:paraId="396D5157" w14:textId="77777777" w:rsidR="00A01EAB" w:rsidRPr="005D0BF1" w:rsidRDefault="00A01EAB" w:rsidP="00783B61">
            <w:pPr>
              <w:pStyle w:val="Tabletext0"/>
              <w:keepNext/>
            </w:pPr>
          </w:p>
        </w:tc>
        <w:tc>
          <w:tcPr>
            <w:tcW w:w="692" w:type="pct"/>
            <w:tcBorders>
              <w:top w:val="single" w:sz="4" w:space="0" w:color="auto"/>
              <w:left w:val="single" w:sz="4" w:space="0" w:color="auto"/>
              <w:bottom w:val="single" w:sz="4" w:space="0" w:color="auto"/>
              <w:right w:val="single" w:sz="4" w:space="0" w:color="auto"/>
            </w:tcBorders>
            <w:vAlign w:val="center"/>
            <w:hideMark/>
          </w:tcPr>
          <w:p w14:paraId="31D6498D" w14:textId="77777777" w:rsidR="00A01EAB" w:rsidRDefault="00A01EAB" w:rsidP="00783B61">
            <w:pPr>
              <w:pStyle w:val="Tabletext0"/>
              <w:keepNext/>
              <w:jc w:val="center"/>
              <w:rPr>
                <w:b/>
                <w:bCs/>
              </w:rPr>
            </w:pPr>
            <w:proofErr w:type="spellStart"/>
            <w:r>
              <w:rPr>
                <w:b/>
                <w:bCs/>
              </w:rPr>
              <w:t>GenesisCare</w:t>
            </w:r>
            <w:proofErr w:type="spellEnd"/>
          </w:p>
          <w:p w14:paraId="04D082FD" w14:textId="77777777" w:rsidR="00A01EAB" w:rsidRDefault="00A01EAB" w:rsidP="00783B61">
            <w:pPr>
              <w:pStyle w:val="Tabletext0"/>
              <w:keepNext/>
              <w:jc w:val="center"/>
            </w:pPr>
            <w:r>
              <w:fldChar w:fldCharType="begin"/>
            </w:r>
            <w:r>
              <w:instrText xml:space="preserve"> ADDIN EN.CITE &lt;EndNote&gt;&lt;Cite AuthorYear="1"&gt;&lt;Author&gt;Meyrick&lt;/Author&gt;&lt;Year&gt;2021&lt;/Year&gt;&lt;RecNum&gt;25&lt;/RecNum&gt;&lt;DisplayText&gt;Meyrick et al. (2021)&lt;/DisplayText&gt;&lt;record&gt;&lt;rec-number&gt;25&lt;/rec-number&gt;&lt;foreign-keys&gt;&lt;key app="EN" db-id="fpzesst98x95suetv2hxppzt995wtxas9fet" timestamp="1642050432"&gt;25&lt;/key&gt;&lt;/foreign-keys&gt;&lt;ref-type name="Journal Article"&gt;17&lt;/ref-type&gt;&lt;contributors&gt;&lt;authors&gt;&lt;author&gt;Meyrick, D.&lt;/author&gt;&lt;author&gt;Gallyamov, M.&lt;/author&gt;&lt;author&gt;Sabarimurugan, S.&lt;/author&gt;&lt;author&gt;Falzone, N.&lt;/author&gt;&lt;author&gt;Lenzo, N.&lt;/author&gt;&lt;/authors&gt;&lt;/contributors&gt;&lt;auth-address&gt;GenesisCare (Theranostics), East Fremantle, WA, Australia. Danielle.Meyrick@genesiscare.com.&amp;#xD;GenesisCare (Theranostics), East Fremantle, WA, Australia.&amp;#xD;Faculty of Health and Medical Sciences, Notre Dame University, Fremantle, WA, Australia.&lt;/auth-address&gt;&lt;titles&gt;&lt;title&gt;Real-World Data Analysis of Efficacy and Survival After Lutetium-177 Labelled PSMA Ligand Therapy in Metastatic Castration-Resistant Prostate Cancer&lt;/title&gt;&lt;secondary-title&gt;Target Oncol&lt;/secondary-title&gt;&lt;/titles&gt;&lt;periodical&gt;&lt;full-title&gt;Target Oncol&lt;/full-title&gt;&lt;/periodical&gt;&lt;pages&gt;369-380&lt;/pages&gt;&lt;volume&gt;16&lt;/volume&gt;&lt;number&gt;3&lt;/number&gt;&lt;edition&gt;2021/03/10&lt;/edition&gt;&lt;keywords&gt;&lt;keyword&gt;Aged&lt;/keyword&gt;&lt;keyword&gt;Cohort Studies&lt;/keyword&gt;&lt;keyword&gt;Data Analysis&lt;/keyword&gt;&lt;keyword&gt;Humans&lt;/keyword&gt;&lt;keyword&gt;Ligands&lt;/keyword&gt;&lt;keyword&gt;Lutetium/pharmacology/*therapeutic use&lt;/keyword&gt;&lt;keyword&gt;Male&lt;/keyword&gt;&lt;keyword&gt;Neoplasm Metastasis&lt;/keyword&gt;&lt;keyword&gt;Prostatic Neoplasms, Castration-Resistant/*drug therapy/pathology&lt;/keyword&gt;&lt;keyword&gt;Radioisotopes/pharmacology/*therapeutic use&lt;/keyword&gt;&lt;keyword&gt;Retrospective Studies&lt;/keyword&gt;&lt;keyword&gt;Treatment Outcome&lt;/keyword&gt;&lt;/keywords&gt;&lt;dates&gt;&lt;year&gt;2021&lt;/year&gt;&lt;pub-dates&gt;&lt;date&gt;May&lt;/date&gt;&lt;/pub-dates&gt;&lt;/dates&gt;&lt;isbn&gt;1776-2596&lt;/isbn&gt;&lt;accession-num&gt;33687624&lt;/accession-num&gt;&lt;urls&gt;&lt;/urls&gt;&lt;electronic-resource-num&gt;10.1007/s11523-021-00801-w&lt;/electronic-resource-num&gt;&lt;remote-database-provider&gt;NLM&lt;/remote-database-provider&gt;&lt;language&gt;eng&lt;/language&gt;&lt;/record&gt;&lt;/Cite&gt;&lt;/EndNote&gt;</w:instrText>
            </w:r>
            <w:r>
              <w:fldChar w:fldCharType="separate"/>
            </w:r>
            <w:r>
              <w:rPr>
                <w:noProof/>
              </w:rPr>
              <w:t>Meyrick et al. (2021)</w:t>
            </w:r>
            <w:r>
              <w:fldChar w:fldCharType="end"/>
            </w:r>
          </w:p>
          <w:p w14:paraId="4E3DD271" w14:textId="77777777" w:rsidR="00A01EAB" w:rsidRDefault="00A01EAB" w:rsidP="00783B61">
            <w:pPr>
              <w:pStyle w:val="Tabletext0"/>
              <w:keepNext/>
              <w:jc w:val="center"/>
            </w:pPr>
            <w:r>
              <w:t>N=191</w:t>
            </w:r>
          </w:p>
        </w:tc>
        <w:tc>
          <w:tcPr>
            <w:tcW w:w="692" w:type="pct"/>
            <w:tcBorders>
              <w:top w:val="single" w:sz="4" w:space="0" w:color="auto"/>
              <w:left w:val="single" w:sz="4" w:space="0" w:color="auto"/>
              <w:bottom w:val="single" w:sz="4" w:space="0" w:color="auto"/>
              <w:right w:val="single" w:sz="4" w:space="0" w:color="auto"/>
            </w:tcBorders>
            <w:vAlign w:val="center"/>
            <w:hideMark/>
          </w:tcPr>
          <w:p w14:paraId="34BF0B2C" w14:textId="77777777" w:rsidR="00A01EAB" w:rsidRDefault="00A01EAB" w:rsidP="00783B61">
            <w:pPr>
              <w:pStyle w:val="Tabletext0"/>
              <w:keepNext/>
              <w:jc w:val="center"/>
              <w:rPr>
                <w:b/>
                <w:bCs/>
              </w:rPr>
            </w:pPr>
            <w:r>
              <w:rPr>
                <w:b/>
                <w:bCs/>
              </w:rPr>
              <w:t>St. Vincent’s Hospital</w:t>
            </w:r>
          </w:p>
          <w:p w14:paraId="201C73D3" w14:textId="77777777" w:rsidR="00A01EAB" w:rsidRDefault="00A01EAB" w:rsidP="00783B61">
            <w:pPr>
              <w:pStyle w:val="Tabletext0"/>
              <w:keepNext/>
              <w:jc w:val="center"/>
            </w:pPr>
            <w:r>
              <w:t>Internal registry data</w:t>
            </w:r>
          </w:p>
          <w:p w14:paraId="7E941B26" w14:textId="77777777" w:rsidR="00A01EAB" w:rsidRDefault="00A01EAB" w:rsidP="00783B61">
            <w:pPr>
              <w:pStyle w:val="Tabletext0"/>
              <w:keepNext/>
              <w:jc w:val="center"/>
            </w:pPr>
            <w:r>
              <w:t>N=103</w:t>
            </w:r>
          </w:p>
        </w:tc>
        <w:tc>
          <w:tcPr>
            <w:tcW w:w="846" w:type="pct"/>
            <w:tcBorders>
              <w:top w:val="single" w:sz="4" w:space="0" w:color="auto"/>
              <w:left w:val="single" w:sz="4" w:space="0" w:color="auto"/>
              <w:bottom w:val="single" w:sz="4" w:space="0" w:color="auto"/>
              <w:right w:val="single" w:sz="4" w:space="0" w:color="auto"/>
            </w:tcBorders>
            <w:vAlign w:val="center"/>
            <w:hideMark/>
          </w:tcPr>
          <w:p w14:paraId="12E2752C" w14:textId="77777777" w:rsidR="00A01EAB" w:rsidRPr="005D0BF1" w:rsidRDefault="00A01EAB" w:rsidP="00783B61">
            <w:pPr>
              <w:pStyle w:val="Tabletext0"/>
              <w:keepNext/>
              <w:jc w:val="center"/>
              <w:rPr>
                <w:b/>
                <w:bCs/>
              </w:rPr>
            </w:pPr>
            <w:r w:rsidRPr="005D0BF1">
              <w:rPr>
                <w:b/>
                <w:bCs/>
              </w:rPr>
              <w:t>Peter MacCallum Cancer Centre</w:t>
            </w:r>
          </w:p>
          <w:p w14:paraId="14B5CFE9" w14:textId="77777777" w:rsidR="00A01EAB" w:rsidRPr="005D0BF1" w:rsidRDefault="00A01EAB" w:rsidP="00783B61">
            <w:pPr>
              <w:pStyle w:val="Tabletext0"/>
              <w:keepNext/>
              <w:jc w:val="center"/>
            </w:pPr>
            <w:r w:rsidRPr="005D0BF1">
              <w:t>Internal registry data</w:t>
            </w:r>
          </w:p>
          <w:p w14:paraId="1DF5D698" w14:textId="77777777" w:rsidR="00A01EAB" w:rsidRPr="005D0BF1" w:rsidRDefault="00A01EAB" w:rsidP="00783B61">
            <w:pPr>
              <w:pStyle w:val="Tabletext0"/>
              <w:keepNext/>
              <w:jc w:val="center"/>
              <w:rPr>
                <w:vertAlign w:val="superscript"/>
              </w:rPr>
            </w:pPr>
            <w:r w:rsidRPr="005D0BF1">
              <w:t xml:space="preserve">N=45 </w:t>
            </w:r>
            <w:r w:rsidRPr="005D0BF1">
              <w:rPr>
                <w:vertAlign w:val="superscript"/>
              </w:rPr>
              <w:t>d</w:t>
            </w:r>
          </w:p>
        </w:tc>
        <w:tc>
          <w:tcPr>
            <w:tcW w:w="615" w:type="pct"/>
            <w:tcBorders>
              <w:top w:val="single" w:sz="4" w:space="0" w:color="auto"/>
              <w:left w:val="single" w:sz="4" w:space="0" w:color="auto"/>
              <w:bottom w:val="single" w:sz="4" w:space="0" w:color="auto"/>
              <w:right w:val="single" w:sz="4" w:space="0" w:color="auto"/>
            </w:tcBorders>
            <w:vAlign w:val="center"/>
            <w:hideMark/>
          </w:tcPr>
          <w:p w14:paraId="7B363A7D" w14:textId="77777777" w:rsidR="00A01EAB" w:rsidRPr="005D0BF1" w:rsidRDefault="00A01EAB" w:rsidP="00783B61">
            <w:pPr>
              <w:pStyle w:val="Tabletext0"/>
              <w:keepNext/>
              <w:jc w:val="center"/>
              <w:rPr>
                <w:b/>
                <w:bCs/>
              </w:rPr>
            </w:pPr>
            <w:proofErr w:type="spellStart"/>
            <w:r w:rsidRPr="005D0BF1">
              <w:rPr>
                <w:b/>
                <w:bCs/>
              </w:rPr>
              <w:t>TheraP</w:t>
            </w:r>
            <w:proofErr w:type="spellEnd"/>
          </w:p>
          <w:p w14:paraId="6A6ED33B" w14:textId="77777777" w:rsidR="00A01EAB" w:rsidRPr="005D0BF1" w:rsidRDefault="00A01EAB" w:rsidP="00783B61">
            <w:pPr>
              <w:pStyle w:val="Tabletext0"/>
              <w:keepNext/>
              <w:jc w:val="center"/>
            </w:pPr>
            <w:r w:rsidRPr="005D0BF1">
              <w:fldChar w:fldCharType="begin">
                <w:fldData xml:space="preserve">PEVuZE5vdGU+PENpdGUgQXV0aG9yWWVhcj0iMSI+PEF1dGhvcj5Ib2ZtYW48L0F1dGhvcj48WWVh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</w:fldData>
              </w:fldChar>
            </w:r>
            <w:r w:rsidRPr="005D0BF1">
              <w:instrText xml:space="preserve"> ADDIN EN.CITE </w:instrText>
            </w:r>
            <w:r w:rsidRPr="005D0BF1">
              <w:fldChar w:fldCharType="begin">
                <w:fldData xml:space="preserve">PEVuZE5vdGU+PENpdGUgQXV0aG9yWWVhcj0iMSI+PEF1dGhvcj5Ib2ZtYW48L0F1dGhvcj48WWVh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</w:fldData>
              </w:fldChar>
            </w:r>
            <w:r w:rsidRPr="005D0BF1">
              <w:instrText xml:space="preserve"> ADDIN EN.CITE.DATA </w:instrText>
            </w:r>
            <w:r w:rsidRPr="005D0BF1">
              <w:fldChar w:fldCharType="end"/>
            </w:r>
            <w:r w:rsidRPr="005D0BF1">
              <w:fldChar w:fldCharType="separate"/>
            </w:r>
            <w:r w:rsidRPr="005D0BF1">
              <w:rPr>
                <w:noProof/>
              </w:rPr>
              <w:t>Hofman et al. (2021)</w:t>
            </w:r>
            <w:r w:rsidRPr="005D0BF1">
              <w:fldChar w:fldCharType="end"/>
            </w:r>
          </w:p>
          <w:p w14:paraId="38AA6828" w14:textId="77777777" w:rsidR="00A01EAB" w:rsidRPr="005D0BF1" w:rsidRDefault="00A01EAB" w:rsidP="00783B61">
            <w:pPr>
              <w:pStyle w:val="Tabletext0"/>
              <w:keepNext/>
              <w:jc w:val="center"/>
            </w:pPr>
            <w:r w:rsidRPr="005D0BF1">
              <w:t>N=99</w:t>
            </w:r>
          </w:p>
        </w:tc>
        <w:tc>
          <w:tcPr>
            <w:tcW w:w="616" w:type="pct"/>
            <w:tcBorders>
              <w:top w:val="single" w:sz="4" w:space="0" w:color="auto"/>
              <w:left w:val="single" w:sz="4" w:space="0" w:color="auto"/>
              <w:bottom w:val="single" w:sz="4" w:space="0" w:color="auto"/>
              <w:right w:val="single" w:sz="4" w:space="0" w:color="auto"/>
            </w:tcBorders>
            <w:vAlign w:val="center"/>
            <w:hideMark/>
          </w:tcPr>
          <w:p w14:paraId="7C6AABAE" w14:textId="77777777" w:rsidR="00A01EAB" w:rsidRPr="005D0BF1" w:rsidRDefault="00A01EAB" w:rsidP="00783B61">
            <w:pPr>
              <w:pStyle w:val="Tabletext0"/>
              <w:keepNext/>
              <w:jc w:val="center"/>
              <w:rPr>
                <w:b/>
                <w:bCs/>
              </w:rPr>
            </w:pPr>
            <w:r w:rsidRPr="005D0BF1">
              <w:rPr>
                <w:b/>
                <w:bCs/>
              </w:rPr>
              <w:t>VISION</w:t>
            </w:r>
          </w:p>
          <w:p w14:paraId="23493AA8" w14:textId="77777777" w:rsidR="00A01EAB" w:rsidRPr="005D0BF1" w:rsidRDefault="00A01EAB" w:rsidP="00783B61">
            <w:pPr>
              <w:pStyle w:val="Tabletext0"/>
              <w:keepNext/>
              <w:jc w:val="center"/>
            </w:pPr>
            <w:r w:rsidRPr="005D0BF1">
              <w:fldChar w:fldCharType="begin">
                <w:fldData xml:space="preserve">PEVuZE5vdGU+PENpdGUgQXV0aG9yWWVhcj0iMSI+PEF1dGhvcj5TYXJ0b3I8L0F1dGhvcj48WWVh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==
</w:fldData>
              </w:fldChar>
            </w:r>
            <w:r w:rsidRPr="005D0BF1">
              <w:instrText xml:space="preserve"> ADDIN EN.CITE </w:instrText>
            </w:r>
            <w:r w:rsidRPr="005D0BF1">
              <w:fldChar w:fldCharType="begin">
                <w:fldData xml:space="preserve">PEVuZE5vdGU+PENpdGUgQXV0aG9yWWVhcj0iMSI+PEF1dGhvcj5TYXJ0b3I8L0F1dGhvcj48WWVh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==
</w:fldData>
              </w:fldChar>
            </w:r>
            <w:r w:rsidRPr="005D0BF1">
              <w:instrText xml:space="preserve"> ADDIN EN.CITE.DATA </w:instrText>
            </w:r>
            <w:r w:rsidRPr="005D0BF1">
              <w:fldChar w:fldCharType="end"/>
            </w:r>
            <w:r w:rsidRPr="005D0BF1">
              <w:fldChar w:fldCharType="separate"/>
            </w:r>
            <w:r w:rsidRPr="005D0BF1">
              <w:rPr>
                <w:noProof/>
              </w:rPr>
              <w:t>Sartor et al. (2021)</w:t>
            </w:r>
            <w:r w:rsidRPr="005D0BF1">
              <w:fldChar w:fldCharType="end"/>
            </w:r>
          </w:p>
          <w:p w14:paraId="4B5C1007" w14:textId="77777777" w:rsidR="00A01EAB" w:rsidRPr="005D0BF1" w:rsidRDefault="00A01EAB" w:rsidP="00783B61">
            <w:pPr>
              <w:pStyle w:val="Tabletext0"/>
              <w:keepNext/>
              <w:jc w:val="center"/>
            </w:pPr>
            <w:r w:rsidRPr="005D0BF1">
              <w:t>N=551</w:t>
            </w:r>
          </w:p>
        </w:tc>
      </w:tr>
      <w:tr w:rsidR="005D0BF1" w:rsidRPr="005D0BF1" w14:paraId="38AE16B1" w14:textId="77777777" w:rsidTr="005D0BF1">
        <w:trPr>
          <w:gridAfter w:val="1"/>
          <w:wAfter w:w="4" w:type="pct"/>
        </w:trPr>
        <w:tc>
          <w:tcPr>
            <w:tcW w:w="1534" w:type="pct"/>
            <w:tcBorders>
              <w:top w:val="single" w:sz="4" w:space="0" w:color="auto"/>
              <w:left w:val="single" w:sz="4" w:space="0" w:color="auto"/>
              <w:bottom w:val="single" w:sz="4" w:space="0" w:color="auto"/>
              <w:right w:val="single" w:sz="4" w:space="0" w:color="auto"/>
            </w:tcBorders>
            <w:vAlign w:val="center"/>
            <w:hideMark/>
          </w:tcPr>
          <w:p w14:paraId="6FA60B5A" w14:textId="3601C385" w:rsidR="00A01EAB" w:rsidRPr="005D0BF1" w:rsidRDefault="00A01EAB" w:rsidP="00783B61">
            <w:pPr>
              <w:pStyle w:val="Tabletext0"/>
              <w:keepNext/>
            </w:pPr>
            <w:r w:rsidRPr="005D0BF1">
              <w:t xml:space="preserve">Median </w:t>
            </w:r>
            <w:r w:rsidR="005D0BF1" w:rsidRPr="005D0BF1">
              <w:t xml:space="preserve">cycles per patient </w:t>
            </w:r>
            <w:r w:rsidRPr="005D0BF1">
              <w:t>(range)</w:t>
            </w:r>
            <w:r w:rsidR="005D0BF1" w:rsidRPr="005D0BF1">
              <w:rPr>
                <w:vertAlign w:val="superscript"/>
              </w:rPr>
              <w:t xml:space="preserve"> a</w:t>
            </w:r>
          </w:p>
        </w:tc>
        <w:tc>
          <w:tcPr>
            <w:tcW w:w="692" w:type="pct"/>
            <w:tcBorders>
              <w:top w:val="single" w:sz="4" w:space="0" w:color="auto"/>
              <w:left w:val="single" w:sz="4" w:space="0" w:color="auto"/>
              <w:bottom w:val="single" w:sz="4" w:space="0" w:color="auto"/>
              <w:right w:val="single" w:sz="4" w:space="0" w:color="auto"/>
            </w:tcBorders>
            <w:vAlign w:val="center"/>
            <w:hideMark/>
          </w:tcPr>
          <w:p w14:paraId="500E8065" w14:textId="77777777" w:rsidR="00A01EAB" w:rsidRDefault="00A01EAB" w:rsidP="00783B61">
            <w:pPr>
              <w:pStyle w:val="Tabletext0"/>
              <w:keepNext/>
              <w:jc w:val="center"/>
            </w:pPr>
            <w:r>
              <w:t>NR</w:t>
            </w:r>
          </w:p>
        </w:tc>
        <w:tc>
          <w:tcPr>
            <w:tcW w:w="692" w:type="pct"/>
            <w:tcBorders>
              <w:top w:val="single" w:sz="4" w:space="0" w:color="auto"/>
              <w:left w:val="single" w:sz="4" w:space="0" w:color="auto"/>
              <w:bottom w:val="single" w:sz="4" w:space="0" w:color="auto"/>
              <w:right w:val="single" w:sz="4" w:space="0" w:color="auto"/>
            </w:tcBorders>
            <w:vAlign w:val="center"/>
            <w:hideMark/>
          </w:tcPr>
          <w:p w14:paraId="5760708A" w14:textId="77777777" w:rsidR="00A01EAB" w:rsidRDefault="00A01EAB" w:rsidP="00783B61">
            <w:pPr>
              <w:pStyle w:val="Tabletext0"/>
              <w:keepNext/>
              <w:jc w:val="center"/>
            </w:pPr>
            <w:r>
              <w:t>3.0 (2–4)</w:t>
            </w:r>
          </w:p>
        </w:tc>
        <w:tc>
          <w:tcPr>
            <w:tcW w:w="846" w:type="pct"/>
            <w:tcBorders>
              <w:top w:val="single" w:sz="4" w:space="0" w:color="auto"/>
              <w:left w:val="single" w:sz="4" w:space="0" w:color="auto"/>
              <w:bottom w:val="single" w:sz="4" w:space="0" w:color="auto"/>
              <w:right w:val="single" w:sz="4" w:space="0" w:color="auto"/>
            </w:tcBorders>
            <w:vAlign w:val="center"/>
            <w:hideMark/>
          </w:tcPr>
          <w:p w14:paraId="29CA53C6" w14:textId="77777777" w:rsidR="00A01EAB" w:rsidRPr="005D0BF1" w:rsidRDefault="00A01EAB" w:rsidP="00783B61">
            <w:pPr>
              <w:pStyle w:val="Tabletext0"/>
              <w:keepNext/>
              <w:jc w:val="center"/>
            </w:pPr>
            <w:r w:rsidRPr="005D0BF1">
              <w:t>3.0 (3–5)</w:t>
            </w:r>
          </w:p>
        </w:tc>
        <w:tc>
          <w:tcPr>
            <w:tcW w:w="615" w:type="pct"/>
            <w:tcBorders>
              <w:top w:val="single" w:sz="4" w:space="0" w:color="auto"/>
              <w:left w:val="single" w:sz="4" w:space="0" w:color="auto"/>
              <w:bottom w:val="single" w:sz="4" w:space="0" w:color="auto"/>
              <w:right w:val="single" w:sz="4" w:space="0" w:color="auto"/>
            </w:tcBorders>
            <w:vAlign w:val="center"/>
            <w:hideMark/>
          </w:tcPr>
          <w:p w14:paraId="51FC8D26" w14:textId="77777777" w:rsidR="00A01EAB" w:rsidRPr="005D0BF1" w:rsidRDefault="00A01EAB" w:rsidP="00783B61">
            <w:pPr>
              <w:pStyle w:val="Tabletext0"/>
              <w:keepNext/>
              <w:jc w:val="center"/>
            </w:pPr>
            <w:r w:rsidRPr="005D0BF1">
              <w:t xml:space="preserve">5.0 (3–6) </w:t>
            </w:r>
            <w:r w:rsidRPr="005D0BF1">
              <w:rPr>
                <w:vertAlign w:val="superscript"/>
              </w:rPr>
              <w:t>b</w:t>
            </w:r>
          </w:p>
        </w:tc>
        <w:tc>
          <w:tcPr>
            <w:tcW w:w="616" w:type="pct"/>
            <w:tcBorders>
              <w:top w:val="single" w:sz="4" w:space="0" w:color="auto"/>
              <w:left w:val="single" w:sz="4" w:space="0" w:color="auto"/>
              <w:bottom w:val="single" w:sz="4" w:space="0" w:color="auto"/>
              <w:right w:val="single" w:sz="4" w:space="0" w:color="auto"/>
            </w:tcBorders>
            <w:vAlign w:val="center"/>
            <w:hideMark/>
          </w:tcPr>
          <w:p w14:paraId="60BFC9D0" w14:textId="77777777" w:rsidR="00A01EAB" w:rsidRPr="005D0BF1" w:rsidRDefault="00A01EAB" w:rsidP="00783B61">
            <w:pPr>
              <w:pStyle w:val="Tabletext0"/>
              <w:keepNext/>
              <w:jc w:val="center"/>
            </w:pPr>
            <w:r w:rsidRPr="005D0BF1">
              <w:t>5.0 (1–6)</w:t>
            </w:r>
          </w:p>
        </w:tc>
      </w:tr>
      <w:tr w:rsidR="005D0BF1" w:rsidRPr="005D0BF1" w14:paraId="6C3E0222" w14:textId="77777777" w:rsidTr="005D0BF1">
        <w:trPr>
          <w:gridAfter w:val="1"/>
          <w:wAfter w:w="4" w:type="pct"/>
        </w:trPr>
        <w:tc>
          <w:tcPr>
            <w:tcW w:w="1534" w:type="pct"/>
            <w:tcBorders>
              <w:top w:val="single" w:sz="4" w:space="0" w:color="auto"/>
              <w:left w:val="single" w:sz="4" w:space="0" w:color="auto"/>
              <w:bottom w:val="single" w:sz="4" w:space="0" w:color="auto"/>
              <w:right w:val="single" w:sz="4" w:space="0" w:color="auto"/>
            </w:tcBorders>
            <w:vAlign w:val="center"/>
            <w:hideMark/>
          </w:tcPr>
          <w:p w14:paraId="09A94DE2" w14:textId="77777777" w:rsidR="00A01EAB" w:rsidRPr="005D0BF1" w:rsidRDefault="00A01EAB" w:rsidP="00783B61">
            <w:pPr>
              <w:pStyle w:val="Tabletext0"/>
              <w:keepNext/>
            </w:pPr>
            <w:r w:rsidRPr="005D0BF1">
              <w:t>Average follow-up, months</w:t>
            </w:r>
          </w:p>
        </w:tc>
        <w:tc>
          <w:tcPr>
            <w:tcW w:w="692" w:type="pct"/>
            <w:tcBorders>
              <w:top w:val="single" w:sz="4" w:space="0" w:color="auto"/>
              <w:left w:val="single" w:sz="4" w:space="0" w:color="auto"/>
              <w:bottom w:val="single" w:sz="4" w:space="0" w:color="auto"/>
              <w:right w:val="single" w:sz="4" w:space="0" w:color="auto"/>
            </w:tcBorders>
            <w:vAlign w:val="center"/>
            <w:hideMark/>
          </w:tcPr>
          <w:p w14:paraId="3F1D98D0" w14:textId="77777777" w:rsidR="00A01EAB" w:rsidRDefault="00A01EAB" w:rsidP="00783B61">
            <w:pPr>
              <w:pStyle w:val="Tabletext0"/>
              <w:keepNext/>
              <w:jc w:val="center"/>
              <w:rPr>
                <w:vertAlign w:val="superscript"/>
              </w:rPr>
            </w:pPr>
            <w:r>
              <w:t xml:space="preserve">7 (3–14) </w:t>
            </w:r>
            <w:r>
              <w:rPr>
                <w:vertAlign w:val="superscript"/>
              </w:rPr>
              <w:t>b</w:t>
            </w:r>
          </w:p>
        </w:tc>
        <w:tc>
          <w:tcPr>
            <w:tcW w:w="692" w:type="pct"/>
            <w:tcBorders>
              <w:top w:val="single" w:sz="4" w:space="0" w:color="auto"/>
              <w:left w:val="single" w:sz="4" w:space="0" w:color="auto"/>
              <w:bottom w:val="single" w:sz="4" w:space="0" w:color="auto"/>
              <w:right w:val="single" w:sz="4" w:space="0" w:color="auto"/>
            </w:tcBorders>
            <w:vAlign w:val="center"/>
            <w:hideMark/>
          </w:tcPr>
          <w:p w14:paraId="6D7C48DD" w14:textId="77777777" w:rsidR="00A01EAB" w:rsidRPr="005D0BF1" w:rsidRDefault="00A01EAB" w:rsidP="00783B61">
            <w:pPr>
              <w:pStyle w:val="Tabletext0"/>
              <w:keepNext/>
              <w:jc w:val="center"/>
              <w:rPr>
                <w:bCs/>
              </w:rPr>
            </w:pPr>
            <w:r w:rsidRPr="005D0BF1">
              <w:rPr>
                <w:bCs/>
              </w:rPr>
              <w:t>12 (8–18)</w:t>
            </w:r>
            <w:r w:rsidRPr="005D0BF1">
              <w:rPr>
                <w:bCs/>
                <w:vertAlign w:val="superscript"/>
              </w:rPr>
              <w:t xml:space="preserve"> b</w:t>
            </w:r>
          </w:p>
        </w:tc>
        <w:tc>
          <w:tcPr>
            <w:tcW w:w="846" w:type="pct"/>
            <w:tcBorders>
              <w:top w:val="single" w:sz="4" w:space="0" w:color="auto"/>
              <w:left w:val="single" w:sz="4" w:space="0" w:color="auto"/>
              <w:bottom w:val="single" w:sz="4" w:space="0" w:color="auto"/>
              <w:right w:val="single" w:sz="4" w:space="0" w:color="auto"/>
            </w:tcBorders>
            <w:vAlign w:val="center"/>
            <w:hideMark/>
          </w:tcPr>
          <w:p w14:paraId="5404364D" w14:textId="77777777" w:rsidR="00A01EAB" w:rsidRPr="005D0BF1" w:rsidRDefault="00A01EAB" w:rsidP="00783B61">
            <w:pPr>
              <w:pStyle w:val="Tabletext0"/>
              <w:keepNext/>
              <w:jc w:val="center"/>
            </w:pPr>
            <w:r w:rsidRPr="005D0BF1">
              <w:t>NR</w:t>
            </w:r>
          </w:p>
        </w:tc>
        <w:tc>
          <w:tcPr>
            <w:tcW w:w="615" w:type="pct"/>
            <w:tcBorders>
              <w:top w:val="single" w:sz="4" w:space="0" w:color="auto"/>
              <w:left w:val="single" w:sz="4" w:space="0" w:color="auto"/>
              <w:bottom w:val="single" w:sz="4" w:space="0" w:color="auto"/>
              <w:right w:val="single" w:sz="4" w:space="0" w:color="auto"/>
            </w:tcBorders>
            <w:vAlign w:val="center"/>
            <w:hideMark/>
          </w:tcPr>
          <w:p w14:paraId="40A41717" w14:textId="77777777" w:rsidR="00A01EAB" w:rsidRPr="005D0BF1" w:rsidRDefault="00A01EAB" w:rsidP="00783B61">
            <w:pPr>
              <w:pStyle w:val="Tabletext0"/>
              <w:keepNext/>
              <w:jc w:val="center"/>
            </w:pPr>
            <w:r w:rsidRPr="005D0BF1">
              <w:t>18.4</w:t>
            </w:r>
          </w:p>
        </w:tc>
        <w:tc>
          <w:tcPr>
            <w:tcW w:w="616" w:type="pct"/>
            <w:tcBorders>
              <w:top w:val="single" w:sz="4" w:space="0" w:color="auto"/>
              <w:left w:val="single" w:sz="4" w:space="0" w:color="auto"/>
              <w:bottom w:val="single" w:sz="4" w:space="0" w:color="auto"/>
              <w:right w:val="single" w:sz="4" w:space="0" w:color="auto"/>
            </w:tcBorders>
            <w:vAlign w:val="center"/>
            <w:hideMark/>
          </w:tcPr>
          <w:p w14:paraId="7216B581" w14:textId="77777777" w:rsidR="00A01EAB" w:rsidRPr="005D0BF1" w:rsidRDefault="00A01EAB" w:rsidP="00783B61">
            <w:pPr>
              <w:pStyle w:val="Tabletext0"/>
              <w:keepNext/>
              <w:jc w:val="center"/>
            </w:pPr>
            <w:r w:rsidRPr="005D0BF1">
              <w:t>20.3</w:t>
            </w:r>
          </w:p>
        </w:tc>
      </w:tr>
      <w:tr w:rsidR="005D0BF1" w:rsidRPr="005D0BF1" w14:paraId="58D1DB13" w14:textId="77777777" w:rsidTr="005D0BF1">
        <w:trPr>
          <w:gridAfter w:val="1"/>
          <w:wAfter w:w="4" w:type="pct"/>
        </w:trPr>
        <w:tc>
          <w:tcPr>
            <w:tcW w:w="1534" w:type="pct"/>
            <w:tcBorders>
              <w:top w:val="single" w:sz="4" w:space="0" w:color="auto"/>
              <w:left w:val="single" w:sz="4" w:space="0" w:color="auto"/>
              <w:bottom w:val="single" w:sz="4" w:space="0" w:color="auto"/>
              <w:right w:val="nil"/>
            </w:tcBorders>
            <w:vAlign w:val="center"/>
            <w:hideMark/>
          </w:tcPr>
          <w:p w14:paraId="21E4BE53" w14:textId="77777777" w:rsidR="00A01EAB" w:rsidRPr="005D0BF1" w:rsidRDefault="00A01EAB" w:rsidP="00783B61">
            <w:pPr>
              <w:pStyle w:val="Tabletext0"/>
              <w:keepNext/>
            </w:pPr>
            <w:r w:rsidRPr="005D0BF1">
              <w:t>Efficacy</w:t>
            </w:r>
          </w:p>
        </w:tc>
        <w:tc>
          <w:tcPr>
            <w:tcW w:w="692" w:type="pct"/>
            <w:tcBorders>
              <w:top w:val="single" w:sz="4" w:space="0" w:color="auto"/>
              <w:left w:val="nil"/>
              <w:bottom w:val="single" w:sz="4" w:space="0" w:color="auto"/>
              <w:right w:val="nil"/>
            </w:tcBorders>
            <w:vAlign w:val="center"/>
          </w:tcPr>
          <w:p w14:paraId="5F664640" w14:textId="77777777" w:rsidR="00A01EAB" w:rsidRPr="005D0BF1" w:rsidRDefault="00A01EAB" w:rsidP="00783B61">
            <w:pPr>
              <w:pStyle w:val="Tabletext0"/>
              <w:keepNext/>
              <w:jc w:val="center"/>
            </w:pPr>
          </w:p>
        </w:tc>
        <w:tc>
          <w:tcPr>
            <w:tcW w:w="692" w:type="pct"/>
            <w:tcBorders>
              <w:top w:val="single" w:sz="4" w:space="0" w:color="auto"/>
              <w:left w:val="nil"/>
              <w:bottom w:val="single" w:sz="4" w:space="0" w:color="auto"/>
              <w:right w:val="nil"/>
            </w:tcBorders>
            <w:vAlign w:val="center"/>
          </w:tcPr>
          <w:p w14:paraId="71A1E5C1" w14:textId="77777777" w:rsidR="00A01EAB" w:rsidRPr="005D0BF1" w:rsidRDefault="00A01EAB" w:rsidP="00783B61">
            <w:pPr>
              <w:pStyle w:val="Tabletext0"/>
              <w:keepNext/>
              <w:jc w:val="center"/>
            </w:pPr>
          </w:p>
        </w:tc>
        <w:tc>
          <w:tcPr>
            <w:tcW w:w="846" w:type="pct"/>
            <w:tcBorders>
              <w:top w:val="single" w:sz="4" w:space="0" w:color="auto"/>
              <w:left w:val="nil"/>
              <w:bottom w:val="single" w:sz="4" w:space="0" w:color="auto"/>
              <w:right w:val="nil"/>
            </w:tcBorders>
            <w:vAlign w:val="center"/>
          </w:tcPr>
          <w:p w14:paraId="6AF81B84" w14:textId="77777777" w:rsidR="00A01EAB" w:rsidRPr="005D0BF1" w:rsidRDefault="00A01EAB" w:rsidP="00783B61">
            <w:pPr>
              <w:pStyle w:val="Tabletext0"/>
              <w:keepNext/>
              <w:jc w:val="center"/>
              <w:rPr>
                <w:highlight w:val="yellow"/>
              </w:rPr>
            </w:pPr>
          </w:p>
        </w:tc>
        <w:tc>
          <w:tcPr>
            <w:tcW w:w="615" w:type="pct"/>
            <w:tcBorders>
              <w:top w:val="single" w:sz="4" w:space="0" w:color="auto"/>
              <w:left w:val="nil"/>
              <w:bottom w:val="single" w:sz="4" w:space="0" w:color="auto"/>
              <w:right w:val="nil"/>
            </w:tcBorders>
            <w:vAlign w:val="center"/>
          </w:tcPr>
          <w:p w14:paraId="4B448147" w14:textId="77777777" w:rsidR="00A01EAB" w:rsidRPr="005D0BF1" w:rsidRDefault="00A01EAB" w:rsidP="00783B61">
            <w:pPr>
              <w:pStyle w:val="Tabletext0"/>
              <w:keepNext/>
              <w:jc w:val="center"/>
            </w:pPr>
          </w:p>
        </w:tc>
        <w:tc>
          <w:tcPr>
            <w:tcW w:w="616" w:type="pct"/>
            <w:tcBorders>
              <w:top w:val="single" w:sz="4" w:space="0" w:color="auto"/>
              <w:left w:val="nil"/>
              <w:bottom w:val="single" w:sz="4" w:space="0" w:color="auto"/>
              <w:right w:val="single" w:sz="4" w:space="0" w:color="auto"/>
            </w:tcBorders>
            <w:vAlign w:val="center"/>
          </w:tcPr>
          <w:p w14:paraId="1E20510B" w14:textId="77777777" w:rsidR="00A01EAB" w:rsidRPr="005D0BF1" w:rsidRDefault="00A01EAB" w:rsidP="00783B61">
            <w:pPr>
              <w:pStyle w:val="Tabletext0"/>
              <w:keepNext/>
              <w:jc w:val="center"/>
            </w:pPr>
          </w:p>
        </w:tc>
      </w:tr>
      <w:tr w:rsidR="005D0BF1" w:rsidRPr="005D0BF1" w14:paraId="18527725" w14:textId="77777777" w:rsidTr="005D0BF1">
        <w:trPr>
          <w:gridAfter w:val="1"/>
          <w:wAfter w:w="4" w:type="pct"/>
        </w:trPr>
        <w:tc>
          <w:tcPr>
            <w:tcW w:w="1534" w:type="pct"/>
            <w:tcBorders>
              <w:top w:val="single" w:sz="4" w:space="0" w:color="auto"/>
              <w:left w:val="single" w:sz="4" w:space="0" w:color="auto"/>
              <w:bottom w:val="single" w:sz="4" w:space="0" w:color="auto"/>
              <w:right w:val="single" w:sz="4" w:space="0" w:color="auto"/>
            </w:tcBorders>
            <w:vAlign w:val="center"/>
            <w:hideMark/>
          </w:tcPr>
          <w:p w14:paraId="05CE5E11" w14:textId="09251654" w:rsidR="00A01EAB" w:rsidRPr="001B6D69" w:rsidRDefault="00A01EAB" w:rsidP="00783B61">
            <w:pPr>
              <w:pStyle w:val="Tabletext0"/>
              <w:keepNext/>
              <w:ind w:left="170"/>
            </w:pPr>
            <w:r w:rsidRPr="001B6D69">
              <w:t>PSA50, n (%)</w:t>
            </w:r>
          </w:p>
          <w:p w14:paraId="58FB76CF" w14:textId="77777777" w:rsidR="00A01EAB" w:rsidRPr="001B6D69" w:rsidRDefault="00A01EAB" w:rsidP="00783B61">
            <w:pPr>
              <w:pStyle w:val="Tabletext0"/>
              <w:keepNext/>
              <w:ind w:left="170"/>
              <w:rPr>
                <w:i/>
                <w:iCs/>
                <w:vertAlign w:val="superscript"/>
              </w:rPr>
            </w:pPr>
            <w:r w:rsidRPr="001B6D69">
              <w:rPr>
                <w:i/>
                <w:iCs/>
              </w:rPr>
              <w:t xml:space="preserve">[95% </w:t>
            </w:r>
            <w:proofErr w:type="gramStart"/>
            <w:r w:rsidRPr="001B6D69">
              <w:rPr>
                <w:i/>
                <w:iCs/>
              </w:rPr>
              <w:t>CI]</w:t>
            </w:r>
            <w:r w:rsidRPr="001B6D69">
              <w:rPr>
                <w:i/>
                <w:iCs/>
                <w:vertAlign w:val="superscript"/>
              </w:rPr>
              <w:t>e</w:t>
            </w:r>
            <w:proofErr w:type="gramEnd"/>
          </w:p>
        </w:tc>
        <w:tc>
          <w:tcPr>
            <w:tcW w:w="692" w:type="pct"/>
            <w:tcBorders>
              <w:top w:val="single" w:sz="4" w:space="0" w:color="auto"/>
              <w:left w:val="single" w:sz="4" w:space="0" w:color="auto"/>
              <w:bottom w:val="single" w:sz="4" w:space="0" w:color="auto"/>
              <w:right w:val="single" w:sz="4" w:space="0" w:color="auto"/>
            </w:tcBorders>
            <w:vAlign w:val="center"/>
            <w:hideMark/>
          </w:tcPr>
          <w:p w14:paraId="4209CBB9" w14:textId="77777777" w:rsidR="00A01EAB" w:rsidRPr="001B6D69" w:rsidRDefault="00A01EAB" w:rsidP="00783B61">
            <w:pPr>
              <w:pStyle w:val="Tabletext0"/>
              <w:keepNext/>
              <w:jc w:val="center"/>
              <w:rPr>
                <w:vertAlign w:val="superscript"/>
              </w:rPr>
            </w:pPr>
            <w:r w:rsidRPr="001B6D69">
              <w:t xml:space="preserve">89 (56%) </w:t>
            </w:r>
            <w:r w:rsidRPr="001B6D69">
              <w:rPr>
                <w:vertAlign w:val="superscript"/>
              </w:rPr>
              <w:t>c</w:t>
            </w:r>
          </w:p>
          <w:p w14:paraId="0CD960F6" w14:textId="77777777" w:rsidR="00A01EAB" w:rsidRPr="001B6D69" w:rsidRDefault="00A01EAB" w:rsidP="00783B61">
            <w:pPr>
              <w:pStyle w:val="Tabletext0"/>
              <w:keepNext/>
              <w:jc w:val="center"/>
              <w:rPr>
                <w:i/>
                <w:iCs/>
              </w:rPr>
            </w:pPr>
            <w:r w:rsidRPr="001B6D69">
              <w:rPr>
                <w:i/>
                <w:iCs/>
              </w:rPr>
              <w:t>[48, 64]</w:t>
            </w:r>
          </w:p>
        </w:tc>
        <w:tc>
          <w:tcPr>
            <w:tcW w:w="692" w:type="pct"/>
            <w:tcBorders>
              <w:top w:val="single" w:sz="4" w:space="0" w:color="auto"/>
              <w:left w:val="single" w:sz="4" w:space="0" w:color="auto"/>
              <w:bottom w:val="single" w:sz="4" w:space="0" w:color="auto"/>
              <w:right w:val="single" w:sz="4" w:space="0" w:color="auto"/>
            </w:tcBorders>
            <w:vAlign w:val="center"/>
            <w:hideMark/>
          </w:tcPr>
          <w:p w14:paraId="0A696E4D" w14:textId="77777777" w:rsidR="00A01EAB" w:rsidRPr="001B6D69" w:rsidRDefault="00A01EAB" w:rsidP="00783B61">
            <w:pPr>
              <w:pStyle w:val="Tabletext0"/>
              <w:keepNext/>
              <w:jc w:val="center"/>
            </w:pPr>
            <w:r w:rsidRPr="001B6D69">
              <w:t>61 (59%)</w:t>
            </w:r>
          </w:p>
          <w:p w14:paraId="09B9248B" w14:textId="77777777" w:rsidR="00A01EAB" w:rsidRPr="001B6D69" w:rsidRDefault="00A01EAB" w:rsidP="00783B61">
            <w:pPr>
              <w:pStyle w:val="Tabletext0"/>
              <w:keepNext/>
              <w:jc w:val="center"/>
              <w:rPr>
                <w:i/>
                <w:iCs/>
              </w:rPr>
            </w:pPr>
            <w:r w:rsidRPr="001B6D69">
              <w:rPr>
                <w:i/>
                <w:iCs/>
              </w:rPr>
              <w:t>[49, 69]</w:t>
            </w:r>
          </w:p>
        </w:tc>
        <w:tc>
          <w:tcPr>
            <w:tcW w:w="846" w:type="pct"/>
            <w:tcBorders>
              <w:top w:val="single" w:sz="4" w:space="0" w:color="auto"/>
              <w:left w:val="single" w:sz="4" w:space="0" w:color="auto"/>
              <w:bottom w:val="single" w:sz="4" w:space="0" w:color="auto"/>
              <w:right w:val="single" w:sz="4" w:space="0" w:color="auto"/>
            </w:tcBorders>
            <w:vAlign w:val="center"/>
            <w:hideMark/>
          </w:tcPr>
          <w:p w14:paraId="1EBB8E30" w14:textId="77777777" w:rsidR="00A01EAB" w:rsidRPr="005D0BF1" w:rsidRDefault="00A01EAB" w:rsidP="00783B61">
            <w:pPr>
              <w:pStyle w:val="Tabletext0"/>
              <w:keepNext/>
              <w:jc w:val="center"/>
            </w:pPr>
            <w:r w:rsidRPr="005D0BF1">
              <w:t>25 (56%)</w:t>
            </w:r>
          </w:p>
          <w:p w14:paraId="1C4A88ED" w14:textId="77777777" w:rsidR="00A01EAB" w:rsidRPr="005D0BF1" w:rsidRDefault="00A01EAB" w:rsidP="00783B61">
            <w:pPr>
              <w:pStyle w:val="Tabletext0"/>
              <w:keepNext/>
              <w:jc w:val="center"/>
              <w:rPr>
                <w:i/>
                <w:iCs/>
                <w:highlight w:val="yellow"/>
              </w:rPr>
            </w:pPr>
            <w:r w:rsidRPr="005D0BF1">
              <w:rPr>
                <w:i/>
                <w:iCs/>
              </w:rPr>
              <w:t>[39, 70]</w:t>
            </w:r>
          </w:p>
        </w:tc>
        <w:tc>
          <w:tcPr>
            <w:tcW w:w="615" w:type="pct"/>
            <w:tcBorders>
              <w:top w:val="single" w:sz="4" w:space="0" w:color="auto"/>
              <w:left w:val="single" w:sz="4" w:space="0" w:color="auto"/>
              <w:bottom w:val="single" w:sz="4" w:space="0" w:color="auto"/>
              <w:right w:val="single" w:sz="4" w:space="0" w:color="auto"/>
            </w:tcBorders>
            <w:vAlign w:val="center"/>
            <w:hideMark/>
          </w:tcPr>
          <w:p w14:paraId="7273BC7E" w14:textId="77777777" w:rsidR="00A01EAB" w:rsidRPr="005D0BF1" w:rsidRDefault="00A01EAB" w:rsidP="00783B61">
            <w:pPr>
              <w:pStyle w:val="Tabletext0"/>
              <w:keepNext/>
              <w:jc w:val="center"/>
            </w:pPr>
            <w:r w:rsidRPr="005D0BF1">
              <w:t>65 (66%)</w:t>
            </w:r>
          </w:p>
          <w:p w14:paraId="5D132A27" w14:textId="77777777" w:rsidR="00A01EAB" w:rsidRPr="005D0BF1" w:rsidRDefault="00A01EAB" w:rsidP="00783B61">
            <w:pPr>
              <w:pStyle w:val="Tabletext0"/>
              <w:keepNext/>
              <w:jc w:val="center"/>
              <w:rPr>
                <w:i/>
                <w:iCs/>
              </w:rPr>
            </w:pPr>
            <w:r w:rsidRPr="005D0BF1">
              <w:rPr>
                <w:i/>
                <w:iCs/>
              </w:rPr>
              <w:t>[56, 74]</w:t>
            </w:r>
          </w:p>
        </w:tc>
        <w:tc>
          <w:tcPr>
            <w:tcW w:w="616" w:type="pct"/>
            <w:tcBorders>
              <w:top w:val="single" w:sz="4" w:space="0" w:color="auto"/>
              <w:left w:val="single" w:sz="4" w:space="0" w:color="auto"/>
              <w:bottom w:val="single" w:sz="4" w:space="0" w:color="auto"/>
              <w:right w:val="single" w:sz="4" w:space="0" w:color="auto"/>
            </w:tcBorders>
            <w:vAlign w:val="center"/>
            <w:hideMark/>
          </w:tcPr>
          <w:p w14:paraId="43450817" w14:textId="77777777" w:rsidR="00A01EAB" w:rsidRPr="005D0BF1" w:rsidRDefault="00A01EAB" w:rsidP="00783B61">
            <w:pPr>
              <w:pStyle w:val="Tabletext0"/>
              <w:keepNext/>
              <w:jc w:val="center"/>
            </w:pPr>
            <w:r w:rsidRPr="005D0BF1">
              <w:t>177 (46.0%)</w:t>
            </w:r>
          </w:p>
          <w:p w14:paraId="4A541FBD" w14:textId="77777777" w:rsidR="00A01EAB" w:rsidRPr="005D0BF1" w:rsidRDefault="00A01EAB" w:rsidP="00783B61">
            <w:pPr>
              <w:pStyle w:val="Tabletext0"/>
              <w:keepNext/>
              <w:jc w:val="center"/>
            </w:pPr>
            <w:r w:rsidRPr="005D0BF1">
              <w:rPr>
                <w:i/>
                <w:iCs/>
              </w:rPr>
              <w:t>[41, 51]</w:t>
            </w:r>
          </w:p>
        </w:tc>
      </w:tr>
      <w:tr w:rsidR="005D0BF1" w:rsidRPr="005D0BF1" w14:paraId="05F2418D" w14:textId="77777777" w:rsidTr="005D0BF1">
        <w:trPr>
          <w:gridAfter w:val="1"/>
          <w:wAfter w:w="4" w:type="pct"/>
        </w:trPr>
        <w:tc>
          <w:tcPr>
            <w:tcW w:w="1534" w:type="pct"/>
            <w:hideMark/>
          </w:tcPr>
          <w:p w14:paraId="500BC2C1" w14:textId="7D5A9C82" w:rsidR="00A01EAB" w:rsidRDefault="00A01EAB" w:rsidP="00783B61">
            <w:pPr>
              <w:pStyle w:val="Tabletext0"/>
              <w:keepNext/>
              <w:ind w:left="170"/>
            </w:pPr>
            <w:r>
              <w:t>PFS, months (95% CI)</w:t>
            </w:r>
          </w:p>
        </w:tc>
        <w:tc>
          <w:tcPr>
            <w:tcW w:w="692" w:type="pct"/>
            <w:hideMark/>
          </w:tcPr>
          <w:p w14:paraId="6E3B3875" w14:textId="77777777" w:rsidR="00A01EAB" w:rsidRDefault="00A01EAB" w:rsidP="00783B61">
            <w:pPr>
              <w:pStyle w:val="Tabletext0"/>
              <w:keepNext/>
              <w:jc w:val="center"/>
            </w:pPr>
            <w:r>
              <w:t xml:space="preserve">4 (3–8) </w:t>
            </w:r>
            <w:r>
              <w:rPr>
                <w:vertAlign w:val="superscript"/>
              </w:rPr>
              <w:t>b</w:t>
            </w:r>
          </w:p>
        </w:tc>
        <w:tc>
          <w:tcPr>
            <w:tcW w:w="692" w:type="pct"/>
            <w:hideMark/>
          </w:tcPr>
          <w:p w14:paraId="70F1D23E" w14:textId="77777777" w:rsidR="00A01EAB" w:rsidRDefault="00A01EAB" w:rsidP="00783B61">
            <w:pPr>
              <w:pStyle w:val="Tabletext0"/>
              <w:keepNext/>
              <w:jc w:val="center"/>
            </w:pPr>
            <w:r>
              <w:t>NR</w:t>
            </w:r>
          </w:p>
        </w:tc>
        <w:tc>
          <w:tcPr>
            <w:tcW w:w="846" w:type="pct"/>
            <w:hideMark/>
          </w:tcPr>
          <w:p w14:paraId="081B8A8A" w14:textId="77777777" w:rsidR="00A01EAB" w:rsidRPr="005D0BF1" w:rsidRDefault="00A01EAB" w:rsidP="00783B61">
            <w:pPr>
              <w:pStyle w:val="Tabletext0"/>
              <w:keepNext/>
              <w:jc w:val="center"/>
            </w:pPr>
            <w:r w:rsidRPr="005D0BF1">
              <w:t>5.3 (NR)</w:t>
            </w:r>
          </w:p>
        </w:tc>
        <w:tc>
          <w:tcPr>
            <w:tcW w:w="615" w:type="pct"/>
            <w:hideMark/>
          </w:tcPr>
          <w:p w14:paraId="239E86E8" w14:textId="77777777" w:rsidR="00A01EAB" w:rsidRPr="005D0BF1" w:rsidRDefault="00A01EAB" w:rsidP="00783B61">
            <w:pPr>
              <w:pStyle w:val="Tabletext0"/>
              <w:keepNext/>
              <w:ind w:left="-105" w:right="-108"/>
              <w:jc w:val="center"/>
            </w:pPr>
            <w:r w:rsidRPr="005D0BF1">
              <w:t>5.1 (3.4, 5.7)</w:t>
            </w:r>
          </w:p>
        </w:tc>
        <w:tc>
          <w:tcPr>
            <w:tcW w:w="616" w:type="pct"/>
            <w:hideMark/>
          </w:tcPr>
          <w:p w14:paraId="13AA43A8" w14:textId="77777777" w:rsidR="00A01EAB" w:rsidRPr="005D0BF1" w:rsidRDefault="00A01EAB" w:rsidP="00783B61">
            <w:pPr>
              <w:pStyle w:val="Tabletext0"/>
              <w:keepNext/>
              <w:jc w:val="center"/>
            </w:pPr>
            <w:r w:rsidRPr="005D0BF1">
              <w:t>8.7 (NR)</w:t>
            </w:r>
          </w:p>
        </w:tc>
      </w:tr>
      <w:tr w:rsidR="005D0BF1" w:rsidRPr="005D0BF1" w14:paraId="5B39A609" w14:textId="77777777" w:rsidTr="005D0BF1">
        <w:trPr>
          <w:gridAfter w:val="1"/>
          <w:wAfter w:w="4" w:type="pct"/>
        </w:trPr>
        <w:tc>
          <w:tcPr>
            <w:tcW w:w="1534" w:type="pct"/>
            <w:hideMark/>
          </w:tcPr>
          <w:p w14:paraId="39C97692" w14:textId="77777777" w:rsidR="00A01EAB" w:rsidRDefault="00A01EAB" w:rsidP="00783B61">
            <w:pPr>
              <w:pStyle w:val="Tabletext0"/>
              <w:keepNext/>
              <w:ind w:left="170"/>
            </w:pPr>
            <w:r>
              <w:t>OS, months (95% CI)</w:t>
            </w:r>
          </w:p>
        </w:tc>
        <w:tc>
          <w:tcPr>
            <w:tcW w:w="692" w:type="pct"/>
            <w:hideMark/>
          </w:tcPr>
          <w:p w14:paraId="00D6894C" w14:textId="77777777" w:rsidR="00A01EAB" w:rsidRDefault="00A01EAB" w:rsidP="00783B61">
            <w:pPr>
              <w:pStyle w:val="Tabletext0"/>
              <w:keepNext/>
              <w:jc w:val="center"/>
            </w:pPr>
            <w:r>
              <w:t xml:space="preserve">12 (5–18) </w:t>
            </w:r>
            <w:r>
              <w:rPr>
                <w:vertAlign w:val="superscript"/>
              </w:rPr>
              <w:t>b</w:t>
            </w:r>
          </w:p>
        </w:tc>
        <w:tc>
          <w:tcPr>
            <w:tcW w:w="692" w:type="pct"/>
            <w:hideMark/>
          </w:tcPr>
          <w:p w14:paraId="415DDC4F" w14:textId="77777777" w:rsidR="00A01EAB" w:rsidRDefault="00A01EAB" w:rsidP="00783B61">
            <w:pPr>
              <w:pStyle w:val="Tabletext0"/>
              <w:keepNext/>
              <w:jc w:val="center"/>
            </w:pPr>
            <w:r>
              <w:t>NR</w:t>
            </w:r>
          </w:p>
        </w:tc>
        <w:tc>
          <w:tcPr>
            <w:tcW w:w="846" w:type="pct"/>
            <w:hideMark/>
          </w:tcPr>
          <w:p w14:paraId="48D9A947" w14:textId="77777777" w:rsidR="00A01EAB" w:rsidRPr="005D0BF1" w:rsidRDefault="00A01EAB" w:rsidP="00783B61">
            <w:pPr>
              <w:pStyle w:val="Tabletext0"/>
              <w:keepNext/>
              <w:jc w:val="center"/>
            </w:pPr>
            <w:r w:rsidRPr="005D0BF1">
              <w:t>13 (NR)</w:t>
            </w:r>
          </w:p>
        </w:tc>
        <w:tc>
          <w:tcPr>
            <w:tcW w:w="615" w:type="pct"/>
            <w:hideMark/>
          </w:tcPr>
          <w:p w14:paraId="613FE148" w14:textId="77777777" w:rsidR="00A01EAB" w:rsidRPr="005D0BF1" w:rsidRDefault="00A01EAB" w:rsidP="00783B61">
            <w:pPr>
              <w:pStyle w:val="Tabletext0"/>
              <w:keepNext/>
              <w:jc w:val="center"/>
            </w:pPr>
            <w:r w:rsidRPr="005D0BF1">
              <w:t>NR</w:t>
            </w:r>
          </w:p>
        </w:tc>
        <w:tc>
          <w:tcPr>
            <w:tcW w:w="616" w:type="pct"/>
            <w:hideMark/>
          </w:tcPr>
          <w:p w14:paraId="6AB274D9" w14:textId="77777777" w:rsidR="00A01EAB" w:rsidRPr="005D0BF1" w:rsidRDefault="00A01EAB" w:rsidP="00783B61">
            <w:pPr>
              <w:pStyle w:val="Tabletext0"/>
              <w:keepNext/>
              <w:jc w:val="center"/>
            </w:pPr>
            <w:r w:rsidRPr="005D0BF1">
              <w:t>15.3 (NR)</w:t>
            </w:r>
          </w:p>
        </w:tc>
      </w:tr>
    </w:tbl>
    <w:p w14:paraId="66A431C9" w14:textId="77777777" w:rsidR="000F104A" w:rsidRDefault="000F104A" w:rsidP="00783B61">
      <w:pPr>
        <w:pStyle w:val="Tablenotes0"/>
        <w:keepNext/>
        <w:rPr>
          <w:vertAlign w:val="superscript"/>
        </w:rPr>
      </w:pPr>
      <w:r>
        <w:t xml:space="preserve">Source: </w:t>
      </w:r>
      <w:r w:rsidRPr="00745D0E">
        <w:fldChar w:fldCharType="begin">
          <w:fldData xml:space="preserve">PEVuZE5vdGU+PENpdGUgQXV0aG9yWWVhcj0iMSI+PEF1dGhvcj5TYXJ0b3I8L0F1dGhvcj48WWVh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</w:fldData>
        </w:fldChar>
      </w:r>
      <w:r>
        <w:instrText xml:space="preserve"> ADDIN EN.CITE </w:instrText>
      </w:r>
      <w:r>
        <w:fldChar w:fldCharType="begin">
          <w:fldData xml:space="preserve">PEVuZE5vdGU+PENpdGUgQXV0aG9yWWVhcj0iMSI+PEF1dGhvcj5TYXJ0b3I8L0F1dGhvcj48WWVh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</w:fldData>
        </w:fldChar>
      </w:r>
      <w:r>
        <w:instrText xml:space="preserve"> ADDIN EN.CITE.DATA </w:instrText>
      </w:r>
      <w:r>
        <w:fldChar w:fldCharType="end"/>
      </w:r>
      <w:r w:rsidRPr="00745D0E">
        <w:fldChar w:fldCharType="separate"/>
      </w:r>
      <w:r w:rsidRPr="00745D0E">
        <w:rPr>
          <w:noProof/>
        </w:rPr>
        <w:t>Sartor et al. (2021)</w:t>
      </w:r>
      <w:r w:rsidRPr="00745D0E">
        <w:fldChar w:fldCharType="end"/>
      </w:r>
      <w:r w:rsidRPr="00745D0E">
        <w:t xml:space="preserve"> </w:t>
      </w:r>
      <w:r>
        <w:t xml:space="preserve">Supplementary Appendix Table S8 </w:t>
      </w:r>
      <w:r w:rsidRPr="00745D0E">
        <w:t>p</w:t>
      </w:r>
      <w:r>
        <w:t xml:space="preserve">.24, </w:t>
      </w:r>
      <w:r w:rsidRPr="00745D0E">
        <w:fldChar w:fldCharType="begin">
          <w:fldData xml:space="preserve">PEVuZE5vdGU+PENpdGUgQXV0aG9yWWVhcj0iMSI+PEF1dGhvcj5Ib2ZtYW48L0F1dGhvcj48WWVh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</w:fldData>
        </w:fldChar>
      </w:r>
      <w:r>
        <w:instrText xml:space="preserve"> ADDIN EN.CITE </w:instrText>
      </w:r>
      <w:r>
        <w:fldChar w:fldCharType="begin">
          <w:fldData xml:space="preserve">PEVuZE5vdGU+PENpdGUgQXV0aG9yWWVhcj0iMSI+PEF1dGhvcj5Ib2ZtYW48L0F1dGhvcj48WWVh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</w:fldData>
        </w:fldChar>
      </w:r>
      <w:r>
        <w:instrText xml:space="preserve"> ADDIN EN.CITE.DATA </w:instrText>
      </w:r>
      <w:r>
        <w:fldChar w:fldCharType="end"/>
      </w:r>
      <w:r w:rsidRPr="00745D0E">
        <w:fldChar w:fldCharType="separate"/>
      </w:r>
      <w:r w:rsidRPr="00745D0E">
        <w:rPr>
          <w:noProof/>
        </w:rPr>
        <w:t>Hofman et al. (2021)</w:t>
      </w:r>
      <w:r w:rsidRPr="00745D0E">
        <w:fldChar w:fldCharType="end"/>
      </w:r>
      <w:r>
        <w:t xml:space="preserve"> </w:t>
      </w:r>
      <w:r w:rsidRPr="00745D0E">
        <w:t>p</w:t>
      </w:r>
      <w:r>
        <w:t xml:space="preserve">.800, </w:t>
      </w:r>
      <w:r>
        <w:fldChar w:fldCharType="begin"/>
      </w:r>
      <w:r>
        <w:instrText xml:space="preserve"> ADDIN EN.CITE &lt;EndNote&gt;&lt;Cite AuthorYear="1"&gt;&lt;Author&gt;Meyrick&lt;/Author&gt;&lt;Year&gt;2021&lt;/Year&gt;&lt;RecNum&gt;25&lt;/RecNum&gt;&lt;DisplayText&gt;Meyrick et al. (2021)&lt;/DisplayText&gt;&lt;record&gt;&lt;rec-number&gt;25&lt;/rec-number&gt;&lt;foreign-keys&gt;&lt;key app="EN" db-id="fpzesst98x95suetv2hxppzt995wtxas9fet" timestamp="1642050432"&gt;25&lt;/key&gt;&lt;/foreign-keys&gt;&lt;ref-type name="Journal Article"&gt;17&lt;/ref-type&gt;&lt;contributors&gt;&lt;authors&gt;&lt;author&gt;Meyrick, D.&lt;/author&gt;&lt;author&gt;Gallyamov, M.&lt;/author&gt;&lt;author&gt;Sabarimurugan, S.&lt;/author&gt;&lt;author&gt;Falzone, N.&lt;/author&gt;&lt;author&gt;Lenzo, N.&lt;/author&gt;&lt;/authors&gt;&lt;/contributors&gt;&lt;auth-address&gt;GenesisCare (Theranostics), East Fremantle, WA, Australia. Danielle.Meyrick@genesiscare.com.&amp;#xD;GenesisCare (Theranostics), East Fremantle, WA, Australia.&amp;#xD;Faculty of Health and Medical Sciences, Notre Dame University, Fremantle, WA, Australia.&lt;/auth-address&gt;&lt;titles&gt;&lt;title&gt;Real-World Data Analysis of Efficacy and Survival After Lutetium-177 Labelled PSMA Ligand Therapy in Metastatic Castration-Resistant Prostate Cancer&lt;/title&gt;&lt;secondary-title&gt;Target Oncol&lt;/secondary-title&gt;&lt;/titles&gt;&lt;periodical&gt;&lt;full-title&gt;Target Oncol&lt;/full-title&gt;&lt;/periodical&gt;&lt;pages&gt;369-380&lt;/pages&gt;&lt;volume&gt;16&lt;/volume&gt;&lt;number&gt;3&lt;/number&gt;&lt;edition&gt;2021/03/10&lt;/edition&gt;&lt;keywords&gt;&lt;keyword&gt;Aged&lt;/keyword&gt;&lt;keyword&gt;Cohort Studies&lt;/keyword&gt;&lt;keyword&gt;Data Analysis&lt;/keyword&gt;&lt;keyword&gt;Humans&lt;/keyword&gt;&lt;keyword&gt;Ligands&lt;/keyword&gt;&lt;keyword&gt;Lutetium/pharmacology/*therapeutic use&lt;/keyword&gt;&lt;keyword&gt;Male&lt;/keyword&gt;&lt;keyword&gt;Neoplasm Metastasis&lt;/keyword&gt;&lt;keyword&gt;Prostatic Neoplasms, Castration-Resistant/*drug therapy/pathology&lt;/keyword&gt;&lt;keyword&gt;Radioisotopes/pharmacology/*therapeutic use&lt;/keyword&gt;&lt;keyword&gt;Retrospective Studies&lt;/keyword&gt;&lt;keyword&gt;Treatment Outcome&lt;/keyword&gt;&lt;/keywords&gt;&lt;dates&gt;&lt;year&gt;2021&lt;/year&gt;&lt;pub-dates&gt;&lt;date&gt;May&lt;/date&gt;&lt;/pub-dates&gt;&lt;/dates&gt;&lt;isbn&gt;1776-2596&lt;/isbn&gt;&lt;accession-num&gt;33687624&lt;/accession-num&gt;&lt;urls&gt;&lt;/urls&gt;&lt;electronic-resource-num&gt;10.1007/s11523-021-00801-w&lt;/electronic-resource-num&gt;&lt;remote-database-provider&gt;NLM&lt;/remote-database-provider&gt;&lt;language&gt;eng&lt;/language&gt;&lt;/record&gt;&lt;/Cite&gt;&lt;/EndNote&gt;</w:instrText>
      </w:r>
      <w:r>
        <w:fldChar w:fldCharType="separate"/>
      </w:r>
      <w:r>
        <w:rPr>
          <w:noProof/>
        </w:rPr>
        <w:t>Meyrick et al. (2021)</w:t>
      </w:r>
      <w:r>
        <w:fldChar w:fldCharType="end"/>
      </w:r>
      <w:r>
        <w:t xml:space="preserve"> Table 1 p. 373, </w:t>
      </w:r>
      <w:r>
        <w:fldChar w:fldCharType="begin"/>
      </w:r>
      <w:r>
        <w:instrText xml:space="preserve"> ADDIN EN.CITE &lt;EndNote&gt;&lt;Cite AuthorYear="1"&gt;&lt;Author&gt;Medhurst&lt;/Author&gt;&lt;Year&gt;2022&lt;/Year&gt;&lt;RecNum&gt;46&lt;/RecNum&gt;&lt;DisplayText&gt;Medhurst et al. (2022)&lt;/DisplayText&gt;&lt;record&gt;&lt;rec-number&gt;46&lt;/rec-number&gt;&lt;foreign-keys&gt;&lt;key app="EN" db-id="9rwx9tt57dtr21evws8vrvfd5tttf0prt0ff" timestamp="1643259231"&gt;46&lt;/key&gt;&lt;/foreign-keys&gt;&lt;ref-type name="Journal Article"&gt;17&lt;/ref-type&gt;&lt;contributors&gt;&lt;authors&gt;&lt;author&gt;Medhurst, E.&lt;/author&gt;&lt;author&gt;Alipour, R.&lt;/author&gt;&lt;author&gt;Akhurst, T.&lt;/author&gt;&lt;author&gt;Azad, A.&lt;/author&gt;&lt;author&gt;Buteau, J.&lt;/author&gt;&lt;author&gt;Cardin, A.&lt;/author&gt;&lt;author&gt;Jackson, P. &lt;/author&gt;&lt;author&gt;Kong, G.&lt;/author&gt;&lt;author&gt;Murphy, D G. &lt;/author&gt;&lt;author&gt;Ong,  J SL.&lt;/author&gt;&lt;author&gt;Kashyap, R. &lt;/author&gt;&lt;author&gt;Kostos, L.&lt;/author&gt;&lt;author&gt;Nattakorn, D.&lt;/author&gt;&lt;author&gt;Ravi Kumar, A. &lt;/author&gt;&lt;author&gt;Saghebi, J. &lt;/author&gt;&lt;author&gt;Sandhu, S. &lt;/author&gt;&lt;author&gt;Spain, L. &lt;/author&gt;&lt;author&gt;Tran, B.&lt;/author&gt;&lt;author&gt;Haskali, M B. &lt;/author&gt;&lt;author&gt;Scalzo, M.&lt;/author&gt;&lt;author&gt;Hofman, M S.&lt;/author&gt;&lt;/authors&gt;&lt;/contributors&gt;&lt;titles&gt;&lt;title&gt;Single-centre experience of treating men with metastatic castration-resistant prostate cancer with Lutetium-177 PSMA-I&amp;amp;T using TheraP-like treatment algorithm&lt;/title&gt;&lt;secondary-title&gt;Abstract submitted to the ANZSNM 2022 meeting&lt;/secondary-title&gt;&lt;/titles&gt;&lt;periodical&gt;&lt;full-title&gt;Abstract submitted to the ANZSNM 2022 meeting&lt;/full-title&gt;&lt;/periodical&gt;&lt;dates&gt;&lt;year&gt;2022&lt;/year&gt;&lt;/dates&gt;&lt;urls&gt;&lt;/urls&gt;&lt;/record&gt;&lt;/Cite&gt;&lt;/EndNote&gt;</w:instrText>
      </w:r>
      <w:r>
        <w:fldChar w:fldCharType="separate"/>
      </w:r>
      <w:r>
        <w:rPr>
          <w:noProof/>
        </w:rPr>
        <w:t>Medhurst et al. (2022)</w:t>
      </w:r>
      <w:r>
        <w:fldChar w:fldCharType="end"/>
      </w:r>
    </w:p>
    <w:p w14:paraId="4416E135" w14:textId="3BF3B06B" w:rsidR="000F104A" w:rsidRDefault="000F104A" w:rsidP="00783B61">
      <w:pPr>
        <w:pStyle w:val="Tablenotes0"/>
        <w:keepNext/>
      </w:pPr>
      <w:r>
        <w:rPr>
          <w:vertAlign w:val="superscript"/>
        </w:rPr>
        <w:t xml:space="preserve">a </w:t>
      </w:r>
      <w:r>
        <w:t>Cycles per patient reported for the Safety population (patients who received any treatment)</w:t>
      </w:r>
      <w:r w:rsidR="0034431B">
        <w:t xml:space="preserve"> in </w:t>
      </w:r>
      <w:proofErr w:type="spellStart"/>
      <w:r>
        <w:t>TheraP</w:t>
      </w:r>
      <w:proofErr w:type="spellEnd"/>
      <w:r>
        <w:t xml:space="preserve"> </w:t>
      </w:r>
      <w:r w:rsidR="0034431B">
        <w:t>(</w:t>
      </w:r>
      <w:r>
        <w:t>N=85</w:t>
      </w:r>
      <w:r w:rsidR="0034431B">
        <w:t>) and</w:t>
      </w:r>
      <w:r>
        <w:t xml:space="preserve"> VISION </w:t>
      </w:r>
      <w:r w:rsidR="0034431B">
        <w:t>(</w:t>
      </w:r>
      <w:r>
        <w:t>N=529</w:t>
      </w:r>
      <w:r w:rsidR="0034431B">
        <w:t>).</w:t>
      </w:r>
    </w:p>
    <w:p w14:paraId="3CCA8B64" w14:textId="77777777" w:rsidR="000F104A" w:rsidRDefault="000F104A" w:rsidP="00783B61">
      <w:pPr>
        <w:pStyle w:val="Tablenotes0"/>
        <w:keepNext/>
      </w:pPr>
      <w:r>
        <w:rPr>
          <w:vertAlign w:val="superscript"/>
        </w:rPr>
        <w:t xml:space="preserve">b </w:t>
      </w:r>
      <w:r>
        <w:t>Interquartile range</w:t>
      </w:r>
    </w:p>
    <w:p w14:paraId="41524CB3" w14:textId="77777777" w:rsidR="000F104A" w:rsidRDefault="000F104A" w:rsidP="00783B61">
      <w:pPr>
        <w:pStyle w:val="Tablenotes0"/>
        <w:keepNext/>
      </w:pPr>
      <w:r w:rsidRPr="007C789C">
        <w:rPr>
          <w:vertAlign w:val="superscript"/>
        </w:rPr>
        <w:t>c</w:t>
      </w:r>
      <w:r>
        <w:rPr>
          <w:vertAlign w:val="superscript"/>
        </w:rPr>
        <w:t xml:space="preserve"> </w:t>
      </w:r>
      <w:r>
        <w:t>159 patients were assessed for a biochemical response</w:t>
      </w:r>
    </w:p>
    <w:p w14:paraId="0D5552E9" w14:textId="57F5F57F" w:rsidR="000F104A" w:rsidRDefault="000F104A" w:rsidP="00783B61">
      <w:pPr>
        <w:pStyle w:val="Tablenotes0"/>
        <w:keepNext/>
      </w:pPr>
      <w:r w:rsidRPr="00573CB4">
        <w:rPr>
          <w:vertAlign w:val="superscript"/>
        </w:rPr>
        <w:t>d</w:t>
      </w:r>
      <w:r>
        <w:rPr>
          <w:vertAlign w:val="superscript"/>
        </w:rPr>
        <w:t xml:space="preserve"> </w:t>
      </w:r>
      <w:r>
        <w:t xml:space="preserve">46 patients received </w:t>
      </w:r>
      <w:r w:rsidR="009F7816">
        <w:t>Lu PSMA</w:t>
      </w:r>
      <w:r>
        <w:t xml:space="preserve"> therapy. However, one patient was excluded as PSA at baseline was undetectable despite a high burden of disease</w:t>
      </w:r>
    </w:p>
    <w:p w14:paraId="1D5A6CFE" w14:textId="77777777" w:rsidR="000F104A" w:rsidRPr="002C255B" w:rsidRDefault="000F104A" w:rsidP="00783B61">
      <w:pPr>
        <w:pStyle w:val="Tablenotes0"/>
        <w:keepNext/>
        <w:rPr>
          <w:i/>
          <w:iCs/>
        </w:rPr>
      </w:pPr>
      <w:r w:rsidRPr="002C255B">
        <w:rPr>
          <w:i/>
          <w:iCs/>
          <w:vertAlign w:val="superscript"/>
        </w:rPr>
        <w:t>e</w:t>
      </w:r>
      <w:r w:rsidRPr="002C255B">
        <w:rPr>
          <w:i/>
          <w:iCs/>
        </w:rPr>
        <w:t xml:space="preserve"> 95% CI around proportions calculated during the evaluation using </w:t>
      </w:r>
      <w:proofErr w:type="spellStart"/>
      <w:r w:rsidRPr="002C255B">
        <w:rPr>
          <w:i/>
          <w:iCs/>
        </w:rPr>
        <w:t>StatsDirect</w:t>
      </w:r>
      <w:proofErr w:type="spellEnd"/>
    </w:p>
    <w:p w14:paraId="31141687" w14:textId="24DD4375" w:rsidR="000F104A" w:rsidRDefault="000F104A" w:rsidP="000F104A">
      <w:pPr>
        <w:pStyle w:val="Tablenotes0"/>
      </w:pPr>
      <w:r>
        <w:t>Abbreviations</w:t>
      </w:r>
      <w:r w:rsidRPr="00745D0E">
        <w:t xml:space="preserve">: </w:t>
      </w:r>
      <w:r w:rsidRPr="00745D0E">
        <w:rPr>
          <w:vertAlign w:val="superscript"/>
        </w:rPr>
        <w:t>177</w:t>
      </w:r>
      <w:r w:rsidR="009F7816">
        <w:t>Lu PSMA</w:t>
      </w:r>
      <w:r w:rsidRPr="00745D0E">
        <w:t xml:space="preserve">, </w:t>
      </w:r>
      <w:r w:rsidRPr="00745D0E">
        <w:rPr>
          <w:vertAlign w:val="superscript"/>
        </w:rPr>
        <w:t>177</w:t>
      </w:r>
      <w:r w:rsidR="007924A0" w:rsidRPr="00745D0E">
        <w:t>l</w:t>
      </w:r>
      <w:r w:rsidRPr="00745D0E">
        <w:t>utetium prostate-specific membrane antigen</w:t>
      </w:r>
      <w:r>
        <w:t xml:space="preserve">; </w:t>
      </w:r>
      <w:r w:rsidRPr="00745D0E">
        <w:t xml:space="preserve">CI, confidence interval; </w:t>
      </w:r>
      <w:proofErr w:type="spellStart"/>
      <w:r>
        <w:t>i&amp;t</w:t>
      </w:r>
      <w:proofErr w:type="spellEnd"/>
      <w:r>
        <w:t xml:space="preserve">, </w:t>
      </w:r>
      <w:proofErr w:type="gramStart"/>
      <w:r>
        <w:t>imaging</w:t>
      </w:r>
      <w:proofErr w:type="gramEnd"/>
      <w:r>
        <w:t xml:space="preserve"> and therapy;</w:t>
      </w:r>
      <w:r w:rsidRPr="00745D0E">
        <w:t xml:space="preserve"> </w:t>
      </w:r>
      <w:r>
        <w:t xml:space="preserve">NR, not reported; </w:t>
      </w:r>
      <w:r w:rsidR="00335EBB">
        <w:t xml:space="preserve">OS, overall survival; PFS, progression-free survival; </w:t>
      </w:r>
      <w:r w:rsidRPr="00745D0E">
        <w:t>PSA</w:t>
      </w:r>
      <w:r>
        <w:t xml:space="preserve">50, </w:t>
      </w:r>
      <w:r w:rsidR="00335EBB">
        <w:t>prostate</w:t>
      </w:r>
      <w:r w:rsidR="007924A0">
        <w:t>-</w:t>
      </w:r>
      <w:r w:rsidR="00335EBB">
        <w:t xml:space="preserve">specific antigen </w:t>
      </w:r>
      <w:r w:rsidRPr="00E8529D">
        <w:t>reduction of 50% or more from baseline</w:t>
      </w:r>
    </w:p>
    <w:p w14:paraId="6AB1131B" w14:textId="17030DA3" w:rsidR="000F104A" w:rsidRPr="007F42D1" w:rsidRDefault="000F104A" w:rsidP="000F104A">
      <w:r>
        <w:t>The ADAR suggest</w:t>
      </w:r>
      <w:r w:rsidR="00975643">
        <w:t>ed</w:t>
      </w:r>
      <w:r>
        <w:t xml:space="preserve"> that the numerically lower PFS and OS results observed for </w:t>
      </w:r>
      <w:r w:rsidRPr="00291FD7">
        <w:rPr>
          <w:vertAlign w:val="superscript"/>
        </w:rPr>
        <w:t>177</w:t>
      </w:r>
      <w:r w:rsidR="009F7816">
        <w:t>Lu </w:t>
      </w:r>
      <w:r w:rsidR="00886914">
        <w:t>PSMA </w:t>
      </w:r>
      <w:proofErr w:type="spellStart"/>
      <w:r w:rsidR="00886914">
        <w:t>i&amp;t</w:t>
      </w:r>
      <w:proofErr w:type="spellEnd"/>
      <w:r>
        <w:t xml:space="preserve"> may be explained by the median doses administered (3.0 versus 5.0 for </w:t>
      </w:r>
      <w:r w:rsidRPr="00291FD7">
        <w:rPr>
          <w:vertAlign w:val="superscript"/>
        </w:rPr>
        <w:t>177</w:t>
      </w:r>
      <w:r w:rsidR="009F7816">
        <w:t>Lu PSMA</w:t>
      </w:r>
      <w:r>
        <w:t>-617).</w:t>
      </w:r>
    </w:p>
    <w:p w14:paraId="2977C791" w14:textId="0A9CA655" w:rsidR="00E85748" w:rsidRPr="005D0BF1" w:rsidRDefault="00E73A3A" w:rsidP="002E7D53">
      <w:r>
        <w:t xml:space="preserve">The commentary </w:t>
      </w:r>
      <w:r w:rsidR="005D0BF1">
        <w:t>suggested</w:t>
      </w:r>
      <w:r>
        <w:t xml:space="preserve"> that </w:t>
      </w:r>
      <w:r w:rsidR="00B82E25" w:rsidRPr="005D0BF1">
        <w:t>MSAC may wish to consider</w:t>
      </w:r>
      <w:r w:rsidR="00B82E25" w:rsidRPr="00E73A3A">
        <w:rPr>
          <w:i/>
          <w:iCs/>
        </w:rPr>
        <w:t xml:space="preserve"> </w:t>
      </w:r>
      <w:r w:rsidR="00B82E25" w:rsidRPr="005D0BF1">
        <w:t xml:space="preserve">whether these biological arguments, together with </w:t>
      </w:r>
      <w:r w:rsidR="00E85748" w:rsidRPr="005D0BF1">
        <w:t xml:space="preserve">a comparison of reported response rates, PFS and OS across </w:t>
      </w:r>
      <w:r w:rsidR="005D0BF1">
        <w:t>different cohorts of patients</w:t>
      </w:r>
      <w:r w:rsidR="00E85748" w:rsidRPr="005D0BF1">
        <w:t xml:space="preserve"> is sufficient </w:t>
      </w:r>
      <w:r w:rsidR="00B82E25" w:rsidRPr="005D0BF1">
        <w:t xml:space="preserve">to support </w:t>
      </w:r>
      <w:r w:rsidR="00E85748" w:rsidRPr="005D0BF1">
        <w:t>a claim of</w:t>
      </w:r>
      <w:r w:rsidR="00B82E25" w:rsidRPr="005D0BF1">
        <w:t xml:space="preserve"> mutual</w:t>
      </w:r>
      <w:r w:rsidR="00E85748" w:rsidRPr="005D0BF1">
        <w:t xml:space="preserve"> non-inferiority, </w:t>
      </w:r>
      <w:r w:rsidR="002732A0" w:rsidRPr="005C5B10">
        <w:t>i.e.,</w:t>
      </w:r>
      <w:r w:rsidR="00E85748" w:rsidRPr="005D0BF1">
        <w:t xml:space="preserve"> patient outcomes are </w:t>
      </w:r>
      <w:r w:rsidR="00B82E25" w:rsidRPr="005D0BF1">
        <w:t xml:space="preserve">sufficiently similar </w:t>
      </w:r>
      <w:r w:rsidR="00E85748" w:rsidRPr="005D0BF1">
        <w:t xml:space="preserve">following treatment with </w:t>
      </w:r>
      <w:r w:rsidR="00B82E25" w:rsidRPr="005D0BF1">
        <w:t xml:space="preserve">either </w:t>
      </w:r>
      <w:r w:rsidR="00E85748" w:rsidRPr="005D0BF1">
        <w:t xml:space="preserve">agent. This needs to be accepted by MSAC </w:t>
      </w:r>
      <w:proofErr w:type="gramStart"/>
      <w:r w:rsidR="00E85748" w:rsidRPr="005D0BF1">
        <w:t>in order for</w:t>
      </w:r>
      <w:proofErr w:type="gramEnd"/>
      <w:r w:rsidR="00E85748" w:rsidRPr="005D0BF1">
        <w:t xml:space="preserve"> the evidence for </w:t>
      </w:r>
      <w:r w:rsidR="00E85748" w:rsidRPr="005D0BF1">
        <w:rPr>
          <w:vertAlign w:val="superscript"/>
        </w:rPr>
        <w:t>177</w:t>
      </w:r>
      <w:r w:rsidR="009F7816">
        <w:t>Lu PSMA</w:t>
      </w:r>
      <w:r w:rsidR="00E85748" w:rsidRPr="005D0BF1">
        <w:t xml:space="preserve">-617 to be considered relevant for </w:t>
      </w:r>
      <w:r w:rsidR="00E85748" w:rsidRPr="005D0BF1">
        <w:rPr>
          <w:vertAlign w:val="superscript"/>
        </w:rPr>
        <w:t>177</w:t>
      </w:r>
      <w:r w:rsidR="009F7816">
        <w:t>Lu </w:t>
      </w:r>
      <w:r w:rsidR="00886914">
        <w:t>PSMA </w:t>
      </w:r>
      <w:proofErr w:type="spellStart"/>
      <w:r w:rsidR="00886914">
        <w:t>i&amp;t</w:t>
      </w:r>
      <w:proofErr w:type="spellEnd"/>
      <w:r w:rsidR="00E85748" w:rsidRPr="005D0BF1">
        <w:t xml:space="preserve"> </w:t>
      </w:r>
      <w:r w:rsidR="00E55675" w:rsidRPr="005D0BF1">
        <w:t xml:space="preserve">or other </w:t>
      </w:r>
      <w:r w:rsidR="00E55675" w:rsidRPr="005D0BF1">
        <w:rPr>
          <w:vertAlign w:val="superscript"/>
        </w:rPr>
        <w:t>177</w:t>
      </w:r>
      <w:r w:rsidR="009F7816">
        <w:t>Lu PSMA</w:t>
      </w:r>
      <w:r w:rsidR="00E55675" w:rsidRPr="005D0BF1">
        <w:t xml:space="preserve"> products </w:t>
      </w:r>
      <w:r w:rsidR="00E85748" w:rsidRPr="005D0BF1">
        <w:t xml:space="preserve">and for subsequent acceptance of the results of the </w:t>
      </w:r>
      <w:r w:rsidR="00F74398">
        <w:t xml:space="preserve">clinical aspects of the </w:t>
      </w:r>
      <w:r w:rsidR="00E85748" w:rsidRPr="005D0BF1">
        <w:t xml:space="preserve">modelled economic evaluation. Ideally, a minimal clinically important difference </w:t>
      </w:r>
      <w:r w:rsidR="007924A0" w:rsidRPr="005D0BF1">
        <w:t xml:space="preserve">(MCID) </w:t>
      </w:r>
      <w:r w:rsidR="00E85748" w:rsidRPr="005D0BF1">
        <w:t xml:space="preserve">in </w:t>
      </w:r>
      <w:r w:rsidR="007924A0" w:rsidRPr="005D0BF1">
        <w:t xml:space="preserve">each outcome </w:t>
      </w:r>
      <w:r w:rsidR="00E85748" w:rsidRPr="005D0BF1">
        <w:t xml:space="preserve">would be nominated </w:t>
      </w:r>
      <w:r w:rsidR="007924A0" w:rsidRPr="005D0BF1">
        <w:t xml:space="preserve">to assist this </w:t>
      </w:r>
      <w:r w:rsidR="00F74398">
        <w:t xml:space="preserve">clinical </w:t>
      </w:r>
      <w:r w:rsidR="007924A0" w:rsidRPr="005D0BF1">
        <w:t>judgement</w:t>
      </w:r>
      <w:r w:rsidR="00E85748" w:rsidRPr="005D0BF1">
        <w:t>.</w:t>
      </w:r>
    </w:p>
    <w:p w14:paraId="2636D963" w14:textId="0589A77E" w:rsidR="000F104A" w:rsidRPr="005D0BF1" w:rsidRDefault="000F104A" w:rsidP="000F104A">
      <w:r w:rsidRPr="005D0BF1">
        <w:t>A further matched analysis</w:t>
      </w:r>
      <w:r w:rsidR="00BB154A">
        <w:rPr>
          <w:rStyle w:val="FootnoteReference"/>
        </w:rPr>
        <w:footnoteReference w:id="5"/>
      </w:r>
      <w:r w:rsidRPr="005D0BF1">
        <w:t xml:space="preserve"> comparing </w:t>
      </w:r>
      <w:r w:rsidRPr="005D0BF1">
        <w:rPr>
          <w:vertAlign w:val="superscript"/>
        </w:rPr>
        <w:t>177</w:t>
      </w:r>
      <w:r w:rsidR="009F7816">
        <w:t>Lu PSMA</w:t>
      </w:r>
      <w:r w:rsidRPr="005D0BF1">
        <w:t xml:space="preserve">-617 (n=55) and </w:t>
      </w:r>
      <w:r w:rsidRPr="005D0BF1">
        <w:rPr>
          <w:vertAlign w:val="superscript"/>
        </w:rPr>
        <w:t>177</w:t>
      </w:r>
      <w:r w:rsidR="009F7816">
        <w:t>Lu </w:t>
      </w:r>
      <w:r w:rsidR="00886914">
        <w:t>PSMA </w:t>
      </w:r>
      <w:proofErr w:type="spellStart"/>
      <w:r w:rsidR="00886914">
        <w:t>i&amp;t</w:t>
      </w:r>
      <w:proofErr w:type="spellEnd"/>
      <w:r w:rsidRPr="005D0BF1">
        <w:t xml:space="preserve"> (n=55) was identified </w:t>
      </w:r>
      <w:r w:rsidR="00E85748" w:rsidRPr="005D0BF1">
        <w:t xml:space="preserve">during the evaluation which </w:t>
      </w:r>
      <w:r w:rsidR="00316AB8" w:rsidRPr="005D0BF1">
        <w:t>appeared to be published after the search conducted for the ADAR.</w:t>
      </w:r>
      <w:r w:rsidRPr="005D0BF1">
        <w:t xml:space="preserve"> The dosing schedule for both </w:t>
      </w:r>
      <w:r w:rsidR="00E85748" w:rsidRPr="005D0BF1">
        <w:t xml:space="preserve">products </w:t>
      </w:r>
      <w:r w:rsidRPr="005D0BF1">
        <w:t xml:space="preserve">differed </w:t>
      </w:r>
      <w:r w:rsidR="00E85748" w:rsidRPr="005D0BF1">
        <w:t>from</w:t>
      </w:r>
      <w:r w:rsidRPr="005D0BF1">
        <w:t xml:space="preserve"> that requested in the ADAR, with administration every 8 weeks and to a maximum of 8 cycles. However, given the matched nature of the study and the reporting of the patient relevant outcome of overall survival, the study </w:t>
      </w:r>
      <w:proofErr w:type="gramStart"/>
      <w:r w:rsidRPr="005D0BF1">
        <w:t>is considered to be</w:t>
      </w:r>
      <w:proofErr w:type="gramEnd"/>
      <w:r w:rsidRPr="005D0BF1">
        <w:t xml:space="preserve"> of value. </w:t>
      </w:r>
      <w:proofErr w:type="spellStart"/>
      <w:r w:rsidRPr="005D0BF1">
        <w:t>Hartrampf</w:t>
      </w:r>
      <w:proofErr w:type="spellEnd"/>
      <w:r w:rsidRPr="005D0BF1">
        <w:t xml:space="preserve"> et al. (2022) reported that OS was 12 months for patients treated with </w:t>
      </w:r>
      <w:r w:rsidRPr="005D0BF1">
        <w:rPr>
          <w:vertAlign w:val="superscript"/>
        </w:rPr>
        <w:t>177</w:t>
      </w:r>
      <w:r w:rsidRPr="005D0BF1">
        <w:t>Lu</w:t>
      </w:r>
      <w:r w:rsidR="00886914">
        <w:t>PSMA </w:t>
      </w:r>
      <w:proofErr w:type="spellStart"/>
      <w:r w:rsidR="00886914">
        <w:t>i&amp;t</w:t>
      </w:r>
      <w:proofErr w:type="spellEnd"/>
      <w:r w:rsidRPr="005D0BF1">
        <w:t xml:space="preserve"> and 13 months for patients treated with </w:t>
      </w:r>
      <w:r w:rsidRPr="005D0BF1">
        <w:rPr>
          <w:vertAlign w:val="superscript"/>
        </w:rPr>
        <w:t>177</w:t>
      </w:r>
      <w:r w:rsidR="009F7816">
        <w:t>Lu PSMA</w:t>
      </w:r>
      <w:r w:rsidRPr="005D0BF1">
        <w:t>-617 (P=0.89), after a median of 3.0 cycles.</w:t>
      </w:r>
    </w:p>
    <w:p w14:paraId="213E77FE" w14:textId="5FF78240" w:rsidR="000F104A" w:rsidRDefault="000F104A" w:rsidP="000F104A">
      <w:pPr>
        <w:rPr>
          <w:u w:val="single"/>
        </w:rPr>
      </w:pPr>
      <w:proofErr w:type="spellStart"/>
      <w:r w:rsidRPr="002C255B">
        <w:lastRenderedPageBreak/>
        <w:t>Schuchardt</w:t>
      </w:r>
      <w:proofErr w:type="spellEnd"/>
      <w:r w:rsidRPr="002C255B">
        <w:t xml:space="preserve"> et al. (2021)</w:t>
      </w:r>
      <w:r w:rsidR="00BB154A">
        <w:rPr>
          <w:rStyle w:val="FootnoteReference"/>
        </w:rPr>
        <w:footnoteReference w:id="6"/>
      </w:r>
      <w:r>
        <w:t xml:space="preserve"> specifically compared the</w:t>
      </w:r>
      <w:r w:rsidRPr="00743AC4">
        <w:t xml:space="preserve"> </w:t>
      </w:r>
      <w:r>
        <w:t xml:space="preserve">kinetics and dosimetry of </w:t>
      </w:r>
      <w:r w:rsidRPr="00C27AED">
        <w:rPr>
          <w:vertAlign w:val="superscript"/>
        </w:rPr>
        <w:t>177</w:t>
      </w:r>
      <w:r w:rsidR="009F7816">
        <w:t>Lu </w:t>
      </w:r>
      <w:r w:rsidR="00886914">
        <w:t>PSMA </w:t>
      </w:r>
      <w:proofErr w:type="spellStart"/>
      <w:r w:rsidR="00886914">
        <w:t>i&amp;t</w:t>
      </w:r>
      <w:proofErr w:type="spellEnd"/>
      <w:r>
        <w:t xml:space="preserve"> and </w:t>
      </w:r>
      <w:r w:rsidRPr="00C27AED">
        <w:rPr>
          <w:vertAlign w:val="superscript"/>
        </w:rPr>
        <w:t>177</w:t>
      </w:r>
      <w:r w:rsidR="009F7816">
        <w:t>Lu PSMA</w:t>
      </w:r>
      <w:r>
        <w:t xml:space="preserve">-617 in a cohort of patients with </w:t>
      </w:r>
      <w:proofErr w:type="spellStart"/>
      <w:r>
        <w:t>mCRPC</w:t>
      </w:r>
      <w:proofErr w:type="spellEnd"/>
      <w:r>
        <w:t xml:space="preserve"> (n=138). </w:t>
      </w:r>
      <w:r w:rsidRPr="009B5CF2">
        <w:rPr>
          <w:vertAlign w:val="superscript"/>
        </w:rPr>
        <w:t>177</w:t>
      </w:r>
      <w:r w:rsidR="009F7816">
        <w:t>Lu PSMA</w:t>
      </w:r>
      <w:r>
        <w:t xml:space="preserve">-617 demonstrated </w:t>
      </w:r>
      <w:r w:rsidR="00761373">
        <w:t xml:space="preserve">a </w:t>
      </w:r>
      <w:r>
        <w:t xml:space="preserve">higher whole body </w:t>
      </w:r>
      <w:r w:rsidR="00761373">
        <w:t>absorbed do</w:t>
      </w:r>
      <w:r w:rsidR="00706748">
        <w:t>s</w:t>
      </w:r>
      <w:r w:rsidR="002146A0">
        <w:t>e</w:t>
      </w:r>
      <w:r w:rsidR="00761373">
        <w:t xml:space="preserve"> </w:t>
      </w:r>
      <w:r>
        <w:t xml:space="preserve">and </w:t>
      </w:r>
      <w:r w:rsidR="00761373">
        <w:t xml:space="preserve">a </w:t>
      </w:r>
      <w:proofErr w:type="gramStart"/>
      <w:r w:rsidR="00761373">
        <w:t xml:space="preserve">higher </w:t>
      </w:r>
      <w:r>
        <w:t>lacrimal glands</w:t>
      </w:r>
      <w:proofErr w:type="gramEnd"/>
      <w:r>
        <w:t xml:space="preserve"> absorbed dose, but </w:t>
      </w:r>
      <w:r w:rsidR="00761373">
        <w:t xml:space="preserve">a </w:t>
      </w:r>
      <w:r>
        <w:t xml:space="preserve">lower renal </w:t>
      </w:r>
      <w:r w:rsidR="00761373">
        <w:t xml:space="preserve">absorbed </w:t>
      </w:r>
      <w:r>
        <w:t xml:space="preserve">dose as compared to </w:t>
      </w:r>
      <w:r w:rsidRPr="009B5CF2">
        <w:rPr>
          <w:vertAlign w:val="superscript"/>
        </w:rPr>
        <w:t>177</w:t>
      </w:r>
      <w:r w:rsidR="009F7816">
        <w:t>Lu </w:t>
      </w:r>
      <w:r w:rsidR="00886914">
        <w:t>PSMA </w:t>
      </w:r>
      <w:proofErr w:type="spellStart"/>
      <w:r w:rsidR="00886914">
        <w:t>i&amp;t</w:t>
      </w:r>
      <w:proofErr w:type="spellEnd"/>
      <w:r>
        <w:t>. This study also demonstrate</w:t>
      </w:r>
      <w:r w:rsidR="001C09FC">
        <w:t>d</w:t>
      </w:r>
      <w:r>
        <w:t xml:space="preserve"> that the tumour doses for </w:t>
      </w:r>
      <w:r w:rsidRPr="007E31FD">
        <w:rPr>
          <w:vertAlign w:val="superscript"/>
        </w:rPr>
        <w:t>177</w:t>
      </w:r>
      <w:r w:rsidR="009F7816">
        <w:t>Lu </w:t>
      </w:r>
      <w:r w:rsidR="00886914">
        <w:t>PSMA </w:t>
      </w:r>
      <w:proofErr w:type="spellStart"/>
      <w:r w:rsidR="00886914">
        <w:t>i&amp;t</w:t>
      </w:r>
      <w:proofErr w:type="spellEnd"/>
      <w:r>
        <w:t xml:space="preserve"> and </w:t>
      </w:r>
      <w:r w:rsidRPr="007E31FD">
        <w:rPr>
          <w:vertAlign w:val="superscript"/>
        </w:rPr>
        <w:t>177</w:t>
      </w:r>
      <w:r w:rsidR="009F7816">
        <w:t>Lu PSMA</w:t>
      </w:r>
      <w:r>
        <w:t>-617 were identical</w:t>
      </w:r>
      <w:r w:rsidR="00761373">
        <w:t>,</w:t>
      </w:r>
      <w:r>
        <w:t xml:space="preserve"> with </w:t>
      </w:r>
      <w:r w:rsidR="00761373">
        <w:t xml:space="preserve">the </w:t>
      </w:r>
      <w:r>
        <w:t>radiation dose delivered not statistically different between the two agents.</w:t>
      </w:r>
    </w:p>
    <w:p w14:paraId="748E1A9F" w14:textId="77777777" w:rsidR="000F104A" w:rsidRDefault="000F104A" w:rsidP="000F104A">
      <w:pPr>
        <w:rPr>
          <w:szCs w:val="20"/>
          <w:u w:val="single"/>
        </w:rPr>
      </w:pPr>
      <w:proofErr w:type="spellStart"/>
      <w:r w:rsidRPr="00F93412">
        <w:rPr>
          <w:szCs w:val="20"/>
          <w:u w:val="single"/>
        </w:rPr>
        <w:t>SUV</w:t>
      </w:r>
      <w:r w:rsidRPr="00F93412">
        <w:rPr>
          <w:szCs w:val="20"/>
          <w:u w:val="single"/>
          <w:vertAlign w:val="subscript"/>
        </w:rPr>
        <w:t>max</w:t>
      </w:r>
      <w:proofErr w:type="spellEnd"/>
      <w:r w:rsidRPr="00F93412">
        <w:rPr>
          <w:szCs w:val="20"/>
          <w:u w:val="single"/>
        </w:rPr>
        <w:t xml:space="preserve"> &gt;15 at a single site of disease and </w:t>
      </w:r>
      <w:proofErr w:type="spellStart"/>
      <w:r w:rsidRPr="00F93412">
        <w:rPr>
          <w:szCs w:val="20"/>
          <w:u w:val="single"/>
        </w:rPr>
        <w:t>SUV</w:t>
      </w:r>
      <w:r w:rsidRPr="00F93412">
        <w:rPr>
          <w:szCs w:val="20"/>
          <w:u w:val="single"/>
          <w:vertAlign w:val="subscript"/>
        </w:rPr>
        <w:t>max</w:t>
      </w:r>
      <w:proofErr w:type="spellEnd"/>
      <w:r w:rsidRPr="00F93412">
        <w:rPr>
          <w:szCs w:val="20"/>
          <w:u w:val="single"/>
        </w:rPr>
        <w:t xml:space="preserve"> &gt;10 at all sites of measurable disease</w:t>
      </w:r>
    </w:p>
    <w:p w14:paraId="0AA02D51" w14:textId="02604AED" w:rsidR="000F104A" w:rsidRPr="005D0BF1" w:rsidRDefault="007D3C94" w:rsidP="008D0A59">
      <w:pPr>
        <w:rPr>
          <w:szCs w:val="20"/>
        </w:rPr>
      </w:pPr>
      <w:r w:rsidRPr="009D0D3A">
        <w:rPr>
          <w:szCs w:val="20"/>
        </w:rPr>
        <w:t>To</w:t>
      </w:r>
      <w:r w:rsidR="000F125F" w:rsidRPr="009D0D3A">
        <w:rPr>
          <w:szCs w:val="20"/>
        </w:rPr>
        <w:t xml:space="preserve"> assess </w:t>
      </w:r>
      <w:r w:rsidRPr="009D0D3A">
        <w:rPr>
          <w:szCs w:val="20"/>
        </w:rPr>
        <w:t xml:space="preserve">the choice of </w:t>
      </w:r>
      <w:proofErr w:type="spellStart"/>
      <w:r w:rsidR="000F125F" w:rsidRPr="009D0D3A">
        <w:rPr>
          <w:szCs w:val="20"/>
        </w:rPr>
        <w:t>SUV</w:t>
      </w:r>
      <w:r w:rsidR="000F125F" w:rsidRPr="009D0D3A">
        <w:rPr>
          <w:szCs w:val="20"/>
          <w:vertAlign w:val="subscript"/>
        </w:rPr>
        <w:t>max</w:t>
      </w:r>
      <w:proofErr w:type="spellEnd"/>
      <w:r w:rsidR="000F125F" w:rsidRPr="009D0D3A">
        <w:rPr>
          <w:szCs w:val="20"/>
          <w:vertAlign w:val="subscript"/>
        </w:rPr>
        <w:t xml:space="preserve"> </w:t>
      </w:r>
      <w:r w:rsidR="000F125F" w:rsidRPr="009D0D3A">
        <w:rPr>
          <w:szCs w:val="20"/>
        </w:rPr>
        <w:t>threshold, t</w:t>
      </w:r>
      <w:r w:rsidR="000F104A" w:rsidRPr="009D0D3A">
        <w:rPr>
          <w:szCs w:val="20"/>
        </w:rPr>
        <w:t>he ADAR similar</w:t>
      </w:r>
      <w:r w:rsidR="000F125F" w:rsidRPr="009D0D3A">
        <w:rPr>
          <w:szCs w:val="20"/>
        </w:rPr>
        <w:t>ly</w:t>
      </w:r>
      <w:r w:rsidR="000F104A" w:rsidRPr="009D0D3A">
        <w:rPr>
          <w:szCs w:val="20"/>
        </w:rPr>
        <w:t xml:space="preserve"> compar</w:t>
      </w:r>
      <w:r w:rsidR="000F125F" w:rsidRPr="009D0D3A">
        <w:rPr>
          <w:szCs w:val="20"/>
        </w:rPr>
        <w:t>ed</w:t>
      </w:r>
      <w:r w:rsidR="000F104A" w:rsidRPr="009D0D3A">
        <w:rPr>
          <w:szCs w:val="20"/>
        </w:rPr>
        <w:t xml:space="preserve"> response rates, PFS and OS</w:t>
      </w:r>
      <w:r w:rsidRPr="009D0D3A">
        <w:rPr>
          <w:szCs w:val="20"/>
        </w:rPr>
        <w:t xml:space="preserve"> </w:t>
      </w:r>
      <w:r w:rsidRPr="009D0D3A">
        <w:t>across single arms f</w:t>
      </w:r>
      <w:r w:rsidR="00EC7EBE" w:rsidRPr="009D0D3A">
        <w:t>rom</w:t>
      </w:r>
      <w:r w:rsidRPr="009D0D3A">
        <w:t xml:space="preserve"> studies</w:t>
      </w:r>
      <w:r w:rsidR="000F104A" w:rsidRPr="009D0D3A">
        <w:rPr>
          <w:szCs w:val="20"/>
        </w:rPr>
        <w:t xml:space="preserve">, see </w:t>
      </w:r>
      <w:r w:rsidR="000F104A" w:rsidRPr="00AE6927">
        <w:rPr>
          <w:szCs w:val="20"/>
        </w:rPr>
        <w:fldChar w:fldCharType="begin"/>
      </w:r>
      <w:r w:rsidR="000F104A" w:rsidRPr="009D0D3A">
        <w:rPr>
          <w:szCs w:val="20"/>
        </w:rPr>
        <w:instrText xml:space="preserve"> REF _Ref69725820 \h </w:instrText>
      </w:r>
      <w:r w:rsidR="009D0D3A" w:rsidRPr="005D0BF1">
        <w:rPr>
          <w:szCs w:val="20"/>
        </w:rPr>
        <w:instrText xml:space="preserve"> \* MERGEFORMAT </w:instrText>
      </w:r>
      <w:r w:rsidR="000F104A" w:rsidRPr="00AE6927">
        <w:rPr>
          <w:szCs w:val="20"/>
        </w:rPr>
      </w:r>
      <w:r w:rsidR="000F104A" w:rsidRPr="00AE6927">
        <w:rPr>
          <w:szCs w:val="20"/>
        </w:rPr>
        <w:fldChar w:fldCharType="separate"/>
      </w:r>
      <w:r w:rsidR="000F104A" w:rsidRPr="009D0D3A">
        <w:t>Table </w:t>
      </w:r>
      <w:r w:rsidR="000F104A" w:rsidRPr="009D0D3A">
        <w:rPr>
          <w:noProof/>
        </w:rPr>
        <w:t>5</w:t>
      </w:r>
      <w:r w:rsidR="000F104A" w:rsidRPr="00AE6927">
        <w:rPr>
          <w:szCs w:val="20"/>
        </w:rPr>
        <w:fldChar w:fldCharType="end"/>
      </w:r>
      <w:r w:rsidR="000F104A" w:rsidRPr="009D0D3A">
        <w:rPr>
          <w:szCs w:val="20"/>
        </w:rPr>
        <w:t>.</w:t>
      </w:r>
      <w:r w:rsidR="000F104A" w:rsidRPr="009D0D3A">
        <w:rPr>
          <w:szCs w:val="20"/>
          <w:vertAlign w:val="subscript"/>
        </w:rPr>
        <w:t xml:space="preserve"> </w:t>
      </w:r>
      <w:r w:rsidR="000F104A" w:rsidRPr="009D0D3A">
        <w:rPr>
          <w:szCs w:val="20"/>
        </w:rPr>
        <w:t xml:space="preserve">The ADAR stated that this demonstrated that using an </w:t>
      </w:r>
      <w:proofErr w:type="spellStart"/>
      <w:r w:rsidR="000F104A" w:rsidRPr="009D0D3A">
        <w:rPr>
          <w:szCs w:val="20"/>
        </w:rPr>
        <w:t>SUV</w:t>
      </w:r>
      <w:r w:rsidR="000F104A" w:rsidRPr="009D0D3A">
        <w:rPr>
          <w:szCs w:val="20"/>
          <w:vertAlign w:val="subscript"/>
        </w:rPr>
        <w:t>max</w:t>
      </w:r>
      <w:proofErr w:type="spellEnd"/>
      <w:r w:rsidR="000F104A" w:rsidRPr="009D0D3A">
        <w:rPr>
          <w:szCs w:val="20"/>
        </w:rPr>
        <w:t xml:space="preserve"> threshold of ≥5 compared to &gt;15 is significant but is only marginal for &gt;15 compared to ≥20.</w:t>
      </w:r>
      <w:r w:rsidR="00AC7060" w:rsidRPr="009D0D3A">
        <w:rPr>
          <w:szCs w:val="20"/>
        </w:rPr>
        <w:t xml:space="preserve"> </w:t>
      </w:r>
      <w:bookmarkStart w:id="25" w:name="_Hlk102921595"/>
      <w:r w:rsidR="00AC7060" w:rsidRPr="005D0BF1">
        <w:rPr>
          <w:szCs w:val="20"/>
        </w:rPr>
        <w:t xml:space="preserve">The ADAR oversimplified the eligibility criteria of the studies. Only </w:t>
      </w:r>
      <w:proofErr w:type="spellStart"/>
      <w:r w:rsidR="00AC7060" w:rsidRPr="005D0BF1">
        <w:rPr>
          <w:szCs w:val="20"/>
        </w:rPr>
        <w:t>TheraP</w:t>
      </w:r>
      <w:proofErr w:type="spellEnd"/>
      <w:r w:rsidR="00AC7060" w:rsidRPr="005D0BF1">
        <w:rPr>
          <w:szCs w:val="20"/>
        </w:rPr>
        <w:t xml:space="preserve"> specified </w:t>
      </w:r>
      <w:proofErr w:type="spellStart"/>
      <w:r w:rsidR="00AC7060" w:rsidRPr="005D0BF1">
        <w:rPr>
          <w:szCs w:val="20"/>
        </w:rPr>
        <w:t>SUV</w:t>
      </w:r>
      <w:r w:rsidR="00AC7060" w:rsidRPr="005D0BF1">
        <w:rPr>
          <w:szCs w:val="20"/>
          <w:vertAlign w:val="subscript"/>
        </w:rPr>
        <w:t>max</w:t>
      </w:r>
      <w:proofErr w:type="spellEnd"/>
      <w:r w:rsidR="00AC7060" w:rsidRPr="005D0BF1">
        <w:rPr>
          <w:szCs w:val="20"/>
        </w:rPr>
        <w:t xml:space="preserve"> at the disease site versus sites of all measurable disease</w:t>
      </w:r>
      <w:r w:rsidR="008D0A59" w:rsidRPr="005D0BF1">
        <w:rPr>
          <w:szCs w:val="20"/>
        </w:rPr>
        <w:t>,</w:t>
      </w:r>
      <w:r w:rsidR="00AC7060" w:rsidRPr="005D0BF1">
        <w:rPr>
          <w:szCs w:val="20"/>
        </w:rPr>
        <w:t xml:space="preserve"> </w:t>
      </w:r>
      <w:r w:rsidR="008D0A59" w:rsidRPr="005D0BF1">
        <w:rPr>
          <w:szCs w:val="20"/>
        </w:rPr>
        <w:t>“</w:t>
      </w:r>
      <w:proofErr w:type="spellStart"/>
      <w:r w:rsidR="008D0A59" w:rsidRPr="005D0BF1">
        <w:rPr>
          <w:szCs w:val="20"/>
        </w:rPr>
        <w:t>SUV</w:t>
      </w:r>
      <w:r w:rsidR="008D0A59" w:rsidRPr="005D0BF1">
        <w:rPr>
          <w:szCs w:val="20"/>
          <w:vertAlign w:val="subscript"/>
        </w:rPr>
        <w:t>max</w:t>
      </w:r>
      <w:proofErr w:type="spellEnd"/>
      <w:r w:rsidR="008D0A59" w:rsidRPr="005D0BF1">
        <w:rPr>
          <w:szCs w:val="20"/>
        </w:rPr>
        <w:t xml:space="preserve"> of at least 20 at a site of disease and greater than 10 at all other measurable sites of metastatic disease”. </w:t>
      </w:r>
      <w:r w:rsidR="00AC7060" w:rsidRPr="005D0BF1">
        <w:rPr>
          <w:szCs w:val="20"/>
        </w:rPr>
        <w:t>Emmet</w:t>
      </w:r>
      <w:r w:rsidR="002B710F" w:rsidRPr="005D0BF1">
        <w:rPr>
          <w:szCs w:val="20"/>
        </w:rPr>
        <w:t>t</w:t>
      </w:r>
      <w:r w:rsidR="00AC7060" w:rsidRPr="005D0BF1">
        <w:rPr>
          <w:szCs w:val="20"/>
        </w:rPr>
        <w:t xml:space="preserve"> (2019)</w:t>
      </w:r>
      <w:r w:rsidR="00695E5A">
        <w:rPr>
          <w:rStyle w:val="FootnoteReference"/>
          <w:szCs w:val="20"/>
        </w:rPr>
        <w:footnoteReference w:id="7"/>
      </w:r>
      <w:r w:rsidR="00AC7060" w:rsidRPr="005D0BF1">
        <w:rPr>
          <w:szCs w:val="20"/>
        </w:rPr>
        <w:t xml:space="preserve"> specified “PSMA intensity at metastatic sites that was greater than or equal to that of their liver uptake”; VISION specified “uptake greater than that of liver parenchyma in one or more metastatic lesions of any size in any organ system”; </w:t>
      </w:r>
      <w:proofErr w:type="spellStart"/>
      <w:r w:rsidR="00AC7060" w:rsidRPr="005D0BF1">
        <w:rPr>
          <w:szCs w:val="20"/>
        </w:rPr>
        <w:t>Hofman</w:t>
      </w:r>
      <w:proofErr w:type="spellEnd"/>
      <w:r w:rsidR="00AC7060" w:rsidRPr="005D0BF1">
        <w:rPr>
          <w:szCs w:val="20"/>
        </w:rPr>
        <w:t xml:space="preserve"> (2018) specified “site of metastatic disease with intensity significantly greater than normal liver (</w:t>
      </w:r>
      <w:proofErr w:type="spellStart"/>
      <w:r w:rsidR="00AC7060" w:rsidRPr="005D0BF1">
        <w:rPr>
          <w:szCs w:val="20"/>
        </w:rPr>
        <w:t>SUV</w:t>
      </w:r>
      <w:r w:rsidR="00AC7060" w:rsidRPr="005D0BF1">
        <w:rPr>
          <w:szCs w:val="20"/>
          <w:vertAlign w:val="subscript"/>
        </w:rPr>
        <w:t>max</w:t>
      </w:r>
      <w:proofErr w:type="spellEnd"/>
      <w:r w:rsidR="00AC7060" w:rsidRPr="005D0BF1">
        <w:rPr>
          <w:szCs w:val="20"/>
          <w:vertAlign w:val="subscript"/>
        </w:rPr>
        <w:t xml:space="preserve"> </w:t>
      </w:r>
      <w:r w:rsidR="00AC7060" w:rsidRPr="005D0BF1">
        <w:rPr>
          <w:szCs w:val="20"/>
        </w:rPr>
        <w:t xml:space="preserve">of tumour involvement at least 1·5 times SUV of liver”; and </w:t>
      </w:r>
      <w:proofErr w:type="spellStart"/>
      <w:r w:rsidR="00AC7060" w:rsidRPr="005D0BF1">
        <w:rPr>
          <w:szCs w:val="20"/>
        </w:rPr>
        <w:t>LuPIN</w:t>
      </w:r>
      <w:proofErr w:type="spellEnd"/>
      <w:r w:rsidR="00AC7060" w:rsidRPr="005D0BF1">
        <w:rPr>
          <w:szCs w:val="20"/>
        </w:rPr>
        <w:t xml:space="preserve"> specified “</w:t>
      </w:r>
      <w:proofErr w:type="spellStart"/>
      <w:r w:rsidR="00AC7060" w:rsidRPr="005D0BF1">
        <w:rPr>
          <w:szCs w:val="20"/>
        </w:rPr>
        <w:t>SUV</w:t>
      </w:r>
      <w:r w:rsidR="00AC7060" w:rsidRPr="005D0BF1">
        <w:rPr>
          <w:szCs w:val="20"/>
          <w:vertAlign w:val="subscript"/>
        </w:rPr>
        <w:t>max</w:t>
      </w:r>
      <w:proofErr w:type="spellEnd"/>
      <w:r w:rsidR="00AC7060" w:rsidRPr="005D0BF1">
        <w:rPr>
          <w:szCs w:val="20"/>
        </w:rPr>
        <w:t xml:space="preserve"> &gt;15 on PSMA PET at ≥1 site, an </w:t>
      </w:r>
      <w:proofErr w:type="spellStart"/>
      <w:r w:rsidR="00AC7060" w:rsidRPr="005D0BF1">
        <w:rPr>
          <w:szCs w:val="20"/>
        </w:rPr>
        <w:t>SUV</w:t>
      </w:r>
      <w:r w:rsidR="00AC7060" w:rsidRPr="005D0BF1">
        <w:rPr>
          <w:szCs w:val="20"/>
          <w:vertAlign w:val="subscript"/>
        </w:rPr>
        <w:t>max</w:t>
      </w:r>
      <w:proofErr w:type="spellEnd"/>
      <w:r w:rsidR="00AC7060" w:rsidRPr="005D0BF1">
        <w:rPr>
          <w:szCs w:val="20"/>
        </w:rPr>
        <w:t xml:space="preserve"> &gt;10 at all measurable sites”. Further, all studies except VISION also required there be no significant site with PSMA-negative/FDG-positive discordant disease.</w:t>
      </w:r>
      <w:bookmarkEnd w:id="25"/>
    </w:p>
    <w:p w14:paraId="3DF7311A" w14:textId="084FF29C" w:rsidR="000F104A" w:rsidRPr="00761373" w:rsidRDefault="000F104A" w:rsidP="000F104A">
      <w:pPr>
        <w:pStyle w:val="Caption"/>
      </w:pPr>
      <w:bookmarkStart w:id="26" w:name="_Ref92884908"/>
      <w:r w:rsidRPr="00761373">
        <w:t xml:space="preserve">Table </w:t>
      </w:r>
      <w:r w:rsidR="008440F9">
        <w:fldChar w:fldCharType="begin"/>
      </w:r>
      <w:r w:rsidR="008440F9">
        <w:instrText xml:space="preserve"> SEQ Table \* ARABIC </w:instrText>
      </w:r>
      <w:r w:rsidR="008440F9">
        <w:fldChar w:fldCharType="separate"/>
      </w:r>
      <w:r w:rsidR="00364E19">
        <w:rPr>
          <w:noProof/>
        </w:rPr>
        <w:t>5</w:t>
      </w:r>
      <w:r w:rsidR="008440F9">
        <w:rPr>
          <w:noProof/>
        </w:rPr>
        <w:fldChar w:fldCharType="end"/>
      </w:r>
      <w:bookmarkEnd w:id="26"/>
      <w:r w:rsidRPr="00761373">
        <w:tab/>
        <w:t xml:space="preserve">Comparison of outcomes for patients treated with </w:t>
      </w:r>
      <w:r w:rsidRPr="00761373">
        <w:rPr>
          <w:vertAlign w:val="superscript"/>
        </w:rPr>
        <w:t>177</w:t>
      </w:r>
      <w:r w:rsidR="009F7816">
        <w:t>Lu PSMA</w:t>
      </w:r>
      <w:r w:rsidRPr="00761373">
        <w:t xml:space="preserve">-617, by </w:t>
      </w:r>
      <w:proofErr w:type="spellStart"/>
      <w:r w:rsidRPr="00761373">
        <w:t>SUV</w:t>
      </w:r>
      <w:r w:rsidRPr="00761373">
        <w:rPr>
          <w:vertAlign w:val="subscript"/>
        </w:rPr>
        <w:t>max</w:t>
      </w:r>
      <w:proofErr w:type="spellEnd"/>
      <w:r w:rsidRPr="00761373">
        <w:t xml:space="preserve"> threshold adopted</w:t>
      </w:r>
    </w:p>
    <w:tbl>
      <w:tblPr>
        <w:tblStyle w:val="TableGrid"/>
        <w:tblW w:w="9351" w:type="dxa"/>
        <w:tblCellMar>
          <w:left w:w="28" w:type="dxa"/>
          <w:right w:w="28" w:type="dxa"/>
        </w:tblCellMar>
        <w:tblLook w:val="04A0" w:firstRow="1" w:lastRow="0" w:firstColumn="1" w:lastColumn="0" w:noHBand="0" w:noVBand="1"/>
      </w:tblPr>
      <w:tblGrid>
        <w:gridCol w:w="1264"/>
        <w:gridCol w:w="1283"/>
        <w:gridCol w:w="709"/>
        <w:gridCol w:w="992"/>
        <w:gridCol w:w="850"/>
        <w:gridCol w:w="1843"/>
        <w:gridCol w:w="1134"/>
        <w:gridCol w:w="1276"/>
      </w:tblGrid>
      <w:tr w:rsidR="0002271C" w:rsidRPr="003315F9" w14:paraId="06DC6130" w14:textId="77777777" w:rsidTr="00685D16">
        <w:trPr>
          <w:trHeight w:val="700"/>
        </w:trPr>
        <w:tc>
          <w:tcPr>
            <w:tcW w:w="1264" w:type="dxa"/>
            <w:vAlign w:val="center"/>
          </w:tcPr>
          <w:p w14:paraId="4F238085" w14:textId="1E86E594" w:rsidR="003315F9" w:rsidRPr="003315F9" w:rsidRDefault="0002271C" w:rsidP="00783B61">
            <w:pPr>
              <w:pStyle w:val="Tablenotes"/>
              <w:keepNext/>
              <w:spacing w:before="40" w:after="40"/>
              <w:rPr>
                <w:b/>
                <w:bCs/>
                <w:snapToGrid/>
                <w:sz w:val="20"/>
                <w:szCs w:val="22"/>
              </w:rPr>
            </w:pPr>
            <w:bookmarkStart w:id="27" w:name="_Hlk102921619"/>
            <w:r w:rsidRPr="003315F9">
              <w:rPr>
                <w:b/>
                <w:bCs/>
                <w:snapToGrid/>
                <w:sz w:val="20"/>
                <w:szCs w:val="22"/>
              </w:rPr>
              <w:t>Trial/Study</w:t>
            </w:r>
          </w:p>
        </w:tc>
        <w:tc>
          <w:tcPr>
            <w:tcW w:w="1283" w:type="dxa"/>
            <w:vAlign w:val="center"/>
          </w:tcPr>
          <w:p w14:paraId="5F6A001F" w14:textId="423A9163" w:rsidR="0002271C" w:rsidRPr="002854E7" w:rsidRDefault="0002271C" w:rsidP="00783B61">
            <w:pPr>
              <w:pStyle w:val="Tablenotes"/>
              <w:keepNext/>
              <w:spacing w:before="40" w:after="40"/>
              <w:jc w:val="center"/>
              <w:rPr>
                <w:b/>
                <w:bCs/>
                <w:snapToGrid/>
                <w:sz w:val="20"/>
                <w:szCs w:val="22"/>
                <w:vertAlign w:val="superscript"/>
              </w:rPr>
            </w:pPr>
            <w:proofErr w:type="spellStart"/>
            <w:r w:rsidRPr="002854E7">
              <w:rPr>
                <w:b/>
                <w:bCs/>
                <w:snapToGrid/>
                <w:sz w:val="20"/>
                <w:szCs w:val="22"/>
              </w:rPr>
              <w:t>SUV</w:t>
            </w:r>
            <w:r w:rsidRPr="002854E7">
              <w:rPr>
                <w:b/>
                <w:bCs/>
                <w:snapToGrid/>
                <w:sz w:val="20"/>
                <w:szCs w:val="22"/>
                <w:vertAlign w:val="subscript"/>
              </w:rPr>
              <w:t>max</w:t>
            </w:r>
            <w:r w:rsidRPr="002854E7">
              <w:rPr>
                <w:b/>
                <w:bCs/>
                <w:snapToGrid/>
                <w:sz w:val="20"/>
                <w:szCs w:val="22"/>
                <w:vertAlign w:val="superscript"/>
              </w:rPr>
              <w:t>a</w:t>
            </w:r>
            <w:proofErr w:type="spellEnd"/>
          </w:p>
        </w:tc>
        <w:tc>
          <w:tcPr>
            <w:tcW w:w="709" w:type="dxa"/>
            <w:vAlign w:val="center"/>
          </w:tcPr>
          <w:p w14:paraId="0B7118D9" w14:textId="2190DC83" w:rsidR="0002271C" w:rsidRPr="002004CD" w:rsidRDefault="0002271C" w:rsidP="00783B61">
            <w:pPr>
              <w:pStyle w:val="Tablenotes"/>
              <w:keepNext/>
              <w:spacing w:before="40" w:after="40"/>
              <w:jc w:val="center"/>
              <w:rPr>
                <w:b/>
                <w:bCs/>
                <w:i/>
                <w:iCs/>
                <w:snapToGrid/>
                <w:sz w:val="20"/>
                <w:szCs w:val="22"/>
              </w:rPr>
            </w:pPr>
            <w:r w:rsidRPr="002004CD">
              <w:rPr>
                <w:b/>
                <w:bCs/>
                <w:i/>
                <w:iCs/>
                <w:snapToGrid/>
                <w:sz w:val="20"/>
                <w:szCs w:val="22"/>
              </w:rPr>
              <w:t>FDG PET/CT</w:t>
            </w:r>
          </w:p>
        </w:tc>
        <w:tc>
          <w:tcPr>
            <w:tcW w:w="992" w:type="dxa"/>
            <w:vAlign w:val="center"/>
          </w:tcPr>
          <w:p w14:paraId="2D97A65C" w14:textId="3529460C" w:rsidR="0002271C" w:rsidRPr="003315F9" w:rsidRDefault="0002271C" w:rsidP="00783B61">
            <w:pPr>
              <w:pStyle w:val="Tablenotes"/>
              <w:keepNext/>
              <w:spacing w:before="40" w:after="40"/>
              <w:jc w:val="center"/>
              <w:rPr>
                <w:b/>
                <w:bCs/>
                <w:snapToGrid/>
                <w:sz w:val="20"/>
                <w:szCs w:val="22"/>
              </w:rPr>
            </w:pPr>
            <w:r w:rsidRPr="003315F9">
              <w:rPr>
                <w:b/>
                <w:bCs/>
                <w:snapToGrid/>
                <w:sz w:val="20"/>
                <w:szCs w:val="22"/>
              </w:rPr>
              <w:t>Median follow-up, months</w:t>
            </w:r>
          </w:p>
        </w:tc>
        <w:tc>
          <w:tcPr>
            <w:tcW w:w="850" w:type="dxa"/>
            <w:vAlign w:val="center"/>
          </w:tcPr>
          <w:p w14:paraId="2DD5D131" w14:textId="77777777" w:rsidR="0002271C" w:rsidRPr="003315F9" w:rsidRDefault="0002271C" w:rsidP="00783B61">
            <w:pPr>
              <w:pStyle w:val="Tablenotes"/>
              <w:keepNext/>
              <w:spacing w:before="40" w:after="40"/>
              <w:jc w:val="center"/>
              <w:rPr>
                <w:b/>
                <w:bCs/>
                <w:snapToGrid/>
                <w:sz w:val="20"/>
                <w:szCs w:val="22"/>
              </w:rPr>
            </w:pPr>
            <w:r w:rsidRPr="003315F9">
              <w:rPr>
                <w:b/>
                <w:bCs/>
                <w:snapToGrid/>
                <w:sz w:val="20"/>
                <w:szCs w:val="22"/>
              </w:rPr>
              <w:t>Median (max) doses</w:t>
            </w:r>
          </w:p>
        </w:tc>
        <w:tc>
          <w:tcPr>
            <w:tcW w:w="1843" w:type="dxa"/>
            <w:vAlign w:val="center"/>
          </w:tcPr>
          <w:p w14:paraId="7EC7205C" w14:textId="77777777" w:rsidR="0002271C" w:rsidRPr="003315F9" w:rsidRDefault="0002271C" w:rsidP="00783B61">
            <w:pPr>
              <w:pStyle w:val="Tablenotes"/>
              <w:keepNext/>
              <w:spacing w:before="40" w:after="40"/>
              <w:jc w:val="center"/>
              <w:rPr>
                <w:b/>
                <w:bCs/>
                <w:snapToGrid/>
                <w:sz w:val="20"/>
                <w:szCs w:val="22"/>
              </w:rPr>
            </w:pPr>
            <w:r w:rsidRPr="003315F9">
              <w:rPr>
                <w:b/>
                <w:bCs/>
                <w:snapToGrid/>
                <w:sz w:val="20"/>
                <w:szCs w:val="22"/>
              </w:rPr>
              <w:t>PSA50</w:t>
            </w:r>
          </w:p>
          <w:p w14:paraId="38316847" w14:textId="77777777" w:rsidR="0002271C" w:rsidRPr="003315F9" w:rsidRDefault="0002271C" w:rsidP="00783B61">
            <w:pPr>
              <w:pStyle w:val="Tablenotes"/>
              <w:keepNext/>
              <w:spacing w:before="40" w:after="40"/>
              <w:jc w:val="center"/>
              <w:rPr>
                <w:b/>
                <w:bCs/>
                <w:snapToGrid/>
                <w:sz w:val="20"/>
                <w:szCs w:val="22"/>
              </w:rPr>
            </w:pPr>
            <w:r w:rsidRPr="003315F9">
              <w:rPr>
                <w:b/>
                <w:bCs/>
                <w:snapToGrid/>
                <w:sz w:val="20"/>
                <w:szCs w:val="22"/>
              </w:rPr>
              <w:t>n/N (%) [95% CI]</w:t>
            </w:r>
          </w:p>
        </w:tc>
        <w:tc>
          <w:tcPr>
            <w:tcW w:w="1134" w:type="dxa"/>
            <w:vAlign w:val="center"/>
          </w:tcPr>
          <w:p w14:paraId="5A7A3333" w14:textId="77777777" w:rsidR="0002271C" w:rsidRPr="003315F9" w:rsidRDefault="0002271C" w:rsidP="00783B61">
            <w:pPr>
              <w:pStyle w:val="Tablenotes"/>
              <w:keepNext/>
              <w:spacing w:before="40" w:after="40"/>
              <w:jc w:val="center"/>
              <w:rPr>
                <w:b/>
                <w:bCs/>
                <w:snapToGrid/>
                <w:sz w:val="20"/>
                <w:szCs w:val="22"/>
              </w:rPr>
            </w:pPr>
            <w:r w:rsidRPr="003315F9">
              <w:rPr>
                <w:b/>
                <w:bCs/>
                <w:snapToGrid/>
                <w:sz w:val="20"/>
                <w:szCs w:val="22"/>
              </w:rPr>
              <w:t>PFS, months</w:t>
            </w:r>
          </w:p>
          <w:p w14:paraId="1D0B0957" w14:textId="77777777" w:rsidR="0002271C" w:rsidRPr="003315F9" w:rsidRDefault="0002271C" w:rsidP="00783B61">
            <w:pPr>
              <w:pStyle w:val="Tablenotes"/>
              <w:keepNext/>
              <w:spacing w:before="40" w:after="40"/>
              <w:jc w:val="center"/>
              <w:rPr>
                <w:b/>
                <w:bCs/>
                <w:snapToGrid/>
                <w:sz w:val="20"/>
                <w:szCs w:val="22"/>
              </w:rPr>
            </w:pPr>
            <w:r w:rsidRPr="003315F9">
              <w:rPr>
                <w:b/>
                <w:bCs/>
                <w:snapToGrid/>
                <w:sz w:val="20"/>
                <w:szCs w:val="22"/>
              </w:rPr>
              <w:t>[95% CI]</w:t>
            </w:r>
          </w:p>
        </w:tc>
        <w:tc>
          <w:tcPr>
            <w:tcW w:w="1276" w:type="dxa"/>
            <w:vAlign w:val="center"/>
          </w:tcPr>
          <w:p w14:paraId="4B7211F7" w14:textId="77777777" w:rsidR="0002271C" w:rsidRPr="003315F9" w:rsidRDefault="0002271C" w:rsidP="00783B61">
            <w:pPr>
              <w:pStyle w:val="Tablenotes"/>
              <w:keepNext/>
              <w:spacing w:before="40" w:after="40"/>
              <w:jc w:val="center"/>
              <w:rPr>
                <w:b/>
                <w:bCs/>
                <w:snapToGrid/>
                <w:sz w:val="20"/>
                <w:szCs w:val="22"/>
              </w:rPr>
            </w:pPr>
            <w:r w:rsidRPr="003315F9">
              <w:rPr>
                <w:b/>
                <w:bCs/>
                <w:snapToGrid/>
                <w:sz w:val="20"/>
                <w:szCs w:val="22"/>
              </w:rPr>
              <w:t>OS, months</w:t>
            </w:r>
          </w:p>
          <w:p w14:paraId="722815E2" w14:textId="5C184ED8" w:rsidR="0002271C" w:rsidRPr="003315F9" w:rsidRDefault="0002271C" w:rsidP="00783B61">
            <w:pPr>
              <w:pStyle w:val="Tablenotes"/>
              <w:keepNext/>
              <w:spacing w:before="40" w:after="40"/>
              <w:jc w:val="center"/>
              <w:rPr>
                <w:b/>
                <w:bCs/>
                <w:snapToGrid/>
                <w:sz w:val="20"/>
                <w:szCs w:val="22"/>
              </w:rPr>
            </w:pPr>
            <w:r w:rsidRPr="003315F9">
              <w:rPr>
                <w:b/>
                <w:bCs/>
                <w:snapToGrid/>
                <w:sz w:val="20"/>
                <w:szCs w:val="22"/>
              </w:rPr>
              <w:t>[95% CI]</w:t>
            </w:r>
          </w:p>
        </w:tc>
      </w:tr>
      <w:tr w:rsidR="00095A01" w:rsidRPr="003315F9" w14:paraId="75B3E090" w14:textId="77777777" w:rsidTr="002004CD">
        <w:tc>
          <w:tcPr>
            <w:tcW w:w="1264" w:type="dxa"/>
            <w:vAlign w:val="center"/>
          </w:tcPr>
          <w:p w14:paraId="4F891912" w14:textId="2640F531" w:rsidR="003315F9" w:rsidRPr="003315F9" w:rsidRDefault="00856264" w:rsidP="00783B61">
            <w:pPr>
              <w:pStyle w:val="Tablenotes"/>
              <w:keepNext/>
              <w:spacing w:before="40" w:after="40"/>
              <w:rPr>
                <w:snapToGrid/>
                <w:sz w:val="20"/>
                <w:szCs w:val="22"/>
              </w:rPr>
            </w:pPr>
            <w:r w:rsidRPr="003315F9">
              <w:rPr>
                <w:snapToGrid/>
                <w:sz w:val="20"/>
                <w:szCs w:val="22"/>
              </w:rPr>
              <w:t>Emmett (2019)</w:t>
            </w:r>
          </w:p>
        </w:tc>
        <w:tc>
          <w:tcPr>
            <w:tcW w:w="1283" w:type="dxa"/>
            <w:vAlign w:val="center"/>
          </w:tcPr>
          <w:p w14:paraId="389096D0" w14:textId="6D57511E" w:rsidR="00856264" w:rsidRPr="002854E7" w:rsidRDefault="00856264" w:rsidP="00783B61">
            <w:pPr>
              <w:pStyle w:val="Tablenotes"/>
              <w:keepNext/>
              <w:spacing w:before="40" w:after="40"/>
              <w:ind w:left="29"/>
              <w:jc w:val="center"/>
              <w:rPr>
                <w:snapToGrid/>
                <w:sz w:val="20"/>
                <w:szCs w:val="22"/>
                <w:vertAlign w:val="superscript"/>
              </w:rPr>
            </w:pPr>
            <w:r w:rsidRPr="002854E7">
              <w:rPr>
                <w:snapToGrid/>
                <w:sz w:val="20"/>
                <w:szCs w:val="22"/>
              </w:rPr>
              <w:t>≥5</w:t>
            </w:r>
            <w:r w:rsidR="0002271C" w:rsidRPr="002854E7">
              <w:rPr>
                <w:snapToGrid/>
                <w:sz w:val="20"/>
                <w:szCs w:val="22"/>
              </w:rPr>
              <w:t xml:space="preserve"> at metastatic sites</w:t>
            </w:r>
          </w:p>
        </w:tc>
        <w:tc>
          <w:tcPr>
            <w:tcW w:w="709" w:type="dxa"/>
            <w:vAlign w:val="center"/>
          </w:tcPr>
          <w:p w14:paraId="13A1B524" w14:textId="47EDB0A1" w:rsidR="00856264" w:rsidRPr="002004CD" w:rsidRDefault="00856264" w:rsidP="00783B61">
            <w:pPr>
              <w:pStyle w:val="Tablenotes"/>
              <w:keepNext/>
              <w:spacing w:before="40" w:after="40"/>
              <w:jc w:val="center"/>
              <w:rPr>
                <w:i/>
                <w:iCs/>
                <w:snapToGrid/>
                <w:sz w:val="20"/>
                <w:szCs w:val="22"/>
                <w:vertAlign w:val="superscript"/>
              </w:rPr>
            </w:pPr>
            <w:proofErr w:type="spellStart"/>
            <w:r w:rsidRPr="002004CD">
              <w:rPr>
                <w:i/>
                <w:iCs/>
                <w:snapToGrid/>
                <w:sz w:val="20"/>
                <w:szCs w:val="22"/>
              </w:rPr>
              <w:t>Yes</w:t>
            </w:r>
            <w:r w:rsidRPr="002004CD">
              <w:rPr>
                <w:i/>
                <w:iCs/>
                <w:snapToGrid/>
                <w:sz w:val="20"/>
                <w:szCs w:val="22"/>
                <w:vertAlign w:val="superscript"/>
              </w:rPr>
              <w:t>b</w:t>
            </w:r>
            <w:proofErr w:type="spellEnd"/>
          </w:p>
        </w:tc>
        <w:tc>
          <w:tcPr>
            <w:tcW w:w="992" w:type="dxa"/>
            <w:vAlign w:val="center"/>
          </w:tcPr>
          <w:p w14:paraId="11AB2081" w14:textId="0CD2F22F" w:rsidR="00856264" w:rsidRPr="003315F9" w:rsidRDefault="00856264" w:rsidP="00783B61">
            <w:pPr>
              <w:pStyle w:val="Tablenotes"/>
              <w:keepNext/>
              <w:spacing w:before="40" w:after="40"/>
              <w:jc w:val="center"/>
              <w:rPr>
                <w:snapToGrid/>
                <w:sz w:val="20"/>
                <w:szCs w:val="22"/>
              </w:rPr>
            </w:pPr>
            <w:r w:rsidRPr="003315F9">
              <w:rPr>
                <w:snapToGrid/>
                <w:sz w:val="20"/>
                <w:szCs w:val="22"/>
              </w:rPr>
              <w:t>NR</w:t>
            </w:r>
          </w:p>
        </w:tc>
        <w:tc>
          <w:tcPr>
            <w:tcW w:w="850" w:type="dxa"/>
            <w:vAlign w:val="center"/>
          </w:tcPr>
          <w:p w14:paraId="6D0ABD3E" w14:textId="33F5C689" w:rsidR="00856264" w:rsidRPr="003315F9" w:rsidRDefault="00856264" w:rsidP="00783B61">
            <w:pPr>
              <w:pStyle w:val="Tablenotes"/>
              <w:keepNext/>
              <w:spacing w:before="40" w:after="40"/>
              <w:jc w:val="center"/>
              <w:rPr>
                <w:snapToGrid/>
                <w:sz w:val="20"/>
                <w:szCs w:val="22"/>
              </w:rPr>
            </w:pPr>
            <w:r w:rsidRPr="003315F9">
              <w:rPr>
                <w:snapToGrid/>
                <w:sz w:val="20"/>
                <w:szCs w:val="22"/>
              </w:rPr>
              <w:t>3.0</w:t>
            </w:r>
            <w:r w:rsidRPr="003315F9">
              <w:rPr>
                <w:snapToGrid/>
                <w:sz w:val="20"/>
                <w:szCs w:val="22"/>
                <w:vertAlign w:val="superscript"/>
              </w:rPr>
              <w:t>c</w:t>
            </w:r>
            <w:r w:rsidRPr="003315F9">
              <w:rPr>
                <w:snapToGrid/>
                <w:sz w:val="20"/>
                <w:szCs w:val="22"/>
              </w:rPr>
              <w:t xml:space="preserve"> (4.0)</w:t>
            </w:r>
          </w:p>
        </w:tc>
        <w:tc>
          <w:tcPr>
            <w:tcW w:w="1843" w:type="dxa"/>
            <w:vAlign w:val="center"/>
          </w:tcPr>
          <w:p w14:paraId="500ADF32" w14:textId="77777777" w:rsidR="00856264" w:rsidRPr="003315F9" w:rsidRDefault="00856264" w:rsidP="00783B61">
            <w:pPr>
              <w:pStyle w:val="Tablenotes"/>
              <w:keepNext/>
              <w:spacing w:before="40" w:after="40"/>
              <w:jc w:val="center"/>
              <w:rPr>
                <w:snapToGrid/>
                <w:sz w:val="20"/>
                <w:szCs w:val="22"/>
              </w:rPr>
            </w:pPr>
            <w:r w:rsidRPr="003315F9">
              <w:rPr>
                <w:snapToGrid/>
                <w:sz w:val="20"/>
                <w:szCs w:val="22"/>
              </w:rPr>
              <w:t>5/14 (35.7) [13, 65]</w:t>
            </w:r>
          </w:p>
        </w:tc>
        <w:tc>
          <w:tcPr>
            <w:tcW w:w="1134" w:type="dxa"/>
            <w:vAlign w:val="center"/>
          </w:tcPr>
          <w:p w14:paraId="4C215BC0" w14:textId="77777777" w:rsidR="00856264" w:rsidRPr="003315F9" w:rsidRDefault="00856264" w:rsidP="00783B61">
            <w:pPr>
              <w:pStyle w:val="Tablenotes"/>
              <w:keepNext/>
              <w:spacing w:before="40" w:after="40"/>
              <w:jc w:val="center"/>
              <w:rPr>
                <w:snapToGrid/>
                <w:sz w:val="20"/>
                <w:szCs w:val="22"/>
              </w:rPr>
            </w:pPr>
            <w:r w:rsidRPr="003315F9">
              <w:rPr>
                <w:snapToGrid/>
                <w:sz w:val="20"/>
                <w:szCs w:val="22"/>
              </w:rPr>
              <w:t>NR</w:t>
            </w:r>
          </w:p>
        </w:tc>
        <w:tc>
          <w:tcPr>
            <w:tcW w:w="1276" w:type="dxa"/>
            <w:vAlign w:val="center"/>
          </w:tcPr>
          <w:p w14:paraId="36C9C5BE" w14:textId="5BF27CA1" w:rsidR="00856264" w:rsidRPr="003315F9" w:rsidRDefault="00856264" w:rsidP="00783B61">
            <w:pPr>
              <w:pStyle w:val="Tablenotes"/>
              <w:keepNext/>
              <w:spacing w:before="40" w:after="40"/>
              <w:jc w:val="center"/>
              <w:rPr>
                <w:snapToGrid/>
                <w:sz w:val="20"/>
                <w:szCs w:val="22"/>
              </w:rPr>
            </w:pPr>
            <w:r w:rsidRPr="003315F9">
              <w:rPr>
                <w:snapToGrid/>
                <w:sz w:val="20"/>
                <w:szCs w:val="22"/>
              </w:rPr>
              <w:t>11.5 [7.5, 15.5]</w:t>
            </w:r>
          </w:p>
        </w:tc>
      </w:tr>
      <w:tr w:rsidR="00095A01" w:rsidRPr="003315F9" w14:paraId="67452523" w14:textId="77777777" w:rsidTr="002004CD">
        <w:tc>
          <w:tcPr>
            <w:tcW w:w="1264" w:type="dxa"/>
            <w:vAlign w:val="center"/>
          </w:tcPr>
          <w:p w14:paraId="10BAECA7" w14:textId="0D0B933D" w:rsidR="003315F9" w:rsidRPr="003315F9" w:rsidRDefault="00856264" w:rsidP="00783B61">
            <w:pPr>
              <w:pStyle w:val="Tablenotes"/>
              <w:keepNext/>
              <w:spacing w:before="40" w:after="40"/>
              <w:rPr>
                <w:snapToGrid/>
                <w:sz w:val="20"/>
                <w:szCs w:val="22"/>
              </w:rPr>
            </w:pPr>
            <w:r w:rsidRPr="003315F9">
              <w:rPr>
                <w:snapToGrid/>
                <w:sz w:val="20"/>
                <w:szCs w:val="22"/>
              </w:rPr>
              <w:t>VISION</w:t>
            </w:r>
          </w:p>
        </w:tc>
        <w:tc>
          <w:tcPr>
            <w:tcW w:w="1283" w:type="dxa"/>
          </w:tcPr>
          <w:p w14:paraId="132A99EE" w14:textId="23F8F4A5" w:rsidR="00856264" w:rsidRPr="002854E7" w:rsidRDefault="00856264" w:rsidP="00783B61">
            <w:pPr>
              <w:pStyle w:val="Tablenotes"/>
              <w:keepNext/>
              <w:spacing w:before="40" w:after="40"/>
              <w:jc w:val="center"/>
              <w:rPr>
                <w:snapToGrid/>
                <w:sz w:val="20"/>
                <w:szCs w:val="22"/>
              </w:rPr>
            </w:pPr>
            <w:r w:rsidRPr="002854E7">
              <w:rPr>
                <w:snapToGrid/>
                <w:sz w:val="20"/>
                <w:szCs w:val="22"/>
              </w:rPr>
              <w:t>≥5</w:t>
            </w:r>
            <w:r w:rsidR="00A321CF" w:rsidRPr="002854E7">
              <w:rPr>
                <w:snapToGrid/>
                <w:sz w:val="20"/>
                <w:szCs w:val="22"/>
              </w:rPr>
              <w:t xml:space="preserve"> in ≥1 </w:t>
            </w:r>
            <w:r w:rsidR="0002271C" w:rsidRPr="002854E7">
              <w:rPr>
                <w:snapToGrid/>
                <w:sz w:val="20"/>
                <w:szCs w:val="22"/>
              </w:rPr>
              <w:t xml:space="preserve">metastatic </w:t>
            </w:r>
            <w:r w:rsidR="00A321CF" w:rsidRPr="002854E7">
              <w:rPr>
                <w:snapToGrid/>
                <w:sz w:val="20"/>
                <w:szCs w:val="22"/>
              </w:rPr>
              <w:t>lesion</w:t>
            </w:r>
          </w:p>
        </w:tc>
        <w:tc>
          <w:tcPr>
            <w:tcW w:w="709" w:type="dxa"/>
            <w:vAlign w:val="center"/>
          </w:tcPr>
          <w:p w14:paraId="799A7A36" w14:textId="361E515D" w:rsidR="00856264" w:rsidRPr="002004CD" w:rsidRDefault="00095A01" w:rsidP="00783B61">
            <w:pPr>
              <w:pStyle w:val="Tablenotes"/>
              <w:keepNext/>
              <w:spacing w:before="40" w:after="40"/>
              <w:jc w:val="center"/>
              <w:rPr>
                <w:i/>
                <w:iCs/>
                <w:snapToGrid/>
                <w:sz w:val="20"/>
                <w:szCs w:val="22"/>
              </w:rPr>
            </w:pPr>
            <w:r w:rsidRPr="002004CD">
              <w:rPr>
                <w:i/>
                <w:iCs/>
                <w:snapToGrid/>
                <w:sz w:val="20"/>
                <w:szCs w:val="22"/>
              </w:rPr>
              <w:t>No</w:t>
            </w:r>
          </w:p>
        </w:tc>
        <w:tc>
          <w:tcPr>
            <w:tcW w:w="992" w:type="dxa"/>
            <w:vAlign w:val="center"/>
          </w:tcPr>
          <w:p w14:paraId="46C44DBC" w14:textId="3DAEE52B" w:rsidR="00856264" w:rsidRPr="003315F9" w:rsidRDefault="00856264" w:rsidP="00783B61">
            <w:pPr>
              <w:pStyle w:val="Tablenotes"/>
              <w:keepNext/>
              <w:spacing w:before="40" w:after="40"/>
              <w:jc w:val="center"/>
              <w:rPr>
                <w:snapToGrid/>
                <w:sz w:val="20"/>
                <w:szCs w:val="22"/>
              </w:rPr>
            </w:pPr>
            <w:r w:rsidRPr="003315F9">
              <w:rPr>
                <w:snapToGrid/>
                <w:sz w:val="20"/>
                <w:szCs w:val="22"/>
              </w:rPr>
              <w:t>20.3</w:t>
            </w:r>
          </w:p>
        </w:tc>
        <w:tc>
          <w:tcPr>
            <w:tcW w:w="850" w:type="dxa"/>
            <w:vAlign w:val="center"/>
          </w:tcPr>
          <w:p w14:paraId="73E710D1" w14:textId="77777777" w:rsidR="00856264" w:rsidRPr="003315F9" w:rsidRDefault="00856264" w:rsidP="00783B61">
            <w:pPr>
              <w:pStyle w:val="Tablenotes"/>
              <w:keepNext/>
              <w:spacing w:before="40" w:after="40"/>
              <w:jc w:val="center"/>
              <w:rPr>
                <w:snapToGrid/>
                <w:sz w:val="20"/>
                <w:szCs w:val="22"/>
              </w:rPr>
            </w:pPr>
            <w:r w:rsidRPr="003315F9">
              <w:rPr>
                <w:snapToGrid/>
                <w:sz w:val="20"/>
                <w:szCs w:val="22"/>
              </w:rPr>
              <w:t>5.0 (6.0)</w:t>
            </w:r>
          </w:p>
        </w:tc>
        <w:tc>
          <w:tcPr>
            <w:tcW w:w="1843" w:type="dxa"/>
            <w:vAlign w:val="center"/>
          </w:tcPr>
          <w:p w14:paraId="027D14DF" w14:textId="77777777" w:rsidR="00856264" w:rsidRPr="003315F9" w:rsidRDefault="00856264" w:rsidP="00783B61">
            <w:pPr>
              <w:pStyle w:val="Tablenotes"/>
              <w:keepNext/>
              <w:spacing w:before="40" w:after="40"/>
              <w:jc w:val="center"/>
              <w:rPr>
                <w:snapToGrid/>
                <w:sz w:val="20"/>
                <w:szCs w:val="22"/>
              </w:rPr>
            </w:pPr>
            <w:r w:rsidRPr="003315F9">
              <w:rPr>
                <w:snapToGrid/>
                <w:sz w:val="20"/>
                <w:szCs w:val="22"/>
              </w:rPr>
              <w:t>177/385 (46.0) [41, 51]</w:t>
            </w:r>
          </w:p>
        </w:tc>
        <w:tc>
          <w:tcPr>
            <w:tcW w:w="1134" w:type="dxa"/>
            <w:vAlign w:val="center"/>
          </w:tcPr>
          <w:p w14:paraId="139654B4" w14:textId="77777777" w:rsidR="00856264" w:rsidRPr="003315F9" w:rsidRDefault="00856264" w:rsidP="00783B61">
            <w:pPr>
              <w:pStyle w:val="Tablenotes"/>
              <w:keepNext/>
              <w:spacing w:before="40" w:after="40"/>
              <w:jc w:val="center"/>
              <w:rPr>
                <w:snapToGrid/>
                <w:sz w:val="20"/>
                <w:szCs w:val="22"/>
              </w:rPr>
            </w:pPr>
            <w:r w:rsidRPr="003315F9">
              <w:rPr>
                <w:snapToGrid/>
                <w:sz w:val="20"/>
                <w:szCs w:val="22"/>
              </w:rPr>
              <w:t>8.7 [NR]</w:t>
            </w:r>
          </w:p>
        </w:tc>
        <w:tc>
          <w:tcPr>
            <w:tcW w:w="1276" w:type="dxa"/>
            <w:vAlign w:val="center"/>
          </w:tcPr>
          <w:p w14:paraId="093C3EE2" w14:textId="77777777" w:rsidR="00856264" w:rsidRPr="003315F9" w:rsidRDefault="00856264" w:rsidP="00783B61">
            <w:pPr>
              <w:pStyle w:val="Tablenotes"/>
              <w:keepNext/>
              <w:spacing w:before="40" w:after="40"/>
              <w:jc w:val="center"/>
              <w:rPr>
                <w:snapToGrid/>
                <w:sz w:val="20"/>
                <w:szCs w:val="22"/>
              </w:rPr>
            </w:pPr>
            <w:r w:rsidRPr="003315F9">
              <w:rPr>
                <w:snapToGrid/>
                <w:sz w:val="20"/>
                <w:szCs w:val="22"/>
              </w:rPr>
              <w:t>15.3 [NR]</w:t>
            </w:r>
          </w:p>
        </w:tc>
      </w:tr>
      <w:tr w:rsidR="00095A01" w:rsidRPr="003315F9" w14:paraId="0485FD6A" w14:textId="77777777" w:rsidTr="002004CD">
        <w:tc>
          <w:tcPr>
            <w:tcW w:w="1264" w:type="dxa"/>
            <w:vAlign w:val="center"/>
          </w:tcPr>
          <w:p w14:paraId="62AEA307" w14:textId="52FB9B8F" w:rsidR="003315F9" w:rsidRPr="003315F9" w:rsidRDefault="00856264" w:rsidP="00783B61">
            <w:pPr>
              <w:pStyle w:val="Tablenotes"/>
              <w:keepNext/>
              <w:spacing w:before="40" w:after="40"/>
              <w:rPr>
                <w:snapToGrid/>
                <w:sz w:val="20"/>
                <w:szCs w:val="22"/>
              </w:rPr>
            </w:pPr>
            <w:proofErr w:type="spellStart"/>
            <w:r w:rsidRPr="003315F9">
              <w:rPr>
                <w:snapToGrid/>
                <w:sz w:val="20"/>
                <w:szCs w:val="22"/>
              </w:rPr>
              <w:t>Hofman</w:t>
            </w:r>
            <w:proofErr w:type="spellEnd"/>
            <w:r w:rsidRPr="003315F9">
              <w:rPr>
                <w:snapToGrid/>
                <w:sz w:val="20"/>
                <w:szCs w:val="22"/>
              </w:rPr>
              <w:t xml:space="preserve"> (2018)</w:t>
            </w:r>
          </w:p>
        </w:tc>
        <w:tc>
          <w:tcPr>
            <w:tcW w:w="1283" w:type="dxa"/>
          </w:tcPr>
          <w:p w14:paraId="520E5ACE" w14:textId="1AF6715D" w:rsidR="00856264" w:rsidRPr="002854E7" w:rsidRDefault="00856264" w:rsidP="00783B61">
            <w:pPr>
              <w:pStyle w:val="Tablenotes"/>
              <w:keepNext/>
              <w:spacing w:before="40" w:after="40"/>
              <w:jc w:val="center"/>
              <w:rPr>
                <w:snapToGrid/>
                <w:sz w:val="20"/>
                <w:szCs w:val="22"/>
              </w:rPr>
            </w:pPr>
            <w:r w:rsidRPr="002854E7">
              <w:rPr>
                <w:snapToGrid/>
                <w:sz w:val="20"/>
                <w:szCs w:val="22"/>
              </w:rPr>
              <w:t>≥10</w:t>
            </w:r>
            <w:r w:rsidR="0002271C" w:rsidRPr="002854E7">
              <w:rPr>
                <w:snapToGrid/>
                <w:sz w:val="20"/>
                <w:szCs w:val="22"/>
              </w:rPr>
              <w:t xml:space="preserve"> at metastatic sites</w:t>
            </w:r>
          </w:p>
        </w:tc>
        <w:tc>
          <w:tcPr>
            <w:tcW w:w="709" w:type="dxa"/>
            <w:vAlign w:val="center"/>
          </w:tcPr>
          <w:p w14:paraId="1BCCFACE" w14:textId="33CD1651" w:rsidR="00856264" w:rsidRPr="002004CD" w:rsidRDefault="00856264" w:rsidP="00783B61">
            <w:pPr>
              <w:pStyle w:val="Tablenotes"/>
              <w:keepNext/>
              <w:spacing w:before="40" w:after="40"/>
              <w:jc w:val="center"/>
              <w:rPr>
                <w:i/>
                <w:iCs/>
                <w:snapToGrid/>
                <w:sz w:val="20"/>
                <w:szCs w:val="22"/>
              </w:rPr>
            </w:pPr>
            <w:proofErr w:type="spellStart"/>
            <w:r w:rsidRPr="002004CD">
              <w:rPr>
                <w:i/>
                <w:iCs/>
                <w:snapToGrid/>
                <w:sz w:val="20"/>
                <w:szCs w:val="22"/>
              </w:rPr>
              <w:t>Yes</w:t>
            </w:r>
            <w:r w:rsidRPr="002004CD">
              <w:rPr>
                <w:i/>
                <w:iCs/>
                <w:snapToGrid/>
                <w:sz w:val="20"/>
                <w:szCs w:val="22"/>
                <w:vertAlign w:val="superscript"/>
              </w:rPr>
              <w:t>b</w:t>
            </w:r>
            <w:proofErr w:type="spellEnd"/>
          </w:p>
        </w:tc>
        <w:tc>
          <w:tcPr>
            <w:tcW w:w="992" w:type="dxa"/>
            <w:vAlign w:val="center"/>
          </w:tcPr>
          <w:p w14:paraId="08E30632" w14:textId="364F506B" w:rsidR="00856264" w:rsidRPr="003315F9" w:rsidRDefault="00856264" w:rsidP="00783B61">
            <w:pPr>
              <w:pStyle w:val="Tablenotes"/>
              <w:keepNext/>
              <w:spacing w:before="40" w:after="40"/>
              <w:jc w:val="center"/>
              <w:rPr>
                <w:snapToGrid/>
                <w:sz w:val="20"/>
                <w:szCs w:val="22"/>
              </w:rPr>
            </w:pPr>
            <w:r w:rsidRPr="003315F9">
              <w:rPr>
                <w:snapToGrid/>
                <w:sz w:val="20"/>
                <w:szCs w:val="22"/>
              </w:rPr>
              <w:t>25.0</w:t>
            </w:r>
          </w:p>
        </w:tc>
        <w:tc>
          <w:tcPr>
            <w:tcW w:w="850" w:type="dxa"/>
            <w:vAlign w:val="center"/>
          </w:tcPr>
          <w:p w14:paraId="08716051" w14:textId="76CE3F45" w:rsidR="00856264" w:rsidRPr="003315F9" w:rsidRDefault="00856264" w:rsidP="00783B61">
            <w:pPr>
              <w:pStyle w:val="Tablenotes"/>
              <w:keepNext/>
              <w:spacing w:before="40" w:after="40"/>
              <w:jc w:val="center"/>
              <w:rPr>
                <w:snapToGrid/>
                <w:sz w:val="20"/>
                <w:szCs w:val="22"/>
              </w:rPr>
            </w:pPr>
            <w:r w:rsidRPr="003315F9">
              <w:rPr>
                <w:snapToGrid/>
                <w:sz w:val="20"/>
                <w:szCs w:val="22"/>
              </w:rPr>
              <w:t>3.0</w:t>
            </w:r>
            <w:r w:rsidRPr="003315F9">
              <w:rPr>
                <w:snapToGrid/>
                <w:sz w:val="20"/>
                <w:szCs w:val="22"/>
                <w:vertAlign w:val="superscript"/>
              </w:rPr>
              <w:t>d</w:t>
            </w:r>
            <w:r w:rsidRPr="003315F9">
              <w:rPr>
                <w:snapToGrid/>
                <w:sz w:val="20"/>
                <w:szCs w:val="22"/>
              </w:rPr>
              <w:t xml:space="preserve"> (4.0)</w:t>
            </w:r>
          </w:p>
        </w:tc>
        <w:tc>
          <w:tcPr>
            <w:tcW w:w="1843" w:type="dxa"/>
            <w:vAlign w:val="center"/>
          </w:tcPr>
          <w:p w14:paraId="0088C717" w14:textId="77777777" w:rsidR="00856264" w:rsidRPr="003315F9" w:rsidRDefault="00856264" w:rsidP="00783B61">
            <w:pPr>
              <w:pStyle w:val="Tablenotes"/>
              <w:keepNext/>
              <w:spacing w:before="40" w:after="40"/>
              <w:jc w:val="center"/>
              <w:rPr>
                <w:snapToGrid/>
                <w:sz w:val="20"/>
                <w:szCs w:val="22"/>
              </w:rPr>
            </w:pPr>
            <w:r w:rsidRPr="003315F9">
              <w:rPr>
                <w:snapToGrid/>
                <w:sz w:val="20"/>
                <w:szCs w:val="22"/>
              </w:rPr>
              <w:t>17/30 (56.7) [37, 75]</w:t>
            </w:r>
          </w:p>
        </w:tc>
        <w:tc>
          <w:tcPr>
            <w:tcW w:w="1134" w:type="dxa"/>
            <w:vAlign w:val="center"/>
          </w:tcPr>
          <w:p w14:paraId="1A4A71A8" w14:textId="77777777" w:rsidR="00856264" w:rsidRPr="003315F9" w:rsidRDefault="00856264" w:rsidP="00783B61">
            <w:pPr>
              <w:pStyle w:val="Tablenotes"/>
              <w:keepNext/>
              <w:spacing w:before="40" w:after="40"/>
              <w:jc w:val="center"/>
              <w:rPr>
                <w:snapToGrid/>
                <w:sz w:val="20"/>
                <w:szCs w:val="22"/>
              </w:rPr>
            </w:pPr>
            <w:r w:rsidRPr="003315F9">
              <w:rPr>
                <w:snapToGrid/>
                <w:sz w:val="20"/>
                <w:szCs w:val="22"/>
              </w:rPr>
              <w:t>7.6 [6.3, 9.0]</w:t>
            </w:r>
          </w:p>
        </w:tc>
        <w:tc>
          <w:tcPr>
            <w:tcW w:w="1276" w:type="dxa"/>
            <w:vAlign w:val="center"/>
          </w:tcPr>
          <w:p w14:paraId="34F70BA1" w14:textId="77777777" w:rsidR="00856264" w:rsidRPr="003315F9" w:rsidRDefault="00856264" w:rsidP="00783B61">
            <w:pPr>
              <w:pStyle w:val="Tablenotes"/>
              <w:keepNext/>
              <w:spacing w:before="40" w:after="40"/>
              <w:jc w:val="center"/>
              <w:rPr>
                <w:snapToGrid/>
                <w:sz w:val="20"/>
                <w:szCs w:val="22"/>
              </w:rPr>
            </w:pPr>
            <w:r w:rsidRPr="003315F9">
              <w:rPr>
                <w:snapToGrid/>
                <w:sz w:val="20"/>
                <w:szCs w:val="22"/>
              </w:rPr>
              <w:t>13.5 [10.4, 22.7]</w:t>
            </w:r>
          </w:p>
        </w:tc>
      </w:tr>
      <w:tr w:rsidR="0002271C" w:rsidRPr="003315F9" w14:paraId="67E3F17D" w14:textId="77777777" w:rsidTr="00685D16">
        <w:tc>
          <w:tcPr>
            <w:tcW w:w="1264" w:type="dxa"/>
            <w:vAlign w:val="center"/>
          </w:tcPr>
          <w:p w14:paraId="23578624" w14:textId="757CDE0F" w:rsidR="003315F9" w:rsidRPr="003315F9" w:rsidRDefault="0002271C" w:rsidP="00783B61">
            <w:pPr>
              <w:pStyle w:val="Tablenotes"/>
              <w:keepNext/>
              <w:spacing w:before="40" w:after="40"/>
              <w:rPr>
                <w:snapToGrid/>
                <w:sz w:val="20"/>
                <w:szCs w:val="22"/>
              </w:rPr>
            </w:pPr>
            <w:proofErr w:type="spellStart"/>
            <w:r w:rsidRPr="003315F9">
              <w:rPr>
                <w:snapToGrid/>
                <w:sz w:val="20"/>
                <w:szCs w:val="22"/>
              </w:rPr>
              <w:t>LuPIN</w:t>
            </w:r>
            <w:proofErr w:type="spellEnd"/>
          </w:p>
        </w:tc>
        <w:tc>
          <w:tcPr>
            <w:tcW w:w="1283" w:type="dxa"/>
          </w:tcPr>
          <w:p w14:paraId="231AC001" w14:textId="615E4189" w:rsidR="0002271C" w:rsidRPr="002854E7" w:rsidRDefault="0002271C" w:rsidP="00783B61">
            <w:pPr>
              <w:pStyle w:val="Tablenotes"/>
              <w:keepNext/>
              <w:spacing w:before="40" w:after="40"/>
              <w:jc w:val="center"/>
              <w:rPr>
                <w:snapToGrid/>
                <w:sz w:val="20"/>
                <w:szCs w:val="22"/>
              </w:rPr>
            </w:pPr>
            <w:r w:rsidRPr="002854E7">
              <w:rPr>
                <w:snapToGrid/>
                <w:sz w:val="20"/>
                <w:szCs w:val="22"/>
              </w:rPr>
              <w:t xml:space="preserve">&gt;15 </w:t>
            </w:r>
            <w:r w:rsidRPr="002854E7">
              <w:rPr>
                <w:sz w:val="20"/>
              </w:rPr>
              <w:t xml:space="preserve">at ≥1 site, </w:t>
            </w:r>
            <w:r w:rsidRPr="002854E7">
              <w:rPr>
                <w:snapToGrid/>
                <w:sz w:val="20"/>
                <w:szCs w:val="22"/>
              </w:rPr>
              <w:t>&gt;10 at all measurable sites</w:t>
            </w:r>
          </w:p>
        </w:tc>
        <w:tc>
          <w:tcPr>
            <w:tcW w:w="709" w:type="dxa"/>
            <w:vAlign w:val="center"/>
          </w:tcPr>
          <w:p w14:paraId="226E27F7" w14:textId="27DFC8CF" w:rsidR="0002271C" w:rsidRPr="002004CD" w:rsidRDefault="0002271C" w:rsidP="00783B61">
            <w:pPr>
              <w:pStyle w:val="Tablenotes"/>
              <w:keepNext/>
              <w:spacing w:before="40" w:after="40"/>
              <w:jc w:val="center"/>
              <w:rPr>
                <w:i/>
                <w:iCs/>
                <w:snapToGrid/>
                <w:sz w:val="20"/>
                <w:szCs w:val="22"/>
              </w:rPr>
            </w:pPr>
            <w:proofErr w:type="spellStart"/>
            <w:r w:rsidRPr="002004CD">
              <w:rPr>
                <w:i/>
                <w:iCs/>
                <w:snapToGrid/>
                <w:sz w:val="20"/>
                <w:szCs w:val="22"/>
              </w:rPr>
              <w:t>Yes</w:t>
            </w:r>
            <w:r w:rsidRPr="002004CD">
              <w:rPr>
                <w:i/>
                <w:iCs/>
                <w:snapToGrid/>
                <w:sz w:val="20"/>
                <w:szCs w:val="22"/>
                <w:vertAlign w:val="superscript"/>
              </w:rPr>
              <w:t>b</w:t>
            </w:r>
            <w:proofErr w:type="spellEnd"/>
          </w:p>
        </w:tc>
        <w:tc>
          <w:tcPr>
            <w:tcW w:w="992" w:type="dxa"/>
            <w:vAlign w:val="center"/>
          </w:tcPr>
          <w:p w14:paraId="7B8FCD4A" w14:textId="21BE73D3" w:rsidR="0002271C" w:rsidRPr="003315F9" w:rsidRDefault="0002271C" w:rsidP="00783B61">
            <w:pPr>
              <w:pStyle w:val="Tablenotes"/>
              <w:keepNext/>
              <w:spacing w:before="40" w:after="40"/>
              <w:jc w:val="center"/>
              <w:rPr>
                <w:snapToGrid/>
                <w:sz w:val="20"/>
                <w:szCs w:val="22"/>
              </w:rPr>
            </w:pPr>
            <w:r w:rsidRPr="003315F9">
              <w:rPr>
                <w:snapToGrid/>
                <w:sz w:val="20"/>
                <w:szCs w:val="22"/>
              </w:rPr>
              <w:t>21.8</w:t>
            </w:r>
          </w:p>
        </w:tc>
        <w:tc>
          <w:tcPr>
            <w:tcW w:w="850" w:type="dxa"/>
            <w:vAlign w:val="center"/>
          </w:tcPr>
          <w:p w14:paraId="56C381FF" w14:textId="77777777" w:rsidR="0002271C" w:rsidRPr="003315F9" w:rsidRDefault="0002271C" w:rsidP="00783B61">
            <w:pPr>
              <w:pStyle w:val="Tablenotes"/>
              <w:keepNext/>
              <w:spacing w:before="40" w:after="40"/>
              <w:jc w:val="center"/>
              <w:rPr>
                <w:snapToGrid/>
                <w:sz w:val="20"/>
                <w:szCs w:val="22"/>
              </w:rPr>
            </w:pPr>
            <w:r w:rsidRPr="003315F9">
              <w:rPr>
                <w:snapToGrid/>
                <w:sz w:val="20"/>
                <w:szCs w:val="22"/>
              </w:rPr>
              <w:t>5.0 (6.0)</w:t>
            </w:r>
          </w:p>
        </w:tc>
        <w:tc>
          <w:tcPr>
            <w:tcW w:w="1843" w:type="dxa"/>
            <w:vAlign w:val="center"/>
          </w:tcPr>
          <w:p w14:paraId="255F060E" w14:textId="77777777" w:rsidR="0002271C" w:rsidRPr="003315F9" w:rsidRDefault="0002271C" w:rsidP="00783B61">
            <w:pPr>
              <w:pStyle w:val="Tablenotes"/>
              <w:keepNext/>
              <w:spacing w:before="40" w:after="40"/>
              <w:jc w:val="center"/>
              <w:rPr>
                <w:snapToGrid/>
                <w:sz w:val="20"/>
                <w:szCs w:val="22"/>
              </w:rPr>
            </w:pPr>
            <w:r w:rsidRPr="003315F9">
              <w:rPr>
                <w:snapToGrid/>
                <w:sz w:val="20"/>
                <w:szCs w:val="22"/>
              </w:rPr>
              <w:t>34/56 (60.7) [41, 74]</w:t>
            </w:r>
          </w:p>
        </w:tc>
        <w:tc>
          <w:tcPr>
            <w:tcW w:w="1134" w:type="dxa"/>
            <w:vAlign w:val="center"/>
          </w:tcPr>
          <w:p w14:paraId="49780893" w14:textId="77777777" w:rsidR="0002271C" w:rsidRPr="003315F9" w:rsidRDefault="0002271C" w:rsidP="00783B61">
            <w:pPr>
              <w:pStyle w:val="Tablenotes"/>
              <w:keepNext/>
              <w:spacing w:before="40" w:after="40"/>
              <w:jc w:val="center"/>
              <w:rPr>
                <w:snapToGrid/>
                <w:sz w:val="20"/>
                <w:szCs w:val="22"/>
              </w:rPr>
            </w:pPr>
            <w:r w:rsidRPr="003315F9">
              <w:rPr>
                <w:snapToGrid/>
                <w:sz w:val="20"/>
                <w:szCs w:val="22"/>
              </w:rPr>
              <w:t>7.5 [5.9, 9.0]</w:t>
            </w:r>
          </w:p>
        </w:tc>
        <w:tc>
          <w:tcPr>
            <w:tcW w:w="1276" w:type="dxa"/>
            <w:vAlign w:val="center"/>
          </w:tcPr>
          <w:p w14:paraId="1CEDBFCE" w14:textId="77777777" w:rsidR="0002271C" w:rsidRPr="003315F9" w:rsidRDefault="0002271C" w:rsidP="00783B61">
            <w:pPr>
              <w:pStyle w:val="Tablenotes"/>
              <w:keepNext/>
              <w:spacing w:before="40" w:after="40"/>
              <w:jc w:val="center"/>
              <w:rPr>
                <w:snapToGrid/>
                <w:sz w:val="20"/>
                <w:szCs w:val="22"/>
              </w:rPr>
            </w:pPr>
            <w:r w:rsidRPr="003315F9">
              <w:rPr>
                <w:snapToGrid/>
                <w:sz w:val="20"/>
                <w:szCs w:val="22"/>
              </w:rPr>
              <w:t>19.7 [9.5, 30.0]</w:t>
            </w:r>
          </w:p>
        </w:tc>
      </w:tr>
      <w:tr w:rsidR="0002271C" w:rsidRPr="00761373" w14:paraId="39B1C40C" w14:textId="77777777" w:rsidTr="00685D16">
        <w:tc>
          <w:tcPr>
            <w:tcW w:w="1264" w:type="dxa"/>
            <w:vAlign w:val="center"/>
          </w:tcPr>
          <w:p w14:paraId="2EB43655" w14:textId="6C67CE14" w:rsidR="003315F9" w:rsidRPr="003315F9" w:rsidRDefault="0002271C" w:rsidP="00783B61">
            <w:pPr>
              <w:pStyle w:val="Tablenotes"/>
              <w:keepNext/>
              <w:spacing w:before="40" w:after="40"/>
              <w:rPr>
                <w:snapToGrid/>
                <w:sz w:val="20"/>
                <w:szCs w:val="22"/>
              </w:rPr>
            </w:pPr>
            <w:proofErr w:type="spellStart"/>
            <w:r w:rsidRPr="003315F9">
              <w:rPr>
                <w:snapToGrid/>
                <w:sz w:val="20"/>
                <w:szCs w:val="22"/>
              </w:rPr>
              <w:t>TheraP</w:t>
            </w:r>
            <w:proofErr w:type="spellEnd"/>
          </w:p>
        </w:tc>
        <w:tc>
          <w:tcPr>
            <w:tcW w:w="1283" w:type="dxa"/>
          </w:tcPr>
          <w:p w14:paraId="6A04B9CA" w14:textId="78050E31" w:rsidR="0002271C" w:rsidRPr="002854E7" w:rsidRDefault="0002271C" w:rsidP="00783B61">
            <w:pPr>
              <w:pStyle w:val="Tablenotes"/>
              <w:keepNext/>
              <w:spacing w:before="40" w:after="40"/>
              <w:jc w:val="center"/>
              <w:rPr>
                <w:snapToGrid/>
                <w:sz w:val="20"/>
                <w:szCs w:val="22"/>
              </w:rPr>
            </w:pPr>
            <w:r w:rsidRPr="002854E7">
              <w:rPr>
                <w:snapToGrid/>
                <w:sz w:val="20"/>
                <w:szCs w:val="22"/>
              </w:rPr>
              <w:t xml:space="preserve">≥20 </w:t>
            </w:r>
            <w:r w:rsidRPr="002854E7">
              <w:rPr>
                <w:sz w:val="20"/>
              </w:rPr>
              <w:t xml:space="preserve">at disease site, </w:t>
            </w:r>
            <w:r w:rsidRPr="002854E7">
              <w:rPr>
                <w:snapToGrid/>
                <w:sz w:val="20"/>
                <w:szCs w:val="22"/>
              </w:rPr>
              <w:t>&gt;10 at all measurable sites</w:t>
            </w:r>
          </w:p>
        </w:tc>
        <w:tc>
          <w:tcPr>
            <w:tcW w:w="709" w:type="dxa"/>
            <w:vAlign w:val="center"/>
          </w:tcPr>
          <w:p w14:paraId="55E88B22" w14:textId="7F100EEB" w:rsidR="0002271C" w:rsidRPr="002004CD" w:rsidRDefault="0002271C" w:rsidP="00783B61">
            <w:pPr>
              <w:pStyle w:val="Tablenotes"/>
              <w:keepNext/>
              <w:spacing w:before="40" w:after="40"/>
              <w:jc w:val="center"/>
              <w:rPr>
                <w:i/>
                <w:iCs/>
                <w:snapToGrid/>
                <w:sz w:val="20"/>
                <w:szCs w:val="22"/>
              </w:rPr>
            </w:pPr>
            <w:proofErr w:type="spellStart"/>
            <w:r w:rsidRPr="002004CD">
              <w:rPr>
                <w:i/>
                <w:iCs/>
                <w:snapToGrid/>
                <w:sz w:val="20"/>
                <w:szCs w:val="22"/>
              </w:rPr>
              <w:t>Yes</w:t>
            </w:r>
            <w:r w:rsidRPr="002004CD">
              <w:rPr>
                <w:i/>
                <w:iCs/>
                <w:snapToGrid/>
                <w:sz w:val="20"/>
                <w:szCs w:val="22"/>
                <w:vertAlign w:val="superscript"/>
              </w:rPr>
              <w:t>b</w:t>
            </w:r>
            <w:proofErr w:type="spellEnd"/>
          </w:p>
        </w:tc>
        <w:tc>
          <w:tcPr>
            <w:tcW w:w="992" w:type="dxa"/>
            <w:vAlign w:val="center"/>
          </w:tcPr>
          <w:p w14:paraId="3E038BD2" w14:textId="76FFFF0D" w:rsidR="0002271C" w:rsidRPr="003315F9" w:rsidRDefault="0002271C" w:rsidP="00783B61">
            <w:pPr>
              <w:pStyle w:val="Tablenotes"/>
              <w:keepNext/>
              <w:spacing w:before="40" w:after="40"/>
              <w:jc w:val="center"/>
              <w:rPr>
                <w:snapToGrid/>
                <w:sz w:val="20"/>
                <w:szCs w:val="22"/>
              </w:rPr>
            </w:pPr>
            <w:r w:rsidRPr="003315F9">
              <w:rPr>
                <w:snapToGrid/>
                <w:sz w:val="20"/>
                <w:szCs w:val="22"/>
              </w:rPr>
              <w:t>18.4</w:t>
            </w:r>
          </w:p>
        </w:tc>
        <w:tc>
          <w:tcPr>
            <w:tcW w:w="850" w:type="dxa"/>
            <w:vAlign w:val="center"/>
          </w:tcPr>
          <w:p w14:paraId="2917DD31" w14:textId="77777777" w:rsidR="0002271C" w:rsidRPr="003315F9" w:rsidRDefault="0002271C" w:rsidP="00783B61">
            <w:pPr>
              <w:pStyle w:val="Tablenotes"/>
              <w:keepNext/>
              <w:spacing w:before="40" w:after="40"/>
              <w:jc w:val="center"/>
              <w:rPr>
                <w:snapToGrid/>
                <w:sz w:val="20"/>
                <w:szCs w:val="22"/>
              </w:rPr>
            </w:pPr>
            <w:r w:rsidRPr="003315F9">
              <w:rPr>
                <w:snapToGrid/>
                <w:sz w:val="20"/>
                <w:szCs w:val="22"/>
              </w:rPr>
              <w:t>5.0 (6.0)</w:t>
            </w:r>
          </w:p>
        </w:tc>
        <w:tc>
          <w:tcPr>
            <w:tcW w:w="1843" w:type="dxa"/>
            <w:vAlign w:val="center"/>
          </w:tcPr>
          <w:p w14:paraId="138D7BD7" w14:textId="77777777" w:rsidR="0002271C" w:rsidRPr="003315F9" w:rsidRDefault="0002271C" w:rsidP="00783B61">
            <w:pPr>
              <w:pStyle w:val="Tablenotes"/>
              <w:keepNext/>
              <w:spacing w:before="40" w:after="40"/>
              <w:jc w:val="center"/>
              <w:rPr>
                <w:snapToGrid/>
                <w:sz w:val="20"/>
                <w:szCs w:val="22"/>
              </w:rPr>
            </w:pPr>
            <w:r w:rsidRPr="003315F9">
              <w:rPr>
                <w:snapToGrid/>
                <w:sz w:val="20"/>
                <w:szCs w:val="22"/>
              </w:rPr>
              <w:t>65/99 (65.7) [56, 75]</w:t>
            </w:r>
          </w:p>
        </w:tc>
        <w:tc>
          <w:tcPr>
            <w:tcW w:w="1134" w:type="dxa"/>
            <w:vAlign w:val="center"/>
          </w:tcPr>
          <w:p w14:paraId="35D4B52F" w14:textId="77777777" w:rsidR="0002271C" w:rsidRPr="003315F9" w:rsidRDefault="0002271C" w:rsidP="00783B61">
            <w:pPr>
              <w:pStyle w:val="Tablenotes"/>
              <w:keepNext/>
              <w:spacing w:before="40" w:after="40"/>
              <w:jc w:val="center"/>
              <w:rPr>
                <w:snapToGrid/>
                <w:sz w:val="20"/>
                <w:szCs w:val="22"/>
              </w:rPr>
            </w:pPr>
            <w:r w:rsidRPr="003315F9">
              <w:rPr>
                <w:snapToGrid/>
                <w:sz w:val="20"/>
                <w:szCs w:val="22"/>
              </w:rPr>
              <w:t>5.1 [3.4, 5.7]</w:t>
            </w:r>
          </w:p>
        </w:tc>
        <w:tc>
          <w:tcPr>
            <w:tcW w:w="1276" w:type="dxa"/>
            <w:vAlign w:val="center"/>
          </w:tcPr>
          <w:p w14:paraId="3C3789E4" w14:textId="77777777" w:rsidR="0002271C" w:rsidRPr="00761373" w:rsidRDefault="0002271C" w:rsidP="00783B61">
            <w:pPr>
              <w:pStyle w:val="Tablenotes"/>
              <w:keepNext/>
              <w:spacing w:before="40" w:after="40"/>
              <w:jc w:val="center"/>
              <w:rPr>
                <w:snapToGrid/>
                <w:sz w:val="20"/>
                <w:szCs w:val="22"/>
              </w:rPr>
            </w:pPr>
            <w:r w:rsidRPr="003315F9">
              <w:rPr>
                <w:snapToGrid/>
                <w:sz w:val="20"/>
                <w:szCs w:val="22"/>
              </w:rPr>
              <w:t>NR</w:t>
            </w:r>
          </w:p>
        </w:tc>
      </w:tr>
    </w:tbl>
    <w:bookmarkEnd w:id="27"/>
    <w:p w14:paraId="1A0B1040" w14:textId="2B0A5B06" w:rsidR="00856264" w:rsidRDefault="00856264" w:rsidP="00783B61">
      <w:pPr>
        <w:pStyle w:val="Tablenotes"/>
        <w:keepNext/>
        <w:tabs>
          <w:tab w:val="left" w:pos="284"/>
        </w:tabs>
        <w:spacing w:before="0" w:after="0"/>
        <w:rPr>
          <w:snapToGrid/>
        </w:rPr>
      </w:pPr>
      <w:proofErr w:type="spellStart"/>
      <w:r>
        <w:rPr>
          <w:snapToGrid/>
          <w:vertAlign w:val="superscript"/>
        </w:rPr>
        <w:t>a</w:t>
      </w:r>
      <w:proofErr w:type="spellEnd"/>
      <w:r>
        <w:rPr>
          <w:snapToGrid/>
          <w:vertAlign w:val="superscript"/>
        </w:rPr>
        <w:tab/>
      </w:r>
      <w:r w:rsidR="00095A01">
        <w:rPr>
          <w:snapToGrid/>
        </w:rPr>
        <w:t xml:space="preserve">at disease site or “all sites of measurable disease”; ≥5 is </w:t>
      </w:r>
      <w:r>
        <w:rPr>
          <w:snapToGrid/>
        </w:rPr>
        <w:t>greater than liver parenchyma</w:t>
      </w:r>
      <w:r w:rsidR="00AC7060">
        <w:rPr>
          <w:snapToGrid/>
        </w:rPr>
        <w:t>; ≥10 is greater than 1.5x liver parenchyma</w:t>
      </w:r>
    </w:p>
    <w:p w14:paraId="2DA3A789" w14:textId="38D12422" w:rsidR="00856264" w:rsidRPr="002004CD" w:rsidRDefault="00856264" w:rsidP="00783B61">
      <w:pPr>
        <w:pStyle w:val="Tablenotes"/>
        <w:keepNext/>
        <w:tabs>
          <w:tab w:val="left" w:pos="284"/>
        </w:tabs>
        <w:spacing w:before="0" w:after="0"/>
        <w:rPr>
          <w:snapToGrid/>
        </w:rPr>
      </w:pPr>
      <w:r>
        <w:rPr>
          <w:snapToGrid/>
          <w:vertAlign w:val="superscript"/>
        </w:rPr>
        <w:t>b</w:t>
      </w:r>
      <w:r>
        <w:rPr>
          <w:snapToGrid/>
          <w:vertAlign w:val="superscript"/>
        </w:rPr>
        <w:tab/>
      </w:r>
      <w:r>
        <w:rPr>
          <w:snapToGrid/>
        </w:rPr>
        <w:t>where FDG PET/CT used, no significant site with PSMA</w:t>
      </w:r>
      <w:r w:rsidR="00A321CF">
        <w:rPr>
          <w:snapToGrid/>
        </w:rPr>
        <w:t>-negative</w:t>
      </w:r>
      <w:r>
        <w:rPr>
          <w:snapToGrid/>
        </w:rPr>
        <w:t>/FDG</w:t>
      </w:r>
      <w:r w:rsidR="00A321CF">
        <w:rPr>
          <w:snapToGrid/>
        </w:rPr>
        <w:t xml:space="preserve">-positive </w:t>
      </w:r>
      <w:r>
        <w:rPr>
          <w:snapToGrid/>
        </w:rPr>
        <w:t>discordant disease</w:t>
      </w:r>
    </w:p>
    <w:p w14:paraId="73BAE07D" w14:textId="07150F1D" w:rsidR="000F104A" w:rsidRPr="00761373" w:rsidRDefault="00856264" w:rsidP="00783B61">
      <w:pPr>
        <w:pStyle w:val="Tablenotes"/>
        <w:keepNext/>
        <w:tabs>
          <w:tab w:val="left" w:pos="284"/>
        </w:tabs>
        <w:spacing w:before="0" w:after="0"/>
        <w:rPr>
          <w:snapToGrid/>
        </w:rPr>
      </w:pPr>
      <w:r>
        <w:rPr>
          <w:snapToGrid/>
          <w:vertAlign w:val="superscript"/>
        </w:rPr>
        <w:t>c</w:t>
      </w:r>
      <w:r w:rsidR="000F104A" w:rsidRPr="00761373">
        <w:rPr>
          <w:snapToGrid/>
        </w:rPr>
        <w:tab/>
        <w:t>estimated based on “14 completed 2 cycles, 8 completed 3 cycles, and 3 completed all 4 cycles” (p19 Emmett 2019)</w:t>
      </w:r>
    </w:p>
    <w:p w14:paraId="252B42C8" w14:textId="4DF17F03" w:rsidR="00335EBB" w:rsidRPr="002C255B" w:rsidRDefault="00856264" w:rsidP="00783B61">
      <w:pPr>
        <w:pStyle w:val="Tablenotes"/>
        <w:keepNext/>
        <w:tabs>
          <w:tab w:val="left" w:pos="284"/>
        </w:tabs>
        <w:spacing w:before="0" w:after="0"/>
        <w:ind w:left="284" w:hanging="284"/>
        <w:rPr>
          <w:i/>
          <w:iCs/>
        </w:rPr>
      </w:pPr>
      <w:r>
        <w:rPr>
          <w:snapToGrid/>
          <w:vertAlign w:val="superscript"/>
        </w:rPr>
        <w:t>d</w:t>
      </w:r>
      <w:r w:rsidR="000F104A" w:rsidRPr="00761373">
        <w:rPr>
          <w:snapToGrid/>
        </w:rPr>
        <w:tab/>
        <w:t xml:space="preserve">estimated based on “all 30 patients received cycle 1 of </w:t>
      </w:r>
      <w:proofErr w:type="spellStart"/>
      <w:r w:rsidR="000F104A" w:rsidRPr="00761373">
        <w:rPr>
          <w:snapToGrid/>
        </w:rPr>
        <w:t>LuPSMA</w:t>
      </w:r>
      <w:proofErr w:type="spellEnd"/>
      <w:r w:rsidR="000F104A" w:rsidRPr="00761373">
        <w:rPr>
          <w:snapToGrid/>
        </w:rPr>
        <w:t xml:space="preserve">, and 28 (93%), 24 (80%), and 14 (47%) patients received cycles two, three, and four, respectively” (p829 </w:t>
      </w:r>
      <w:proofErr w:type="spellStart"/>
      <w:r w:rsidR="000F104A" w:rsidRPr="00761373">
        <w:rPr>
          <w:snapToGrid/>
        </w:rPr>
        <w:t>Hofman</w:t>
      </w:r>
      <w:proofErr w:type="spellEnd"/>
      <w:r w:rsidR="000F104A" w:rsidRPr="00761373">
        <w:rPr>
          <w:snapToGrid/>
        </w:rPr>
        <w:t xml:space="preserve"> 2018)</w:t>
      </w:r>
    </w:p>
    <w:p w14:paraId="07ADCC33" w14:textId="6CFC44D2" w:rsidR="00335EBB" w:rsidRDefault="00335EBB" w:rsidP="00335EBB">
      <w:pPr>
        <w:pStyle w:val="Tablenotes0"/>
        <w:spacing w:before="0" w:after="0"/>
      </w:pPr>
      <w:r>
        <w:t>Abbreviations</w:t>
      </w:r>
      <w:r w:rsidRPr="00745D0E">
        <w:t xml:space="preserve">: </w:t>
      </w:r>
      <w:r w:rsidRPr="00745D0E">
        <w:rPr>
          <w:vertAlign w:val="superscript"/>
        </w:rPr>
        <w:t>177</w:t>
      </w:r>
      <w:r w:rsidR="009F7816">
        <w:t>Lu PSMA</w:t>
      </w:r>
      <w:r w:rsidRPr="00745D0E">
        <w:t xml:space="preserve">, </w:t>
      </w:r>
      <w:r w:rsidRPr="00745D0E">
        <w:rPr>
          <w:vertAlign w:val="superscript"/>
        </w:rPr>
        <w:t>177</w:t>
      </w:r>
      <w:r w:rsidR="007924A0" w:rsidRPr="00745D0E">
        <w:t>l</w:t>
      </w:r>
      <w:r w:rsidRPr="00745D0E">
        <w:t>utetium prostate-specific membrane antigen</w:t>
      </w:r>
      <w:r>
        <w:t xml:space="preserve">; </w:t>
      </w:r>
      <w:r w:rsidRPr="00745D0E">
        <w:t xml:space="preserve">CI, confidence interval; </w:t>
      </w:r>
      <w:r>
        <w:t xml:space="preserve">NR, not reported; OS, overall survival; PFS, progression-free survival; </w:t>
      </w:r>
      <w:r w:rsidRPr="00745D0E">
        <w:t>PSA</w:t>
      </w:r>
      <w:r>
        <w:t>50, prostate</w:t>
      </w:r>
      <w:r w:rsidR="007924A0">
        <w:t>-</w:t>
      </w:r>
      <w:r>
        <w:t xml:space="preserve">specific antigen </w:t>
      </w:r>
      <w:r w:rsidRPr="00E8529D">
        <w:t>reduction of 50% or more from baseline</w:t>
      </w:r>
    </w:p>
    <w:p w14:paraId="7321B280" w14:textId="730B1746" w:rsidR="008D0A59" w:rsidRPr="005D0BF1" w:rsidRDefault="008D0A59" w:rsidP="000F104A">
      <w:r w:rsidRPr="005D0BF1">
        <w:lastRenderedPageBreak/>
        <w:t>T</w:t>
      </w:r>
      <w:r w:rsidR="000F104A" w:rsidRPr="005D0BF1">
        <w:t xml:space="preserve">here is a numerical trend in increasing PSA50 response rates with increasing </w:t>
      </w:r>
      <w:proofErr w:type="spellStart"/>
      <w:r w:rsidR="000F104A" w:rsidRPr="005D0BF1">
        <w:t>SUV</w:t>
      </w:r>
      <w:r w:rsidR="000F104A" w:rsidRPr="005D0BF1">
        <w:rPr>
          <w:vertAlign w:val="subscript"/>
        </w:rPr>
        <w:t>max</w:t>
      </w:r>
      <w:proofErr w:type="spellEnd"/>
      <w:r w:rsidR="000F104A" w:rsidRPr="005D0BF1">
        <w:t xml:space="preserve"> thresholds based on point estimates (although there were also numerical differences in response rates in studies restricting enrolment based on </w:t>
      </w:r>
      <w:r w:rsidRPr="005D0BF1">
        <w:t>similar</w:t>
      </w:r>
      <w:r w:rsidR="000F104A" w:rsidRPr="005D0BF1">
        <w:t xml:space="preserve"> </w:t>
      </w:r>
      <w:proofErr w:type="spellStart"/>
      <w:r w:rsidR="000F104A" w:rsidRPr="005D0BF1">
        <w:t>SUV</w:t>
      </w:r>
      <w:r w:rsidR="000F104A" w:rsidRPr="005D0BF1">
        <w:rPr>
          <w:vertAlign w:val="subscript"/>
        </w:rPr>
        <w:t>max</w:t>
      </w:r>
      <w:proofErr w:type="spellEnd"/>
      <w:r w:rsidR="000F104A" w:rsidRPr="005D0BF1">
        <w:t xml:space="preserve"> threshold</w:t>
      </w:r>
      <w:r w:rsidRPr="005D0BF1">
        <w:t>s</w:t>
      </w:r>
      <w:r w:rsidR="000F104A" w:rsidRPr="005D0BF1">
        <w:t xml:space="preserve"> i.e., Emmett 2019 [35.7%] and VISION [46.0%], which may be explained by differences in median number of doses, 3.0 and 5.0, respectively).</w:t>
      </w:r>
    </w:p>
    <w:p w14:paraId="0F8D4459" w14:textId="58E5B841" w:rsidR="00862131" w:rsidRPr="00B61FF0" w:rsidRDefault="00367CDE" w:rsidP="000F104A">
      <w:r w:rsidRPr="005D0BF1">
        <w:t>M</w:t>
      </w:r>
      <w:r w:rsidR="008D0A59" w:rsidRPr="005D0BF1">
        <w:t xml:space="preserve">ost point estimates </w:t>
      </w:r>
      <w:r w:rsidRPr="005D0BF1">
        <w:t xml:space="preserve">for PSA50 response </w:t>
      </w:r>
      <w:r w:rsidR="008D0A59" w:rsidRPr="005D0BF1">
        <w:t xml:space="preserve">lie within the 95% CIs for </w:t>
      </w:r>
      <w:r w:rsidRPr="005D0BF1">
        <w:t xml:space="preserve">at least one </w:t>
      </w:r>
      <w:r w:rsidR="008D0A59" w:rsidRPr="005D0BF1">
        <w:t xml:space="preserve">other estimate, the exception to this </w:t>
      </w:r>
      <w:r w:rsidRPr="005D0BF1">
        <w:t xml:space="preserve">is Emmett (2019) with a point estimate of 35.7% being lower than all lower 95% CIs reported. Moreover, </w:t>
      </w:r>
      <w:r w:rsidR="000F104A" w:rsidRPr="005D0BF1">
        <w:t xml:space="preserve">PSA50 is an intermediate or surrogate </w:t>
      </w:r>
      <w:proofErr w:type="gramStart"/>
      <w:r w:rsidR="000F104A" w:rsidRPr="005D0BF1">
        <w:t>outcome</w:t>
      </w:r>
      <w:proofErr w:type="gramEnd"/>
      <w:r w:rsidR="000F104A" w:rsidRPr="005D0BF1">
        <w:t xml:space="preserve"> and the ADAR has not demonstrated a link between PSA50 and patient-relevant outcomes such as PFS and in particular, OS. PFS and OS did not show the ‘same’ trend in increasing PFS and OS with increasing </w:t>
      </w:r>
      <w:proofErr w:type="spellStart"/>
      <w:r w:rsidR="000F104A" w:rsidRPr="005D0BF1">
        <w:t>SUV</w:t>
      </w:r>
      <w:r w:rsidR="000F104A" w:rsidRPr="005D0BF1">
        <w:rPr>
          <w:vertAlign w:val="subscript"/>
        </w:rPr>
        <w:t>max</w:t>
      </w:r>
      <w:proofErr w:type="spellEnd"/>
      <w:r w:rsidR="000F104A" w:rsidRPr="005D0BF1">
        <w:t xml:space="preserve"> thresholds. </w:t>
      </w:r>
      <w:r w:rsidR="00724DEC" w:rsidRPr="005D0BF1">
        <w:t xml:space="preserve">This suggests there may be no difference in </w:t>
      </w:r>
      <w:proofErr w:type="gramStart"/>
      <w:r w:rsidR="00724DEC" w:rsidRPr="005D0BF1">
        <w:t>PFS</w:t>
      </w:r>
      <w:proofErr w:type="gramEnd"/>
      <w:r w:rsidR="00724DEC" w:rsidRPr="005D0BF1">
        <w:t xml:space="preserve"> or OS based on </w:t>
      </w:r>
      <w:proofErr w:type="spellStart"/>
      <w:r w:rsidR="00724DEC" w:rsidRPr="005D0BF1">
        <w:t>SUV</w:t>
      </w:r>
      <w:r w:rsidR="00724DEC" w:rsidRPr="005D0BF1">
        <w:rPr>
          <w:vertAlign w:val="subscript"/>
        </w:rPr>
        <w:t>max</w:t>
      </w:r>
      <w:proofErr w:type="spellEnd"/>
      <w:r w:rsidR="00724DEC" w:rsidRPr="005D0BF1">
        <w:t xml:space="preserve"> </w:t>
      </w:r>
      <w:r w:rsidR="00724DEC" w:rsidRPr="005D0BF1">
        <w:rPr>
          <w:rFonts w:cstheme="minorHAnsi"/>
        </w:rPr>
        <w:t>threshold</w:t>
      </w:r>
      <w:r w:rsidR="00724DEC" w:rsidRPr="005D0BF1">
        <w:t>.</w:t>
      </w:r>
    </w:p>
    <w:p w14:paraId="20C944E2" w14:textId="33F74119" w:rsidR="000F104A" w:rsidRPr="00B61FF0" w:rsidRDefault="000F104A" w:rsidP="000F104A">
      <w:r>
        <w:t xml:space="preserve">The ADAR </w:t>
      </w:r>
      <w:r w:rsidR="008B358C">
        <w:t>highlighted that</w:t>
      </w:r>
      <w:r w:rsidRPr="00DA0259">
        <w:rPr>
          <w:szCs w:val="20"/>
        </w:rPr>
        <w:t xml:space="preserve"> this</w:t>
      </w:r>
      <w:r w:rsidR="00F30593">
        <w:rPr>
          <w:szCs w:val="20"/>
        </w:rPr>
        <w:t xml:space="preserve"> </w:t>
      </w:r>
      <w:r w:rsidR="004B39F6">
        <w:rPr>
          <w:szCs w:val="20"/>
        </w:rPr>
        <w:t>(</w:t>
      </w:r>
      <w:r w:rsidR="00F30593" w:rsidRPr="00DA0259">
        <w:rPr>
          <w:szCs w:val="20"/>
        </w:rPr>
        <w:t>≥5 compared to &gt;15 is significant but is only marginal for &gt;15 compared to ≥20</w:t>
      </w:r>
      <w:r w:rsidR="004B39F6">
        <w:rPr>
          <w:szCs w:val="20"/>
        </w:rPr>
        <w:t>)</w:t>
      </w:r>
      <w:r w:rsidRPr="00DA0259">
        <w:rPr>
          <w:szCs w:val="20"/>
        </w:rPr>
        <w:t xml:space="preserve"> is consistent with findings from Emmett et al. (2019)</w:t>
      </w:r>
      <w:r w:rsidR="00724DEC">
        <w:rPr>
          <w:szCs w:val="20"/>
        </w:rPr>
        <w:t xml:space="preserve">. Emmett (2019) </w:t>
      </w:r>
      <w:r w:rsidR="003315F9">
        <w:rPr>
          <w:szCs w:val="20"/>
        </w:rPr>
        <w:t xml:space="preserve">provided a comparison of those with </w:t>
      </w:r>
      <w:proofErr w:type="spellStart"/>
      <w:r w:rsidR="003315F9">
        <w:rPr>
          <w:szCs w:val="20"/>
        </w:rPr>
        <w:t>SUV</w:t>
      </w:r>
      <w:r w:rsidR="003315F9">
        <w:rPr>
          <w:szCs w:val="20"/>
          <w:vertAlign w:val="subscript"/>
        </w:rPr>
        <w:t>max</w:t>
      </w:r>
      <w:proofErr w:type="spellEnd"/>
      <w:r w:rsidR="003315F9">
        <w:rPr>
          <w:szCs w:val="20"/>
        </w:rPr>
        <w:t xml:space="preserve"> &lt;15 and &gt;15, </w:t>
      </w:r>
      <w:r w:rsidRPr="005517AB">
        <w:rPr>
          <w:szCs w:val="20"/>
        </w:rPr>
        <w:t xml:space="preserve">which demonstrated patients with an </w:t>
      </w:r>
      <w:proofErr w:type="spellStart"/>
      <w:r w:rsidRPr="005517AB">
        <w:rPr>
          <w:szCs w:val="20"/>
        </w:rPr>
        <w:t>SUV</w:t>
      </w:r>
      <w:r w:rsidRPr="005517AB">
        <w:rPr>
          <w:szCs w:val="20"/>
          <w:vertAlign w:val="subscript"/>
        </w:rPr>
        <w:t>max</w:t>
      </w:r>
      <w:proofErr w:type="spellEnd"/>
      <w:r w:rsidRPr="005517AB">
        <w:rPr>
          <w:szCs w:val="20"/>
        </w:rPr>
        <w:t xml:space="preserve"> &lt;15 had no response to </w:t>
      </w:r>
      <w:r w:rsidRPr="005517AB">
        <w:rPr>
          <w:szCs w:val="20"/>
          <w:vertAlign w:val="superscript"/>
        </w:rPr>
        <w:t>177</w:t>
      </w:r>
      <w:r w:rsidR="009F7816">
        <w:rPr>
          <w:szCs w:val="20"/>
        </w:rPr>
        <w:t>Lu PSMA</w:t>
      </w:r>
      <w:r w:rsidR="00EF3B3C">
        <w:rPr>
          <w:szCs w:val="20"/>
        </w:rPr>
        <w:t>-617</w:t>
      </w:r>
      <w:r w:rsidRPr="005517AB">
        <w:rPr>
          <w:szCs w:val="20"/>
        </w:rPr>
        <w:t xml:space="preserve"> treatment. </w:t>
      </w:r>
      <w:r w:rsidR="003315F9" w:rsidRPr="0049584B">
        <w:t>Emmett (2019) had a small sample size (n=14)</w:t>
      </w:r>
      <w:r w:rsidR="003D3182" w:rsidRPr="0049584B">
        <w:t xml:space="preserve"> and included only three patients with </w:t>
      </w:r>
      <w:proofErr w:type="spellStart"/>
      <w:r w:rsidR="003D3182" w:rsidRPr="0049584B">
        <w:t>SUV</w:t>
      </w:r>
      <w:r w:rsidR="003D3182" w:rsidRPr="0049584B">
        <w:rPr>
          <w:vertAlign w:val="subscript"/>
        </w:rPr>
        <w:t>max</w:t>
      </w:r>
      <w:proofErr w:type="spellEnd"/>
      <w:r w:rsidR="003D3182" w:rsidRPr="0049584B">
        <w:rPr>
          <w:vertAlign w:val="subscript"/>
        </w:rPr>
        <w:t xml:space="preserve"> </w:t>
      </w:r>
      <w:r w:rsidR="003D3182" w:rsidRPr="0049584B">
        <w:t>&lt;15</w:t>
      </w:r>
      <w:r w:rsidR="003315F9" w:rsidRPr="0049584B">
        <w:t xml:space="preserve">. Although it is true that only those with </w:t>
      </w:r>
      <w:proofErr w:type="spellStart"/>
      <w:r w:rsidR="003315F9" w:rsidRPr="0049584B">
        <w:t>SUV</w:t>
      </w:r>
      <w:r w:rsidR="003315F9" w:rsidRPr="0049584B">
        <w:rPr>
          <w:vertAlign w:val="subscript"/>
        </w:rPr>
        <w:t>max</w:t>
      </w:r>
      <w:proofErr w:type="spellEnd"/>
      <w:r w:rsidR="003315F9" w:rsidRPr="0049584B">
        <w:rPr>
          <w:vertAlign w:val="subscript"/>
        </w:rPr>
        <w:t xml:space="preserve"> </w:t>
      </w:r>
      <w:r w:rsidR="003315F9" w:rsidRPr="0049584B">
        <w:t>&gt;15 demonstrated a PSA50 response</w:t>
      </w:r>
      <w:r w:rsidR="003D3182" w:rsidRPr="0049584B">
        <w:t>,</w:t>
      </w:r>
      <w:r w:rsidR="003315F9" w:rsidRPr="0049584B">
        <w:t xml:space="preserve"> one of 11 patients (9.1%) with </w:t>
      </w:r>
      <w:proofErr w:type="spellStart"/>
      <w:r w:rsidR="003315F9" w:rsidRPr="0049584B">
        <w:t>SUV</w:t>
      </w:r>
      <w:r w:rsidR="003315F9" w:rsidRPr="0049584B">
        <w:rPr>
          <w:vertAlign w:val="subscript"/>
        </w:rPr>
        <w:t>max</w:t>
      </w:r>
      <w:proofErr w:type="spellEnd"/>
      <w:r w:rsidR="003315F9" w:rsidRPr="0049584B">
        <w:t xml:space="preserve"> &gt;15 did not show a </w:t>
      </w:r>
      <w:proofErr w:type="gramStart"/>
      <w:r w:rsidR="003315F9" w:rsidRPr="0049584B">
        <w:t>response</w:t>
      </w:r>
      <w:proofErr w:type="gramEnd"/>
      <w:r w:rsidR="003315F9" w:rsidRPr="0049584B">
        <w:t xml:space="preserve"> and another (9.1%) had a minimal response. Only five of 11 patients (45.5%) with </w:t>
      </w:r>
      <w:proofErr w:type="spellStart"/>
      <w:r w:rsidR="003315F9" w:rsidRPr="0049584B">
        <w:t>SUV</w:t>
      </w:r>
      <w:r w:rsidR="003315F9" w:rsidRPr="0049584B">
        <w:rPr>
          <w:vertAlign w:val="subscript"/>
        </w:rPr>
        <w:t>max</w:t>
      </w:r>
      <w:proofErr w:type="spellEnd"/>
      <w:r w:rsidR="003315F9" w:rsidRPr="0049584B">
        <w:t xml:space="preserve"> &gt;15 achieved PSA50. </w:t>
      </w:r>
      <w:r w:rsidRPr="005517AB">
        <w:rPr>
          <w:szCs w:val="20"/>
        </w:rPr>
        <w:t>T</w:t>
      </w:r>
      <w:r w:rsidR="003315F9" w:rsidRPr="005517AB">
        <w:rPr>
          <w:szCs w:val="20"/>
        </w:rPr>
        <w:t>he ADAR stated t</w:t>
      </w:r>
      <w:r w:rsidRPr="005517AB">
        <w:rPr>
          <w:szCs w:val="20"/>
        </w:rPr>
        <w:t>his suggest</w:t>
      </w:r>
      <w:r w:rsidR="004B39F6">
        <w:rPr>
          <w:szCs w:val="20"/>
        </w:rPr>
        <w:t>s</w:t>
      </w:r>
      <w:r w:rsidRPr="005517AB">
        <w:rPr>
          <w:szCs w:val="20"/>
        </w:rPr>
        <w:t xml:space="preserve"> patients with a </w:t>
      </w:r>
      <w:proofErr w:type="spellStart"/>
      <w:r w:rsidRPr="005517AB">
        <w:rPr>
          <w:szCs w:val="20"/>
        </w:rPr>
        <w:t>SUV</w:t>
      </w:r>
      <w:r w:rsidRPr="005517AB">
        <w:rPr>
          <w:szCs w:val="20"/>
          <w:vertAlign w:val="subscript"/>
        </w:rPr>
        <w:t>max</w:t>
      </w:r>
      <w:proofErr w:type="spellEnd"/>
      <w:r w:rsidRPr="005517AB">
        <w:rPr>
          <w:szCs w:val="20"/>
        </w:rPr>
        <w:t xml:space="preserve"> &gt;15 have adequate levels of PSMA expression to warrant significant </w:t>
      </w:r>
      <w:r w:rsidRPr="005517AB">
        <w:rPr>
          <w:szCs w:val="20"/>
          <w:vertAlign w:val="superscript"/>
        </w:rPr>
        <w:t>177</w:t>
      </w:r>
      <w:r w:rsidR="009F7816">
        <w:rPr>
          <w:szCs w:val="20"/>
        </w:rPr>
        <w:t>Lu PSMA</w:t>
      </w:r>
      <w:r w:rsidRPr="005517AB">
        <w:rPr>
          <w:szCs w:val="20"/>
        </w:rPr>
        <w:t xml:space="preserve"> treatment response. </w:t>
      </w:r>
      <w:r w:rsidRPr="00B61FF0">
        <w:t xml:space="preserve">This is a reasonable conclusion, but the results </w:t>
      </w:r>
      <w:r w:rsidR="00706748" w:rsidRPr="00B61FF0">
        <w:t xml:space="preserve">in </w:t>
      </w:r>
      <w:r w:rsidR="00706748" w:rsidRPr="00B61FF0">
        <w:fldChar w:fldCharType="begin"/>
      </w:r>
      <w:r w:rsidR="00706748" w:rsidRPr="00B61FF0">
        <w:instrText xml:space="preserve"> REF _Ref92884908 \h </w:instrText>
      </w:r>
      <w:r w:rsidR="005517AB" w:rsidRPr="00B61FF0">
        <w:instrText xml:space="preserve"> \* MERGEFORMAT </w:instrText>
      </w:r>
      <w:r w:rsidR="00706748" w:rsidRPr="00B61FF0">
        <w:fldChar w:fldCharType="separate"/>
      </w:r>
      <w:r w:rsidR="00706748" w:rsidRPr="005517AB">
        <w:t xml:space="preserve">Table </w:t>
      </w:r>
      <w:r w:rsidR="00706748" w:rsidRPr="005517AB">
        <w:rPr>
          <w:noProof/>
        </w:rPr>
        <w:t>5</w:t>
      </w:r>
      <w:r w:rsidR="00706748" w:rsidRPr="00B61FF0">
        <w:fldChar w:fldCharType="end"/>
      </w:r>
      <w:r w:rsidR="00706748" w:rsidRPr="00B61FF0">
        <w:t xml:space="preserve"> </w:t>
      </w:r>
      <w:r w:rsidRPr="00B61FF0">
        <w:t xml:space="preserve">similarly suggest that patients with a </w:t>
      </w:r>
      <w:proofErr w:type="spellStart"/>
      <w:r w:rsidRPr="00B61FF0">
        <w:t>SUV</w:t>
      </w:r>
      <w:r w:rsidRPr="00B61FF0">
        <w:rPr>
          <w:vertAlign w:val="subscript"/>
        </w:rPr>
        <w:t>max</w:t>
      </w:r>
      <w:proofErr w:type="spellEnd"/>
      <w:r w:rsidRPr="00B61FF0">
        <w:t xml:space="preserve"> </w:t>
      </w:r>
      <w:r w:rsidRPr="00B61FF0">
        <w:rPr>
          <w:rFonts w:cstheme="minorHAnsi"/>
        </w:rPr>
        <w:t>≥</w:t>
      </w:r>
      <w:r w:rsidRPr="00B61FF0">
        <w:t xml:space="preserve">5 </w:t>
      </w:r>
      <w:r w:rsidR="003315F9" w:rsidRPr="00B61FF0">
        <w:t>(</w:t>
      </w:r>
      <w:r w:rsidR="003D3182" w:rsidRPr="00B61FF0">
        <w:t>46.</w:t>
      </w:r>
      <w:r w:rsidR="003315F9" w:rsidRPr="00B61FF0">
        <w:t xml:space="preserve">0% in VISION) </w:t>
      </w:r>
      <w:r w:rsidRPr="00B61FF0">
        <w:t xml:space="preserve">have adequate levels of PSMA expression for response, that may not be statistically significantly different to those with a </w:t>
      </w:r>
      <w:proofErr w:type="spellStart"/>
      <w:r w:rsidRPr="00B61FF0">
        <w:t>SUV</w:t>
      </w:r>
      <w:r w:rsidRPr="00B61FF0">
        <w:rPr>
          <w:vertAlign w:val="subscript"/>
        </w:rPr>
        <w:t>max</w:t>
      </w:r>
      <w:proofErr w:type="spellEnd"/>
      <w:r w:rsidRPr="00B61FF0">
        <w:t xml:space="preserve"> </w:t>
      </w:r>
      <w:r w:rsidR="003315F9" w:rsidRPr="00B61FF0">
        <w:rPr>
          <w:rFonts w:cstheme="minorHAnsi"/>
        </w:rPr>
        <w:t xml:space="preserve">&gt;15 (45.5% in those with </w:t>
      </w:r>
      <w:proofErr w:type="spellStart"/>
      <w:r w:rsidR="003315F9" w:rsidRPr="00B61FF0">
        <w:rPr>
          <w:rFonts w:cstheme="minorHAnsi"/>
        </w:rPr>
        <w:t>SUV</w:t>
      </w:r>
      <w:r w:rsidR="003315F9" w:rsidRPr="00B61FF0">
        <w:rPr>
          <w:rFonts w:cstheme="minorHAnsi"/>
          <w:vertAlign w:val="subscript"/>
        </w:rPr>
        <w:t>max</w:t>
      </w:r>
      <w:proofErr w:type="spellEnd"/>
      <w:r w:rsidR="003315F9" w:rsidRPr="00B61FF0">
        <w:rPr>
          <w:rFonts w:cstheme="minorHAnsi"/>
          <w:vertAlign w:val="subscript"/>
        </w:rPr>
        <w:t xml:space="preserve"> </w:t>
      </w:r>
      <w:r w:rsidR="003315F9" w:rsidRPr="00B61FF0">
        <w:t>&gt;15 in Emmett 2019)</w:t>
      </w:r>
      <w:r w:rsidRPr="00B61FF0">
        <w:t xml:space="preserve">. Exclusion of patients with </w:t>
      </w:r>
      <w:proofErr w:type="spellStart"/>
      <w:r w:rsidRPr="00B61FF0">
        <w:t>SUV</w:t>
      </w:r>
      <w:r w:rsidRPr="00B61FF0">
        <w:rPr>
          <w:vertAlign w:val="subscript"/>
        </w:rPr>
        <w:t>max</w:t>
      </w:r>
      <w:proofErr w:type="spellEnd"/>
      <w:r w:rsidRPr="00B61FF0">
        <w:t xml:space="preserve"> </w:t>
      </w:r>
      <w:r w:rsidR="009119F7" w:rsidRPr="00B61FF0">
        <w:t xml:space="preserve">between </w:t>
      </w:r>
      <w:r w:rsidRPr="00B61FF0">
        <w:t xml:space="preserve">5 </w:t>
      </w:r>
      <w:r w:rsidR="009119F7" w:rsidRPr="00B61FF0">
        <w:t xml:space="preserve">and </w:t>
      </w:r>
      <w:r w:rsidRPr="00B61FF0">
        <w:t>15 from the treated population in the Australian setting may not be adequately justified</w:t>
      </w:r>
      <w:r w:rsidR="003D3182" w:rsidRPr="00B61FF0">
        <w:t xml:space="preserve"> based on the available data</w:t>
      </w:r>
      <w:r w:rsidRPr="00DA0259">
        <w:rPr>
          <w:i/>
          <w:iCs/>
        </w:rPr>
        <w:t>.</w:t>
      </w:r>
    </w:p>
    <w:p w14:paraId="6464675E" w14:textId="2F891B19" w:rsidR="000F104A" w:rsidRPr="00B61FF0" w:rsidRDefault="009119F7" w:rsidP="000F104A">
      <w:r w:rsidRPr="00B61FF0">
        <w:t>T</w:t>
      </w:r>
      <w:r w:rsidR="000F104A" w:rsidRPr="00B61FF0">
        <w:t xml:space="preserve">he ADAR describes </w:t>
      </w:r>
      <w:r w:rsidR="00706748" w:rsidRPr="00B61FF0">
        <w:t xml:space="preserve">the </w:t>
      </w:r>
      <w:r w:rsidR="000F104A" w:rsidRPr="00B61FF0">
        <w:t xml:space="preserve">difference between response rates in </w:t>
      </w:r>
      <w:proofErr w:type="spellStart"/>
      <w:r w:rsidR="000F104A" w:rsidRPr="00B61FF0">
        <w:t>LuPIN</w:t>
      </w:r>
      <w:proofErr w:type="spellEnd"/>
      <w:r w:rsidR="000F104A" w:rsidRPr="00B61FF0">
        <w:t xml:space="preserve"> (60.7%) enrolling those with </w:t>
      </w:r>
      <w:proofErr w:type="spellStart"/>
      <w:r w:rsidR="000F104A" w:rsidRPr="00B61FF0">
        <w:t>SUV</w:t>
      </w:r>
      <w:r w:rsidR="000F104A" w:rsidRPr="00B61FF0">
        <w:rPr>
          <w:vertAlign w:val="subscript"/>
        </w:rPr>
        <w:t>max</w:t>
      </w:r>
      <w:proofErr w:type="spellEnd"/>
      <w:r w:rsidR="000F104A" w:rsidRPr="00B61FF0">
        <w:t xml:space="preserve"> &gt;15 compared with the Emmett (2019; 35.7%) and VISION (46.0%) studies, enrolling patients with </w:t>
      </w:r>
      <w:proofErr w:type="spellStart"/>
      <w:r w:rsidR="000F104A" w:rsidRPr="00B61FF0">
        <w:t>SUV</w:t>
      </w:r>
      <w:r w:rsidR="000F104A" w:rsidRPr="00B61FF0">
        <w:rPr>
          <w:vertAlign w:val="subscript"/>
        </w:rPr>
        <w:t>max</w:t>
      </w:r>
      <w:proofErr w:type="spellEnd"/>
      <w:r w:rsidR="000F104A" w:rsidRPr="00B61FF0">
        <w:t xml:space="preserve"> &gt;5 “is therefore significant”, </w:t>
      </w:r>
      <w:r w:rsidRPr="00B61FF0">
        <w:t>which is in contrast to the ADAR’s description of</w:t>
      </w:r>
      <w:r w:rsidR="000F104A" w:rsidRPr="00B61FF0">
        <w:t xml:space="preserve"> the response rates as </w:t>
      </w:r>
      <w:r w:rsidRPr="00B61FF0">
        <w:t xml:space="preserve">being </w:t>
      </w:r>
      <w:r w:rsidR="000F104A" w:rsidRPr="00B61FF0">
        <w:t xml:space="preserve">similar across all studies with rates ranging from 46.0% to 66.0% in its interpretation of the data presented for the comparison of </w:t>
      </w:r>
      <w:r w:rsidR="000F104A" w:rsidRPr="00B61FF0">
        <w:rPr>
          <w:vertAlign w:val="superscript"/>
        </w:rPr>
        <w:t>177</w:t>
      </w:r>
      <w:r w:rsidR="009F7816">
        <w:t>Lu </w:t>
      </w:r>
      <w:r w:rsidR="00886914">
        <w:t>PSMA </w:t>
      </w:r>
      <w:proofErr w:type="spellStart"/>
      <w:r w:rsidR="00886914">
        <w:t>i&amp;t</w:t>
      </w:r>
      <w:proofErr w:type="spellEnd"/>
      <w:r w:rsidR="000F104A" w:rsidRPr="00B61FF0">
        <w:t xml:space="preserve"> versus </w:t>
      </w:r>
      <w:r w:rsidR="00EF3B3C">
        <w:t>-</w:t>
      </w:r>
      <w:r w:rsidR="000F104A" w:rsidRPr="00B61FF0">
        <w:t>617.</w:t>
      </w:r>
    </w:p>
    <w:p w14:paraId="7ADE761C" w14:textId="77777777" w:rsidR="000F104A" w:rsidRDefault="000F104A" w:rsidP="00BD112C">
      <w:pPr>
        <w:keepNext/>
        <w:rPr>
          <w:u w:val="single"/>
        </w:rPr>
      </w:pPr>
      <w:r>
        <w:rPr>
          <w:u w:val="single"/>
        </w:rPr>
        <w:t>Change in patient management</w:t>
      </w:r>
    </w:p>
    <w:p w14:paraId="4365FEC4" w14:textId="6271D858" w:rsidR="000F104A" w:rsidRPr="00C016D9" w:rsidRDefault="000F104A" w:rsidP="000F104A">
      <w:r w:rsidRPr="00C016D9">
        <w:t xml:space="preserve">The ADAR similarly approached the assessment of change in management by assessing the proportion of patients who met eligibility criteria for various studies, according to </w:t>
      </w:r>
      <w:proofErr w:type="spellStart"/>
      <w:r w:rsidRPr="00C016D9">
        <w:t>SUV</w:t>
      </w:r>
      <w:r w:rsidRPr="00C016D9">
        <w:rPr>
          <w:vertAlign w:val="subscript"/>
        </w:rPr>
        <w:t>max</w:t>
      </w:r>
      <w:proofErr w:type="spellEnd"/>
      <w:r w:rsidRPr="00C016D9">
        <w:rPr>
          <w:vertAlign w:val="subscript"/>
        </w:rPr>
        <w:t xml:space="preserve"> </w:t>
      </w:r>
      <w:r w:rsidRPr="00C016D9">
        <w:t xml:space="preserve">thresholds, see </w:t>
      </w:r>
      <w:r w:rsidRPr="00AE6927">
        <w:fldChar w:fldCharType="begin"/>
      </w:r>
      <w:r w:rsidRPr="00C016D9">
        <w:instrText xml:space="preserve"> REF _Ref93334474 \h </w:instrText>
      </w:r>
      <w:r w:rsidR="00C016D9" w:rsidRPr="00B61FF0">
        <w:instrText xml:space="preserve"> \* MERGEFORMAT </w:instrText>
      </w:r>
      <w:r w:rsidRPr="00AE6927">
        <w:fldChar w:fldCharType="separate"/>
      </w:r>
      <w:r w:rsidRPr="00C016D9">
        <w:t xml:space="preserve">Table </w:t>
      </w:r>
      <w:r w:rsidRPr="00C016D9">
        <w:rPr>
          <w:noProof/>
        </w:rPr>
        <w:t>6</w:t>
      </w:r>
      <w:r w:rsidRPr="00AE6927">
        <w:fldChar w:fldCharType="end"/>
      </w:r>
      <w:r w:rsidRPr="00C016D9">
        <w:t xml:space="preserve">. </w:t>
      </w:r>
      <w:r w:rsidRPr="00B61FF0">
        <w:t xml:space="preserve">The number ineligible for </w:t>
      </w:r>
      <w:r w:rsidRPr="00B61FF0">
        <w:rPr>
          <w:vertAlign w:val="superscript"/>
        </w:rPr>
        <w:t>177</w:t>
      </w:r>
      <w:r w:rsidR="009F7816">
        <w:t>Lu PSMA</w:t>
      </w:r>
      <w:r w:rsidRPr="00B61FF0">
        <w:t xml:space="preserve">-617 in the studies were similar, however, inexplicably, a numerically greater proportion of patients were deemed eligible </w:t>
      </w:r>
      <w:r w:rsidR="009D34DE" w:rsidRPr="00B61FF0">
        <w:t xml:space="preserve">in </w:t>
      </w:r>
      <w:proofErr w:type="spellStart"/>
      <w:r w:rsidR="009D34DE" w:rsidRPr="00B61FF0">
        <w:t>TheraP</w:t>
      </w:r>
      <w:proofErr w:type="spellEnd"/>
      <w:r w:rsidR="009D34DE" w:rsidRPr="00B61FF0">
        <w:t xml:space="preserve"> (90%) </w:t>
      </w:r>
      <w:r w:rsidRPr="00B61FF0">
        <w:t xml:space="preserve">despite more stringent </w:t>
      </w:r>
      <w:r w:rsidR="003D3182" w:rsidRPr="00B61FF0">
        <w:t xml:space="preserve">PSMA PET/CT </w:t>
      </w:r>
      <w:r w:rsidRPr="00B61FF0">
        <w:t>threshold criteria</w:t>
      </w:r>
      <w:r w:rsidR="003D3182" w:rsidRPr="00B61FF0">
        <w:t xml:space="preserve"> (</w:t>
      </w:r>
      <w:proofErr w:type="spellStart"/>
      <w:r w:rsidR="003D3182" w:rsidRPr="00B61FF0">
        <w:t>SUV</w:t>
      </w:r>
      <w:r w:rsidR="003D3182" w:rsidRPr="00B61FF0">
        <w:rPr>
          <w:vertAlign w:val="subscript"/>
        </w:rPr>
        <w:t>max</w:t>
      </w:r>
      <w:proofErr w:type="spellEnd"/>
      <w:r w:rsidR="003D3182" w:rsidRPr="00B61FF0">
        <w:rPr>
          <w:vertAlign w:val="subscript"/>
        </w:rPr>
        <w:t xml:space="preserve"> </w:t>
      </w:r>
      <w:r w:rsidR="003D3182" w:rsidRPr="00B61FF0">
        <w:t>≥20</w:t>
      </w:r>
      <w:r w:rsidR="006759CF" w:rsidRPr="00B61FF0">
        <w:t xml:space="preserve"> at disease site and ≥10 at all sites of measurable disease</w:t>
      </w:r>
      <w:r w:rsidR="009D34DE" w:rsidRPr="00B61FF0">
        <w:t>)</w:t>
      </w:r>
      <w:r w:rsidR="003D3182" w:rsidRPr="00B61FF0">
        <w:t xml:space="preserve"> compared with </w:t>
      </w:r>
      <w:r w:rsidR="009D34DE" w:rsidRPr="00B61FF0">
        <w:t xml:space="preserve">87.7%-89.9% at </w:t>
      </w:r>
      <w:proofErr w:type="spellStart"/>
      <w:r w:rsidR="009D34DE" w:rsidRPr="00B61FF0">
        <w:t>SUV</w:t>
      </w:r>
      <w:r w:rsidR="009D34DE" w:rsidRPr="00B61FF0">
        <w:rPr>
          <w:vertAlign w:val="subscript"/>
        </w:rPr>
        <w:t>max</w:t>
      </w:r>
      <w:proofErr w:type="spellEnd"/>
      <w:r w:rsidR="009D34DE" w:rsidRPr="00B61FF0">
        <w:t xml:space="preserve"> ≥5, 83.7% at </w:t>
      </w:r>
      <w:proofErr w:type="spellStart"/>
      <w:r w:rsidR="009D34DE" w:rsidRPr="00B61FF0">
        <w:t>SUV</w:t>
      </w:r>
      <w:r w:rsidR="009D34DE" w:rsidRPr="00B61FF0">
        <w:rPr>
          <w:vertAlign w:val="subscript"/>
        </w:rPr>
        <w:t>max</w:t>
      </w:r>
      <w:proofErr w:type="spellEnd"/>
      <w:r w:rsidR="009D34DE" w:rsidRPr="00B61FF0">
        <w:t xml:space="preserve"> ≥10 and 87.0% at </w:t>
      </w:r>
      <w:proofErr w:type="spellStart"/>
      <w:r w:rsidR="009D34DE" w:rsidRPr="00B61FF0">
        <w:t>SUV</w:t>
      </w:r>
      <w:r w:rsidR="009D34DE" w:rsidRPr="00B61FF0">
        <w:rPr>
          <w:vertAlign w:val="subscript"/>
        </w:rPr>
        <w:t>max</w:t>
      </w:r>
      <w:proofErr w:type="spellEnd"/>
      <w:r w:rsidR="009D34DE" w:rsidRPr="00B61FF0">
        <w:t xml:space="preserve"> ≥15</w:t>
      </w:r>
      <w:r w:rsidRPr="00B61FF0">
        <w:t>. The reason for this is unclear but could potentially be due to unobserved differences in the cohorts of patients from whom those enrolled were derived or from differences in ‘reading’ and interpreting the scans.</w:t>
      </w:r>
    </w:p>
    <w:p w14:paraId="3AEB82F0" w14:textId="1C303F9A" w:rsidR="000F104A" w:rsidRDefault="000F104A" w:rsidP="00554E01">
      <w:pPr>
        <w:pStyle w:val="Caption"/>
      </w:pPr>
      <w:bookmarkStart w:id="28" w:name="_Ref93334474"/>
      <w:r>
        <w:lastRenderedPageBreak/>
        <w:t xml:space="preserve">Table </w:t>
      </w:r>
      <w:r w:rsidR="008440F9">
        <w:fldChar w:fldCharType="begin"/>
      </w:r>
      <w:r w:rsidR="008440F9">
        <w:instrText xml:space="preserve"> SEQ Table \* ARABIC </w:instrText>
      </w:r>
      <w:r w:rsidR="008440F9">
        <w:fldChar w:fldCharType="separate"/>
      </w:r>
      <w:r w:rsidR="00364E19">
        <w:rPr>
          <w:noProof/>
        </w:rPr>
        <w:t>6</w:t>
      </w:r>
      <w:r w:rsidR="008440F9">
        <w:rPr>
          <w:noProof/>
        </w:rPr>
        <w:fldChar w:fldCharType="end"/>
      </w:r>
      <w:bookmarkEnd w:id="28"/>
      <w:r>
        <w:tab/>
        <w:t xml:space="preserve">Comparison of change in management, by </w:t>
      </w:r>
      <w:proofErr w:type="spellStart"/>
      <w:r>
        <w:t>SUV</w:t>
      </w:r>
      <w:r w:rsidRPr="00C73460">
        <w:rPr>
          <w:vertAlign w:val="subscript"/>
        </w:rPr>
        <w:t>max</w:t>
      </w:r>
      <w:proofErr w:type="spellEnd"/>
      <w:r>
        <w:t xml:space="preserve"> threshold adopted</w:t>
      </w:r>
    </w:p>
    <w:tbl>
      <w:tblPr>
        <w:tblStyle w:val="AZTable11"/>
        <w:tblW w:w="5000" w:type="pct"/>
        <w:tblLook w:val="04A0" w:firstRow="1" w:lastRow="0" w:firstColumn="1" w:lastColumn="0" w:noHBand="0" w:noVBand="1"/>
      </w:tblPr>
      <w:tblGrid>
        <w:gridCol w:w="1980"/>
        <w:gridCol w:w="1417"/>
        <w:gridCol w:w="1259"/>
        <w:gridCol w:w="1859"/>
        <w:gridCol w:w="1277"/>
        <w:gridCol w:w="1224"/>
      </w:tblGrid>
      <w:tr w:rsidR="00761373" w14:paraId="69C5F5AD" w14:textId="77777777" w:rsidTr="00761373">
        <w:trPr>
          <w:cnfStyle w:val="100000000000" w:firstRow="1" w:lastRow="0" w:firstColumn="0" w:lastColumn="0" w:oddVBand="0" w:evenVBand="0" w:oddHBand="0" w:evenHBand="0" w:firstRowFirstColumn="0" w:firstRowLastColumn="0" w:lastRowFirstColumn="0" w:lastRowLastColumn="0"/>
          <w:trHeight w:val="295"/>
        </w:trPr>
        <w:tc>
          <w:tcPr>
            <w:tcW w:w="1098" w:type="pct"/>
            <w:tcBorders>
              <w:bottom w:val="nil"/>
            </w:tcBorders>
          </w:tcPr>
          <w:p w14:paraId="780B13F1" w14:textId="77777777" w:rsidR="00761373" w:rsidRPr="00B30F5A" w:rsidRDefault="00761373" w:rsidP="00554E01">
            <w:pPr>
              <w:pStyle w:val="TableText"/>
              <w:keepNext/>
              <w:rPr>
                <w:b/>
                <w:bCs/>
              </w:rPr>
            </w:pPr>
          </w:p>
        </w:tc>
        <w:tc>
          <w:tcPr>
            <w:tcW w:w="1484" w:type="pct"/>
            <w:gridSpan w:val="2"/>
            <w:tcBorders>
              <w:bottom w:val="single" w:sz="4" w:space="0" w:color="auto"/>
              <w:right w:val="nil"/>
            </w:tcBorders>
          </w:tcPr>
          <w:p w14:paraId="5D98996F" w14:textId="427593C4" w:rsidR="00761373" w:rsidRPr="00BA5CDC" w:rsidRDefault="00761373" w:rsidP="00554E01">
            <w:pPr>
              <w:pStyle w:val="TableText"/>
              <w:keepNext/>
              <w:jc w:val="center"/>
              <w:rPr>
                <w:b/>
                <w:bCs/>
              </w:rPr>
            </w:pPr>
            <w:proofErr w:type="spellStart"/>
            <w:r w:rsidRPr="00BA5CDC">
              <w:rPr>
                <w:b/>
                <w:bCs/>
              </w:rPr>
              <w:t>SUV</w:t>
            </w:r>
            <w:r w:rsidRPr="00F97A1A">
              <w:rPr>
                <w:b/>
                <w:bCs/>
                <w:vertAlign w:val="subscript"/>
              </w:rPr>
              <w:t>max</w:t>
            </w:r>
            <w:proofErr w:type="spellEnd"/>
            <w:r w:rsidRPr="00BA5CDC">
              <w:rPr>
                <w:b/>
                <w:bCs/>
              </w:rPr>
              <w:t xml:space="preserve"> </w:t>
            </w:r>
            <w:r>
              <w:rPr>
                <w:b/>
                <w:bCs/>
              </w:rPr>
              <w:t xml:space="preserve">≥5 </w:t>
            </w:r>
            <w:r>
              <w:rPr>
                <w:b/>
                <w:bCs/>
                <w:vertAlign w:val="superscript"/>
              </w:rPr>
              <w:t>a</w:t>
            </w:r>
          </w:p>
        </w:tc>
        <w:tc>
          <w:tcPr>
            <w:tcW w:w="1031" w:type="pct"/>
            <w:tcBorders>
              <w:bottom w:val="single" w:sz="4" w:space="0" w:color="auto"/>
            </w:tcBorders>
          </w:tcPr>
          <w:p w14:paraId="424312BD" w14:textId="77777777" w:rsidR="00761373" w:rsidRPr="00BA5CDC" w:rsidRDefault="00761373" w:rsidP="00554E01">
            <w:pPr>
              <w:pStyle w:val="TableText"/>
              <w:keepNext/>
              <w:jc w:val="center"/>
              <w:rPr>
                <w:b/>
                <w:bCs/>
              </w:rPr>
            </w:pPr>
            <w:proofErr w:type="spellStart"/>
            <w:r w:rsidRPr="00BA5CDC">
              <w:rPr>
                <w:b/>
                <w:bCs/>
              </w:rPr>
              <w:t>SUV</w:t>
            </w:r>
            <w:r w:rsidRPr="00F97A1A">
              <w:rPr>
                <w:b/>
                <w:bCs/>
                <w:vertAlign w:val="subscript"/>
              </w:rPr>
              <w:t>max</w:t>
            </w:r>
            <w:proofErr w:type="spellEnd"/>
            <w:r w:rsidRPr="00BA5CDC">
              <w:rPr>
                <w:b/>
                <w:bCs/>
              </w:rPr>
              <w:t xml:space="preserve"> </w:t>
            </w:r>
            <w:r>
              <w:rPr>
                <w:b/>
                <w:bCs/>
              </w:rPr>
              <w:t xml:space="preserve">≥10 </w:t>
            </w:r>
            <w:r>
              <w:rPr>
                <w:b/>
                <w:bCs/>
                <w:vertAlign w:val="superscript"/>
              </w:rPr>
              <w:t>b</w:t>
            </w:r>
          </w:p>
        </w:tc>
        <w:tc>
          <w:tcPr>
            <w:tcW w:w="708" w:type="pct"/>
            <w:tcBorders>
              <w:bottom w:val="single" w:sz="4" w:space="0" w:color="auto"/>
              <w:right w:val="nil"/>
            </w:tcBorders>
          </w:tcPr>
          <w:p w14:paraId="2232A737" w14:textId="77777777" w:rsidR="00761373" w:rsidRPr="00BA5CDC" w:rsidRDefault="00761373" w:rsidP="00554E01">
            <w:pPr>
              <w:pStyle w:val="TableText"/>
              <w:keepNext/>
              <w:jc w:val="center"/>
              <w:rPr>
                <w:b/>
                <w:bCs/>
              </w:rPr>
            </w:pPr>
            <w:proofErr w:type="spellStart"/>
            <w:r w:rsidRPr="00BA5CDC">
              <w:rPr>
                <w:b/>
                <w:bCs/>
              </w:rPr>
              <w:t>SUV</w:t>
            </w:r>
            <w:r w:rsidRPr="00F97A1A">
              <w:rPr>
                <w:b/>
                <w:bCs/>
                <w:vertAlign w:val="subscript"/>
              </w:rPr>
              <w:t>max</w:t>
            </w:r>
            <w:proofErr w:type="spellEnd"/>
            <w:r w:rsidRPr="00BA5CDC">
              <w:rPr>
                <w:b/>
                <w:bCs/>
              </w:rPr>
              <w:t xml:space="preserve"> </w:t>
            </w:r>
            <w:r>
              <w:rPr>
                <w:b/>
                <w:bCs/>
              </w:rPr>
              <w:t>≥</w:t>
            </w:r>
            <w:r w:rsidRPr="00BA5CDC">
              <w:rPr>
                <w:b/>
                <w:bCs/>
              </w:rPr>
              <w:t>15</w:t>
            </w:r>
          </w:p>
        </w:tc>
        <w:tc>
          <w:tcPr>
            <w:tcW w:w="679" w:type="pct"/>
            <w:tcBorders>
              <w:bottom w:val="single" w:sz="4" w:space="0" w:color="auto"/>
              <w:right w:val="single" w:sz="4" w:space="0" w:color="auto"/>
            </w:tcBorders>
          </w:tcPr>
          <w:p w14:paraId="0C45B88F" w14:textId="77777777" w:rsidR="00761373" w:rsidRPr="00BA5CDC" w:rsidRDefault="00761373" w:rsidP="00554E01">
            <w:pPr>
              <w:pStyle w:val="TableText"/>
              <w:keepNext/>
              <w:jc w:val="center"/>
              <w:rPr>
                <w:b/>
                <w:bCs/>
              </w:rPr>
            </w:pPr>
            <w:proofErr w:type="spellStart"/>
            <w:r w:rsidRPr="00BA5CDC">
              <w:rPr>
                <w:b/>
                <w:bCs/>
              </w:rPr>
              <w:t>SUV</w:t>
            </w:r>
            <w:r w:rsidRPr="00F97A1A">
              <w:rPr>
                <w:b/>
                <w:bCs/>
                <w:vertAlign w:val="subscript"/>
              </w:rPr>
              <w:t>max</w:t>
            </w:r>
            <w:proofErr w:type="spellEnd"/>
            <w:r w:rsidRPr="00BA5CDC">
              <w:rPr>
                <w:b/>
                <w:bCs/>
              </w:rPr>
              <w:t xml:space="preserve"> </w:t>
            </w:r>
            <w:r>
              <w:rPr>
                <w:b/>
                <w:bCs/>
              </w:rPr>
              <w:t>≥</w:t>
            </w:r>
            <w:r w:rsidRPr="00BA5CDC">
              <w:rPr>
                <w:b/>
                <w:bCs/>
              </w:rPr>
              <w:t>20</w:t>
            </w:r>
          </w:p>
        </w:tc>
      </w:tr>
      <w:tr w:rsidR="000F104A" w14:paraId="1AA98B32" w14:textId="77777777" w:rsidTr="00761373">
        <w:trPr>
          <w:trHeight w:val="295"/>
        </w:trPr>
        <w:tc>
          <w:tcPr>
            <w:tcW w:w="1098" w:type="pct"/>
            <w:tcBorders>
              <w:top w:val="nil"/>
              <w:bottom w:val="single" w:sz="4" w:space="0" w:color="auto"/>
            </w:tcBorders>
          </w:tcPr>
          <w:p w14:paraId="6A6EE2BC" w14:textId="77777777" w:rsidR="000F104A" w:rsidRPr="00B30F5A" w:rsidRDefault="000F104A" w:rsidP="00554E01">
            <w:pPr>
              <w:pStyle w:val="TableText"/>
              <w:keepNext/>
              <w:rPr>
                <w:b/>
                <w:bCs/>
              </w:rPr>
            </w:pPr>
          </w:p>
        </w:tc>
        <w:tc>
          <w:tcPr>
            <w:tcW w:w="786" w:type="pct"/>
            <w:tcBorders>
              <w:right w:val="nil"/>
            </w:tcBorders>
          </w:tcPr>
          <w:p w14:paraId="3AFD2DEC" w14:textId="77777777" w:rsidR="000F104A" w:rsidRDefault="000F104A" w:rsidP="00554E01">
            <w:pPr>
              <w:pStyle w:val="TableText"/>
              <w:keepNext/>
              <w:jc w:val="center"/>
              <w:rPr>
                <w:b/>
                <w:bCs/>
              </w:rPr>
            </w:pPr>
            <w:r w:rsidRPr="00BA5CDC">
              <w:rPr>
                <w:b/>
                <w:bCs/>
              </w:rPr>
              <w:t>Emmett 2019</w:t>
            </w:r>
          </w:p>
          <w:p w14:paraId="1DD79898" w14:textId="77777777" w:rsidR="000F104A" w:rsidRPr="00BA5CDC" w:rsidRDefault="000F104A" w:rsidP="00554E01">
            <w:pPr>
              <w:pStyle w:val="TableText"/>
              <w:keepNext/>
              <w:jc w:val="center"/>
              <w:rPr>
                <w:b/>
                <w:bCs/>
              </w:rPr>
            </w:pPr>
            <w:r>
              <w:rPr>
                <w:b/>
                <w:bCs/>
              </w:rPr>
              <w:t>N=18</w:t>
            </w:r>
          </w:p>
        </w:tc>
        <w:tc>
          <w:tcPr>
            <w:tcW w:w="698" w:type="pct"/>
            <w:tcBorders>
              <w:right w:val="nil"/>
            </w:tcBorders>
          </w:tcPr>
          <w:p w14:paraId="7305BB3C" w14:textId="77777777" w:rsidR="000F104A" w:rsidRDefault="000F104A" w:rsidP="00554E01">
            <w:pPr>
              <w:pStyle w:val="TableText"/>
              <w:keepNext/>
              <w:jc w:val="center"/>
              <w:rPr>
                <w:b/>
                <w:bCs/>
              </w:rPr>
            </w:pPr>
            <w:r>
              <w:rPr>
                <w:b/>
                <w:bCs/>
              </w:rPr>
              <w:t>VISION</w:t>
            </w:r>
          </w:p>
          <w:p w14:paraId="3DECD998" w14:textId="77777777" w:rsidR="000F104A" w:rsidRPr="00BA5CDC" w:rsidRDefault="000F104A" w:rsidP="00554E01">
            <w:pPr>
              <w:pStyle w:val="TableText"/>
              <w:keepNext/>
              <w:jc w:val="center"/>
              <w:rPr>
                <w:b/>
                <w:bCs/>
              </w:rPr>
            </w:pPr>
            <w:r>
              <w:rPr>
                <w:b/>
                <w:bCs/>
              </w:rPr>
              <w:t>N=1003</w:t>
            </w:r>
          </w:p>
        </w:tc>
        <w:tc>
          <w:tcPr>
            <w:tcW w:w="1031" w:type="pct"/>
          </w:tcPr>
          <w:p w14:paraId="42646C2B" w14:textId="77777777" w:rsidR="000F104A" w:rsidRDefault="000F104A" w:rsidP="00554E01">
            <w:pPr>
              <w:pStyle w:val="TableText"/>
              <w:keepNext/>
              <w:jc w:val="center"/>
              <w:rPr>
                <w:b/>
                <w:bCs/>
              </w:rPr>
            </w:pPr>
            <w:r>
              <w:rPr>
                <w:b/>
                <w:bCs/>
              </w:rPr>
              <w:fldChar w:fldCharType="begin"/>
            </w:r>
            <w:r>
              <w:rPr>
                <w:b/>
                <w:bCs/>
              </w:rPr>
              <w:instrText xml:space="preserve"> ADDIN EN.CITE &lt;EndNote&gt;&lt;Cite AuthorYear="1"&gt;&lt;Author&gt;Hofman&lt;/Author&gt;&lt;Year&gt;2018&lt;/Year&gt;&lt;RecNum&gt;66&lt;/RecNum&gt;&lt;DisplayText&gt;Hofman et al. (2018)&lt;/DisplayText&gt;&lt;record&gt;&lt;rec-number&gt;66&lt;/rec-number&gt;&lt;foreign-keys&gt;&lt;key app="EN" db-id="dd0rzfzzya9ddbeztxhppetwpt5d9v2xs2sz" timestamp="1640151061"&gt;66&lt;/key&gt;&lt;/foreign-keys&gt;&lt;ref-type name="Journal Article"&gt;17&lt;/ref-type&gt;&lt;contributors&gt;&lt;authors&gt;&lt;author&gt;Hofman, M. S.&lt;/author&gt;&lt;author&gt;Violet, J.&lt;/author&gt;&lt;author&gt;Hicks, R. J.&lt;/author&gt;&lt;author&gt;Ferdinandus, J.&lt;/author&gt;&lt;author&gt;Ping Thang, S.&lt;/author&gt;&lt;author&gt;Akhurst, T.&lt;/author&gt;&lt;author&gt;Iravani, A.&lt;/author&gt;&lt;author&gt;Kong, G.&lt;/author&gt;&lt;author&gt;Ravi Kumar, A.&lt;/author&gt;&lt;author&gt;Murphy, D. G.&lt;/author&gt;&lt;author&gt;Eu, P.&lt;/author&gt;&lt;author&gt;Jackson, P.&lt;/author&gt;&lt;author&gt;Scalzo, M.&lt;/author&gt;&lt;author&gt;Williams, S. G.&lt;/author&gt;&lt;author&gt;Sandhu, S.&lt;/author&gt;&lt;/authors&gt;&lt;/contributors&gt;&lt;titles&gt;&lt;title&gt;[&amp;lt;sup&amp;gt;177&amp;lt;/sup&amp;gt;Lu]-PSMA-617 radionuclide treatment in patients with metastatic castration-resistant prostate cancer (LuPSMA trial): a single-centre, single-arm, phase 2 study&lt;/title&gt;&lt;secondary-title&gt;The Lancet Oncology&lt;/secondary-title&gt;&lt;/titles&gt;&lt;periodical&gt;&lt;full-title&gt;The Lancet Oncology&lt;/full-title&gt;&lt;/periodical&gt;&lt;pages&gt;825-833&lt;/pages&gt;&lt;volume&gt;19(6)&lt;/volume&gt;&lt;dates&gt;&lt;year&gt;2018&lt;/year&gt;&lt;/dates&gt;&lt;urls&gt;&lt;related-urls&gt;&lt;url&gt;http://www.journals.elsevier.com/the-lancet-oncology/&lt;/url&gt;&lt;/related-urls&gt;&lt;/urls&gt;&lt;electronic-resource-num&gt;http://dx.doi.org/10.1016/S1470-2045%2818%2930198-0&lt;/electronic-resource-num&gt;&lt;/record&gt;&lt;/Cite&gt;&lt;/EndNote&gt;</w:instrText>
            </w:r>
            <w:r>
              <w:rPr>
                <w:b/>
                <w:bCs/>
              </w:rPr>
              <w:fldChar w:fldCharType="separate"/>
            </w:r>
            <w:r>
              <w:rPr>
                <w:b/>
                <w:bCs/>
                <w:noProof/>
              </w:rPr>
              <w:t>Hofman et al. (2018)</w:t>
            </w:r>
            <w:r>
              <w:rPr>
                <w:b/>
                <w:bCs/>
              </w:rPr>
              <w:fldChar w:fldCharType="end"/>
            </w:r>
          </w:p>
          <w:p w14:paraId="21968032" w14:textId="77777777" w:rsidR="000F104A" w:rsidRPr="00BA5CDC" w:rsidRDefault="000F104A" w:rsidP="00554E01">
            <w:pPr>
              <w:pStyle w:val="TableText"/>
              <w:keepNext/>
              <w:jc w:val="center"/>
              <w:rPr>
                <w:b/>
                <w:bCs/>
              </w:rPr>
            </w:pPr>
            <w:r>
              <w:rPr>
                <w:b/>
                <w:bCs/>
              </w:rPr>
              <w:t>N=43</w:t>
            </w:r>
          </w:p>
        </w:tc>
        <w:tc>
          <w:tcPr>
            <w:tcW w:w="708" w:type="pct"/>
            <w:tcBorders>
              <w:right w:val="nil"/>
            </w:tcBorders>
          </w:tcPr>
          <w:p w14:paraId="25C0B816" w14:textId="77777777" w:rsidR="000F104A" w:rsidRDefault="000F104A" w:rsidP="00554E01">
            <w:pPr>
              <w:pStyle w:val="TableText"/>
              <w:keepNext/>
              <w:jc w:val="center"/>
              <w:rPr>
                <w:b/>
                <w:bCs/>
              </w:rPr>
            </w:pPr>
            <w:proofErr w:type="spellStart"/>
            <w:r w:rsidRPr="00BA5CDC">
              <w:rPr>
                <w:b/>
                <w:bCs/>
              </w:rPr>
              <w:t>LuPIN</w:t>
            </w:r>
            <w:proofErr w:type="spellEnd"/>
          </w:p>
          <w:p w14:paraId="6D62E720" w14:textId="77777777" w:rsidR="000F104A" w:rsidRPr="0042710C" w:rsidRDefault="000F104A" w:rsidP="00554E01">
            <w:pPr>
              <w:pStyle w:val="TableText"/>
              <w:keepNext/>
              <w:jc w:val="center"/>
              <w:rPr>
                <w:b/>
                <w:bCs/>
              </w:rPr>
            </w:pPr>
            <w:r w:rsidRPr="0042710C">
              <w:rPr>
                <w:b/>
                <w:bCs/>
              </w:rPr>
              <w:t>N=100</w:t>
            </w:r>
          </w:p>
        </w:tc>
        <w:tc>
          <w:tcPr>
            <w:tcW w:w="679" w:type="pct"/>
            <w:tcBorders>
              <w:right w:val="single" w:sz="4" w:space="0" w:color="auto"/>
            </w:tcBorders>
          </w:tcPr>
          <w:p w14:paraId="0649AD3E" w14:textId="77777777" w:rsidR="000F104A" w:rsidRDefault="000F104A" w:rsidP="00554E01">
            <w:pPr>
              <w:pStyle w:val="TableText"/>
              <w:keepNext/>
              <w:jc w:val="center"/>
              <w:rPr>
                <w:b/>
                <w:bCs/>
              </w:rPr>
            </w:pPr>
            <w:proofErr w:type="spellStart"/>
            <w:r w:rsidRPr="00BA5CDC">
              <w:rPr>
                <w:b/>
                <w:bCs/>
              </w:rPr>
              <w:t>TheraP</w:t>
            </w:r>
            <w:proofErr w:type="spellEnd"/>
          </w:p>
          <w:p w14:paraId="5387C551" w14:textId="77777777" w:rsidR="000F104A" w:rsidRPr="00BA5CDC" w:rsidRDefault="000F104A" w:rsidP="00554E01">
            <w:pPr>
              <w:pStyle w:val="TableText"/>
              <w:keepNext/>
              <w:jc w:val="center"/>
              <w:rPr>
                <w:b/>
                <w:bCs/>
              </w:rPr>
            </w:pPr>
            <w:r>
              <w:rPr>
                <w:b/>
                <w:bCs/>
              </w:rPr>
              <w:t>N=291</w:t>
            </w:r>
          </w:p>
        </w:tc>
      </w:tr>
      <w:tr w:rsidR="000F104A" w14:paraId="5D3D2323" w14:textId="77777777" w:rsidTr="00761373">
        <w:trPr>
          <w:trHeight w:val="295"/>
        </w:trPr>
        <w:tc>
          <w:tcPr>
            <w:tcW w:w="1098" w:type="pct"/>
            <w:tcBorders>
              <w:top w:val="single" w:sz="4" w:space="0" w:color="auto"/>
              <w:bottom w:val="single" w:sz="4" w:space="0" w:color="auto"/>
            </w:tcBorders>
          </w:tcPr>
          <w:p w14:paraId="754DBDAD" w14:textId="59051926" w:rsidR="000F104A" w:rsidRPr="006E7B46" w:rsidRDefault="000F104A" w:rsidP="00554E01">
            <w:pPr>
              <w:pStyle w:val="TableText"/>
              <w:keepNext/>
            </w:pPr>
            <w:r>
              <w:t>Patients sc</w:t>
            </w:r>
            <w:r w:rsidR="00250B75">
              <w:t>an</w:t>
            </w:r>
            <w:r>
              <w:t>ned, no.</w:t>
            </w:r>
          </w:p>
        </w:tc>
        <w:tc>
          <w:tcPr>
            <w:tcW w:w="786" w:type="pct"/>
            <w:tcBorders>
              <w:bottom w:val="single" w:sz="4" w:space="0" w:color="auto"/>
              <w:right w:val="nil"/>
            </w:tcBorders>
            <w:vAlign w:val="center"/>
          </w:tcPr>
          <w:p w14:paraId="42727EBF" w14:textId="77777777" w:rsidR="000F104A" w:rsidRPr="005A7BE0" w:rsidRDefault="000F104A" w:rsidP="00554E01">
            <w:pPr>
              <w:pStyle w:val="TableText"/>
              <w:keepNext/>
              <w:jc w:val="center"/>
            </w:pPr>
            <w:r w:rsidRPr="005A7BE0">
              <w:t>18</w:t>
            </w:r>
            <w:r>
              <w:t xml:space="preserve"> (100)</w:t>
            </w:r>
          </w:p>
        </w:tc>
        <w:tc>
          <w:tcPr>
            <w:tcW w:w="698" w:type="pct"/>
            <w:tcBorders>
              <w:bottom w:val="single" w:sz="4" w:space="0" w:color="auto"/>
              <w:right w:val="nil"/>
            </w:tcBorders>
            <w:vAlign w:val="center"/>
          </w:tcPr>
          <w:p w14:paraId="3D754A9E" w14:textId="77777777" w:rsidR="000F104A" w:rsidRPr="0024730F" w:rsidRDefault="000F104A" w:rsidP="00554E01">
            <w:pPr>
              <w:pStyle w:val="TableText"/>
              <w:keepNext/>
              <w:jc w:val="center"/>
            </w:pPr>
            <w:r w:rsidRPr="0024730F">
              <w:t>1003 (100)</w:t>
            </w:r>
          </w:p>
        </w:tc>
        <w:tc>
          <w:tcPr>
            <w:tcW w:w="1031" w:type="pct"/>
            <w:tcBorders>
              <w:bottom w:val="single" w:sz="4" w:space="0" w:color="auto"/>
            </w:tcBorders>
            <w:vAlign w:val="center"/>
          </w:tcPr>
          <w:p w14:paraId="57BC5215" w14:textId="77777777" w:rsidR="000F104A" w:rsidRPr="00C8100A" w:rsidRDefault="000F104A" w:rsidP="00554E01">
            <w:pPr>
              <w:pStyle w:val="TableText"/>
              <w:keepNext/>
              <w:jc w:val="center"/>
            </w:pPr>
            <w:r>
              <w:t>43 (100)</w:t>
            </w:r>
          </w:p>
        </w:tc>
        <w:tc>
          <w:tcPr>
            <w:tcW w:w="708" w:type="pct"/>
            <w:tcBorders>
              <w:bottom w:val="single" w:sz="4" w:space="0" w:color="auto"/>
              <w:right w:val="nil"/>
            </w:tcBorders>
            <w:vAlign w:val="center"/>
          </w:tcPr>
          <w:p w14:paraId="6EA5E2CB" w14:textId="77777777" w:rsidR="000F104A" w:rsidRPr="00C8100A" w:rsidRDefault="000F104A" w:rsidP="00554E01">
            <w:pPr>
              <w:pStyle w:val="TableText"/>
              <w:keepNext/>
              <w:jc w:val="center"/>
            </w:pPr>
            <w:r w:rsidRPr="00C8100A">
              <w:t>100</w:t>
            </w:r>
            <w:r>
              <w:t xml:space="preserve"> (100)</w:t>
            </w:r>
          </w:p>
        </w:tc>
        <w:tc>
          <w:tcPr>
            <w:tcW w:w="679" w:type="pct"/>
            <w:tcBorders>
              <w:bottom w:val="single" w:sz="4" w:space="0" w:color="auto"/>
              <w:right w:val="single" w:sz="4" w:space="0" w:color="auto"/>
            </w:tcBorders>
            <w:vAlign w:val="center"/>
          </w:tcPr>
          <w:p w14:paraId="6CFA668D" w14:textId="77777777" w:rsidR="000F104A" w:rsidRPr="00F85AF7" w:rsidRDefault="000F104A" w:rsidP="00554E01">
            <w:pPr>
              <w:pStyle w:val="TableText"/>
              <w:keepNext/>
              <w:jc w:val="center"/>
            </w:pPr>
            <w:r w:rsidRPr="00F85AF7">
              <w:t>291</w:t>
            </w:r>
            <w:r>
              <w:t xml:space="preserve"> (100)</w:t>
            </w:r>
          </w:p>
        </w:tc>
      </w:tr>
      <w:tr w:rsidR="000F104A" w14:paraId="72248CFB" w14:textId="77777777" w:rsidTr="00761373">
        <w:trPr>
          <w:trHeight w:val="295"/>
        </w:trPr>
        <w:tc>
          <w:tcPr>
            <w:tcW w:w="1098" w:type="pct"/>
            <w:tcBorders>
              <w:top w:val="single" w:sz="4" w:space="0" w:color="auto"/>
              <w:bottom w:val="single" w:sz="4" w:space="0" w:color="auto"/>
              <w:right w:val="nil"/>
            </w:tcBorders>
          </w:tcPr>
          <w:p w14:paraId="0D79CF8F" w14:textId="77777777" w:rsidR="000F104A" w:rsidRDefault="000F104A" w:rsidP="00554E01">
            <w:pPr>
              <w:pStyle w:val="TableText"/>
              <w:keepNext/>
            </w:pPr>
            <w:r>
              <w:t>Patients excluded</w:t>
            </w:r>
          </w:p>
        </w:tc>
        <w:tc>
          <w:tcPr>
            <w:tcW w:w="786" w:type="pct"/>
            <w:tcBorders>
              <w:left w:val="nil"/>
              <w:right w:val="nil"/>
            </w:tcBorders>
            <w:vAlign w:val="center"/>
          </w:tcPr>
          <w:p w14:paraId="151C4C43" w14:textId="77777777" w:rsidR="000F104A" w:rsidRPr="005A7BE0" w:rsidRDefault="000F104A" w:rsidP="00554E01">
            <w:pPr>
              <w:pStyle w:val="TableText"/>
              <w:keepNext/>
              <w:jc w:val="center"/>
            </w:pPr>
          </w:p>
        </w:tc>
        <w:tc>
          <w:tcPr>
            <w:tcW w:w="698" w:type="pct"/>
            <w:tcBorders>
              <w:left w:val="nil"/>
              <w:right w:val="nil"/>
            </w:tcBorders>
            <w:vAlign w:val="center"/>
          </w:tcPr>
          <w:p w14:paraId="79A6595D" w14:textId="77777777" w:rsidR="000F104A" w:rsidRDefault="000F104A" w:rsidP="00554E01">
            <w:pPr>
              <w:pStyle w:val="TableText"/>
              <w:keepNext/>
              <w:jc w:val="center"/>
              <w:rPr>
                <w:b/>
                <w:bCs/>
              </w:rPr>
            </w:pPr>
          </w:p>
        </w:tc>
        <w:tc>
          <w:tcPr>
            <w:tcW w:w="1031" w:type="pct"/>
            <w:tcBorders>
              <w:left w:val="nil"/>
              <w:bottom w:val="single" w:sz="4" w:space="0" w:color="auto"/>
              <w:right w:val="nil"/>
            </w:tcBorders>
            <w:vAlign w:val="center"/>
          </w:tcPr>
          <w:p w14:paraId="7DBF395F" w14:textId="77777777" w:rsidR="000F104A" w:rsidRPr="00C8100A" w:rsidRDefault="000F104A" w:rsidP="00554E01">
            <w:pPr>
              <w:pStyle w:val="TableText"/>
              <w:keepNext/>
              <w:jc w:val="center"/>
            </w:pPr>
          </w:p>
        </w:tc>
        <w:tc>
          <w:tcPr>
            <w:tcW w:w="708" w:type="pct"/>
            <w:tcBorders>
              <w:left w:val="nil"/>
              <w:right w:val="nil"/>
            </w:tcBorders>
            <w:vAlign w:val="center"/>
          </w:tcPr>
          <w:p w14:paraId="2C08E3A1" w14:textId="77777777" w:rsidR="000F104A" w:rsidRPr="00C8100A" w:rsidRDefault="000F104A" w:rsidP="00554E01">
            <w:pPr>
              <w:pStyle w:val="TableText"/>
              <w:keepNext/>
              <w:jc w:val="center"/>
            </w:pPr>
          </w:p>
        </w:tc>
        <w:tc>
          <w:tcPr>
            <w:tcW w:w="679" w:type="pct"/>
            <w:tcBorders>
              <w:left w:val="nil"/>
              <w:right w:val="single" w:sz="4" w:space="0" w:color="auto"/>
            </w:tcBorders>
            <w:vAlign w:val="center"/>
          </w:tcPr>
          <w:p w14:paraId="6C11638A" w14:textId="77777777" w:rsidR="000F104A" w:rsidRPr="00BA5CDC" w:rsidRDefault="000F104A" w:rsidP="00554E01">
            <w:pPr>
              <w:pStyle w:val="TableText"/>
              <w:keepNext/>
              <w:jc w:val="center"/>
              <w:rPr>
                <w:b/>
                <w:bCs/>
              </w:rPr>
            </w:pPr>
          </w:p>
        </w:tc>
      </w:tr>
      <w:tr w:rsidR="000F104A" w14:paraId="714439E7" w14:textId="77777777" w:rsidTr="00761373">
        <w:trPr>
          <w:trHeight w:val="295"/>
        </w:trPr>
        <w:tc>
          <w:tcPr>
            <w:tcW w:w="1098" w:type="pct"/>
            <w:tcBorders>
              <w:top w:val="single" w:sz="4" w:space="0" w:color="auto"/>
              <w:bottom w:val="single" w:sz="4" w:space="0" w:color="auto"/>
            </w:tcBorders>
          </w:tcPr>
          <w:p w14:paraId="7F417017" w14:textId="77777777" w:rsidR="000F104A" w:rsidRDefault="000F104A" w:rsidP="00554E01">
            <w:pPr>
              <w:pStyle w:val="TableText"/>
              <w:keepNext/>
              <w:ind w:left="170"/>
            </w:pPr>
            <w:r>
              <w:t>Inadequate PSMA intensity, n (%)</w:t>
            </w:r>
          </w:p>
        </w:tc>
        <w:tc>
          <w:tcPr>
            <w:tcW w:w="786" w:type="pct"/>
            <w:tcBorders>
              <w:right w:val="nil"/>
            </w:tcBorders>
            <w:vAlign w:val="center"/>
          </w:tcPr>
          <w:p w14:paraId="0C762CC0" w14:textId="77777777" w:rsidR="000F104A" w:rsidRPr="005A7BE0" w:rsidRDefault="000F104A" w:rsidP="00554E01">
            <w:pPr>
              <w:pStyle w:val="TableText"/>
              <w:keepNext/>
              <w:jc w:val="center"/>
            </w:pPr>
            <w:r w:rsidRPr="005A7BE0">
              <w:t>2</w:t>
            </w:r>
            <w:r>
              <w:t xml:space="preserve"> (11.1)</w:t>
            </w:r>
          </w:p>
        </w:tc>
        <w:tc>
          <w:tcPr>
            <w:tcW w:w="698" w:type="pct"/>
            <w:tcBorders>
              <w:right w:val="nil"/>
            </w:tcBorders>
            <w:vAlign w:val="center"/>
          </w:tcPr>
          <w:p w14:paraId="2C9F881C" w14:textId="77777777" w:rsidR="000F104A" w:rsidRPr="00E65152" w:rsidRDefault="000F104A" w:rsidP="00554E01">
            <w:pPr>
              <w:pStyle w:val="TableText"/>
              <w:keepNext/>
              <w:jc w:val="center"/>
            </w:pPr>
            <w:r w:rsidRPr="00E65152">
              <w:t xml:space="preserve">123 </w:t>
            </w:r>
            <w:r>
              <w:t>(12.3)</w:t>
            </w:r>
          </w:p>
        </w:tc>
        <w:tc>
          <w:tcPr>
            <w:tcW w:w="1031" w:type="pct"/>
            <w:tcBorders>
              <w:bottom w:val="nil"/>
            </w:tcBorders>
            <w:vAlign w:val="center"/>
          </w:tcPr>
          <w:p w14:paraId="7F356326" w14:textId="77777777" w:rsidR="000F104A" w:rsidRPr="00925E9E" w:rsidRDefault="000F104A" w:rsidP="00554E01">
            <w:pPr>
              <w:pStyle w:val="TableText"/>
              <w:keepNext/>
              <w:jc w:val="center"/>
            </w:pPr>
            <w:r>
              <w:t>7 (16.3)</w:t>
            </w:r>
          </w:p>
        </w:tc>
        <w:tc>
          <w:tcPr>
            <w:tcW w:w="708" w:type="pct"/>
            <w:tcBorders>
              <w:right w:val="nil"/>
            </w:tcBorders>
            <w:vAlign w:val="center"/>
          </w:tcPr>
          <w:p w14:paraId="3E29A5DC" w14:textId="77777777" w:rsidR="000F104A" w:rsidRPr="00925E9E" w:rsidRDefault="000F104A" w:rsidP="00554E01">
            <w:pPr>
              <w:pStyle w:val="TableText"/>
              <w:keepNext/>
              <w:jc w:val="center"/>
            </w:pPr>
            <w:r w:rsidRPr="00925E9E">
              <w:t>13</w:t>
            </w:r>
            <w:r>
              <w:t xml:space="preserve"> (13.0)</w:t>
            </w:r>
          </w:p>
        </w:tc>
        <w:tc>
          <w:tcPr>
            <w:tcW w:w="679" w:type="pct"/>
            <w:tcBorders>
              <w:right w:val="single" w:sz="4" w:space="0" w:color="auto"/>
            </w:tcBorders>
            <w:vAlign w:val="center"/>
          </w:tcPr>
          <w:p w14:paraId="5ECCC8E7" w14:textId="77777777" w:rsidR="000F104A" w:rsidRPr="00BA71CB" w:rsidRDefault="000F104A" w:rsidP="00554E01">
            <w:pPr>
              <w:pStyle w:val="TableText"/>
              <w:keepNext/>
              <w:jc w:val="center"/>
            </w:pPr>
            <w:r w:rsidRPr="00BA71CB">
              <w:t>29</w:t>
            </w:r>
            <w:r>
              <w:t xml:space="preserve"> (10.0)</w:t>
            </w:r>
          </w:p>
        </w:tc>
      </w:tr>
      <w:tr w:rsidR="000F104A" w14:paraId="3A18BE65" w14:textId="77777777" w:rsidTr="00761373">
        <w:tc>
          <w:tcPr>
            <w:tcW w:w="1098" w:type="pct"/>
          </w:tcPr>
          <w:p w14:paraId="616E5A03" w14:textId="77777777" w:rsidR="000F104A" w:rsidRDefault="000F104A" w:rsidP="00554E01">
            <w:pPr>
              <w:pStyle w:val="TableText"/>
              <w:keepNext/>
              <w:ind w:left="170"/>
            </w:pPr>
            <w:r>
              <w:t>FDG/PSMA mismatch, n (%)</w:t>
            </w:r>
          </w:p>
        </w:tc>
        <w:tc>
          <w:tcPr>
            <w:tcW w:w="786" w:type="pct"/>
            <w:vAlign w:val="center"/>
          </w:tcPr>
          <w:p w14:paraId="6180121C" w14:textId="77777777" w:rsidR="000F104A" w:rsidRDefault="000F104A" w:rsidP="00554E01">
            <w:pPr>
              <w:pStyle w:val="TableText"/>
              <w:keepNext/>
              <w:jc w:val="center"/>
            </w:pPr>
            <w:r>
              <w:t>0</w:t>
            </w:r>
          </w:p>
        </w:tc>
        <w:tc>
          <w:tcPr>
            <w:tcW w:w="698" w:type="pct"/>
            <w:vAlign w:val="center"/>
          </w:tcPr>
          <w:p w14:paraId="0943A107" w14:textId="77777777" w:rsidR="000F104A" w:rsidRDefault="000F104A" w:rsidP="00554E01">
            <w:pPr>
              <w:pStyle w:val="TableText"/>
              <w:keepNext/>
              <w:jc w:val="center"/>
            </w:pPr>
            <w:r>
              <w:t>NA</w:t>
            </w:r>
          </w:p>
        </w:tc>
        <w:tc>
          <w:tcPr>
            <w:tcW w:w="1031" w:type="pct"/>
            <w:tcBorders>
              <w:top w:val="nil"/>
            </w:tcBorders>
            <w:vAlign w:val="center"/>
          </w:tcPr>
          <w:p w14:paraId="02854FC1" w14:textId="77777777" w:rsidR="000F104A" w:rsidRDefault="000F104A" w:rsidP="00554E01">
            <w:pPr>
              <w:pStyle w:val="TableText"/>
              <w:keepNext/>
              <w:jc w:val="center"/>
            </w:pPr>
          </w:p>
        </w:tc>
        <w:tc>
          <w:tcPr>
            <w:tcW w:w="708" w:type="pct"/>
            <w:vAlign w:val="center"/>
          </w:tcPr>
          <w:p w14:paraId="4F515A28" w14:textId="77777777" w:rsidR="000F104A" w:rsidRDefault="000F104A" w:rsidP="00554E01">
            <w:pPr>
              <w:pStyle w:val="TableText"/>
              <w:keepNext/>
              <w:jc w:val="center"/>
            </w:pPr>
            <w:r>
              <w:t>13 (13.0)</w:t>
            </w:r>
          </w:p>
        </w:tc>
        <w:tc>
          <w:tcPr>
            <w:tcW w:w="679" w:type="pct"/>
            <w:vAlign w:val="center"/>
          </w:tcPr>
          <w:p w14:paraId="7EFC8F77" w14:textId="77777777" w:rsidR="000F104A" w:rsidRPr="00BA71CB" w:rsidRDefault="000F104A" w:rsidP="00554E01">
            <w:pPr>
              <w:pStyle w:val="TableText"/>
              <w:keepNext/>
              <w:jc w:val="center"/>
            </w:pPr>
            <w:r w:rsidRPr="00BA71CB">
              <w:t>51</w:t>
            </w:r>
            <w:r>
              <w:t xml:space="preserve"> (17.5)</w:t>
            </w:r>
          </w:p>
        </w:tc>
      </w:tr>
      <w:tr w:rsidR="000F104A" w14:paraId="4FBFEFC0" w14:textId="77777777" w:rsidTr="00761373">
        <w:tc>
          <w:tcPr>
            <w:tcW w:w="1098" w:type="pct"/>
          </w:tcPr>
          <w:p w14:paraId="624CED66" w14:textId="77777777" w:rsidR="000F104A" w:rsidRDefault="000F104A" w:rsidP="00554E01">
            <w:pPr>
              <w:pStyle w:val="TableText"/>
              <w:keepNext/>
              <w:ind w:left="170"/>
            </w:pPr>
            <w:r>
              <w:t>Other</w:t>
            </w:r>
          </w:p>
        </w:tc>
        <w:tc>
          <w:tcPr>
            <w:tcW w:w="786" w:type="pct"/>
            <w:vAlign w:val="center"/>
          </w:tcPr>
          <w:p w14:paraId="3C3C518C" w14:textId="77777777" w:rsidR="000F104A" w:rsidRPr="003A2FFE" w:rsidRDefault="000F104A" w:rsidP="00554E01">
            <w:pPr>
              <w:pStyle w:val="TableText"/>
              <w:keepNext/>
              <w:jc w:val="center"/>
              <w:rPr>
                <w:vertAlign w:val="superscript"/>
              </w:rPr>
            </w:pPr>
            <w:r>
              <w:t xml:space="preserve">2 (0.1) </w:t>
            </w:r>
            <w:r>
              <w:rPr>
                <w:vertAlign w:val="superscript"/>
              </w:rPr>
              <w:t>c</w:t>
            </w:r>
          </w:p>
        </w:tc>
        <w:tc>
          <w:tcPr>
            <w:tcW w:w="698" w:type="pct"/>
            <w:vAlign w:val="center"/>
          </w:tcPr>
          <w:p w14:paraId="71114C7C" w14:textId="77777777" w:rsidR="000F104A" w:rsidRPr="00500DA9" w:rsidRDefault="000F104A" w:rsidP="00554E01">
            <w:pPr>
              <w:pStyle w:val="TableText"/>
              <w:keepNext/>
              <w:jc w:val="center"/>
              <w:rPr>
                <w:vertAlign w:val="superscript"/>
              </w:rPr>
            </w:pPr>
            <w:r>
              <w:t xml:space="preserve">8 (0.8) </w:t>
            </w:r>
            <w:r>
              <w:rPr>
                <w:vertAlign w:val="superscript"/>
              </w:rPr>
              <w:t>d</w:t>
            </w:r>
          </w:p>
        </w:tc>
        <w:tc>
          <w:tcPr>
            <w:tcW w:w="1031" w:type="pct"/>
            <w:vAlign w:val="center"/>
          </w:tcPr>
          <w:p w14:paraId="3FB02F14" w14:textId="77777777" w:rsidR="000F104A" w:rsidRPr="00B678BA" w:rsidRDefault="000F104A" w:rsidP="00554E01">
            <w:pPr>
              <w:pStyle w:val="TableText"/>
              <w:keepNext/>
              <w:jc w:val="center"/>
              <w:rPr>
                <w:vertAlign w:val="superscript"/>
              </w:rPr>
            </w:pPr>
            <w:r>
              <w:t xml:space="preserve">6 (13.4) </w:t>
            </w:r>
            <w:r>
              <w:rPr>
                <w:vertAlign w:val="superscript"/>
              </w:rPr>
              <w:t>e</w:t>
            </w:r>
          </w:p>
        </w:tc>
        <w:tc>
          <w:tcPr>
            <w:tcW w:w="708" w:type="pct"/>
            <w:vAlign w:val="center"/>
          </w:tcPr>
          <w:p w14:paraId="650AD9D2" w14:textId="77777777" w:rsidR="000F104A" w:rsidRPr="00A32BDB" w:rsidRDefault="000F104A" w:rsidP="00554E01">
            <w:pPr>
              <w:pStyle w:val="TableText"/>
              <w:keepNext/>
              <w:jc w:val="center"/>
              <w:rPr>
                <w:vertAlign w:val="superscript"/>
              </w:rPr>
            </w:pPr>
            <w:r>
              <w:t xml:space="preserve">18 (18.0) </w:t>
            </w:r>
            <w:r>
              <w:rPr>
                <w:vertAlign w:val="superscript"/>
              </w:rPr>
              <w:t>f</w:t>
            </w:r>
          </w:p>
        </w:tc>
        <w:tc>
          <w:tcPr>
            <w:tcW w:w="679" w:type="pct"/>
            <w:vAlign w:val="center"/>
          </w:tcPr>
          <w:p w14:paraId="6C533909" w14:textId="77777777" w:rsidR="000F104A" w:rsidRPr="00650373" w:rsidRDefault="000F104A" w:rsidP="00554E01">
            <w:pPr>
              <w:pStyle w:val="TableText"/>
              <w:keepNext/>
              <w:jc w:val="center"/>
              <w:rPr>
                <w:vertAlign w:val="superscript"/>
              </w:rPr>
            </w:pPr>
            <w:r>
              <w:t xml:space="preserve">11 (3.8) </w:t>
            </w:r>
            <w:r>
              <w:rPr>
                <w:vertAlign w:val="superscript"/>
              </w:rPr>
              <w:t>g</w:t>
            </w:r>
          </w:p>
        </w:tc>
      </w:tr>
      <w:tr w:rsidR="000F104A" w14:paraId="0AA28204" w14:textId="77777777" w:rsidTr="00761373">
        <w:tc>
          <w:tcPr>
            <w:tcW w:w="1098" w:type="pct"/>
          </w:tcPr>
          <w:p w14:paraId="115D7EBB" w14:textId="5404EF03" w:rsidR="000F104A" w:rsidRDefault="000F104A" w:rsidP="00554E01">
            <w:pPr>
              <w:pStyle w:val="TableText"/>
              <w:keepNext/>
            </w:pPr>
            <w:r>
              <w:rPr>
                <w:vertAlign w:val="superscript"/>
              </w:rPr>
              <w:t>177</w:t>
            </w:r>
            <w:r w:rsidR="009F7816">
              <w:t>Lu PSMA</w:t>
            </w:r>
            <w:r>
              <w:t>-617 therapy eligible, n (%)</w:t>
            </w:r>
          </w:p>
        </w:tc>
        <w:tc>
          <w:tcPr>
            <w:tcW w:w="786" w:type="pct"/>
            <w:vAlign w:val="center"/>
          </w:tcPr>
          <w:p w14:paraId="4AD38794" w14:textId="77777777" w:rsidR="000F104A" w:rsidRPr="005A7BE0" w:rsidRDefault="000F104A" w:rsidP="00554E01">
            <w:pPr>
              <w:pStyle w:val="TableText"/>
              <w:keepNext/>
              <w:jc w:val="center"/>
              <w:rPr>
                <w:vertAlign w:val="superscript"/>
              </w:rPr>
            </w:pPr>
            <w:r>
              <w:t>14 (77.8)</w:t>
            </w:r>
          </w:p>
        </w:tc>
        <w:tc>
          <w:tcPr>
            <w:tcW w:w="698" w:type="pct"/>
            <w:vAlign w:val="center"/>
          </w:tcPr>
          <w:p w14:paraId="300502B9" w14:textId="77777777" w:rsidR="000F104A" w:rsidRDefault="000F104A" w:rsidP="00554E01">
            <w:pPr>
              <w:pStyle w:val="TableText"/>
              <w:keepNext/>
              <w:jc w:val="center"/>
            </w:pPr>
            <w:r>
              <w:t>831 (82.9)</w:t>
            </w:r>
          </w:p>
        </w:tc>
        <w:tc>
          <w:tcPr>
            <w:tcW w:w="1031" w:type="pct"/>
            <w:vAlign w:val="center"/>
          </w:tcPr>
          <w:p w14:paraId="4B463166" w14:textId="77777777" w:rsidR="000F104A" w:rsidRDefault="000F104A" w:rsidP="00554E01">
            <w:pPr>
              <w:pStyle w:val="TableText"/>
              <w:keepNext/>
              <w:jc w:val="center"/>
            </w:pPr>
            <w:r>
              <w:t>30 (69.8)</w:t>
            </w:r>
          </w:p>
        </w:tc>
        <w:tc>
          <w:tcPr>
            <w:tcW w:w="708" w:type="pct"/>
            <w:vAlign w:val="center"/>
          </w:tcPr>
          <w:p w14:paraId="5EE1E6C0" w14:textId="77777777" w:rsidR="000F104A" w:rsidRDefault="000F104A" w:rsidP="00554E01">
            <w:pPr>
              <w:pStyle w:val="TableText"/>
              <w:keepNext/>
              <w:jc w:val="center"/>
            </w:pPr>
            <w:r>
              <w:t>56 (56.0)</w:t>
            </w:r>
          </w:p>
        </w:tc>
        <w:tc>
          <w:tcPr>
            <w:tcW w:w="679" w:type="pct"/>
            <w:vAlign w:val="center"/>
          </w:tcPr>
          <w:p w14:paraId="1B5E45A5" w14:textId="77777777" w:rsidR="000F104A" w:rsidRPr="00037E20" w:rsidRDefault="000F104A" w:rsidP="00554E01">
            <w:pPr>
              <w:pStyle w:val="TableText"/>
              <w:keepNext/>
              <w:jc w:val="center"/>
            </w:pPr>
            <w:r>
              <w:t>200 (68.7)</w:t>
            </w:r>
          </w:p>
        </w:tc>
      </w:tr>
    </w:tbl>
    <w:p w14:paraId="3CC7A8A3" w14:textId="294FCAE0" w:rsidR="000F104A" w:rsidRPr="00663E53" w:rsidRDefault="000F104A" w:rsidP="00554E01">
      <w:pPr>
        <w:pStyle w:val="Tablenotes"/>
        <w:keepNext/>
      </w:pPr>
      <w:r>
        <w:rPr>
          <w:vertAlign w:val="superscript"/>
        </w:rPr>
        <w:t>a</w:t>
      </w:r>
      <w:r>
        <w:t xml:space="preserve"> </w:t>
      </w:r>
      <w:proofErr w:type="spellStart"/>
      <w:r>
        <w:t>SUV</w:t>
      </w:r>
      <w:r w:rsidRPr="00762C58">
        <w:rPr>
          <w:vertAlign w:val="subscript"/>
        </w:rPr>
        <w:t>max</w:t>
      </w:r>
      <w:proofErr w:type="spellEnd"/>
      <w:r>
        <w:t xml:space="preserve"> ≥ liver</w:t>
      </w:r>
      <w:r w:rsidR="00417B3F">
        <w:t xml:space="preserve"> parenchyma</w:t>
      </w:r>
      <w:r>
        <w:t xml:space="preserve">, approximately equivalent to </w:t>
      </w:r>
      <w:proofErr w:type="spellStart"/>
      <w:r>
        <w:t>SUV</w:t>
      </w:r>
      <w:r w:rsidRPr="00762C58">
        <w:rPr>
          <w:vertAlign w:val="subscript"/>
        </w:rPr>
        <w:t>max</w:t>
      </w:r>
      <w:proofErr w:type="spellEnd"/>
      <w:r>
        <w:t xml:space="preserve"> ≥5</w:t>
      </w:r>
    </w:p>
    <w:p w14:paraId="529D556C" w14:textId="1BFCDB71" w:rsidR="000F104A" w:rsidRPr="00566747" w:rsidRDefault="000F104A" w:rsidP="00554E01">
      <w:pPr>
        <w:pStyle w:val="Tablenotes"/>
        <w:keepNext/>
      </w:pPr>
      <w:r>
        <w:rPr>
          <w:vertAlign w:val="superscript"/>
        </w:rPr>
        <w:t>b</w:t>
      </w:r>
      <w:r>
        <w:t xml:space="preserve"> </w:t>
      </w:r>
      <w:proofErr w:type="spellStart"/>
      <w:r>
        <w:t>SUV</w:t>
      </w:r>
      <w:r w:rsidRPr="00762C58">
        <w:rPr>
          <w:vertAlign w:val="subscript"/>
        </w:rPr>
        <w:t>max</w:t>
      </w:r>
      <w:proofErr w:type="spellEnd"/>
      <w:r>
        <w:t xml:space="preserve"> 1.5 x liver</w:t>
      </w:r>
      <w:r w:rsidR="00417B3F">
        <w:t xml:space="preserve"> parenchyma</w:t>
      </w:r>
      <w:r>
        <w:t xml:space="preserve">, approximately equivalent to </w:t>
      </w:r>
      <w:proofErr w:type="spellStart"/>
      <w:r>
        <w:t>SUV</w:t>
      </w:r>
      <w:r w:rsidRPr="00762C58">
        <w:rPr>
          <w:vertAlign w:val="subscript"/>
        </w:rPr>
        <w:t>max</w:t>
      </w:r>
      <w:proofErr w:type="spellEnd"/>
      <w:r>
        <w:t xml:space="preserve"> ≥10</w:t>
      </w:r>
    </w:p>
    <w:p w14:paraId="78E2F2C3" w14:textId="57C4C66E" w:rsidR="000F104A" w:rsidRDefault="000F104A" w:rsidP="00554E01">
      <w:pPr>
        <w:pStyle w:val="Tablenotes"/>
        <w:keepNext/>
      </w:pPr>
      <w:r>
        <w:rPr>
          <w:vertAlign w:val="superscript"/>
        </w:rPr>
        <w:t xml:space="preserve">c </w:t>
      </w:r>
      <w:r>
        <w:t xml:space="preserve">4 patients were ineligible for </w:t>
      </w:r>
      <w:r w:rsidR="009F7816">
        <w:t>Lu PSMA</w:t>
      </w:r>
      <w:r>
        <w:t xml:space="preserve"> therapy. Of the 4 men excluded 2 (11%) of 18 had inadequate PSMA intensity and 2 (11%) had inadequate marrow function</w:t>
      </w:r>
    </w:p>
    <w:p w14:paraId="35881D93" w14:textId="77777777" w:rsidR="000F104A" w:rsidRDefault="000F104A" w:rsidP="00554E01">
      <w:pPr>
        <w:pStyle w:val="Tablenotes"/>
        <w:keepNext/>
      </w:pPr>
      <w:r>
        <w:rPr>
          <w:vertAlign w:val="superscript"/>
        </w:rPr>
        <w:t xml:space="preserve">d </w:t>
      </w:r>
      <w:r>
        <w:t>3 patients had progressive disease, 2 had an adverse event, 2 died and 1 withdrew consent</w:t>
      </w:r>
    </w:p>
    <w:p w14:paraId="41E35842" w14:textId="77777777" w:rsidR="000F104A" w:rsidRPr="00D1054E" w:rsidRDefault="000F104A" w:rsidP="00554E01">
      <w:pPr>
        <w:pStyle w:val="Tablenotes"/>
        <w:keepNext/>
      </w:pPr>
      <w:r>
        <w:rPr>
          <w:vertAlign w:val="superscript"/>
        </w:rPr>
        <w:t>e</w:t>
      </w:r>
      <w:r>
        <w:t xml:space="preserve"> Excluded for reasons based on exclusion criteria in the trial</w:t>
      </w:r>
    </w:p>
    <w:p w14:paraId="49BDBD3C" w14:textId="33A2A1FE" w:rsidR="000F104A" w:rsidRDefault="000F104A" w:rsidP="00554E01">
      <w:pPr>
        <w:pStyle w:val="Tablenotes"/>
        <w:keepNext/>
      </w:pPr>
      <w:r>
        <w:rPr>
          <w:vertAlign w:val="superscript"/>
        </w:rPr>
        <w:t>f</w:t>
      </w:r>
      <w:r w:rsidRPr="00500DA9">
        <w:rPr>
          <w:vertAlign w:val="superscript"/>
        </w:rPr>
        <w:t xml:space="preserve"> </w:t>
      </w:r>
      <w:r>
        <w:t>Sc</w:t>
      </w:r>
      <w:r w:rsidR="00250B75">
        <w:t>a</w:t>
      </w:r>
      <w:r>
        <w:t>n fails were due to clinical deterioration (6%), concurrent illness (3%), low haemoglobin (7%) or personal reasons (2%)</w:t>
      </w:r>
    </w:p>
    <w:p w14:paraId="0F1177CC" w14:textId="77777777" w:rsidR="000F104A" w:rsidRPr="00650373" w:rsidRDefault="000F104A" w:rsidP="00554E01">
      <w:pPr>
        <w:pStyle w:val="Tablenotes"/>
        <w:keepNext/>
      </w:pPr>
      <w:r>
        <w:rPr>
          <w:vertAlign w:val="superscript"/>
        </w:rPr>
        <w:t>g</w:t>
      </w:r>
      <w:r>
        <w:t xml:space="preserve"> Reasons for ‘other’ were not reported</w:t>
      </w:r>
    </w:p>
    <w:p w14:paraId="2C2D8E26" w14:textId="04976859" w:rsidR="000F104A" w:rsidRDefault="000F104A" w:rsidP="002854E7">
      <w:pPr>
        <w:pStyle w:val="Tablenotes"/>
        <w:keepNext/>
        <w:rPr>
          <w:snapToGrid/>
        </w:rPr>
      </w:pPr>
      <w:r w:rsidRPr="004A2156">
        <w:rPr>
          <w:snapToGrid/>
        </w:rPr>
        <w:t xml:space="preserve">Abbreviations: </w:t>
      </w:r>
      <w:r w:rsidRPr="008F44F5">
        <w:rPr>
          <w:snapToGrid/>
          <w:vertAlign w:val="superscript"/>
        </w:rPr>
        <w:t>177</w:t>
      </w:r>
      <w:r w:rsidR="009F7816">
        <w:rPr>
          <w:snapToGrid/>
        </w:rPr>
        <w:t>Lu PSMA</w:t>
      </w:r>
      <w:r w:rsidRPr="004A2156">
        <w:rPr>
          <w:snapToGrid/>
        </w:rPr>
        <w:t xml:space="preserve">-617, </w:t>
      </w:r>
      <w:r w:rsidRPr="00F97A1A">
        <w:rPr>
          <w:snapToGrid/>
          <w:vertAlign w:val="superscript"/>
        </w:rPr>
        <w:t>177</w:t>
      </w:r>
      <w:r w:rsidR="007924A0" w:rsidRPr="004A2156">
        <w:rPr>
          <w:snapToGrid/>
        </w:rPr>
        <w:t>l</w:t>
      </w:r>
      <w:r w:rsidRPr="004A2156">
        <w:rPr>
          <w:snapToGrid/>
        </w:rPr>
        <w:t>utetium prostate-specific membrane antigen 617</w:t>
      </w:r>
      <w:r>
        <w:rPr>
          <w:snapToGrid/>
        </w:rPr>
        <w:t>;</w:t>
      </w:r>
      <w:r w:rsidRPr="004A2156">
        <w:rPr>
          <w:snapToGrid/>
        </w:rPr>
        <w:t xml:space="preserve"> </w:t>
      </w:r>
      <w:r w:rsidR="007924A0">
        <w:rPr>
          <w:snapToGrid/>
        </w:rPr>
        <w:t xml:space="preserve">FDG, fluorodeoxyglucose; </w:t>
      </w:r>
      <w:r w:rsidRPr="004A2156">
        <w:rPr>
          <w:snapToGrid/>
        </w:rPr>
        <w:t>NA, not applicable; PS</w:t>
      </w:r>
      <w:r w:rsidR="00BE2212">
        <w:rPr>
          <w:snapToGrid/>
        </w:rPr>
        <w:t>M</w:t>
      </w:r>
      <w:r w:rsidRPr="004A2156">
        <w:rPr>
          <w:snapToGrid/>
        </w:rPr>
        <w:t xml:space="preserve">A, prostate-specific </w:t>
      </w:r>
      <w:r w:rsidR="00BE2212">
        <w:rPr>
          <w:snapToGrid/>
        </w:rPr>
        <w:t xml:space="preserve">membrane </w:t>
      </w:r>
      <w:r w:rsidRPr="004A2156">
        <w:rPr>
          <w:snapToGrid/>
        </w:rPr>
        <w:t xml:space="preserve">antigen; </w:t>
      </w:r>
      <w:proofErr w:type="spellStart"/>
      <w:r w:rsidRPr="004A2156">
        <w:rPr>
          <w:snapToGrid/>
        </w:rPr>
        <w:t>SUV</w:t>
      </w:r>
      <w:r w:rsidRPr="00F45E93">
        <w:rPr>
          <w:snapToGrid/>
          <w:vertAlign w:val="subscript"/>
        </w:rPr>
        <w:t>max</w:t>
      </w:r>
      <w:proofErr w:type="spellEnd"/>
      <w:r w:rsidRPr="004A2156">
        <w:rPr>
          <w:snapToGrid/>
        </w:rPr>
        <w:t>, maximum standardised uptake value</w:t>
      </w:r>
    </w:p>
    <w:p w14:paraId="4CCD964B" w14:textId="77777777" w:rsidR="002854E7" w:rsidRDefault="002854E7" w:rsidP="002854E7">
      <w:pPr>
        <w:pStyle w:val="Tablenotes"/>
        <w:rPr>
          <w:snapToGrid/>
        </w:rPr>
      </w:pPr>
      <w:r w:rsidRPr="004A2156">
        <w:rPr>
          <w:snapToGrid/>
        </w:rPr>
        <w:t xml:space="preserve">Sources: </w:t>
      </w:r>
      <w:r>
        <w:rPr>
          <w:snapToGrid/>
        </w:rPr>
        <w:fldChar w:fldCharType="begin">
          <w:fldData xml:space="preserve">PEVuZE5vdGU+PENpdGUgQXV0aG9yWWVhcj0iMSI+PEF1dGhvcj5QYXRobWFuYW5kYXZlbDwvQXV0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</w:fldData>
        </w:fldChar>
      </w:r>
      <w:r>
        <w:rPr>
          <w:snapToGrid/>
        </w:rPr>
        <w:instrText xml:space="preserve"> ADDIN EN.CITE </w:instrText>
      </w:r>
      <w:r>
        <w:rPr>
          <w:snapToGrid/>
        </w:rPr>
        <w:fldChar w:fldCharType="begin">
          <w:fldData xml:space="preserve">PEVuZE5vdGU+PENpdGUgQXV0aG9yWWVhcj0iMSI+PEF1dGhvcj5QYXRobWFuYW5kYXZlbDwvQXV0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</w:fldData>
        </w:fldChar>
      </w:r>
      <w:r>
        <w:rPr>
          <w:snapToGrid/>
        </w:rPr>
        <w:instrText xml:space="preserve"> ADDIN EN.CITE.DATA </w:instrText>
      </w:r>
      <w:r>
        <w:rPr>
          <w:snapToGrid/>
        </w:rPr>
      </w:r>
      <w:r>
        <w:rPr>
          <w:snapToGrid/>
        </w:rPr>
        <w:fldChar w:fldCharType="end"/>
      </w:r>
      <w:r>
        <w:rPr>
          <w:snapToGrid/>
        </w:rPr>
      </w:r>
      <w:r>
        <w:rPr>
          <w:snapToGrid/>
        </w:rPr>
        <w:fldChar w:fldCharType="separate"/>
      </w:r>
      <w:r>
        <w:rPr>
          <w:noProof/>
          <w:snapToGrid/>
        </w:rPr>
        <w:t>Pathmanandavel et al. (2021)</w:t>
      </w:r>
      <w:r>
        <w:rPr>
          <w:snapToGrid/>
        </w:rPr>
        <w:fldChar w:fldCharType="end"/>
      </w:r>
      <w:r>
        <w:rPr>
          <w:snapToGrid/>
        </w:rPr>
        <w:t xml:space="preserve"> p.9, </w:t>
      </w:r>
      <w:r w:rsidRPr="00010AC6">
        <w:t>Emmett et al. (2019)</w:t>
      </w:r>
      <w:r>
        <w:t xml:space="preserve"> p.18,</w:t>
      </w:r>
      <w:r w:rsidRPr="004A2156">
        <w:rPr>
          <w:snapToGrid/>
        </w:rPr>
        <w:t xml:space="preserve"> </w:t>
      </w:r>
      <w:r w:rsidRPr="004A2156">
        <w:rPr>
          <w:snapToGrid/>
        </w:rPr>
        <w:fldChar w:fldCharType="begin">
          <w:fldData xml:space="preserve">PEVuZE5vdGU+PENpdGUgQXV0aG9yWWVhcj0iMSI+PEF1dGhvcj5Ib2ZtYW48L0F1dGhvcj48WWVh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</w:fldData>
        </w:fldChar>
      </w:r>
      <w:r>
        <w:rPr>
          <w:snapToGrid/>
        </w:rPr>
        <w:instrText xml:space="preserve"> ADDIN EN.CITE </w:instrText>
      </w:r>
      <w:r>
        <w:rPr>
          <w:snapToGrid/>
        </w:rPr>
        <w:fldChar w:fldCharType="begin">
          <w:fldData xml:space="preserve">PEVuZE5vdGU+PENpdGUgQXV0aG9yWWVhcj0iMSI+PEF1dGhvcj5Ib2ZtYW48L0F1dGhvcj48WWVh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</w:fldData>
        </w:fldChar>
      </w:r>
      <w:r>
        <w:rPr>
          <w:snapToGrid/>
        </w:rPr>
        <w:instrText xml:space="preserve"> ADDIN EN.CITE.DATA </w:instrText>
      </w:r>
      <w:r>
        <w:rPr>
          <w:snapToGrid/>
        </w:rPr>
      </w:r>
      <w:r>
        <w:rPr>
          <w:snapToGrid/>
        </w:rPr>
        <w:fldChar w:fldCharType="end"/>
      </w:r>
      <w:r w:rsidRPr="004A2156">
        <w:rPr>
          <w:snapToGrid/>
        </w:rPr>
      </w:r>
      <w:r w:rsidRPr="004A2156">
        <w:rPr>
          <w:snapToGrid/>
        </w:rPr>
        <w:fldChar w:fldCharType="separate"/>
      </w:r>
      <w:r>
        <w:rPr>
          <w:noProof/>
          <w:snapToGrid/>
        </w:rPr>
        <w:t>Hofman et al. (2021)</w:t>
      </w:r>
      <w:r w:rsidRPr="004A2156">
        <w:rPr>
          <w:snapToGrid/>
        </w:rPr>
        <w:fldChar w:fldCharType="end"/>
      </w:r>
      <w:r>
        <w:rPr>
          <w:snapToGrid/>
        </w:rPr>
        <w:t xml:space="preserve"> Figure 1 p.800, </w:t>
      </w:r>
      <w:r>
        <w:t>Sartor et al</w:t>
      </w:r>
      <w:r w:rsidRPr="00745D0E">
        <w:t xml:space="preserve">. (2021) </w:t>
      </w:r>
      <w:r>
        <w:t xml:space="preserve">p.1094, </w:t>
      </w:r>
      <w:r>
        <w:fldChar w:fldCharType="begin"/>
      </w:r>
      <w:r>
        <w:instrText xml:space="preserve"> ADDIN EN.CITE &lt;EndNote&gt;&lt;Cite AuthorYear="1"&gt;&lt;Author&gt;Hofman&lt;/Author&gt;&lt;Year&gt;2018&lt;/Year&gt;&lt;RecNum&gt;66&lt;/RecNum&gt;&lt;DisplayText&gt;Hofman et al. (2018)&lt;/DisplayText&gt;&lt;record&gt;&lt;rec-number&gt;66&lt;/rec-number&gt;&lt;foreign-keys&gt;&lt;key app="EN" db-id="dd0rzfzzya9ddbeztxhppetwpt5d9v2xs2sz" timestamp="1640151061"&gt;66&lt;/key&gt;&lt;/foreign-keys&gt;&lt;ref-type name="Journal Article"&gt;17&lt;/ref-type&gt;&lt;contributors&gt;&lt;authors&gt;&lt;author&gt;Hofman, M. S.&lt;/author&gt;&lt;author&gt;Violet, J.&lt;/author&gt;&lt;author&gt;Hicks, R. J.&lt;/author&gt;&lt;author&gt;Ferdinandus, J.&lt;/author&gt;&lt;author&gt;Ping Thang, S.&lt;/author&gt;&lt;author&gt;Akhurst, T.&lt;/author&gt;&lt;author&gt;Iravani, A.&lt;/author&gt;&lt;author&gt;Kong, G.&lt;/author&gt;&lt;author&gt;Ravi Kumar, A.&lt;/author&gt;&lt;author&gt;Murphy, D. G.&lt;/author&gt;&lt;author&gt;Eu, P.&lt;/author&gt;&lt;author&gt;Jackson, P.&lt;/author&gt;&lt;author&gt;Scalzo, M.&lt;/author&gt;&lt;author&gt;Williams, S. G.&lt;/author&gt;&lt;author&gt;Sandhu, S.&lt;/author&gt;&lt;/authors&gt;&lt;/contributors&gt;&lt;titles&gt;&lt;title&gt;[&amp;lt;sup&amp;gt;177&amp;lt;/sup&amp;gt;Lu]-PSMA-617 radionuclide treatment in patients with metastatic castration-resistant prostate cancer (LuPSMA trial): a single-centre, single-arm, phase 2 study&lt;/title&gt;&lt;secondary-title&gt;The Lancet Oncology&lt;/secondary-title&gt;&lt;/titles&gt;&lt;periodical&gt;&lt;full-title&gt;The Lancet Oncology&lt;/full-title&gt;&lt;/periodical&gt;&lt;pages&gt;825-833&lt;/pages&gt;&lt;volume&gt;19(6)&lt;/volume&gt;&lt;dates&gt;&lt;year&gt;2018&lt;/year&gt;&lt;/dates&gt;&lt;urls&gt;&lt;related-urls&gt;&lt;url&gt;http://www.journals.elsevier.com/the-lancet-oncology/&lt;/url&gt;&lt;/related-urls&gt;&lt;/urls&gt;&lt;electronic-resource-num&gt;http://dx.doi.org/10.1016/S1470-2045%2818%2930198-0&lt;/electronic-resource-num&gt;&lt;/record&gt;&lt;/Cite&gt;&lt;/EndNote&gt;</w:instrText>
      </w:r>
      <w:r>
        <w:fldChar w:fldCharType="separate"/>
      </w:r>
      <w:r>
        <w:rPr>
          <w:noProof/>
        </w:rPr>
        <w:t>Hofman et al. (2018)</w:t>
      </w:r>
      <w:r>
        <w:fldChar w:fldCharType="end"/>
      </w:r>
      <w:r>
        <w:t xml:space="preserve"> Figure 1 p.828</w:t>
      </w:r>
    </w:p>
    <w:p w14:paraId="6AB314C1" w14:textId="77777777" w:rsidR="000F104A" w:rsidRDefault="000F104A" w:rsidP="00761373">
      <w:pPr>
        <w:keepNext/>
        <w:rPr>
          <w:u w:val="single"/>
        </w:rPr>
      </w:pPr>
      <w:r>
        <w:rPr>
          <w:u w:val="single"/>
        </w:rPr>
        <w:t>Health outcomes</w:t>
      </w:r>
    </w:p>
    <w:p w14:paraId="73301EDB" w14:textId="022706A7" w:rsidR="000F104A" w:rsidRDefault="000F104A" w:rsidP="00554E01">
      <w:pPr>
        <w:keepNext/>
      </w:pPr>
      <w:r>
        <w:t>Two open-label, randomised trials formed the evidentiary basis</w:t>
      </w:r>
      <w:r w:rsidR="0060027A">
        <w:t xml:space="preserve"> for health outcomes</w:t>
      </w:r>
      <w:r>
        <w:t xml:space="preserve"> of the ADAR:</w:t>
      </w:r>
    </w:p>
    <w:p w14:paraId="181CA33C" w14:textId="4AE63778" w:rsidR="000F104A" w:rsidRDefault="000F104A" w:rsidP="00CB0324">
      <w:pPr>
        <w:pStyle w:val="ListParagraph"/>
        <w:numPr>
          <w:ilvl w:val="0"/>
          <w:numId w:val="17"/>
        </w:numPr>
        <w:ind w:left="284" w:hanging="284"/>
      </w:pPr>
      <w:proofErr w:type="spellStart"/>
      <w:r>
        <w:t>TheraP</w:t>
      </w:r>
      <w:proofErr w:type="spellEnd"/>
      <w:r>
        <w:t xml:space="preserve">; compared </w:t>
      </w:r>
      <w:r w:rsidRPr="00DB51C2">
        <w:rPr>
          <w:vertAlign w:val="superscript"/>
        </w:rPr>
        <w:t>177</w:t>
      </w:r>
      <w:r w:rsidR="009F7816">
        <w:t>Lu PSMA</w:t>
      </w:r>
      <w:r w:rsidRPr="00DB51C2">
        <w:t>-617</w:t>
      </w:r>
      <w:r>
        <w:t xml:space="preserve"> (n=99) versus </w:t>
      </w:r>
      <w:proofErr w:type="spellStart"/>
      <w:r>
        <w:t>cabazitaxel</w:t>
      </w:r>
      <w:proofErr w:type="spellEnd"/>
      <w:r>
        <w:t xml:space="preserve"> (n=101) in patients with an </w:t>
      </w:r>
      <w:proofErr w:type="spellStart"/>
      <w:r w:rsidRPr="00430609">
        <w:t>SUV</w:t>
      </w:r>
      <w:r w:rsidRPr="00C603F4">
        <w:rPr>
          <w:vertAlign w:val="subscript"/>
        </w:rPr>
        <w:t>max</w:t>
      </w:r>
      <w:proofErr w:type="spellEnd"/>
      <w:r w:rsidRPr="00430609">
        <w:t xml:space="preserve"> of at least 20 at a site of disease and greater than 10 at all other measurable sites of metastatic disease</w:t>
      </w:r>
      <w:r>
        <w:t xml:space="preserve"> (as per </w:t>
      </w:r>
      <w:r w:rsidRPr="008B47DB">
        <w:rPr>
          <w:vertAlign w:val="superscript"/>
        </w:rPr>
        <w:t>68</w:t>
      </w:r>
      <w:r>
        <w:t>Ga PSMA-11 PET/CT)</w:t>
      </w:r>
      <w:r w:rsidRPr="00430609">
        <w:t xml:space="preserve">, </w:t>
      </w:r>
      <w:r w:rsidRPr="00ED69A8">
        <w:rPr>
          <w:b/>
          <w:bCs/>
        </w:rPr>
        <w:t>AND</w:t>
      </w:r>
      <w:r w:rsidRPr="00430609">
        <w:t xml:space="preserve"> no sites of metastatic disease with discordant 2-[¹</w:t>
      </w:r>
      <w:r w:rsidRPr="00430609">
        <w:rPr>
          <w:rFonts w:ascii="Arial" w:hAnsi="Arial" w:cs="Arial"/>
        </w:rPr>
        <w:t>⁸</w:t>
      </w:r>
      <w:r w:rsidRPr="00430609">
        <w:t>F]</w:t>
      </w:r>
      <w:r w:rsidR="00CE2B66">
        <w:t xml:space="preserve"> </w:t>
      </w:r>
      <w:r w:rsidRPr="00430609">
        <w:t>FDG-positive</w:t>
      </w:r>
      <w:r>
        <w:t xml:space="preserve"> (FDG PET/CT)</w:t>
      </w:r>
      <w:r w:rsidRPr="00430609">
        <w:t xml:space="preserve"> and PSMA-negative findings</w:t>
      </w:r>
      <w:r>
        <w:t>; and</w:t>
      </w:r>
    </w:p>
    <w:p w14:paraId="1DAEE906" w14:textId="66030567" w:rsidR="000F104A" w:rsidRDefault="000F104A" w:rsidP="00CB0324">
      <w:pPr>
        <w:pStyle w:val="ListParagraph"/>
        <w:numPr>
          <w:ilvl w:val="0"/>
          <w:numId w:val="17"/>
        </w:numPr>
        <w:ind w:left="284" w:hanging="284"/>
      </w:pPr>
      <w:r>
        <w:t xml:space="preserve">VISION; compared </w:t>
      </w:r>
      <w:r w:rsidRPr="00DB51C2">
        <w:rPr>
          <w:vertAlign w:val="superscript"/>
        </w:rPr>
        <w:t>177</w:t>
      </w:r>
      <w:r w:rsidR="009F7816">
        <w:t>Lu PSMA</w:t>
      </w:r>
      <w:r w:rsidRPr="00DB51C2">
        <w:t>-617</w:t>
      </w:r>
      <w:r>
        <w:t xml:space="preserve"> + </w:t>
      </w:r>
      <w:r w:rsidR="00DB005C">
        <w:t>best supportive care</w:t>
      </w:r>
      <w:r>
        <w:t xml:space="preserve"> (n=551) versus </w:t>
      </w:r>
      <w:r w:rsidR="00DB005C">
        <w:t>best supportive care</w:t>
      </w:r>
      <w:r>
        <w:t xml:space="preserve"> alone (n=280) in patients with </w:t>
      </w:r>
      <w:r w:rsidRPr="00E27394">
        <w:rPr>
          <w:vertAlign w:val="superscript"/>
        </w:rPr>
        <w:t>68</w:t>
      </w:r>
      <w:r>
        <w:t xml:space="preserve">Ga PSMA-11 (PET/CT) uptake greater than that of liver parenchyma (approximately </w:t>
      </w:r>
      <w:proofErr w:type="spellStart"/>
      <w:r w:rsidRPr="00745D0E">
        <w:t>SUV</w:t>
      </w:r>
      <w:r w:rsidRPr="00745D0E">
        <w:rPr>
          <w:vertAlign w:val="subscript"/>
        </w:rPr>
        <w:t>max</w:t>
      </w:r>
      <w:proofErr w:type="spellEnd"/>
      <w:r w:rsidRPr="00745D0E">
        <w:t xml:space="preserve"> threshold of</w:t>
      </w:r>
      <w:r>
        <w:t xml:space="preserve"> 5 (IQR 4-7))</w:t>
      </w:r>
      <w:r w:rsidRPr="00745D0E">
        <w:t xml:space="preserve"> </w:t>
      </w:r>
      <w:r>
        <w:t>in one or more metastatic lesions of any size in any organ system.</w:t>
      </w:r>
    </w:p>
    <w:p w14:paraId="5A2E55CF" w14:textId="28071B0E" w:rsidR="000F104A" w:rsidRDefault="000F104A" w:rsidP="000F104A">
      <w:r>
        <w:t xml:space="preserve">The results of the trials are presented in </w:t>
      </w:r>
      <w:r>
        <w:fldChar w:fldCharType="begin"/>
      </w:r>
      <w:r>
        <w:instrText xml:space="preserve"> REF _Ref91069598 \h </w:instrText>
      </w:r>
      <w:r>
        <w:fldChar w:fldCharType="separate"/>
      </w:r>
      <w:r>
        <w:t xml:space="preserve">Table </w:t>
      </w:r>
      <w:r>
        <w:rPr>
          <w:noProof/>
        </w:rPr>
        <w:t>7</w:t>
      </w:r>
      <w:r>
        <w:fldChar w:fldCharType="end"/>
      </w:r>
      <w:r>
        <w:t>.</w:t>
      </w:r>
      <w:r w:rsidR="006759CF">
        <w:t xml:space="preserve"> Kaplan-Meier (KM) curves for OS in VISION and PFS in </w:t>
      </w:r>
      <w:proofErr w:type="spellStart"/>
      <w:r w:rsidR="006759CF">
        <w:t>TheraP</w:t>
      </w:r>
      <w:proofErr w:type="spellEnd"/>
      <w:r w:rsidR="006759CF">
        <w:t xml:space="preserve"> and VISION are presented in </w:t>
      </w:r>
      <w:r w:rsidR="006759CF">
        <w:fldChar w:fldCharType="begin"/>
      </w:r>
      <w:r w:rsidR="006759CF">
        <w:instrText xml:space="preserve"> REF _Ref102945814 \h </w:instrText>
      </w:r>
      <w:r w:rsidR="006759CF">
        <w:fldChar w:fldCharType="separate"/>
      </w:r>
      <w:r w:rsidR="006759CF">
        <w:t xml:space="preserve">Figure </w:t>
      </w:r>
      <w:r w:rsidR="006759CF">
        <w:rPr>
          <w:noProof/>
        </w:rPr>
        <w:t>1</w:t>
      </w:r>
      <w:r w:rsidR="006759CF">
        <w:fldChar w:fldCharType="end"/>
      </w:r>
      <w:r w:rsidR="006759CF">
        <w:t xml:space="preserve">, </w:t>
      </w:r>
      <w:r w:rsidR="006759CF">
        <w:fldChar w:fldCharType="begin"/>
      </w:r>
      <w:r w:rsidR="006759CF">
        <w:instrText xml:space="preserve"> REF _Ref102945816 \h </w:instrText>
      </w:r>
      <w:r w:rsidR="006759CF">
        <w:fldChar w:fldCharType="separate"/>
      </w:r>
      <w:r w:rsidR="006759CF">
        <w:t xml:space="preserve">Figure </w:t>
      </w:r>
      <w:r w:rsidR="006759CF">
        <w:rPr>
          <w:noProof/>
        </w:rPr>
        <w:t>2</w:t>
      </w:r>
      <w:r w:rsidR="006759CF">
        <w:fldChar w:fldCharType="end"/>
      </w:r>
      <w:r w:rsidR="006759CF">
        <w:t xml:space="preserve"> and </w:t>
      </w:r>
      <w:r w:rsidR="006759CF">
        <w:fldChar w:fldCharType="begin"/>
      </w:r>
      <w:r w:rsidR="006759CF">
        <w:instrText xml:space="preserve"> REF _Ref90546841 \h </w:instrText>
      </w:r>
      <w:r w:rsidR="006759CF">
        <w:fldChar w:fldCharType="separate"/>
      </w:r>
      <w:r w:rsidR="006759CF">
        <w:t xml:space="preserve">Figure </w:t>
      </w:r>
      <w:r w:rsidR="006759CF">
        <w:rPr>
          <w:noProof/>
        </w:rPr>
        <w:t>3</w:t>
      </w:r>
      <w:r w:rsidR="006759CF">
        <w:fldChar w:fldCharType="end"/>
      </w:r>
      <w:r w:rsidR="006759CF">
        <w:t>, respectively.</w:t>
      </w:r>
    </w:p>
    <w:p w14:paraId="3E9EBCBE" w14:textId="15E7AA90" w:rsidR="000F104A" w:rsidRDefault="000F104A" w:rsidP="00554E01">
      <w:pPr>
        <w:pStyle w:val="Caption"/>
        <w:widowControl w:val="0"/>
      </w:pPr>
      <w:bookmarkStart w:id="29" w:name="_Ref91069598"/>
      <w:r>
        <w:lastRenderedPageBreak/>
        <w:t xml:space="preserve">Table </w:t>
      </w:r>
      <w:r w:rsidR="008440F9">
        <w:fldChar w:fldCharType="begin"/>
      </w:r>
      <w:r w:rsidR="008440F9">
        <w:instrText xml:space="preserve"> SEQ Table \* ARABIC </w:instrText>
      </w:r>
      <w:r w:rsidR="008440F9">
        <w:fldChar w:fldCharType="separate"/>
      </w:r>
      <w:r w:rsidR="00364E19">
        <w:rPr>
          <w:noProof/>
        </w:rPr>
        <w:t>7</w:t>
      </w:r>
      <w:r w:rsidR="008440F9">
        <w:rPr>
          <w:noProof/>
        </w:rPr>
        <w:fldChar w:fldCharType="end"/>
      </w:r>
      <w:bookmarkEnd w:id="29"/>
      <w:r>
        <w:tab/>
        <w:t xml:space="preserve">Summary of </w:t>
      </w:r>
      <w:r w:rsidRPr="00A70463">
        <w:rPr>
          <w:vertAlign w:val="superscript"/>
        </w:rPr>
        <w:t>177</w:t>
      </w:r>
      <w:r w:rsidR="009F7816">
        <w:t>Lu PSMA</w:t>
      </w:r>
      <w:r>
        <w:t>-617 efficacy</w:t>
      </w:r>
    </w:p>
    <w:tbl>
      <w:tblPr>
        <w:tblStyle w:val="AZTable11"/>
        <w:tblW w:w="5000" w:type="pct"/>
        <w:tblLook w:val="04A0" w:firstRow="1" w:lastRow="0" w:firstColumn="1" w:lastColumn="0" w:noHBand="0" w:noVBand="1"/>
      </w:tblPr>
      <w:tblGrid>
        <w:gridCol w:w="3136"/>
        <w:gridCol w:w="1585"/>
        <w:gridCol w:w="1257"/>
        <w:gridCol w:w="2133"/>
        <w:gridCol w:w="905"/>
      </w:tblGrid>
      <w:tr w:rsidR="00761373" w14:paraId="5AFCE293" w14:textId="77777777" w:rsidTr="006759CF">
        <w:trPr>
          <w:cnfStyle w:val="100000000000" w:firstRow="1" w:lastRow="0" w:firstColumn="0" w:lastColumn="0" w:oddVBand="0" w:evenVBand="0" w:oddHBand="0" w:evenHBand="0" w:firstRowFirstColumn="0" w:firstRowLastColumn="0" w:lastRowFirstColumn="0" w:lastRowLastColumn="0"/>
          <w:tblHeader/>
        </w:trPr>
        <w:tc>
          <w:tcPr>
            <w:tcW w:w="1739" w:type="pct"/>
          </w:tcPr>
          <w:p w14:paraId="6ABB96FE" w14:textId="77777777" w:rsidR="00761373" w:rsidRPr="00944543" w:rsidRDefault="00761373" w:rsidP="00554E01">
            <w:pPr>
              <w:pStyle w:val="Tabletext0"/>
              <w:keepNext/>
            </w:pPr>
          </w:p>
        </w:tc>
        <w:tc>
          <w:tcPr>
            <w:tcW w:w="1576" w:type="pct"/>
            <w:gridSpan w:val="2"/>
          </w:tcPr>
          <w:p w14:paraId="446F02E0" w14:textId="135C53EA" w:rsidR="00761373" w:rsidRPr="00693283" w:rsidRDefault="00761373" w:rsidP="00554E01">
            <w:pPr>
              <w:pStyle w:val="Tabletext0"/>
              <w:keepNext/>
              <w:jc w:val="center"/>
              <w:rPr>
                <w:b/>
              </w:rPr>
            </w:pPr>
            <w:proofErr w:type="spellStart"/>
            <w:r w:rsidRPr="00693283">
              <w:rPr>
                <w:b/>
              </w:rPr>
              <w:t>TheraP</w:t>
            </w:r>
            <w:proofErr w:type="spellEnd"/>
          </w:p>
        </w:tc>
        <w:tc>
          <w:tcPr>
            <w:tcW w:w="1685" w:type="pct"/>
            <w:gridSpan w:val="2"/>
          </w:tcPr>
          <w:p w14:paraId="0A939662" w14:textId="0619580E" w:rsidR="00761373" w:rsidRPr="00693283" w:rsidRDefault="00761373" w:rsidP="00554E01">
            <w:pPr>
              <w:pStyle w:val="Tabletext0"/>
              <w:keepNext/>
              <w:jc w:val="center"/>
              <w:rPr>
                <w:b/>
              </w:rPr>
            </w:pPr>
            <w:r w:rsidRPr="00693283">
              <w:rPr>
                <w:b/>
              </w:rPr>
              <w:t>VISION</w:t>
            </w:r>
          </w:p>
        </w:tc>
      </w:tr>
      <w:tr w:rsidR="000F104A" w14:paraId="0268464B" w14:textId="77777777" w:rsidTr="006759CF">
        <w:trPr>
          <w:cnfStyle w:val="100000000000" w:firstRow="1" w:lastRow="0" w:firstColumn="0" w:lastColumn="0" w:oddVBand="0" w:evenVBand="0" w:oddHBand="0" w:evenHBand="0" w:firstRowFirstColumn="0" w:firstRowLastColumn="0" w:lastRowFirstColumn="0" w:lastRowLastColumn="0"/>
          <w:tblHeader/>
        </w:trPr>
        <w:tc>
          <w:tcPr>
            <w:tcW w:w="1739" w:type="pct"/>
            <w:tcBorders>
              <w:bottom w:val="single" w:sz="4" w:space="0" w:color="auto"/>
            </w:tcBorders>
          </w:tcPr>
          <w:p w14:paraId="328D0B5A" w14:textId="77777777" w:rsidR="000F104A" w:rsidRPr="00944543" w:rsidRDefault="000F104A" w:rsidP="00554E01">
            <w:pPr>
              <w:pStyle w:val="Tabletext0"/>
              <w:keepNext/>
            </w:pPr>
          </w:p>
        </w:tc>
        <w:tc>
          <w:tcPr>
            <w:tcW w:w="879" w:type="pct"/>
            <w:tcBorders>
              <w:bottom w:val="single" w:sz="4" w:space="0" w:color="auto"/>
            </w:tcBorders>
          </w:tcPr>
          <w:p w14:paraId="67F94F63" w14:textId="21D0F68D" w:rsidR="000F104A" w:rsidRPr="00693283" w:rsidRDefault="000F104A" w:rsidP="00554E01">
            <w:pPr>
              <w:pStyle w:val="Tabletext0"/>
              <w:keepNext/>
              <w:jc w:val="center"/>
              <w:rPr>
                <w:b/>
                <w:bCs/>
              </w:rPr>
            </w:pPr>
            <w:r w:rsidRPr="00693283">
              <w:rPr>
                <w:b/>
                <w:bCs/>
                <w:vertAlign w:val="superscript"/>
              </w:rPr>
              <w:t>177</w:t>
            </w:r>
            <w:r w:rsidR="009F7816">
              <w:rPr>
                <w:b/>
                <w:bCs/>
              </w:rPr>
              <w:t>Lu PSMA</w:t>
            </w:r>
            <w:r>
              <w:rPr>
                <w:b/>
                <w:bCs/>
              </w:rPr>
              <w:t>-617</w:t>
            </w:r>
          </w:p>
        </w:tc>
        <w:tc>
          <w:tcPr>
            <w:tcW w:w="697" w:type="pct"/>
            <w:tcBorders>
              <w:bottom w:val="single" w:sz="4" w:space="0" w:color="auto"/>
            </w:tcBorders>
          </w:tcPr>
          <w:p w14:paraId="6267850B" w14:textId="77777777" w:rsidR="000F104A" w:rsidRPr="00693283" w:rsidRDefault="000F104A" w:rsidP="00554E01">
            <w:pPr>
              <w:pStyle w:val="Tabletext0"/>
              <w:keepNext/>
              <w:jc w:val="center"/>
              <w:rPr>
                <w:b/>
                <w:bCs/>
              </w:rPr>
            </w:pPr>
            <w:proofErr w:type="spellStart"/>
            <w:r w:rsidRPr="00693283">
              <w:rPr>
                <w:b/>
                <w:bCs/>
              </w:rPr>
              <w:t>Cabazitaxel</w:t>
            </w:r>
            <w:proofErr w:type="spellEnd"/>
          </w:p>
        </w:tc>
        <w:tc>
          <w:tcPr>
            <w:tcW w:w="1183" w:type="pct"/>
            <w:tcBorders>
              <w:bottom w:val="single" w:sz="4" w:space="0" w:color="auto"/>
            </w:tcBorders>
          </w:tcPr>
          <w:p w14:paraId="3867EF68" w14:textId="5D671759" w:rsidR="000F104A" w:rsidRPr="00693283" w:rsidRDefault="000F104A" w:rsidP="00554E01">
            <w:pPr>
              <w:pStyle w:val="Tabletext0"/>
              <w:keepNext/>
              <w:jc w:val="center"/>
              <w:rPr>
                <w:b/>
                <w:bCs/>
              </w:rPr>
            </w:pPr>
            <w:r w:rsidRPr="00693283">
              <w:rPr>
                <w:b/>
                <w:bCs/>
                <w:vertAlign w:val="superscript"/>
              </w:rPr>
              <w:t>177</w:t>
            </w:r>
            <w:r w:rsidR="009F7816">
              <w:rPr>
                <w:b/>
                <w:bCs/>
              </w:rPr>
              <w:t>Lu PSMA</w:t>
            </w:r>
            <w:r>
              <w:rPr>
                <w:b/>
                <w:bCs/>
              </w:rPr>
              <w:t>-617</w:t>
            </w:r>
            <w:r w:rsidRPr="00693283">
              <w:rPr>
                <w:b/>
                <w:bCs/>
              </w:rPr>
              <w:t xml:space="preserve"> + BSc</w:t>
            </w:r>
          </w:p>
        </w:tc>
        <w:tc>
          <w:tcPr>
            <w:tcW w:w="502" w:type="pct"/>
            <w:tcBorders>
              <w:bottom w:val="single" w:sz="4" w:space="0" w:color="auto"/>
            </w:tcBorders>
          </w:tcPr>
          <w:p w14:paraId="06583EA7" w14:textId="77777777" w:rsidR="000F104A" w:rsidRPr="00693283" w:rsidRDefault="000F104A" w:rsidP="00554E01">
            <w:pPr>
              <w:pStyle w:val="Tabletext0"/>
              <w:keepNext/>
              <w:jc w:val="center"/>
              <w:rPr>
                <w:b/>
                <w:bCs/>
              </w:rPr>
            </w:pPr>
            <w:r w:rsidRPr="00693283">
              <w:rPr>
                <w:b/>
                <w:bCs/>
              </w:rPr>
              <w:t>BSc</w:t>
            </w:r>
          </w:p>
        </w:tc>
      </w:tr>
      <w:tr w:rsidR="000F104A" w14:paraId="4C8216C6" w14:textId="77777777" w:rsidTr="006759CF">
        <w:tc>
          <w:tcPr>
            <w:tcW w:w="1739" w:type="pct"/>
            <w:tcBorders>
              <w:bottom w:val="single" w:sz="4" w:space="0" w:color="auto"/>
            </w:tcBorders>
          </w:tcPr>
          <w:p w14:paraId="755D5281" w14:textId="77777777" w:rsidR="000F104A" w:rsidRPr="00944543" w:rsidRDefault="000F104A" w:rsidP="00554E01">
            <w:pPr>
              <w:pStyle w:val="Tabletext0"/>
              <w:keepNext/>
            </w:pPr>
            <w:r>
              <w:t>Median follow-up (months)</w:t>
            </w:r>
          </w:p>
        </w:tc>
        <w:tc>
          <w:tcPr>
            <w:tcW w:w="879" w:type="pct"/>
            <w:tcBorders>
              <w:bottom w:val="single" w:sz="4" w:space="0" w:color="auto"/>
            </w:tcBorders>
          </w:tcPr>
          <w:p w14:paraId="183325F7" w14:textId="77777777" w:rsidR="000F104A" w:rsidRPr="00C0457C" w:rsidRDefault="000F104A" w:rsidP="00554E01">
            <w:pPr>
              <w:pStyle w:val="Tabletext0"/>
              <w:keepNext/>
              <w:jc w:val="center"/>
            </w:pPr>
            <w:r w:rsidRPr="00C0457C">
              <w:t>18.4</w:t>
            </w:r>
          </w:p>
        </w:tc>
        <w:tc>
          <w:tcPr>
            <w:tcW w:w="697" w:type="pct"/>
            <w:tcBorders>
              <w:bottom w:val="single" w:sz="4" w:space="0" w:color="auto"/>
            </w:tcBorders>
          </w:tcPr>
          <w:p w14:paraId="7D442BF3" w14:textId="77777777" w:rsidR="000F104A" w:rsidRPr="00C0457C" w:rsidRDefault="000F104A" w:rsidP="00554E01">
            <w:pPr>
              <w:pStyle w:val="Tabletext0"/>
              <w:keepNext/>
              <w:jc w:val="center"/>
            </w:pPr>
            <w:r w:rsidRPr="00C0457C">
              <w:t>18.4</w:t>
            </w:r>
          </w:p>
        </w:tc>
        <w:tc>
          <w:tcPr>
            <w:tcW w:w="1183" w:type="pct"/>
            <w:tcBorders>
              <w:bottom w:val="single" w:sz="4" w:space="0" w:color="auto"/>
            </w:tcBorders>
          </w:tcPr>
          <w:p w14:paraId="3B570476" w14:textId="77777777" w:rsidR="000F104A" w:rsidRPr="005772DC" w:rsidRDefault="000F104A" w:rsidP="00554E01">
            <w:pPr>
              <w:pStyle w:val="Tabletext0"/>
              <w:keepNext/>
              <w:jc w:val="center"/>
            </w:pPr>
            <w:r w:rsidRPr="005772DC">
              <w:t>20.9</w:t>
            </w:r>
          </w:p>
        </w:tc>
        <w:tc>
          <w:tcPr>
            <w:tcW w:w="502" w:type="pct"/>
            <w:tcBorders>
              <w:bottom w:val="single" w:sz="4" w:space="0" w:color="auto"/>
            </w:tcBorders>
          </w:tcPr>
          <w:p w14:paraId="1452EE06" w14:textId="77777777" w:rsidR="000F104A" w:rsidRPr="005772DC" w:rsidRDefault="000F104A" w:rsidP="00554E01">
            <w:pPr>
              <w:pStyle w:val="Tabletext0"/>
              <w:keepNext/>
              <w:jc w:val="center"/>
            </w:pPr>
            <w:r w:rsidRPr="005772DC">
              <w:t>20.9</w:t>
            </w:r>
          </w:p>
        </w:tc>
      </w:tr>
      <w:tr w:rsidR="000F104A" w14:paraId="00401E12" w14:textId="77777777" w:rsidTr="006759CF">
        <w:tc>
          <w:tcPr>
            <w:tcW w:w="1739" w:type="pct"/>
            <w:tcBorders>
              <w:right w:val="nil"/>
            </w:tcBorders>
          </w:tcPr>
          <w:p w14:paraId="35B0856B" w14:textId="77777777" w:rsidR="000F104A" w:rsidRPr="0012498A" w:rsidRDefault="000F104A" w:rsidP="00554E01">
            <w:pPr>
              <w:pStyle w:val="Tabletext0"/>
              <w:keepNext/>
              <w:rPr>
                <w:bCs/>
              </w:rPr>
            </w:pPr>
            <w:r w:rsidRPr="0012498A">
              <w:rPr>
                <w:bCs/>
              </w:rPr>
              <w:t>Response rate</w:t>
            </w:r>
            <w:r>
              <w:rPr>
                <w:bCs/>
              </w:rPr>
              <w:t xml:space="preserve"> (PSA50)</w:t>
            </w:r>
          </w:p>
        </w:tc>
        <w:tc>
          <w:tcPr>
            <w:tcW w:w="879" w:type="pct"/>
            <w:tcBorders>
              <w:left w:val="nil"/>
              <w:right w:val="nil"/>
            </w:tcBorders>
          </w:tcPr>
          <w:p w14:paraId="4FFB2B64" w14:textId="77777777" w:rsidR="000F104A" w:rsidRDefault="000F104A" w:rsidP="00554E01">
            <w:pPr>
              <w:pStyle w:val="Tabletext0"/>
              <w:keepNext/>
              <w:jc w:val="center"/>
            </w:pPr>
          </w:p>
        </w:tc>
        <w:tc>
          <w:tcPr>
            <w:tcW w:w="697" w:type="pct"/>
            <w:tcBorders>
              <w:left w:val="nil"/>
              <w:right w:val="nil"/>
            </w:tcBorders>
          </w:tcPr>
          <w:p w14:paraId="71BC8D24" w14:textId="77777777" w:rsidR="000F104A" w:rsidRDefault="000F104A" w:rsidP="00554E01">
            <w:pPr>
              <w:pStyle w:val="Tabletext0"/>
              <w:keepNext/>
              <w:jc w:val="center"/>
            </w:pPr>
          </w:p>
        </w:tc>
        <w:tc>
          <w:tcPr>
            <w:tcW w:w="1183" w:type="pct"/>
            <w:tcBorders>
              <w:left w:val="nil"/>
              <w:right w:val="nil"/>
            </w:tcBorders>
          </w:tcPr>
          <w:p w14:paraId="697F9AE8" w14:textId="77777777" w:rsidR="000F104A" w:rsidRDefault="000F104A" w:rsidP="00554E01">
            <w:pPr>
              <w:pStyle w:val="Tabletext0"/>
              <w:keepNext/>
              <w:jc w:val="center"/>
            </w:pPr>
          </w:p>
        </w:tc>
        <w:tc>
          <w:tcPr>
            <w:tcW w:w="502" w:type="pct"/>
            <w:tcBorders>
              <w:left w:val="nil"/>
            </w:tcBorders>
          </w:tcPr>
          <w:p w14:paraId="5F66A7CC" w14:textId="77777777" w:rsidR="000F104A" w:rsidRDefault="000F104A" w:rsidP="00554E01">
            <w:pPr>
              <w:pStyle w:val="Tabletext0"/>
              <w:keepNext/>
              <w:jc w:val="center"/>
            </w:pPr>
          </w:p>
        </w:tc>
      </w:tr>
      <w:tr w:rsidR="000F104A" w14:paraId="7AEEEB52" w14:textId="77777777" w:rsidTr="006759CF">
        <w:tc>
          <w:tcPr>
            <w:tcW w:w="1739" w:type="pct"/>
          </w:tcPr>
          <w:p w14:paraId="36CE4DAA" w14:textId="77777777" w:rsidR="000F104A" w:rsidRPr="0012498A" w:rsidRDefault="000F104A" w:rsidP="00554E01">
            <w:pPr>
              <w:pStyle w:val="Tabletext0"/>
              <w:keepNext/>
              <w:ind w:left="170"/>
              <w:rPr>
                <w:bCs/>
              </w:rPr>
            </w:pPr>
            <w:r w:rsidRPr="005B10D4">
              <w:t>N</w:t>
            </w:r>
          </w:p>
        </w:tc>
        <w:tc>
          <w:tcPr>
            <w:tcW w:w="879" w:type="pct"/>
          </w:tcPr>
          <w:p w14:paraId="23864449" w14:textId="77777777" w:rsidR="000F104A" w:rsidRDefault="000F104A" w:rsidP="00554E01">
            <w:pPr>
              <w:pStyle w:val="Tabletext0"/>
              <w:keepNext/>
              <w:jc w:val="center"/>
            </w:pPr>
            <w:r>
              <w:t>99</w:t>
            </w:r>
          </w:p>
        </w:tc>
        <w:tc>
          <w:tcPr>
            <w:tcW w:w="697" w:type="pct"/>
          </w:tcPr>
          <w:p w14:paraId="70F657FE" w14:textId="77777777" w:rsidR="000F104A" w:rsidRDefault="000F104A" w:rsidP="00554E01">
            <w:pPr>
              <w:pStyle w:val="Tabletext0"/>
              <w:keepNext/>
              <w:jc w:val="center"/>
            </w:pPr>
            <w:r>
              <w:t>101</w:t>
            </w:r>
          </w:p>
        </w:tc>
        <w:tc>
          <w:tcPr>
            <w:tcW w:w="1183" w:type="pct"/>
          </w:tcPr>
          <w:p w14:paraId="359AA34F" w14:textId="77777777" w:rsidR="000F104A" w:rsidRDefault="000F104A" w:rsidP="00554E01">
            <w:pPr>
              <w:pStyle w:val="Tabletext0"/>
              <w:keepNext/>
              <w:jc w:val="center"/>
            </w:pPr>
            <w:r>
              <w:t>385</w:t>
            </w:r>
          </w:p>
        </w:tc>
        <w:tc>
          <w:tcPr>
            <w:tcW w:w="502" w:type="pct"/>
          </w:tcPr>
          <w:p w14:paraId="0877E73E" w14:textId="77777777" w:rsidR="000F104A" w:rsidRDefault="000F104A" w:rsidP="00554E01">
            <w:pPr>
              <w:pStyle w:val="Tabletext0"/>
              <w:keepNext/>
              <w:jc w:val="center"/>
            </w:pPr>
            <w:r>
              <w:t>196</w:t>
            </w:r>
          </w:p>
        </w:tc>
      </w:tr>
      <w:tr w:rsidR="000F104A" w14:paraId="459BE58D" w14:textId="77777777" w:rsidTr="006759CF">
        <w:tc>
          <w:tcPr>
            <w:tcW w:w="1739" w:type="pct"/>
          </w:tcPr>
          <w:p w14:paraId="3AC692AA" w14:textId="77777777" w:rsidR="000F104A" w:rsidRDefault="000F104A" w:rsidP="00554E01">
            <w:pPr>
              <w:pStyle w:val="Tabletext0"/>
              <w:keepNext/>
              <w:ind w:left="170"/>
            </w:pPr>
            <w:r>
              <w:t>Events, n (%)</w:t>
            </w:r>
          </w:p>
        </w:tc>
        <w:tc>
          <w:tcPr>
            <w:tcW w:w="879" w:type="pct"/>
          </w:tcPr>
          <w:p w14:paraId="6EF5508F" w14:textId="77777777" w:rsidR="000F104A" w:rsidRDefault="000F104A" w:rsidP="00554E01">
            <w:pPr>
              <w:pStyle w:val="Tabletext0"/>
              <w:keepNext/>
              <w:jc w:val="center"/>
            </w:pPr>
            <w:r>
              <w:t>65 (66)</w:t>
            </w:r>
          </w:p>
        </w:tc>
        <w:tc>
          <w:tcPr>
            <w:tcW w:w="697" w:type="pct"/>
          </w:tcPr>
          <w:p w14:paraId="54205EC1" w14:textId="77777777" w:rsidR="000F104A" w:rsidRDefault="000F104A" w:rsidP="00554E01">
            <w:pPr>
              <w:pStyle w:val="Tabletext0"/>
              <w:keepNext/>
              <w:jc w:val="center"/>
            </w:pPr>
            <w:r>
              <w:t>37 (37)</w:t>
            </w:r>
          </w:p>
        </w:tc>
        <w:tc>
          <w:tcPr>
            <w:tcW w:w="1183" w:type="pct"/>
          </w:tcPr>
          <w:p w14:paraId="78E00606" w14:textId="77777777" w:rsidR="000F104A" w:rsidRDefault="000F104A" w:rsidP="00554E01">
            <w:pPr>
              <w:pStyle w:val="Tabletext0"/>
              <w:keepNext/>
              <w:jc w:val="center"/>
            </w:pPr>
            <w:r>
              <w:t>177 (46)</w:t>
            </w:r>
          </w:p>
        </w:tc>
        <w:tc>
          <w:tcPr>
            <w:tcW w:w="502" w:type="pct"/>
          </w:tcPr>
          <w:p w14:paraId="4554144F" w14:textId="77777777" w:rsidR="000F104A" w:rsidRDefault="000F104A" w:rsidP="00554E01">
            <w:pPr>
              <w:pStyle w:val="Tabletext0"/>
              <w:keepNext/>
              <w:jc w:val="center"/>
            </w:pPr>
            <w:r>
              <w:t>14 (7)</w:t>
            </w:r>
          </w:p>
        </w:tc>
      </w:tr>
      <w:tr w:rsidR="000F104A" w14:paraId="0A3CCAB4" w14:textId="77777777" w:rsidTr="006759CF">
        <w:tc>
          <w:tcPr>
            <w:tcW w:w="1739" w:type="pct"/>
          </w:tcPr>
          <w:p w14:paraId="08C23DAC" w14:textId="77777777" w:rsidR="000F104A" w:rsidRDefault="000F104A" w:rsidP="00554E01">
            <w:pPr>
              <w:pStyle w:val="Tabletext0"/>
              <w:keepNext/>
              <w:ind w:left="170"/>
            </w:pPr>
            <w:r>
              <w:t>RD (95% CI)</w:t>
            </w:r>
          </w:p>
        </w:tc>
        <w:tc>
          <w:tcPr>
            <w:tcW w:w="879" w:type="pct"/>
          </w:tcPr>
          <w:p w14:paraId="1EC4B518" w14:textId="77777777" w:rsidR="000F104A" w:rsidRPr="00097AE0" w:rsidRDefault="000F104A" w:rsidP="00554E01">
            <w:pPr>
              <w:pStyle w:val="Tabletext0"/>
              <w:keepNext/>
              <w:jc w:val="center"/>
              <w:rPr>
                <w:b/>
                <w:bCs/>
              </w:rPr>
            </w:pPr>
            <w:r w:rsidRPr="00097AE0">
              <w:rPr>
                <w:b/>
                <w:bCs/>
              </w:rPr>
              <w:t>29% (16%, 42%)</w:t>
            </w:r>
          </w:p>
        </w:tc>
        <w:tc>
          <w:tcPr>
            <w:tcW w:w="697" w:type="pct"/>
          </w:tcPr>
          <w:p w14:paraId="7B6429BD" w14:textId="77777777" w:rsidR="000F104A" w:rsidRPr="00097AE0" w:rsidRDefault="000F104A" w:rsidP="00554E01">
            <w:pPr>
              <w:pStyle w:val="Tabletext0"/>
              <w:keepNext/>
              <w:jc w:val="center"/>
              <w:rPr>
                <w:b/>
                <w:bCs/>
              </w:rPr>
            </w:pPr>
          </w:p>
        </w:tc>
        <w:tc>
          <w:tcPr>
            <w:tcW w:w="1183" w:type="pct"/>
          </w:tcPr>
          <w:p w14:paraId="4CA23790" w14:textId="77777777" w:rsidR="000F104A" w:rsidRPr="00097AE0" w:rsidRDefault="000F104A" w:rsidP="00554E01">
            <w:pPr>
              <w:pStyle w:val="Tabletext0"/>
              <w:keepNext/>
              <w:jc w:val="center"/>
              <w:rPr>
                <w:b/>
                <w:bCs/>
              </w:rPr>
            </w:pPr>
            <w:r w:rsidRPr="00097AE0">
              <w:rPr>
                <w:b/>
                <w:bCs/>
              </w:rPr>
              <w:t>39% (33%, 45%) *</w:t>
            </w:r>
          </w:p>
        </w:tc>
        <w:tc>
          <w:tcPr>
            <w:tcW w:w="502" w:type="pct"/>
          </w:tcPr>
          <w:p w14:paraId="063A6B8E" w14:textId="77777777" w:rsidR="000F104A" w:rsidRDefault="000F104A" w:rsidP="00554E01">
            <w:pPr>
              <w:pStyle w:val="Tabletext0"/>
              <w:keepNext/>
              <w:jc w:val="center"/>
            </w:pPr>
          </w:p>
        </w:tc>
      </w:tr>
      <w:tr w:rsidR="000F104A" w14:paraId="19CB5B64" w14:textId="77777777" w:rsidTr="006759CF">
        <w:tc>
          <w:tcPr>
            <w:tcW w:w="1739" w:type="pct"/>
            <w:tcBorders>
              <w:bottom w:val="single" w:sz="4" w:space="0" w:color="auto"/>
            </w:tcBorders>
          </w:tcPr>
          <w:p w14:paraId="593923FF" w14:textId="77777777" w:rsidR="000F104A" w:rsidRDefault="000F104A" w:rsidP="00554E01">
            <w:pPr>
              <w:pStyle w:val="Tabletext0"/>
              <w:keepNext/>
              <w:ind w:left="170"/>
            </w:pPr>
            <w:r>
              <w:t>p-value</w:t>
            </w:r>
          </w:p>
        </w:tc>
        <w:tc>
          <w:tcPr>
            <w:tcW w:w="879" w:type="pct"/>
            <w:tcBorders>
              <w:bottom w:val="single" w:sz="4" w:space="0" w:color="auto"/>
            </w:tcBorders>
          </w:tcPr>
          <w:p w14:paraId="0026C7DB" w14:textId="77777777" w:rsidR="000F104A" w:rsidRPr="00097AE0" w:rsidRDefault="000F104A" w:rsidP="00554E01">
            <w:pPr>
              <w:pStyle w:val="Tabletext0"/>
              <w:keepNext/>
              <w:jc w:val="center"/>
              <w:rPr>
                <w:b/>
                <w:bCs/>
              </w:rPr>
            </w:pPr>
            <w:r w:rsidRPr="00097AE0">
              <w:rPr>
                <w:b/>
                <w:bCs/>
              </w:rPr>
              <w:t>&lt;0.0001</w:t>
            </w:r>
          </w:p>
        </w:tc>
        <w:tc>
          <w:tcPr>
            <w:tcW w:w="697" w:type="pct"/>
            <w:tcBorders>
              <w:bottom w:val="single" w:sz="4" w:space="0" w:color="auto"/>
            </w:tcBorders>
          </w:tcPr>
          <w:p w14:paraId="6ACDC458" w14:textId="77777777" w:rsidR="000F104A" w:rsidRPr="00097AE0" w:rsidRDefault="000F104A" w:rsidP="00554E01">
            <w:pPr>
              <w:pStyle w:val="Tabletext0"/>
              <w:keepNext/>
              <w:jc w:val="center"/>
              <w:rPr>
                <w:b/>
                <w:bCs/>
              </w:rPr>
            </w:pPr>
          </w:p>
        </w:tc>
        <w:tc>
          <w:tcPr>
            <w:tcW w:w="1183" w:type="pct"/>
            <w:tcBorders>
              <w:bottom w:val="single" w:sz="4" w:space="0" w:color="auto"/>
            </w:tcBorders>
          </w:tcPr>
          <w:p w14:paraId="72F24F1D" w14:textId="77777777" w:rsidR="000F104A" w:rsidRPr="00097AE0" w:rsidRDefault="000F104A" w:rsidP="00554E01">
            <w:pPr>
              <w:pStyle w:val="Tabletext0"/>
              <w:keepNext/>
              <w:jc w:val="center"/>
              <w:rPr>
                <w:b/>
                <w:bCs/>
              </w:rPr>
            </w:pPr>
            <w:r w:rsidRPr="00097AE0">
              <w:rPr>
                <w:b/>
                <w:bCs/>
              </w:rPr>
              <w:t>&lt;0.00001</w:t>
            </w:r>
            <w:r>
              <w:rPr>
                <w:b/>
                <w:bCs/>
              </w:rPr>
              <w:t xml:space="preserve"> *</w:t>
            </w:r>
          </w:p>
        </w:tc>
        <w:tc>
          <w:tcPr>
            <w:tcW w:w="502" w:type="pct"/>
            <w:tcBorders>
              <w:bottom w:val="single" w:sz="4" w:space="0" w:color="auto"/>
            </w:tcBorders>
          </w:tcPr>
          <w:p w14:paraId="54D21062" w14:textId="77777777" w:rsidR="000F104A" w:rsidRDefault="000F104A" w:rsidP="00554E01">
            <w:pPr>
              <w:pStyle w:val="Tabletext0"/>
              <w:keepNext/>
              <w:jc w:val="center"/>
            </w:pPr>
          </w:p>
        </w:tc>
      </w:tr>
      <w:tr w:rsidR="000F104A" w14:paraId="6D2B184B" w14:textId="77777777" w:rsidTr="006759CF">
        <w:tc>
          <w:tcPr>
            <w:tcW w:w="1739" w:type="pct"/>
            <w:tcBorders>
              <w:right w:val="nil"/>
            </w:tcBorders>
          </w:tcPr>
          <w:p w14:paraId="297DD25D" w14:textId="77777777" w:rsidR="000F104A" w:rsidRPr="008D0B4C" w:rsidRDefault="000F104A" w:rsidP="00554E01">
            <w:pPr>
              <w:pStyle w:val="Tabletext0"/>
              <w:keepNext/>
              <w:rPr>
                <w:bCs/>
              </w:rPr>
            </w:pPr>
            <w:r w:rsidRPr="008D0B4C">
              <w:rPr>
                <w:bCs/>
              </w:rPr>
              <w:t>Overall/objective response (CR+PR)</w:t>
            </w:r>
          </w:p>
        </w:tc>
        <w:tc>
          <w:tcPr>
            <w:tcW w:w="879" w:type="pct"/>
            <w:tcBorders>
              <w:left w:val="nil"/>
              <w:right w:val="nil"/>
            </w:tcBorders>
          </w:tcPr>
          <w:p w14:paraId="5AFBF4C1" w14:textId="77777777" w:rsidR="000F104A" w:rsidRDefault="000F104A" w:rsidP="00554E01">
            <w:pPr>
              <w:pStyle w:val="Tabletext0"/>
              <w:keepNext/>
              <w:jc w:val="center"/>
            </w:pPr>
          </w:p>
        </w:tc>
        <w:tc>
          <w:tcPr>
            <w:tcW w:w="697" w:type="pct"/>
            <w:tcBorders>
              <w:left w:val="nil"/>
              <w:right w:val="nil"/>
            </w:tcBorders>
          </w:tcPr>
          <w:p w14:paraId="0EE96815" w14:textId="77777777" w:rsidR="000F104A" w:rsidRDefault="000F104A" w:rsidP="00554E01">
            <w:pPr>
              <w:pStyle w:val="Tabletext0"/>
              <w:keepNext/>
              <w:jc w:val="center"/>
            </w:pPr>
          </w:p>
        </w:tc>
        <w:tc>
          <w:tcPr>
            <w:tcW w:w="1183" w:type="pct"/>
            <w:tcBorders>
              <w:left w:val="nil"/>
              <w:right w:val="nil"/>
            </w:tcBorders>
          </w:tcPr>
          <w:p w14:paraId="2B4AAA8C" w14:textId="77777777" w:rsidR="000F104A" w:rsidRDefault="000F104A" w:rsidP="00554E01">
            <w:pPr>
              <w:pStyle w:val="Tabletext0"/>
              <w:keepNext/>
              <w:jc w:val="center"/>
            </w:pPr>
          </w:p>
        </w:tc>
        <w:tc>
          <w:tcPr>
            <w:tcW w:w="502" w:type="pct"/>
            <w:tcBorders>
              <w:left w:val="nil"/>
            </w:tcBorders>
          </w:tcPr>
          <w:p w14:paraId="6A7D8A2F" w14:textId="77777777" w:rsidR="000F104A" w:rsidRDefault="000F104A" w:rsidP="00554E01">
            <w:pPr>
              <w:pStyle w:val="Tabletext0"/>
              <w:keepNext/>
              <w:jc w:val="center"/>
            </w:pPr>
          </w:p>
        </w:tc>
      </w:tr>
      <w:tr w:rsidR="000F104A" w14:paraId="4ED37B73" w14:textId="77777777" w:rsidTr="006759CF">
        <w:tc>
          <w:tcPr>
            <w:tcW w:w="1739" w:type="pct"/>
          </w:tcPr>
          <w:p w14:paraId="294FF2AE" w14:textId="77777777" w:rsidR="000F104A" w:rsidRPr="00487DFB" w:rsidRDefault="000F104A" w:rsidP="00554E01">
            <w:pPr>
              <w:pStyle w:val="Tabletext0"/>
              <w:keepNext/>
              <w:ind w:left="170"/>
            </w:pPr>
            <w:r w:rsidRPr="00487DFB">
              <w:t>N</w:t>
            </w:r>
          </w:p>
        </w:tc>
        <w:tc>
          <w:tcPr>
            <w:tcW w:w="879" w:type="pct"/>
          </w:tcPr>
          <w:p w14:paraId="7B1DB361" w14:textId="77777777" w:rsidR="000F104A" w:rsidRDefault="000F104A" w:rsidP="00554E01">
            <w:pPr>
              <w:pStyle w:val="Tabletext0"/>
              <w:keepNext/>
              <w:jc w:val="center"/>
            </w:pPr>
            <w:r>
              <w:t>NR</w:t>
            </w:r>
          </w:p>
        </w:tc>
        <w:tc>
          <w:tcPr>
            <w:tcW w:w="697" w:type="pct"/>
          </w:tcPr>
          <w:p w14:paraId="3D779CF4" w14:textId="77777777" w:rsidR="000F104A" w:rsidRDefault="000F104A" w:rsidP="00554E01">
            <w:pPr>
              <w:pStyle w:val="Tabletext0"/>
              <w:keepNext/>
              <w:jc w:val="center"/>
            </w:pPr>
            <w:r>
              <w:t>NR</w:t>
            </w:r>
          </w:p>
        </w:tc>
        <w:tc>
          <w:tcPr>
            <w:tcW w:w="1183" w:type="pct"/>
          </w:tcPr>
          <w:p w14:paraId="30CD1B47" w14:textId="77777777" w:rsidR="000F104A" w:rsidRDefault="000F104A" w:rsidP="00554E01">
            <w:pPr>
              <w:pStyle w:val="Tabletext0"/>
              <w:keepNext/>
              <w:jc w:val="center"/>
            </w:pPr>
            <w:r>
              <w:t>319*</w:t>
            </w:r>
          </w:p>
        </w:tc>
        <w:tc>
          <w:tcPr>
            <w:tcW w:w="502" w:type="pct"/>
          </w:tcPr>
          <w:p w14:paraId="479C3614" w14:textId="77777777" w:rsidR="000F104A" w:rsidRDefault="000F104A" w:rsidP="00554E01">
            <w:pPr>
              <w:pStyle w:val="Tabletext0"/>
              <w:keepNext/>
              <w:jc w:val="center"/>
            </w:pPr>
            <w:r>
              <w:t>120*</w:t>
            </w:r>
          </w:p>
        </w:tc>
      </w:tr>
      <w:tr w:rsidR="000F104A" w14:paraId="76FA22D6" w14:textId="77777777" w:rsidTr="006759CF">
        <w:tc>
          <w:tcPr>
            <w:tcW w:w="1739" w:type="pct"/>
          </w:tcPr>
          <w:p w14:paraId="2233D0FB" w14:textId="77777777" w:rsidR="000F104A" w:rsidRDefault="000F104A" w:rsidP="00554E01">
            <w:pPr>
              <w:pStyle w:val="Tabletext0"/>
              <w:keepNext/>
              <w:ind w:left="170"/>
            </w:pPr>
            <w:r>
              <w:t>Events, n (%)</w:t>
            </w:r>
          </w:p>
        </w:tc>
        <w:tc>
          <w:tcPr>
            <w:tcW w:w="879" w:type="pct"/>
          </w:tcPr>
          <w:p w14:paraId="38E4FDBB" w14:textId="77777777" w:rsidR="000F104A" w:rsidRPr="005368FD" w:rsidRDefault="000F104A" w:rsidP="00554E01">
            <w:pPr>
              <w:pStyle w:val="Tabletext0"/>
              <w:keepNext/>
              <w:jc w:val="center"/>
              <w:rPr>
                <w:vertAlign w:val="superscript"/>
              </w:rPr>
            </w:pPr>
            <w:r>
              <w:t>NR (49)</w:t>
            </w:r>
            <w:r>
              <w:rPr>
                <w:vertAlign w:val="superscript"/>
              </w:rPr>
              <w:t>1</w:t>
            </w:r>
          </w:p>
        </w:tc>
        <w:tc>
          <w:tcPr>
            <w:tcW w:w="697" w:type="pct"/>
          </w:tcPr>
          <w:p w14:paraId="43E6D2E3" w14:textId="77777777" w:rsidR="000F104A" w:rsidRPr="005368FD" w:rsidRDefault="000F104A" w:rsidP="00554E01">
            <w:pPr>
              <w:pStyle w:val="Tabletext0"/>
              <w:keepNext/>
              <w:jc w:val="center"/>
              <w:rPr>
                <w:vertAlign w:val="superscript"/>
              </w:rPr>
            </w:pPr>
            <w:r>
              <w:t>NR (24)</w:t>
            </w:r>
            <w:r>
              <w:rPr>
                <w:vertAlign w:val="superscript"/>
              </w:rPr>
              <w:t>1</w:t>
            </w:r>
          </w:p>
        </w:tc>
        <w:tc>
          <w:tcPr>
            <w:tcW w:w="1183" w:type="pct"/>
          </w:tcPr>
          <w:p w14:paraId="09353425" w14:textId="77777777" w:rsidR="000F104A" w:rsidRDefault="000F104A" w:rsidP="00554E01">
            <w:pPr>
              <w:pStyle w:val="Tabletext0"/>
              <w:keepNext/>
              <w:jc w:val="center"/>
            </w:pPr>
            <w:r>
              <w:t>95 (30)</w:t>
            </w:r>
          </w:p>
        </w:tc>
        <w:tc>
          <w:tcPr>
            <w:tcW w:w="502" w:type="pct"/>
          </w:tcPr>
          <w:p w14:paraId="591E3593" w14:textId="77777777" w:rsidR="000F104A" w:rsidRDefault="000F104A" w:rsidP="00554E01">
            <w:pPr>
              <w:pStyle w:val="Tabletext0"/>
              <w:keepNext/>
              <w:jc w:val="center"/>
            </w:pPr>
            <w:r>
              <w:t>2 (2)</w:t>
            </w:r>
          </w:p>
        </w:tc>
      </w:tr>
      <w:tr w:rsidR="000F104A" w14:paraId="217CC07B" w14:textId="77777777" w:rsidTr="006759CF">
        <w:tc>
          <w:tcPr>
            <w:tcW w:w="1739" w:type="pct"/>
          </w:tcPr>
          <w:p w14:paraId="75177528" w14:textId="77777777" w:rsidR="000F104A" w:rsidRDefault="000F104A" w:rsidP="00554E01">
            <w:pPr>
              <w:pStyle w:val="Tabletext0"/>
              <w:keepNext/>
              <w:ind w:left="170"/>
            </w:pPr>
            <w:r>
              <w:t>RD (95% CI)</w:t>
            </w:r>
          </w:p>
        </w:tc>
        <w:tc>
          <w:tcPr>
            <w:tcW w:w="879" w:type="pct"/>
          </w:tcPr>
          <w:p w14:paraId="1FF684D5" w14:textId="77777777" w:rsidR="000F104A" w:rsidRDefault="000F104A" w:rsidP="00554E01">
            <w:pPr>
              <w:pStyle w:val="Tabletext0"/>
              <w:keepNext/>
              <w:jc w:val="center"/>
            </w:pPr>
            <w:r>
              <w:t>25 (NR)</w:t>
            </w:r>
          </w:p>
        </w:tc>
        <w:tc>
          <w:tcPr>
            <w:tcW w:w="697" w:type="pct"/>
          </w:tcPr>
          <w:p w14:paraId="4F529840" w14:textId="77777777" w:rsidR="000F104A" w:rsidRDefault="000F104A" w:rsidP="00554E01">
            <w:pPr>
              <w:pStyle w:val="Tabletext0"/>
              <w:keepNext/>
              <w:jc w:val="center"/>
            </w:pPr>
          </w:p>
        </w:tc>
        <w:tc>
          <w:tcPr>
            <w:tcW w:w="1183" w:type="pct"/>
          </w:tcPr>
          <w:p w14:paraId="2EA7A3EC" w14:textId="77777777" w:rsidR="000F104A" w:rsidRPr="00301773" w:rsidRDefault="000F104A" w:rsidP="00554E01">
            <w:pPr>
              <w:pStyle w:val="Tabletext0"/>
              <w:keepNext/>
              <w:jc w:val="center"/>
              <w:rPr>
                <w:b/>
                <w:bCs/>
              </w:rPr>
            </w:pPr>
            <w:r w:rsidRPr="00301773">
              <w:rPr>
                <w:b/>
                <w:bCs/>
              </w:rPr>
              <w:t>28% (23%, 34%)</w:t>
            </w:r>
            <w:r>
              <w:rPr>
                <w:b/>
                <w:bCs/>
              </w:rPr>
              <w:t xml:space="preserve"> </w:t>
            </w:r>
            <w:r w:rsidRPr="007A3AEC">
              <w:rPr>
                <w:vertAlign w:val="superscript"/>
              </w:rPr>
              <w:t>5</w:t>
            </w:r>
          </w:p>
        </w:tc>
        <w:tc>
          <w:tcPr>
            <w:tcW w:w="502" w:type="pct"/>
          </w:tcPr>
          <w:p w14:paraId="704851F3" w14:textId="77777777" w:rsidR="000F104A" w:rsidRDefault="000F104A" w:rsidP="00554E01">
            <w:pPr>
              <w:pStyle w:val="Tabletext0"/>
              <w:keepNext/>
              <w:jc w:val="center"/>
            </w:pPr>
          </w:p>
        </w:tc>
      </w:tr>
      <w:tr w:rsidR="000F104A" w14:paraId="3D1C93EA" w14:textId="77777777" w:rsidTr="006759CF">
        <w:tc>
          <w:tcPr>
            <w:tcW w:w="1739" w:type="pct"/>
          </w:tcPr>
          <w:p w14:paraId="49F0E30F" w14:textId="77777777" w:rsidR="000F104A" w:rsidRDefault="000F104A" w:rsidP="00554E01">
            <w:pPr>
              <w:pStyle w:val="Tabletext0"/>
              <w:keepNext/>
              <w:ind w:left="170"/>
            </w:pPr>
            <w:r>
              <w:t>p-value</w:t>
            </w:r>
          </w:p>
        </w:tc>
        <w:tc>
          <w:tcPr>
            <w:tcW w:w="879" w:type="pct"/>
          </w:tcPr>
          <w:p w14:paraId="39438F04" w14:textId="77777777" w:rsidR="000F104A" w:rsidRPr="000F125F" w:rsidRDefault="000F104A" w:rsidP="00554E01">
            <w:pPr>
              <w:pStyle w:val="Tabletext0"/>
              <w:keepNext/>
              <w:jc w:val="center"/>
              <w:rPr>
                <w:bCs/>
              </w:rPr>
            </w:pPr>
            <w:r w:rsidRPr="000F125F">
              <w:rPr>
                <w:bCs/>
              </w:rPr>
              <w:t>NR</w:t>
            </w:r>
          </w:p>
        </w:tc>
        <w:tc>
          <w:tcPr>
            <w:tcW w:w="697" w:type="pct"/>
          </w:tcPr>
          <w:p w14:paraId="6FD25AC0" w14:textId="77777777" w:rsidR="000F104A" w:rsidRDefault="000F104A" w:rsidP="00554E01">
            <w:pPr>
              <w:pStyle w:val="Tabletext0"/>
              <w:keepNext/>
              <w:jc w:val="center"/>
            </w:pPr>
          </w:p>
        </w:tc>
        <w:tc>
          <w:tcPr>
            <w:tcW w:w="1183" w:type="pct"/>
          </w:tcPr>
          <w:p w14:paraId="73F070D5" w14:textId="77777777" w:rsidR="000F104A" w:rsidRPr="00301773" w:rsidRDefault="000F104A" w:rsidP="00554E01">
            <w:pPr>
              <w:pStyle w:val="Tabletext0"/>
              <w:keepNext/>
              <w:jc w:val="center"/>
              <w:rPr>
                <w:b/>
                <w:bCs/>
              </w:rPr>
            </w:pPr>
            <w:r w:rsidRPr="00301773">
              <w:rPr>
                <w:b/>
                <w:bCs/>
              </w:rPr>
              <w:t>&lt;0.00001</w:t>
            </w:r>
            <w:r>
              <w:rPr>
                <w:b/>
                <w:bCs/>
              </w:rPr>
              <w:t xml:space="preserve"> </w:t>
            </w:r>
            <w:r w:rsidRPr="007A3AEC">
              <w:rPr>
                <w:vertAlign w:val="superscript"/>
              </w:rPr>
              <w:t>5</w:t>
            </w:r>
          </w:p>
        </w:tc>
        <w:tc>
          <w:tcPr>
            <w:tcW w:w="502" w:type="pct"/>
          </w:tcPr>
          <w:p w14:paraId="6A258999" w14:textId="77777777" w:rsidR="000F104A" w:rsidRDefault="000F104A" w:rsidP="00554E01">
            <w:pPr>
              <w:pStyle w:val="Tabletext0"/>
              <w:keepNext/>
              <w:jc w:val="center"/>
            </w:pPr>
          </w:p>
        </w:tc>
      </w:tr>
      <w:tr w:rsidR="000F104A" w14:paraId="6DEE6E2E" w14:textId="77777777" w:rsidTr="006759CF">
        <w:tc>
          <w:tcPr>
            <w:tcW w:w="1739" w:type="pct"/>
          </w:tcPr>
          <w:p w14:paraId="0C634FFA" w14:textId="77777777" w:rsidR="000F104A" w:rsidRPr="0012498A" w:rsidRDefault="000F104A" w:rsidP="00554E01">
            <w:pPr>
              <w:pStyle w:val="Tabletext0"/>
              <w:keepNext/>
              <w:rPr>
                <w:bCs/>
              </w:rPr>
            </w:pPr>
            <w:r w:rsidRPr="0012498A">
              <w:rPr>
                <w:bCs/>
              </w:rPr>
              <w:t>Overall survival</w:t>
            </w:r>
          </w:p>
        </w:tc>
        <w:tc>
          <w:tcPr>
            <w:tcW w:w="879" w:type="pct"/>
          </w:tcPr>
          <w:p w14:paraId="58FFE6BC" w14:textId="77777777" w:rsidR="000F104A" w:rsidRDefault="000F104A" w:rsidP="00554E01">
            <w:pPr>
              <w:pStyle w:val="Tabletext0"/>
              <w:keepNext/>
              <w:jc w:val="center"/>
            </w:pPr>
          </w:p>
        </w:tc>
        <w:tc>
          <w:tcPr>
            <w:tcW w:w="697" w:type="pct"/>
          </w:tcPr>
          <w:p w14:paraId="6C43ADFC" w14:textId="77777777" w:rsidR="000F104A" w:rsidRDefault="000F104A" w:rsidP="00554E01">
            <w:pPr>
              <w:pStyle w:val="Tabletext0"/>
              <w:keepNext/>
              <w:jc w:val="center"/>
            </w:pPr>
          </w:p>
        </w:tc>
        <w:tc>
          <w:tcPr>
            <w:tcW w:w="1183" w:type="pct"/>
          </w:tcPr>
          <w:p w14:paraId="7B7687C4" w14:textId="77777777" w:rsidR="000F104A" w:rsidRDefault="000F104A" w:rsidP="00554E01">
            <w:pPr>
              <w:pStyle w:val="Tabletext0"/>
              <w:keepNext/>
              <w:jc w:val="center"/>
            </w:pPr>
          </w:p>
        </w:tc>
        <w:tc>
          <w:tcPr>
            <w:tcW w:w="502" w:type="pct"/>
          </w:tcPr>
          <w:p w14:paraId="0D4367B6" w14:textId="77777777" w:rsidR="000F104A" w:rsidRDefault="000F104A" w:rsidP="00554E01">
            <w:pPr>
              <w:pStyle w:val="Tabletext0"/>
              <w:keepNext/>
              <w:jc w:val="center"/>
            </w:pPr>
          </w:p>
        </w:tc>
      </w:tr>
      <w:tr w:rsidR="000F104A" w14:paraId="17BC6DCE" w14:textId="77777777" w:rsidTr="006759CF">
        <w:tc>
          <w:tcPr>
            <w:tcW w:w="1739" w:type="pct"/>
          </w:tcPr>
          <w:p w14:paraId="6F05DC56" w14:textId="77777777" w:rsidR="000F104A" w:rsidRPr="00CE7F6D" w:rsidRDefault="000F104A" w:rsidP="00554E01">
            <w:pPr>
              <w:pStyle w:val="Tabletext0"/>
              <w:keepNext/>
              <w:ind w:left="170"/>
            </w:pPr>
            <w:r w:rsidRPr="00CE7F6D">
              <w:t>N</w:t>
            </w:r>
          </w:p>
        </w:tc>
        <w:tc>
          <w:tcPr>
            <w:tcW w:w="879" w:type="pct"/>
          </w:tcPr>
          <w:p w14:paraId="4EE2B25F" w14:textId="77777777" w:rsidR="000F104A" w:rsidRDefault="000F104A" w:rsidP="00554E01">
            <w:pPr>
              <w:pStyle w:val="Tabletext0"/>
              <w:keepNext/>
              <w:jc w:val="center"/>
            </w:pPr>
            <w:r>
              <w:t>99</w:t>
            </w:r>
          </w:p>
        </w:tc>
        <w:tc>
          <w:tcPr>
            <w:tcW w:w="697" w:type="pct"/>
          </w:tcPr>
          <w:p w14:paraId="69E1CC56" w14:textId="77777777" w:rsidR="000F104A" w:rsidRDefault="000F104A" w:rsidP="00554E01">
            <w:pPr>
              <w:pStyle w:val="Tabletext0"/>
              <w:keepNext/>
              <w:jc w:val="center"/>
            </w:pPr>
            <w:r>
              <w:t>101</w:t>
            </w:r>
          </w:p>
        </w:tc>
        <w:tc>
          <w:tcPr>
            <w:tcW w:w="1183" w:type="pct"/>
          </w:tcPr>
          <w:p w14:paraId="1668F9AE" w14:textId="77777777" w:rsidR="000F104A" w:rsidRDefault="000F104A" w:rsidP="00554E01">
            <w:pPr>
              <w:pStyle w:val="Tabletext0"/>
              <w:keepNext/>
              <w:jc w:val="center"/>
            </w:pPr>
            <w:r>
              <w:t>551</w:t>
            </w:r>
          </w:p>
        </w:tc>
        <w:tc>
          <w:tcPr>
            <w:tcW w:w="502" w:type="pct"/>
          </w:tcPr>
          <w:p w14:paraId="543F340B" w14:textId="77777777" w:rsidR="000F104A" w:rsidRDefault="000F104A" w:rsidP="00554E01">
            <w:pPr>
              <w:pStyle w:val="Tabletext0"/>
              <w:keepNext/>
              <w:jc w:val="center"/>
            </w:pPr>
            <w:r>
              <w:t>280</w:t>
            </w:r>
          </w:p>
        </w:tc>
      </w:tr>
      <w:tr w:rsidR="000F104A" w14:paraId="664C93B0" w14:textId="77777777" w:rsidTr="006759CF">
        <w:tc>
          <w:tcPr>
            <w:tcW w:w="1739" w:type="pct"/>
          </w:tcPr>
          <w:p w14:paraId="32CD2937" w14:textId="77777777" w:rsidR="000F104A" w:rsidRPr="00EF622E" w:rsidRDefault="000F104A" w:rsidP="00554E01">
            <w:pPr>
              <w:pStyle w:val="Tabletext0"/>
              <w:keepNext/>
              <w:ind w:left="170"/>
            </w:pPr>
            <w:r>
              <w:t>Events, n (%)</w:t>
            </w:r>
          </w:p>
        </w:tc>
        <w:tc>
          <w:tcPr>
            <w:tcW w:w="879" w:type="pct"/>
          </w:tcPr>
          <w:p w14:paraId="03B2F15C" w14:textId="77777777" w:rsidR="000F104A" w:rsidRDefault="000F104A" w:rsidP="00554E01">
            <w:pPr>
              <w:pStyle w:val="Tabletext0"/>
              <w:keepNext/>
              <w:jc w:val="center"/>
            </w:pPr>
            <w:r w:rsidRPr="00DC102C">
              <w:t>NR</w:t>
            </w:r>
          </w:p>
        </w:tc>
        <w:tc>
          <w:tcPr>
            <w:tcW w:w="697" w:type="pct"/>
          </w:tcPr>
          <w:p w14:paraId="02E209C0" w14:textId="77777777" w:rsidR="000F104A" w:rsidRDefault="000F104A" w:rsidP="00554E01">
            <w:pPr>
              <w:pStyle w:val="Tabletext0"/>
              <w:keepNext/>
              <w:jc w:val="center"/>
            </w:pPr>
            <w:r w:rsidRPr="00DC102C">
              <w:t>NR</w:t>
            </w:r>
          </w:p>
        </w:tc>
        <w:tc>
          <w:tcPr>
            <w:tcW w:w="1183" w:type="pct"/>
          </w:tcPr>
          <w:p w14:paraId="349CCE7C" w14:textId="77777777" w:rsidR="000F104A" w:rsidRDefault="000F104A" w:rsidP="00554E01">
            <w:pPr>
              <w:pStyle w:val="Tabletext0"/>
              <w:keepNext/>
              <w:jc w:val="center"/>
            </w:pPr>
            <w:r>
              <w:t>343 (62)</w:t>
            </w:r>
          </w:p>
        </w:tc>
        <w:tc>
          <w:tcPr>
            <w:tcW w:w="502" w:type="pct"/>
          </w:tcPr>
          <w:p w14:paraId="7EAA4CAD" w14:textId="77777777" w:rsidR="000F104A" w:rsidRDefault="000F104A" w:rsidP="00554E01">
            <w:pPr>
              <w:pStyle w:val="Tabletext0"/>
              <w:keepNext/>
              <w:jc w:val="center"/>
            </w:pPr>
            <w:r>
              <w:t>187 (67)</w:t>
            </w:r>
          </w:p>
        </w:tc>
      </w:tr>
      <w:tr w:rsidR="000F104A" w14:paraId="76569318" w14:textId="77777777" w:rsidTr="006759CF">
        <w:tc>
          <w:tcPr>
            <w:tcW w:w="1739" w:type="pct"/>
          </w:tcPr>
          <w:p w14:paraId="22CAB71B" w14:textId="77777777" w:rsidR="000F104A" w:rsidRDefault="000F104A" w:rsidP="00554E01">
            <w:pPr>
              <w:pStyle w:val="Tabletext0"/>
              <w:keepNext/>
              <w:ind w:left="170"/>
            </w:pPr>
            <w:r w:rsidRPr="000B4028">
              <w:t>Median (95% CI), months</w:t>
            </w:r>
          </w:p>
        </w:tc>
        <w:tc>
          <w:tcPr>
            <w:tcW w:w="879" w:type="pct"/>
          </w:tcPr>
          <w:p w14:paraId="55DF5D6D" w14:textId="77777777" w:rsidR="000F104A" w:rsidRDefault="000F104A" w:rsidP="00554E01">
            <w:pPr>
              <w:pStyle w:val="Tabletext0"/>
              <w:keepNext/>
              <w:jc w:val="center"/>
            </w:pPr>
            <w:r w:rsidRPr="00DC102C">
              <w:t>NR</w:t>
            </w:r>
          </w:p>
        </w:tc>
        <w:tc>
          <w:tcPr>
            <w:tcW w:w="697" w:type="pct"/>
          </w:tcPr>
          <w:p w14:paraId="750FF789" w14:textId="77777777" w:rsidR="000F104A" w:rsidRDefault="000F104A" w:rsidP="00554E01">
            <w:pPr>
              <w:pStyle w:val="Tabletext0"/>
              <w:keepNext/>
              <w:jc w:val="center"/>
            </w:pPr>
            <w:r w:rsidRPr="00DC102C">
              <w:t>NR</w:t>
            </w:r>
          </w:p>
        </w:tc>
        <w:tc>
          <w:tcPr>
            <w:tcW w:w="1183" w:type="pct"/>
          </w:tcPr>
          <w:p w14:paraId="009833EA" w14:textId="77777777" w:rsidR="000F104A" w:rsidRDefault="000F104A" w:rsidP="00554E01">
            <w:pPr>
              <w:pStyle w:val="Tabletext0"/>
              <w:keepNext/>
              <w:jc w:val="center"/>
            </w:pPr>
            <w:r>
              <w:t>15.3</w:t>
            </w:r>
          </w:p>
        </w:tc>
        <w:tc>
          <w:tcPr>
            <w:tcW w:w="502" w:type="pct"/>
          </w:tcPr>
          <w:p w14:paraId="6A0C5645" w14:textId="77777777" w:rsidR="000F104A" w:rsidRDefault="000F104A" w:rsidP="00554E01">
            <w:pPr>
              <w:pStyle w:val="Tabletext0"/>
              <w:keepNext/>
              <w:jc w:val="center"/>
            </w:pPr>
            <w:r>
              <w:t>11.3</w:t>
            </w:r>
          </w:p>
        </w:tc>
      </w:tr>
      <w:tr w:rsidR="000F104A" w14:paraId="00BAE336" w14:textId="77777777" w:rsidTr="006759CF">
        <w:tc>
          <w:tcPr>
            <w:tcW w:w="1739" w:type="pct"/>
          </w:tcPr>
          <w:p w14:paraId="7255F8F3" w14:textId="77777777" w:rsidR="000F104A" w:rsidRPr="00EF622E" w:rsidRDefault="000F104A" w:rsidP="00554E01">
            <w:pPr>
              <w:pStyle w:val="Tabletext0"/>
              <w:keepNext/>
              <w:ind w:left="170"/>
            </w:pPr>
            <w:r>
              <w:t>HR (95% CI)</w:t>
            </w:r>
          </w:p>
        </w:tc>
        <w:tc>
          <w:tcPr>
            <w:tcW w:w="879" w:type="pct"/>
          </w:tcPr>
          <w:p w14:paraId="673C7E95" w14:textId="77777777" w:rsidR="000F104A" w:rsidRDefault="000F104A" w:rsidP="00554E01">
            <w:pPr>
              <w:pStyle w:val="Tabletext0"/>
              <w:keepNext/>
              <w:jc w:val="center"/>
            </w:pPr>
            <w:r w:rsidRPr="00DC102C">
              <w:t>NR</w:t>
            </w:r>
          </w:p>
        </w:tc>
        <w:tc>
          <w:tcPr>
            <w:tcW w:w="697" w:type="pct"/>
          </w:tcPr>
          <w:p w14:paraId="16D10128" w14:textId="77777777" w:rsidR="000F104A" w:rsidRDefault="000F104A" w:rsidP="00554E01">
            <w:pPr>
              <w:pStyle w:val="Tabletext0"/>
              <w:keepNext/>
              <w:jc w:val="center"/>
            </w:pPr>
            <w:r w:rsidRPr="00DC102C">
              <w:t>NR</w:t>
            </w:r>
          </w:p>
        </w:tc>
        <w:tc>
          <w:tcPr>
            <w:tcW w:w="1183" w:type="pct"/>
          </w:tcPr>
          <w:p w14:paraId="6B262C00" w14:textId="77777777" w:rsidR="000F104A" w:rsidRPr="00301773" w:rsidRDefault="000F104A" w:rsidP="00554E01">
            <w:pPr>
              <w:pStyle w:val="Tabletext0"/>
              <w:keepNext/>
              <w:jc w:val="center"/>
              <w:rPr>
                <w:b/>
                <w:bCs/>
              </w:rPr>
            </w:pPr>
            <w:r w:rsidRPr="00301773">
              <w:rPr>
                <w:b/>
                <w:bCs/>
              </w:rPr>
              <w:t>0.62 (0.52, 0.74)</w:t>
            </w:r>
          </w:p>
        </w:tc>
        <w:tc>
          <w:tcPr>
            <w:tcW w:w="502" w:type="pct"/>
          </w:tcPr>
          <w:p w14:paraId="3272FF5A" w14:textId="77777777" w:rsidR="000F104A" w:rsidRDefault="000F104A" w:rsidP="00554E01">
            <w:pPr>
              <w:pStyle w:val="Tabletext0"/>
              <w:keepNext/>
              <w:jc w:val="center"/>
            </w:pPr>
          </w:p>
        </w:tc>
      </w:tr>
      <w:tr w:rsidR="000F104A" w14:paraId="243F54AB" w14:textId="77777777" w:rsidTr="006759CF">
        <w:tc>
          <w:tcPr>
            <w:tcW w:w="1739" w:type="pct"/>
            <w:tcBorders>
              <w:bottom w:val="single" w:sz="4" w:space="0" w:color="auto"/>
            </w:tcBorders>
          </w:tcPr>
          <w:p w14:paraId="1CAB34FC" w14:textId="77777777" w:rsidR="000F104A" w:rsidRDefault="000F104A" w:rsidP="00554E01">
            <w:pPr>
              <w:pStyle w:val="Tabletext0"/>
              <w:keepNext/>
              <w:ind w:left="170"/>
            </w:pPr>
            <w:r>
              <w:t>p-value</w:t>
            </w:r>
          </w:p>
        </w:tc>
        <w:tc>
          <w:tcPr>
            <w:tcW w:w="879" w:type="pct"/>
            <w:tcBorders>
              <w:bottom w:val="single" w:sz="4" w:space="0" w:color="auto"/>
            </w:tcBorders>
          </w:tcPr>
          <w:p w14:paraId="6F1C5B05" w14:textId="77777777" w:rsidR="000F104A" w:rsidRDefault="000F104A" w:rsidP="00554E01">
            <w:pPr>
              <w:pStyle w:val="Tabletext0"/>
              <w:keepNext/>
              <w:jc w:val="center"/>
            </w:pPr>
            <w:r w:rsidRPr="00DC102C">
              <w:t>NR</w:t>
            </w:r>
          </w:p>
        </w:tc>
        <w:tc>
          <w:tcPr>
            <w:tcW w:w="697" w:type="pct"/>
            <w:tcBorders>
              <w:bottom w:val="single" w:sz="4" w:space="0" w:color="auto"/>
            </w:tcBorders>
          </w:tcPr>
          <w:p w14:paraId="2DDCD25B" w14:textId="77777777" w:rsidR="000F104A" w:rsidRDefault="000F104A" w:rsidP="00554E01">
            <w:pPr>
              <w:pStyle w:val="Tabletext0"/>
              <w:keepNext/>
              <w:jc w:val="center"/>
            </w:pPr>
            <w:r w:rsidRPr="00DC102C">
              <w:t>NR</w:t>
            </w:r>
          </w:p>
        </w:tc>
        <w:tc>
          <w:tcPr>
            <w:tcW w:w="1183" w:type="pct"/>
            <w:tcBorders>
              <w:bottom w:val="single" w:sz="4" w:space="0" w:color="auto"/>
            </w:tcBorders>
          </w:tcPr>
          <w:p w14:paraId="0B7EAEC6" w14:textId="77777777" w:rsidR="000F104A" w:rsidRPr="00301773" w:rsidRDefault="000F104A" w:rsidP="00554E01">
            <w:pPr>
              <w:pStyle w:val="Tabletext0"/>
              <w:keepNext/>
              <w:jc w:val="center"/>
              <w:rPr>
                <w:b/>
                <w:bCs/>
              </w:rPr>
            </w:pPr>
            <w:r w:rsidRPr="00301773">
              <w:rPr>
                <w:b/>
                <w:bCs/>
              </w:rPr>
              <w:t>&lt;0.001</w:t>
            </w:r>
          </w:p>
        </w:tc>
        <w:tc>
          <w:tcPr>
            <w:tcW w:w="502" w:type="pct"/>
            <w:tcBorders>
              <w:bottom w:val="single" w:sz="4" w:space="0" w:color="auto"/>
            </w:tcBorders>
          </w:tcPr>
          <w:p w14:paraId="1603A0DF" w14:textId="77777777" w:rsidR="000F104A" w:rsidRDefault="000F104A" w:rsidP="00554E01">
            <w:pPr>
              <w:pStyle w:val="Tabletext0"/>
              <w:keepNext/>
              <w:jc w:val="center"/>
            </w:pPr>
          </w:p>
        </w:tc>
      </w:tr>
      <w:tr w:rsidR="000F104A" w14:paraId="7BB4E02B" w14:textId="77777777" w:rsidTr="006759CF">
        <w:tc>
          <w:tcPr>
            <w:tcW w:w="1739" w:type="pct"/>
            <w:tcBorders>
              <w:right w:val="nil"/>
            </w:tcBorders>
          </w:tcPr>
          <w:p w14:paraId="2C9FECCE" w14:textId="77777777" w:rsidR="000F104A" w:rsidRPr="0012498A" w:rsidRDefault="000F104A" w:rsidP="00554E01">
            <w:pPr>
              <w:pStyle w:val="Tabletext0"/>
              <w:keepNext/>
              <w:rPr>
                <w:bCs/>
              </w:rPr>
            </w:pPr>
            <w:r>
              <w:rPr>
                <w:bCs/>
              </w:rPr>
              <w:t xml:space="preserve">Progression-free </w:t>
            </w:r>
            <w:r w:rsidRPr="0012498A">
              <w:rPr>
                <w:bCs/>
              </w:rPr>
              <w:t>survival</w:t>
            </w:r>
          </w:p>
        </w:tc>
        <w:tc>
          <w:tcPr>
            <w:tcW w:w="879" w:type="pct"/>
            <w:tcBorders>
              <w:left w:val="nil"/>
              <w:right w:val="nil"/>
            </w:tcBorders>
          </w:tcPr>
          <w:p w14:paraId="0E4C55A8" w14:textId="77777777" w:rsidR="000F104A" w:rsidRDefault="000F104A" w:rsidP="00554E01">
            <w:pPr>
              <w:pStyle w:val="Tabletext0"/>
              <w:keepNext/>
              <w:jc w:val="center"/>
            </w:pPr>
          </w:p>
        </w:tc>
        <w:tc>
          <w:tcPr>
            <w:tcW w:w="697" w:type="pct"/>
            <w:tcBorders>
              <w:left w:val="nil"/>
              <w:right w:val="nil"/>
            </w:tcBorders>
          </w:tcPr>
          <w:p w14:paraId="217ED810" w14:textId="77777777" w:rsidR="000F104A" w:rsidRDefault="000F104A" w:rsidP="00554E01">
            <w:pPr>
              <w:pStyle w:val="Tabletext0"/>
              <w:keepNext/>
              <w:jc w:val="center"/>
            </w:pPr>
          </w:p>
        </w:tc>
        <w:tc>
          <w:tcPr>
            <w:tcW w:w="1183" w:type="pct"/>
            <w:tcBorders>
              <w:left w:val="nil"/>
              <w:right w:val="nil"/>
            </w:tcBorders>
          </w:tcPr>
          <w:p w14:paraId="1A33A2F9" w14:textId="77777777" w:rsidR="000F104A" w:rsidRDefault="000F104A" w:rsidP="00554E01">
            <w:pPr>
              <w:pStyle w:val="Tabletext0"/>
              <w:keepNext/>
              <w:jc w:val="center"/>
            </w:pPr>
          </w:p>
        </w:tc>
        <w:tc>
          <w:tcPr>
            <w:tcW w:w="502" w:type="pct"/>
            <w:tcBorders>
              <w:left w:val="nil"/>
            </w:tcBorders>
          </w:tcPr>
          <w:p w14:paraId="49FFF709" w14:textId="77777777" w:rsidR="000F104A" w:rsidRDefault="000F104A" w:rsidP="00554E01">
            <w:pPr>
              <w:pStyle w:val="Tabletext0"/>
              <w:keepNext/>
              <w:jc w:val="center"/>
            </w:pPr>
          </w:p>
        </w:tc>
      </w:tr>
      <w:tr w:rsidR="000F104A" w14:paraId="596D6C40" w14:textId="77777777" w:rsidTr="006759CF">
        <w:tc>
          <w:tcPr>
            <w:tcW w:w="1739" w:type="pct"/>
          </w:tcPr>
          <w:p w14:paraId="6508D1E5" w14:textId="77777777" w:rsidR="000F104A" w:rsidRPr="00154E24" w:rsidRDefault="000F104A" w:rsidP="00554E01">
            <w:pPr>
              <w:pStyle w:val="Tabletext0"/>
              <w:keepNext/>
              <w:ind w:left="170"/>
            </w:pPr>
            <w:r w:rsidRPr="00154E24">
              <w:t>N</w:t>
            </w:r>
          </w:p>
        </w:tc>
        <w:tc>
          <w:tcPr>
            <w:tcW w:w="879" w:type="pct"/>
          </w:tcPr>
          <w:p w14:paraId="1E693D32" w14:textId="77777777" w:rsidR="000F104A" w:rsidRDefault="000F104A" w:rsidP="00554E01">
            <w:pPr>
              <w:pStyle w:val="Tabletext0"/>
              <w:keepNext/>
              <w:jc w:val="center"/>
            </w:pPr>
            <w:r>
              <w:t>99</w:t>
            </w:r>
          </w:p>
        </w:tc>
        <w:tc>
          <w:tcPr>
            <w:tcW w:w="697" w:type="pct"/>
          </w:tcPr>
          <w:p w14:paraId="465D7C6F" w14:textId="77777777" w:rsidR="000F104A" w:rsidRDefault="000F104A" w:rsidP="00554E01">
            <w:pPr>
              <w:pStyle w:val="Tabletext0"/>
              <w:keepNext/>
              <w:jc w:val="center"/>
            </w:pPr>
            <w:r>
              <w:t>101</w:t>
            </w:r>
          </w:p>
        </w:tc>
        <w:tc>
          <w:tcPr>
            <w:tcW w:w="1183" w:type="pct"/>
          </w:tcPr>
          <w:p w14:paraId="0B7B7CED" w14:textId="77777777" w:rsidR="000F104A" w:rsidRDefault="000F104A" w:rsidP="00554E01">
            <w:pPr>
              <w:pStyle w:val="Tabletext0"/>
              <w:keepNext/>
              <w:jc w:val="center"/>
            </w:pPr>
            <w:r>
              <w:t>385</w:t>
            </w:r>
          </w:p>
        </w:tc>
        <w:tc>
          <w:tcPr>
            <w:tcW w:w="502" w:type="pct"/>
          </w:tcPr>
          <w:p w14:paraId="1B745855" w14:textId="77777777" w:rsidR="000F104A" w:rsidRDefault="000F104A" w:rsidP="00554E01">
            <w:pPr>
              <w:pStyle w:val="Tabletext0"/>
              <w:keepNext/>
              <w:jc w:val="center"/>
            </w:pPr>
            <w:r>
              <w:t>196</w:t>
            </w:r>
          </w:p>
        </w:tc>
      </w:tr>
      <w:tr w:rsidR="000F104A" w14:paraId="07CA3CA2" w14:textId="77777777" w:rsidTr="006759CF">
        <w:tc>
          <w:tcPr>
            <w:tcW w:w="1739" w:type="pct"/>
          </w:tcPr>
          <w:p w14:paraId="55DEB601" w14:textId="77777777" w:rsidR="000F104A" w:rsidRPr="00EF622E" w:rsidRDefault="000F104A" w:rsidP="00554E01">
            <w:pPr>
              <w:pStyle w:val="Tabletext0"/>
              <w:keepNext/>
              <w:ind w:left="170"/>
            </w:pPr>
            <w:r>
              <w:t>Events, n (%)</w:t>
            </w:r>
          </w:p>
        </w:tc>
        <w:tc>
          <w:tcPr>
            <w:tcW w:w="879" w:type="pct"/>
          </w:tcPr>
          <w:p w14:paraId="5BF92DA3" w14:textId="77777777" w:rsidR="000F104A" w:rsidRPr="00A92CA3" w:rsidRDefault="000F104A" w:rsidP="00554E01">
            <w:pPr>
              <w:pStyle w:val="Tabletext0"/>
              <w:keepNext/>
              <w:jc w:val="center"/>
            </w:pPr>
            <w:r>
              <w:t>90 (91)</w:t>
            </w:r>
            <w:r>
              <w:rPr>
                <w:vertAlign w:val="superscript"/>
              </w:rPr>
              <w:t>4</w:t>
            </w:r>
          </w:p>
        </w:tc>
        <w:tc>
          <w:tcPr>
            <w:tcW w:w="697" w:type="pct"/>
          </w:tcPr>
          <w:p w14:paraId="0158A7ED" w14:textId="77777777" w:rsidR="000F104A" w:rsidRPr="00A92CA3" w:rsidRDefault="000F104A" w:rsidP="00554E01">
            <w:pPr>
              <w:pStyle w:val="Tabletext0"/>
              <w:keepNext/>
              <w:jc w:val="center"/>
            </w:pPr>
            <w:r>
              <w:t>83 (82)</w:t>
            </w:r>
            <w:r>
              <w:rPr>
                <w:vertAlign w:val="superscript"/>
              </w:rPr>
              <w:t>4</w:t>
            </w:r>
          </w:p>
        </w:tc>
        <w:tc>
          <w:tcPr>
            <w:tcW w:w="1183" w:type="pct"/>
          </w:tcPr>
          <w:p w14:paraId="412EDD2E" w14:textId="77777777" w:rsidR="000F104A" w:rsidRPr="00CA477A" w:rsidRDefault="000F104A" w:rsidP="00554E01">
            <w:pPr>
              <w:pStyle w:val="Tabletext0"/>
              <w:keepNext/>
              <w:jc w:val="center"/>
            </w:pPr>
            <w:r>
              <w:t>254 (66)</w:t>
            </w:r>
            <w:r>
              <w:rPr>
                <w:vertAlign w:val="superscript"/>
              </w:rPr>
              <w:t>2</w:t>
            </w:r>
          </w:p>
        </w:tc>
        <w:tc>
          <w:tcPr>
            <w:tcW w:w="502" w:type="pct"/>
          </w:tcPr>
          <w:p w14:paraId="3DE7FC63" w14:textId="77777777" w:rsidR="000F104A" w:rsidRPr="00CA477A" w:rsidRDefault="000F104A" w:rsidP="00554E01">
            <w:pPr>
              <w:pStyle w:val="Tabletext0"/>
              <w:keepNext/>
              <w:jc w:val="center"/>
            </w:pPr>
            <w:r>
              <w:t>93 (47)</w:t>
            </w:r>
            <w:r>
              <w:rPr>
                <w:vertAlign w:val="superscript"/>
              </w:rPr>
              <w:t>2</w:t>
            </w:r>
          </w:p>
        </w:tc>
      </w:tr>
      <w:tr w:rsidR="000F104A" w14:paraId="43148110" w14:textId="77777777" w:rsidTr="006759CF">
        <w:tc>
          <w:tcPr>
            <w:tcW w:w="1739" w:type="pct"/>
          </w:tcPr>
          <w:p w14:paraId="7484BE15" w14:textId="77777777" w:rsidR="000F104A" w:rsidRDefault="000F104A" w:rsidP="00554E01">
            <w:pPr>
              <w:pStyle w:val="Tabletext0"/>
              <w:keepNext/>
              <w:ind w:left="170"/>
            </w:pPr>
            <w:r w:rsidRPr="000B4028">
              <w:t>Median (95% CI), months</w:t>
            </w:r>
          </w:p>
        </w:tc>
        <w:tc>
          <w:tcPr>
            <w:tcW w:w="879" w:type="pct"/>
          </w:tcPr>
          <w:p w14:paraId="237D246A" w14:textId="77777777" w:rsidR="000F104A" w:rsidRDefault="000F104A" w:rsidP="00554E01">
            <w:pPr>
              <w:pStyle w:val="Tabletext0"/>
              <w:keepNext/>
              <w:jc w:val="center"/>
            </w:pPr>
            <w:r>
              <w:t>5.1 (3.4, 5.7)</w:t>
            </w:r>
          </w:p>
        </w:tc>
        <w:tc>
          <w:tcPr>
            <w:tcW w:w="697" w:type="pct"/>
          </w:tcPr>
          <w:p w14:paraId="12EAC8DB" w14:textId="77777777" w:rsidR="000F104A" w:rsidRDefault="000F104A" w:rsidP="00554E01">
            <w:pPr>
              <w:pStyle w:val="Tabletext0"/>
              <w:keepNext/>
              <w:jc w:val="center"/>
            </w:pPr>
            <w:r>
              <w:t>5.1 (2.8, 6.0)</w:t>
            </w:r>
          </w:p>
        </w:tc>
        <w:tc>
          <w:tcPr>
            <w:tcW w:w="1183" w:type="pct"/>
          </w:tcPr>
          <w:p w14:paraId="542844F0" w14:textId="77777777" w:rsidR="000F104A" w:rsidRDefault="000F104A" w:rsidP="00554E01">
            <w:pPr>
              <w:pStyle w:val="Tabletext0"/>
              <w:keepNext/>
              <w:jc w:val="center"/>
            </w:pPr>
            <w:r>
              <w:t>8.7</w:t>
            </w:r>
          </w:p>
        </w:tc>
        <w:tc>
          <w:tcPr>
            <w:tcW w:w="502" w:type="pct"/>
          </w:tcPr>
          <w:p w14:paraId="27E97AB0" w14:textId="77777777" w:rsidR="000F104A" w:rsidRDefault="000F104A" w:rsidP="00554E01">
            <w:pPr>
              <w:pStyle w:val="Tabletext0"/>
              <w:keepNext/>
              <w:jc w:val="center"/>
            </w:pPr>
            <w:r>
              <w:t>3.4</w:t>
            </w:r>
          </w:p>
        </w:tc>
      </w:tr>
      <w:tr w:rsidR="000F104A" w14:paraId="5C3208AA" w14:textId="77777777" w:rsidTr="006759CF">
        <w:tc>
          <w:tcPr>
            <w:tcW w:w="1739" w:type="pct"/>
          </w:tcPr>
          <w:p w14:paraId="04A81576" w14:textId="77777777" w:rsidR="000F104A" w:rsidRPr="00EF622E" w:rsidRDefault="000F104A" w:rsidP="00554E01">
            <w:pPr>
              <w:pStyle w:val="Tabletext0"/>
              <w:keepNext/>
              <w:ind w:left="170"/>
            </w:pPr>
            <w:r>
              <w:t>HR (95% CI)</w:t>
            </w:r>
          </w:p>
        </w:tc>
        <w:tc>
          <w:tcPr>
            <w:tcW w:w="879" w:type="pct"/>
          </w:tcPr>
          <w:p w14:paraId="3F4C10C1" w14:textId="77777777" w:rsidR="000F104A" w:rsidRPr="00097AE0" w:rsidRDefault="000F104A" w:rsidP="00554E01">
            <w:pPr>
              <w:pStyle w:val="Tabletext0"/>
              <w:keepNext/>
              <w:jc w:val="center"/>
              <w:rPr>
                <w:b/>
                <w:bCs/>
              </w:rPr>
            </w:pPr>
            <w:r w:rsidRPr="00097AE0">
              <w:rPr>
                <w:b/>
                <w:bCs/>
              </w:rPr>
              <w:t>0.63 (0.46, 0.86)</w:t>
            </w:r>
          </w:p>
        </w:tc>
        <w:tc>
          <w:tcPr>
            <w:tcW w:w="697" w:type="pct"/>
          </w:tcPr>
          <w:p w14:paraId="642BA17D" w14:textId="77777777" w:rsidR="000F104A" w:rsidRPr="00097AE0" w:rsidRDefault="000F104A" w:rsidP="00554E01">
            <w:pPr>
              <w:pStyle w:val="Tabletext0"/>
              <w:keepNext/>
              <w:jc w:val="center"/>
              <w:rPr>
                <w:b/>
                <w:bCs/>
              </w:rPr>
            </w:pPr>
          </w:p>
        </w:tc>
        <w:tc>
          <w:tcPr>
            <w:tcW w:w="1183" w:type="pct"/>
          </w:tcPr>
          <w:p w14:paraId="78DF2F65" w14:textId="77777777" w:rsidR="000F104A" w:rsidRPr="00097AE0" w:rsidRDefault="000F104A" w:rsidP="00554E01">
            <w:pPr>
              <w:pStyle w:val="Tabletext0"/>
              <w:keepNext/>
              <w:jc w:val="center"/>
              <w:rPr>
                <w:b/>
                <w:bCs/>
              </w:rPr>
            </w:pPr>
            <w:r w:rsidRPr="00097AE0">
              <w:rPr>
                <w:b/>
                <w:bCs/>
              </w:rPr>
              <w:t>0.40 (0.29, 0.57)</w:t>
            </w:r>
            <w:r w:rsidRPr="00097AE0">
              <w:rPr>
                <w:b/>
                <w:bCs/>
                <w:vertAlign w:val="superscript"/>
              </w:rPr>
              <w:t>3</w:t>
            </w:r>
          </w:p>
        </w:tc>
        <w:tc>
          <w:tcPr>
            <w:tcW w:w="502" w:type="pct"/>
          </w:tcPr>
          <w:p w14:paraId="252A209E" w14:textId="77777777" w:rsidR="000F104A" w:rsidRDefault="000F104A" w:rsidP="00554E01">
            <w:pPr>
              <w:pStyle w:val="Tabletext0"/>
              <w:keepNext/>
              <w:jc w:val="center"/>
            </w:pPr>
          </w:p>
        </w:tc>
      </w:tr>
      <w:tr w:rsidR="000F104A" w14:paraId="42392E2F" w14:textId="77777777" w:rsidTr="006759CF">
        <w:tc>
          <w:tcPr>
            <w:tcW w:w="1739" w:type="pct"/>
          </w:tcPr>
          <w:p w14:paraId="0683559A" w14:textId="77777777" w:rsidR="000F104A" w:rsidRDefault="000F104A" w:rsidP="00554E01">
            <w:pPr>
              <w:pStyle w:val="Tabletext0"/>
              <w:keepNext/>
              <w:ind w:left="170"/>
            </w:pPr>
            <w:r>
              <w:t>p-value</w:t>
            </w:r>
          </w:p>
        </w:tc>
        <w:tc>
          <w:tcPr>
            <w:tcW w:w="879" w:type="pct"/>
          </w:tcPr>
          <w:p w14:paraId="7777A160" w14:textId="77777777" w:rsidR="000F104A" w:rsidRPr="00097AE0" w:rsidRDefault="000F104A" w:rsidP="00554E01">
            <w:pPr>
              <w:pStyle w:val="Tabletext0"/>
              <w:keepNext/>
              <w:jc w:val="center"/>
              <w:rPr>
                <w:b/>
                <w:bCs/>
              </w:rPr>
            </w:pPr>
            <w:r w:rsidRPr="00097AE0">
              <w:rPr>
                <w:b/>
                <w:bCs/>
              </w:rPr>
              <w:t>0.0028</w:t>
            </w:r>
          </w:p>
        </w:tc>
        <w:tc>
          <w:tcPr>
            <w:tcW w:w="697" w:type="pct"/>
          </w:tcPr>
          <w:p w14:paraId="4376D510" w14:textId="77777777" w:rsidR="000F104A" w:rsidRPr="00097AE0" w:rsidRDefault="000F104A" w:rsidP="00554E01">
            <w:pPr>
              <w:pStyle w:val="Tabletext0"/>
              <w:keepNext/>
              <w:jc w:val="center"/>
              <w:rPr>
                <w:b/>
                <w:bCs/>
              </w:rPr>
            </w:pPr>
          </w:p>
        </w:tc>
        <w:tc>
          <w:tcPr>
            <w:tcW w:w="1183" w:type="pct"/>
          </w:tcPr>
          <w:p w14:paraId="40D8A3F3" w14:textId="77777777" w:rsidR="000F104A" w:rsidRPr="00097AE0" w:rsidRDefault="000F104A" w:rsidP="00554E01">
            <w:pPr>
              <w:pStyle w:val="Tabletext0"/>
              <w:keepNext/>
              <w:jc w:val="center"/>
              <w:rPr>
                <w:b/>
                <w:bCs/>
              </w:rPr>
            </w:pPr>
            <w:r w:rsidRPr="00097AE0">
              <w:rPr>
                <w:b/>
                <w:bCs/>
              </w:rPr>
              <w:t>&lt;0.001</w:t>
            </w:r>
          </w:p>
        </w:tc>
        <w:tc>
          <w:tcPr>
            <w:tcW w:w="502" w:type="pct"/>
          </w:tcPr>
          <w:p w14:paraId="521672A6" w14:textId="77777777" w:rsidR="000F104A" w:rsidRDefault="000F104A" w:rsidP="00554E01">
            <w:pPr>
              <w:pStyle w:val="Tabletext0"/>
              <w:keepNext/>
              <w:jc w:val="center"/>
            </w:pPr>
          </w:p>
        </w:tc>
      </w:tr>
    </w:tbl>
    <w:p w14:paraId="26AD9FC9" w14:textId="77777777" w:rsidR="000F104A" w:rsidRPr="00EF4061" w:rsidRDefault="000F104A" w:rsidP="00554E01">
      <w:pPr>
        <w:pStyle w:val="Tablenotes"/>
        <w:keepNext/>
        <w:rPr>
          <w:b/>
          <w:bCs/>
        </w:rPr>
      </w:pPr>
      <w:r w:rsidRPr="00EF4061">
        <w:rPr>
          <w:b/>
          <w:bCs/>
        </w:rPr>
        <w:t>Bold indicates statistically significant difference</w:t>
      </w:r>
    </w:p>
    <w:p w14:paraId="35D66F80" w14:textId="77777777" w:rsidR="000F104A" w:rsidRDefault="000F104A" w:rsidP="00554E01">
      <w:pPr>
        <w:pStyle w:val="Tablenotes"/>
        <w:keepNext/>
      </w:pPr>
      <w:r>
        <w:t xml:space="preserve">* </w:t>
      </w:r>
      <w:proofErr w:type="gramStart"/>
      <w:r>
        <w:t>in</w:t>
      </w:r>
      <w:proofErr w:type="gramEnd"/>
      <w:r>
        <w:t xml:space="preserve"> patients with evaluable disease at baseline (Patients with at least one target lesion or at least one non-target lesion)</w:t>
      </w:r>
    </w:p>
    <w:p w14:paraId="7E805C76" w14:textId="77777777" w:rsidR="000F104A" w:rsidRDefault="000F104A" w:rsidP="00554E01">
      <w:pPr>
        <w:pStyle w:val="Tablenotes"/>
        <w:keepNext/>
      </w:pPr>
      <w:r w:rsidRPr="005B1684">
        <w:rPr>
          <w:vertAlign w:val="superscript"/>
        </w:rPr>
        <w:t>1</w:t>
      </w:r>
      <w:r>
        <w:t xml:space="preserve"> in patients with measurable disease by RECIST criteria at baseline</w:t>
      </w:r>
    </w:p>
    <w:p w14:paraId="1D680857" w14:textId="77777777" w:rsidR="000F104A" w:rsidRDefault="000F104A" w:rsidP="00554E01">
      <w:pPr>
        <w:pStyle w:val="Tablenotes"/>
        <w:keepNext/>
      </w:pPr>
      <w:r w:rsidRPr="00CA477A">
        <w:rPr>
          <w:vertAlign w:val="superscript"/>
        </w:rPr>
        <w:t>2</w:t>
      </w:r>
      <w:r>
        <w:t xml:space="preserve"> Imaging-based progression-free survival</w:t>
      </w:r>
    </w:p>
    <w:p w14:paraId="3B14B39E" w14:textId="77777777" w:rsidR="000F104A" w:rsidRDefault="000F104A" w:rsidP="00554E01">
      <w:pPr>
        <w:pStyle w:val="Tablenotes"/>
        <w:keepNext/>
      </w:pPr>
      <w:r w:rsidRPr="00A97DB4">
        <w:rPr>
          <w:vertAlign w:val="superscript"/>
        </w:rPr>
        <w:t>3</w:t>
      </w:r>
      <w:r>
        <w:t xml:space="preserve"> 99.2% CI</w:t>
      </w:r>
    </w:p>
    <w:p w14:paraId="243B8F37" w14:textId="77777777" w:rsidR="000F104A" w:rsidRDefault="000F104A" w:rsidP="00554E01">
      <w:pPr>
        <w:pStyle w:val="Tablenotes"/>
        <w:keepNext/>
      </w:pPr>
      <w:r w:rsidRPr="009F36A4">
        <w:rPr>
          <w:vertAlign w:val="superscript"/>
        </w:rPr>
        <w:t>4</w:t>
      </w:r>
      <w:r>
        <w:t xml:space="preserve"> Radiographic or PSA progression-free survival</w:t>
      </w:r>
    </w:p>
    <w:p w14:paraId="1BF1EA27" w14:textId="346D072E" w:rsidR="000F104A" w:rsidRDefault="000F104A" w:rsidP="002854E7">
      <w:pPr>
        <w:pStyle w:val="Tablenotes"/>
        <w:keepNext/>
      </w:pPr>
      <w:r w:rsidRPr="007A3AEC">
        <w:rPr>
          <w:vertAlign w:val="superscript"/>
        </w:rPr>
        <w:t>5</w:t>
      </w:r>
      <w:r>
        <w:t xml:space="preserve"> </w:t>
      </w:r>
      <w:r w:rsidRPr="003849B5">
        <w:t>Calculated post-hoc using Review Manager 5.4.1 (Mantel-Haenszel, random effects)</w:t>
      </w:r>
    </w:p>
    <w:p w14:paraId="0B69A45A" w14:textId="77777777" w:rsidR="002854E7" w:rsidRDefault="002854E7" w:rsidP="002854E7">
      <w:pPr>
        <w:pStyle w:val="Tablenotes"/>
        <w:keepNext/>
      </w:pPr>
      <w:r>
        <w:t xml:space="preserve">Abbreviations: ADAR, </w:t>
      </w:r>
      <w:r w:rsidRPr="0004327D">
        <w:t>applicant developed assessment report</w:t>
      </w:r>
      <w:r>
        <w:t xml:space="preserve">; BSc, best supportive care; CR, complete response; HR, hazard ratio; </w:t>
      </w:r>
      <w:r w:rsidRPr="003A42FA">
        <w:rPr>
          <w:vertAlign w:val="superscript"/>
        </w:rPr>
        <w:t>177</w:t>
      </w:r>
      <w:r>
        <w:t>Lu, lutetium-177; NR, not reported; PR, partial response; PSA50, prostate-specific antigen</w:t>
      </w:r>
      <w:r w:rsidRPr="00B23A5C">
        <w:t xml:space="preserve"> reduction of ≥50% from baseline</w:t>
      </w:r>
      <w:r>
        <w:t xml:space="preserve">; PSMA, prostate-specific membrane antigen; RECIST, </w:t>
      </w:r>
      <w:r w:rsidRPr="00097C9B">
        <w:t>Response Evaluation Criteria in Solid Tumours</w:t>
      </w:r>
      <w:r>
        <w:t>; RD, risk difference</w:t>
      </w:r>
    </w:p>
    <w:p w14:paraId="55B94401" w14:textId="3C84F406" w:rsidR="002854E7" w:rsidRPr="005368FD" w:rsidRDefault="002854E7" w:rsidP="000F104A">
      <w:pPr>
        <w:pStyle w:val="Tablenotes"/>
      </w:pPr>
      <w:r>
        <w:t>Source: Section 2A of the ADAR</w:t>
      </w:r>
    </w:p>
    <w:p w14:paraId="027A5891" w14:textId="05FAD460" w:rsidR="006759CF" w:rsidRDefault="006759CF" w:rsidP="006759CF">
      <w:pPr>
        <w:pStyle w:val="Caption"/>
      </w:pPr>
      <w:bookmarkStart w:id="30" w:name="_Ref102945814"/>
      <w:bookmarkStart w:id="31" w:name="_Ref91022904"/>
      <w:bookmarkStart w:id="32" w:name="_Ref90480897"/>
      <w:r>
        <w:lastRenderedPageBreak/>
        <w:t xml:space="preserve">Figure </w:t>
      </w:r>
      <w:r w:rsidR="008440F9">
        <w:fldChar w:fldCharType="begin"/>
      </w:r>
      <w:r w:rsidR="008440F9">
        <w:instrText xml:space="preserve"> SEQ Figure \* ARABIC </w:instrText>
      </w:r>
      <w:r w:rsidR="008440F9">
        <w:fldChar w:fldCharType="separate"/>
      </w:r>
      <w:r w:rsidR="00AE360D">
        <w:rPr>
          <w:noProof/>
        </w:rPr>
        <w:t>1</w:t>
      </w:r>
      <w:r w:rsidR="008440F9">
        <w:rPr>
          <w:noProof/>
        </w:rPr>
        <w:fldChar w:fldCharType="end"/>
      </w:r>
      <w:bookmarkEnd w:id="30"/>
      <w:r>
        <w:tab/>
        <w:t>Overall survival in the VISION trial</w:t>
      </w:r>
    </w:p>
    <w:p w14:paraId="2AA463AE" w14:textId="6B24C40D" w:rsidR="006759CF" w:rsidRDefault="00390DF0" w:rsidP="007E318E">
      <w:pPr>
        <w:pStyle w:val="BodyText"/>
      </w:pPr>
      <w:r>
        <w:rPr>
          <w:noProof/>
        </w:rPr>
        <w:drawing>
          <wp:inline distT="0" distB="0" distL="0" distR="0" wp14:anchorId="616F878B" wp14:editId="1B5B379C">
            <wp:extent cx="5731510" cy="2267585"/>
            <wp:effectExtent l="0" t="0" r="2540" b="0"/>
            <wp:docPr id="9" name="Picture 9" descr="Overall survival in the VISION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Overall survival in the VISION trial"/>
                    <pic:cNvPicPr/>
                  </pic:nvPicPr>
                  <pic:blipFill>
                    <a:blip r:embed="rId12"/>
                    <a:stretch>
                      <a:fillRect/>
                    </a:stretch>
                  </pic:blipFill>
                  <pic:spPr>
                    <a:xfrm>
                      <a:off x="0" y="0"/>
                      <a:ext cx="5731510" cy="2267585"/>
                    </a:xfrm>
                    <a:prstGeom prst="rect">
                      <a:avLst/>
                    </a:prstGeom>
                  </pic:spPr>
                </pic:pic>
              </a:graphicData>
            </a:graphic>
          </wp:inline>
        </w:drawing>
      </w:r>
    </w:p>
    <w:p w14:paraId="7F90DC1B" w14:textId="3F67E0E3" w:rsidR="006759CF" w:rsidRDefault="006759CF" w:rsidP="00554E01">
      <w:pPr>
        <w:pStyle w:val="Tablenotes"/>
        <w:keepNext/>
      </w:pPr>
      <w:r>
        <w:t xml:space="preserve">Source: </w:t>
      </w:r>
      <w:r>
        <w:fldChar w:fldCharType="begin">
          <w:fldData xml:space="preserve">PEVuZE5vdGU+PENpdGUgQXV0aG9yWWVhcj0iMSI+PEF1dGhvcj5TYXJ0b3I8L0F1dGhvcj48WWVh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</w:fldData>
        </w:fldChar>
      </w:r>
      <w:r>
        <w:instrText xml:space="preserve"> ADDIN EN.CITE </w:instrText>
      </w:r>
      <w:r>
        <w:fldChar w:fldCharType="begin">
          <w:fldData xml:space="preserve">PEVuZE5vdGU+PENpdGUgQXV0aG9yWWVhcj0iMSI+PEF1dGhvcj5TYXJ0b3I8L0F1dGhvcj48WWVh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</w:fldData>
        </w:fldChar>
      </w:r>
      <w:r>
        <w:instrText xml:space="preserve"> ADDIN EN.CITE.DATA </w:instrText>
      </w:r>
      <w:r>
        <w:fldChar w:fldCharType="end"/>
      </w:r>
      <w:r>
        <w:fldChar w:fldCharType="separate"/>
      </w:r>
      <w:r>
        <w:rPr>
          <w:noProof/>
        </w:rPr>
        <w:t>Sartor et al. (2021)</w:t>
      </w:r>
      <w:r>
        <w:fldChar w:fldCharType="end"/>
      </w:r>
      <w:r>
        <w:t xml:space="preserve"> Figure 2B</w:t>
      </w:r>
      <w:r w:rsidR="004047B1">
        <w:t>, p 1098</w:t>
      </w:r>
    </w:p>
    <w:p w14:paraId="7358FD1A" w14:textId="71B427E1" w:rsidR="006759CF" w:rsidRDefault="006759CF" w:rsidP="006759CF">
      <w:pPr>
        <w:pStyle w:val="Tablenotes"/>
      </w:pPr>
      <w:r>
        <w:t xml:space="preserve">Abbreviations: </w:t>
      </w:r>
      <w:r>
        <w:rPr>
          <w:vertAlign w:val="superscript"/>
        </w:rPr>
        <w:t>177</w:t>
      </w:r>
      <w:r w:rsidR="009F7816">
        <w:t>Lu PSMA</w:t>
      </w:r>
      <w:r>
        <w:t xml:space="preserve">-617, </w:t>
      </w:r>
      <w:r>
        <w:rPr>
          <w:vertAlign w:val="superscript"/>
        </w:rPr>
        <w:t>177</w:t>
      </w:r>
      <w:r>
        <w:t>Lutetium prostate-specific membrane antigen-617</w:t>
      </w:r>
    </w:p>
    <w:p w14:paraId="26F2D28B" w14:textId="4512CB96" w:rsidR="006759CF" w:rsidRDefault="006759CF" w:rsidP="006759CF">
      <w:pPr>
        <w:pStyle w:val="Caption"/>
      </w:pPr>
      <w:bookmarkStart w:id="33" w:name="_Ref102945816"/>
      <w:r>
        <w:t xml:space="preserve">Figure </w:t>
      </w:r>
      <w:r w:rsidR="008440F9">
        <w:fldChar w:fldCharType="begin"/>
      </w:r>
      <w:r w:rsidR="008440F9">
        <w:instrText xml:space="preserve"> SEQ Figure \* ARABIC </w:instrText>
      </w:r>
      <w:r w:rsidR="008440F9">
        <w:fldChar w:fldCharType="separate"/>
      </w:r>
      <w:r w:rsidR="00AE360D">
        <w:rPr>
          <w:noProof/>
        </w:rPr>
        <w:t>2</w:t>
      </w:r>
      <w:r w:rsidR="008440F9">
        <w:rPr>
          <w:noProof/>
        </w:rPr>
        <w:fldChar w:fldCharType="end"/>
      </w:r>
      <w:bookmarkEnd w:id="31"/>
      <w:bookmarkEnd w:id="33"/>
      <w:r>
        <w:tab/>
        <w:t xml:space="preserve">Radiographic or PSA PFS from the </w:t>
      </w:r>
      <w:proofErr w:type="spellStart"/>
      <w:r>
        <w:t>TheraP</w:t>
      </w:r>
      <w:proofErr w:type="spellEnd"/>
      <w:r>
        <w:t xml:space="preserve"> trial, ITT population</w:t>
      </w:r>
    </w:p>
    <w:p w14:paraId="4C83DA37" w14:textId="0DEFD23B" w:rsidR="006759CF" w:rsidRDefault="006759CF" w:rsidP="003A6510">
      <w:r>
        <w:rPr>
          <w:noProof/>
        </w:rPr>
        <w:drawing>
          <wp:inline distT="0" distB="0" distL="0" distR="0" wp14:anchorId="1DFDA6C0" wp14:editId="1AE3ACFF">
            <wp:extent cx="4648200" cy="2457450"/>
            <wp:effectExtent l="0" t="0" r="0" b="0"/>
            <wp:docPr id="2" name="Picture 2" descr="Radiographic or PSA PFS from the TheraP trial, ITT popul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adiographic or PSA PFS from the TheraP trial, ITT population&#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48200" cy="2457450"/>
                    </a:xfrm>
                    <a:prstGeom prst="rect">
                      <a:avLst/>
                    </a:prstGeom>
                    <a:noFill/>
                    <a:ln>
                      <a:noFill/>
                    </a:ln>
                  </pic:spPr>
                </pic:pic>
              </a:graphicData>
            </a:graphic>
          </wp:inline>
        </w:drawing>
      </w:r>
    </w:p>
    <w:p w14:paraId="795740E6" w14:textId="2547C470" w:rsidR="006759CF" w:rsidRDefault="006759CF" w:rsidP="00554E01">
      <w:pPr>
        <w:pStyle w:val="Tablenotes"/>
        <w:keepNext/>
      </w:pPr>
      <w:r>
        <w:t xml:space="preserve">Source: </w:t>
      </w:r>
      <w:proofErr w:type="spellStart"/>
      <w:r w:rsidR="009B6552">
        <w:t>Hofman</w:t>
      </w:r>
      <w:proofErr w:type="spellEnd"/>
      <w:r w:rsidR="009B6552">
        <w:t xml:space="preserve"> et al. (2021)</w:t>
      </w:r>
      <w:r>
        <w:t xml:space="preserve"> p. </w:t>
      </w:r>
      <w:r w:rsidR="004047B1">
        <w:t>801</w:t>
      </w:r>
    </w:p>
    <w:p w14:paraId="2361BE5A" w14:textId="46CB34C0" w:rsidR="006759CF" w:rsidRDefault="006759CF" w:rsidP="006759CF">
      <w:pPr>
        <w:pStyle w:val="Tablenotes"/>
      </w:pPr>
      <w:r>
        <w:t xml:space="preserve">Abbreviations: </w:t>
      </w:r>
      <w:r>
        <w:rPr>
          <w:vertAlign w:val="superscript"/>
        </w:rPr>
        <w:t>177</w:t>
      </w:r>
      <w:r w:rsidR="009F7816">
        <w:t>Lu PSMA</w:t>
      </w:r>
      <w:r>
        <w:t xml:space="preserve">-617, </w:t>
      </w:r>
      <w:r>
        <w:rPr>
          <w:vertAlign w:val="superscript"/>
        </w:rPr>
        <w:t>177</w:t>
      </w:r>
      <w:r>
        <w:t>Lutetium prostate-specific membrane antigen 617; CI, confidence interval; HR, hazard ratio; ITT, intention-to-treat; PFS, progression-free survival; PSA, prostate-specific antigen</w:t>
      </w:r>
    </w:p>
    <w:p w14:paraId="2238FDB9" w14:textId="0FBC902C" w:rsidR="006759CF" w:rsidRDefault="006759CF" w:rsidP="006759CF">
      <w:pPr>
        <w:pStyle w:val="Caption"/>
        <w:rPr>
          <w:shd w:val="clear" w:color="auto" w:fill="FFFFFF"/>
        </w:rPr>
      </w:pPr>
      <w:bookmarkStart w:id="34" w:name="_Ref90546841"/>
      <w:r>
        <w:lastRenderedPageBreak/>
        <w:t xml:space="preserve">Figure </w:t>
      </w:r>
      <w:r w:rsidR="008440F9">
        <w:fldChar w:fldCharType="begin"/>
      </w:r>
      <w:r w:rsidR="008440F9">
        <w:instrText xml:space="preserve"> SEQ Figure \* ARABIC </w:instrText>
      </w:r>
      <w:r w:rsidR="008440F9">
        <w:fldChar w:fldCharType="separate"/>
      </w:r>
      <w:r w:rsidR="00AE360D">
        <w:rPr>
          <w:noProof/>
        </w:rPr>
        <w:t>3</w:t>
      </w:r>
      <w:r w:rsidR="008440F9">
        <w:rPr>
          <w:noProof/>
        </w:rPr>
        <w:fldChar w:fldCharType="end"/>
      </w:r>
      <w:bookmarkEnd w:id="34"/>
      <w:r>
        <w:tab/>
      </w:r>
      <w:r>
        <w:rPr>
          <w:shd w:val="clear" w:color="auto" w:fill="FFFFFF"/>
        </w:rPr>
        <w:t>Image-based PFS in VISION trial</w:t>
      </w:r>
      <w:r>
        <w:t xml:space="preserve">, </w:t>
      </w:r>
      <w:proofErr w:type="spellStart"/>
      <w:r>
        <w:t>rPFS</w:t>
      </w:r>
      <w:proofErr w:type="spellEnd"/>
      <w:r>
        <w:t xml:space="preserve"> population</w:t>
      </w:r>
    </w:p>
    <w:p w14:paraId="7F6A70A7" w14:textId="622C6202" w:rsidR="006759CF" w:rsidRDefault="006759CF" w:rsidP="006759CF">
      <w:pPr>
        <w:jc w:val="center"/>
        <w:rPr>
          <w:rFonts w:ascii="Source Sans Pro" w:hAnsi="Source Sans Pro"/>
          <w:color w:val="000000"/>
          <w:sz w:val="23"/>
          <w:szCs w:val="23"/>
          <w:shd w:val="clear" w:color="auto" w:fill="FFFFFF"/>
        </w:rPr>
      </w:pPr>
      <w:r>
        <w:rPr>
          <w:noProof/>
        </w:rPr>
        <w:drawing>
          <wp:inline distT="0" distB="0" distL="0" distR="0" wp14:anchorId="5FCEF926" wp14:editId="7BDCD6E1">
            <wp:extent cx="5731510" cy="2139315"/>
            <wp:effectExtent l="0" t="0" r="2540" b="0"/>
            <wp:docPr id="3" name="Picture 3" descr="Image based progression free survival in VISION trial&#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based progression free survival in VISION trial&#10;&#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2139315"/>
                    </a:xfrm>
                    <a:prstGeom prst="rect">
                      <a:avLst/>
                    </a:prstGeom>
                    <a:noFill/>
                    <a:ln>
                      <a:noFill/>
                    </a:ln>
                  </pic:spPr>
                </pic:pic>
              </a:graphicData>
            </a:graphic>
          </wp:inline>
        </w:drawing>
      </w:r>
    </w:p>
    <w:p w14:paraId="3170BDB1" w14:textId="53A27CE4" w:rsidR="006759CF" w:rsidRDefault="006759CF" w:rsidP="00554E01">
      <w:pPr>
        <w:pStyle w:val="Tablenotes"/>
        <w:keepNext/>
      </w:pPr>
      <w:r>
        <w:t xml:space="preserve">Source: </w:t>
      </w:r>
      <w:r>
        <w:fldChar w:fldCharType="begin">
          <w:fldData xml:space="preserve">PEVuZE5vdGU+PENpdGUgQXV0aG9yWWVhcj0iMSI+PEF1dGhvcj5TYXJ0b3I8L0F1dGhvcj48WWVh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</w:fldData>
        </w:fldChar>
      </w:r>
      <w:r>
        <w:instrText xml:space="preserve"> ADDIN EN.CITE </w:instrText>
      </w:r>
      <w:r>
        <w:fldChar w:fldCharType="begin">
          <w:fldData xml:space="preserve">PEVuZE5vdGU+PENpdGUgQXV0aG9yWWVhcj0iMSI+PEF1dGhvcj5TYXJ0b3I8L0F1dGhvcj48WWVh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</w:fldData>
        </w:fldChar>
      </w:r>
      <w:r>
        <w:instrText xml:space="preserve"> ADDIN EN.CITE.DATA </w:instrText>
      </w:r>
      <w:r>
        <w:fldChar w:fldCharType="end"/>
      </w:r>
      <w:r>
        <w:fldChar w:fldCharType="separate"/>
      </w:r>
      <w:r>
        <w:rPr>
          <w:noProof/>
        </w:rPr>
        <w:t>Sartor et al. (2021)</w:t>
      </w:r>
      <w:r>
        <w:fldChar w:fldCharType="end"/>
      </w:r>
      <w:r>
        <w:t xml:space="preserve"> </w:t>
      </w:r>
      <w:r w:rsidR="004047B1">
        <w:t>Figure 2</w:t>
      </w:r>
      <w:r w:rsidR="00E4559E">
        <w:t>A</w:t>
      </w:r>
      <w:r w:rsidR="004047B1">
        <w:t>, p 1098</w:t>
      </w:r>
    </w:p>
    <w:p w14:paraId="4D29EF10" w14:textId="3A22AF86" w:rsidR="006759CF" w:rsidRDefault="006759CF" w:rsidP="006759CF">
      <w:pPr>
        <w:pStyle w:val="Tablenotes"/>
        <w:spacing w:after="240"/>
      </w:pPr>
      <w:r>
        <w:t xml:space="preserve">Abbreviations: </w:t>
      </w:r>
      <w:r>
        <w:rPr>
          <w:vertAlign w:val="superscript"/>
        </w:rPr>
        <w:t>177</w:t>
      </w:r>
      <w:r w:rsidR="009F7816">
        <w:t>Lu PSMA</w:t>
      </w:r>
      <w:r>
        <w:t xml:space="preserve">-617, </w:t>
      </w:r>
      <w:r>
        <w:rPr>
          <w:vertAlign w:val="superscript"/>
        </w:rPr>
        <w:t>177</w:t>
      </w:r>
      <w:r>
        <w:t>Lutetium prostate-specific membrane antigen 617; CI, confidence interval; PFS, progression-free survival</w:t>
      </w:r>
    </w:p>
    <w:bookmarkEnd w:id="32"/>
    <w:p w14:paraId="2AB0A459" w14:textId="09ED2981" w:rsidR="000F104A" w:rsidRDefault="000F104A" w:rsidP="000F104A">
      <w:pPr>
        <w:widowControl w:val="0"/>
      </w:pPr>
      <w:r>
        <w:t xml:space="preserve">Across both </w:t>
      </w:r>
      <w:proofErr w:type="spellStart"/>
      <w:r>
        <w:t>TheraP</w:t>
      </w:r>
      <w:proofErr w:type="spellEnd"/>
      <w:r>
        <w:t xml:space="preserve"> and VISION, treatment with </w:t>
      </w:r>
      <w:r w:rsidRPr="001A6607">
        <w:rPr>
          <w:vertAlign w:val="superscript"/>
        </w:rPr>
        <w:t>177</w:t>
      </w:r>
      <w:r w:rsidR="009F7816">
        <w:t>Lu PSMA</w:t>
      </w:r>
      <w:r>
        <w:t>-617</w:t>
      </w:r>
      <w:r w:rsidRPr="001A6607">
        <w:rPr>
          <w:i/>
          <w:iCs/>
        </w:rPr>
        <w:t xml:space="preserve"> </w:t>
      </w:r>
      <w:r w:rsidRPr="009A38E5">
        <w:t>was associated with</w:t>
      </w:r>
      <w:r>
        <w:rPr>
          <w:i/>
          <w:iCs/>
        </w:rPr>
        <w:t xml:space="preserve"> </w:t>
      </w:r>
      <w:r w:rsidRPr="001A6607">
        <w:t>st</w:t>
      </w:r>
      <w:r>
        <w:t>atistically significantly prolonged PFS and o</w:t>
      </w:r>
      <w:r w:rsidRPr="00315443">
        <w:t>verall/objective response rate</w:t>
      </w:r>
      <w:r>
        <w:t xml:space="preserve"> compared to </w:t>
      </w:r>
      <w:proofErr w:type="spellStart"/>
      <w:r>
        <w:t>cabazitaxel</w:t>
      </w:r>
      <w:proofErr w:type="spellEnd"/>
      <w:r>
        <w:t xml:space="preserve"> and </w:t>
      </w:r>
      <w:r w:rsidR="00DB005C">
        <w:t>best supportive care</w:t>
      </w:r>
      <w:r>
        <w:t xml:space="preserve"> (</w:t>
      </w:r>
      <w:r>
        <w:fldChar w:fldCharType="begin"/>
      </w:r>
      <w:r>
        <w:instrText xml:space="preserve"> REF _Ref91069598 \h </w:instrText>
      </w:r>
      <w:r>
        <w:fldChar w:fldCharType="separate"/>
      </w:r>
      <w:r>
        <w:t xml:space="preserve">Table </w:t>
      </w:r>
      <w:r>
        <w:rPr>
          <w:noProof/>
        </w:rPr>
        <w:t>7</w:t>
      </w:r>
      <w:r>
        <w:fldChar w:fldCharType="end"/>
      </w:r>
      <w:r>
        <w:t>). Health</w:t>
      </w:r>
      <w:r w:rsidR="00492742">
        <w:t>-</w:t>
      </w:r>
      <w:r>
        <w:t xml:space="preserve">related quality of life for </w:t>
      </w:r>
      <w:r w:rsidRPr="001A6607">
        <w:rPr>
          <w:vertAlign w:val="superscript"/>
        </w:rPr>
        <w:t>177</w:t>
      </w:r>
      <w:r w:rsidR="009F7816">
        <w:t>Lu PSMA</w:t>
      </w:r>
      <w:r>
        <w:t>-617</w:t>
      </w:r>
      <w:r w:rsidRPr="001A6607">
        <w:rPr>
          <w:i/>
          <w:iCs/>
        </w:rPr>
        <w:t xml:space="preserve"> </w:t>
      </w:r>
      <w:r>
        <w:t xml:space="preserve">also compared favourably compared to both </w:t>
      </w:r>
      <w:proofErr w:type="spellStart"/>
      <w:r>
        <w:t>cabazitaxel</w:t>
      </w:r>
      <w:proofErr w:type="spellEnd"/>
      <w:r>
        <w:t xml:space="preserve"> and </w:t>
      </w:r>
      <w:r w:rsidR="00DB005C">
        <w:t>best supportive care</w:t>
      </w:r>
      <w:r>
        <w:t xml:space="preserve"> across multiple </w:t>
      </w:r>
      <w:r w:rsidR="00C875DB">
        <w:t xml:space="preserve">relevant </w:t>
      </w:r>
      <w:r>
        <w:t>instruments including FACT-P, EORTC QoL Questionnaire (QLQ-C30) and Patient DATA Form.</w:t>
      </w:r>
    </w:p>
    <w:p w14:paraId="7D52D7FB" w14:textId="328EDB73" w:rsidR="000F104A" w:rsidRPr="000F104A" w:rsidRDefault="000F104A" w:rsidP="000F104A">
      <w:r>
        <w:t xml:space="preserve">In VISION, treatment with </w:t>
      </w:r>
      <w:r w:rsidRPr="001A6607">
        <w:rPr>
          <w:vertAlign w:val="superscript"/>
        </w:rPr>
        <w:t>177</w:t>
      </w:r>
      <w:r w:rsidR="009F7816">
        <w:t>Lu PSMA</w:t>
      </w:r>
      <w:r>
        <w:t>-617 was also associated with a statistically significant OS advantage (HR=</w:t>
      </w:r>
      <w:r w:rsidRPr="00B02DDF">
        <w:t xml:space="preserve">0.62 </w:t>
      </w:r>
      <w:r>
        <w:t xml:space="preserve">[95% CI: </w:t>
      </w:r>
      <w:r w:rsidRPr="00B02DDF">
        <w:t>0.52, 0.74</w:t>
      </w:r>
      <w:r>
        <w:t>]</w:t>
      </w:r>
      <w:r w:rsidRPr="00B02DDF">
        <w:t>; p&lt;0.001</w:t>
      </w:r>
      <w:r>
        <w:t xml:space="preserve">) when compared with </w:t>
      </w:r>
      <w:r w:rsidR="00DB005C">
        <w:t>best supportive care</w:t>
      </w:r>
      <w:r>
        <w:t xml:space="preserve">. After a median follow-up of 18.4 months, 90 deaths were documented in </w:t>
      </w:r>
      <w:proofErr w:type="spellStart"/>
      <w:r>
        <w:t>TheraP.</w:t>
      </w:r>
      <w:proofErr w:type="spellEnd"/>
      <w:r>
        <w:t xml:space="preserve"> Analysis of OS is planned to occur after 170 deaths.</w:t>
      </w:r>
    </w:p>
    <w:p w14:paraId="6D42B51C" w14:textId="251DF74C" w:rsidR="007D738D" w:rsidRDefault="007D738D" w:rsidP="00761373">
      <w:pPr>
        <w:keepNext/>
        <w:tabs>
          <w:tab w:val="left" w:pos="720"/>
          <w:tab w:val="left" w:pos="1140"/>
        </w:tabs>
        <w:spacing w:before="240" w:after="120"/>
        <w:rPr>
          <w:u w:val="single"/>
        </w:rPr>
      </w:pPr>
      <w:r>
        <w:rPr>
          <w:u w:val="single"/>
        </w:rPr>
        <w:t xml:space="preserve">Updated </w:t>
      </w:r>
      <w:r w:rsidR="000E1FF2">
        <w:rPr>
          <w:u w:val="single"/>
        </w:rPr>
        <w:t xml:space="preserve">3-year </w:t>
      </w:r>
      <w:r>
        <w:rPr>
          <w:u w:val="single"/>
        </w:rPr>
        <w:t xml:space="preserve">results from </w:t>
      </w:r>
      <w:proofErr w:type="spellStart"/>
      <w:r>
        <w:rPr>
          <w:u w:val="single"/>
        </w:rPr>
        <w:t>TheraP</w:t>
      </w:r>
      <w:proofErr w:type="spellEnd"/>
      <w:r>
        <w:rPr>
          <w:u w:val="single"/>
        </w:rPr>
        <w:t xml:space="preserve"> trial</w:t>
      </w:r>
    </w:p>
    <w:p w14:paraId="2BDBF059" w14:textId="697F9F25" w:rsidR="007D738D" w:rsidRPr="00554E01" w:rsidRDefault="007D738D" w:rsidP="00554E01">
      <w:pPr>
        <w:tabs>
          <w:tab w:val="left" w:pos="720"/>
          <w:tab w:val="left" w:pos="1140"/>
        </w:tabs>
        <w:spacing w:before="240" w:after="120"/>
      </w:pPr>
      <w:r>
        <w:t xml:space="preserve">As requested by ESC, the pre-MSAC response provided the available results from the </w:t>
      </w:r>
      <w:proofErr w:type="spellStart"/>
      <w:r>
        <w:t>TheraP</w:t>
      </w:r>
      <w:proofErr w:type="spellEnd"/>
      <w:r>
        <w:t xml:space="preserve"> trial</w:t>
      </w:r>
      <w:r w:rsidR="00BD112C">
        <w:t xml:space="preserve">, which were not evaluated. </w:t>
      </w:r>
      <w:r>
        <w:t xml:space="preserve">The applicant stated that </w:t>
      </w:r>
      <w:r w:rsidRPr="007D738D">
        <w:t xml:space="preserve">OS results after median follow-up of three years for </w:t>
      </w:r>
      <w:proofErr w:type="spellStart"/>
      <w:r w:rsidRPr="007D738D">
        <w:t>TheraP</w:t>
      </w:r>
      <w:proofErr w:type="spellEnd"/>
      <w:r w:rsidRPr="007D738D">
        <w:t xml:space="preserve"> showed that for patients who received </w:t>
      </w:r>
      <w:r w:rsidRPr="00554E01">
        <w:rPr>
          <w:vertAlign w:val="superscript"/>
        </w:rPr>
        <w:t>177</w:t>
      </w:r>
      <w:r w:rsidRPr="007D738D">
        <w:t>Lu</w:t>
      </w:r>
      <w:r>
        <w:t> </w:t>
      </w:r>
      <w:r w:rsidRPr="007D738D">
        <w:t xml:space="preserve">PSMA-617, OS was </w:t>
      </w:r>
      <w:proofErr w:type="gramStart"/>
      <w:r w:rsidRPr="007D738D">
        <w:t>similar to</w:t>
      </w:r>
      <w:proofErr w:type="gramEnd"/>
      <w:r w:rsidRPr="007D738D">
        <w:t xml:space="preserve"> those who received </w:t>
      </w:r>
      <w:proofErr w:type="spellStart"/>
      <w:r w:rsidRPr="007D738D">
        <w:t>cabazitaxel</w:t>
      </w:r>
      <w:proofErr w:type="spellEnd"/>
      <w:r w:rsidRPr="007D738D">
        <w:t xml:space="preserve"> (restricted mean survival time to 36 months was 19.1 months vs</w:t>
      </w:r>
      <w:r>
        <w:t>.</w:t>
      </w:r>
      <w:r w:rsidRPr="007D738D">
        <w:t xml:space="preserve"> 19.6 months in the </w:t>
      </w:r>
      <w:r w:rsidR="00554E01" w:rsidRPr="00554E01">
        <w:rPr>
          <w:vertAlign w:val="superscript"/>
        </w:rPr>
        <w:t>177</w:t>
      </w:r>
      <w:r w:rsidR="00554E01" w:rsidRPr="007D738D">
        <w:t>Lu</w:t>
      </w:r>
      <w:r w:rsidR="00554E01">
        <w:t> </w:t>
      </w:r>
      <w:r w:rsidR="00554E01" w:rsidRPr="007D738D">
        <w:t>PSMA-617</w:t>
      </w:r>
      <w:r w:rsidRPr="007D738D">
        <w:t xml:space="preserve"> and </w:t>
      </w:r>
      <w:proofErr w:type="spellStart"/>
      <w:r w:rsidRPr="007D738D">
        <w:t>cabazitaxel</w:t>
      </w:r>
      <w:proofErr w:type="spellEnd"/>
      <w:r w:rsidRPr="007D738D">
        <w:t xml:space="preserve"> arm, respectively; HR=0.97 [95%</w:t>
      </w:r>
      <w:r w:rsidR="00554E01">
        <w:t xml:space="preserve"> </w:t>
      </w:r>
      <w:r w:rsidRPr="007D738D">
        <w:t>CI: 0.70, 1.4]</w:t>
      </w:r>
      <w:r w:rsidR="00554E01">
        <w:t>;</w:t>
      </w:r>
      <w:r w:rsidRPr="007D738D">
        <w:t xml:space="preserve"> p=0.99) (Table</w:t>
      </w:r>
      <w:r>
        <w:t xml:space="preserve"> 8</w:t>
      </w:r>
      <w:r w:rsidRPr="007D738D">
        <w:t xml:space="preserve">, Figure </w:t>
      </w:r>
      <w:r>
        <w:t>4</w:t>
      </w:r>
      <w:r w:rsidRPr="007D738D">
        <w:t xml:space="preserve">). Results for PFS remained consistent at 36 months follow-up in </w:t>
      </w:r>
      <w:proofErr w:type="spellStart"/>
      <w:r w:rsidRPr="007D738D">
        <w:t>TheraP</w:t>
      </w:r>
      <w:proofErr w:type="spellEnd"/>
      <w:r w:rsidRPr="007D738D">
        <w:t xml:space="preserve"> (HR=0.62 [95%</w:t>
      </w:r>
      <w:r w:rsidR="00554E01">
        <w:t xml:space="preserve"> </w:t>
      </w:r>
      <w:r w:rsidRPr="007D738D">
        <w:t>CI: 0.45, 0.85]</w:t>
      </w:r>
      <w:r w:rsidR="00554E01">
        <w:t>;</w:t>
      </w:r>
      <w:r w:rsidRPr="007D738D">
        <w:t xml:space="preserve"> p=0.0028) (Table </w:t>
      </w:r>
      <w:r>
        <w:t>8</w:t>
      </w:r>
      <w:r w:rsidRPr="007D738D">
        <w:t xml:space="preserve">, Figure </w:t>
      </w:r>
      <w:r>
        <w:t>5</w:t>
      </w:r>
      <w:r w:rsidRPr="007D738D">
        <w:t>).</w:t>
      </w:r>
    </w:p>
    <w:p w14:paraId="2670D1FB" w14:textId="7FA53D90" w:rsidR="007D738D" w:rsidRPr="00AB402B" w:rsidRDefault="007D738D" w:rsidP="007D738D">
      <w:pPr>
        <w:pStyle w:val="Caption"/>
      </w:pPr>
      <w:r>
        <w:lastRenderedPageBreak/>
        <w:t>Table 8</w:t>
      </w:r>
      <w:r>
        <w:tab/>
        <w:t xml:space="preserve">Overview of OS and PFS in </w:t>
      </w:r>
      <w:proofErr w:type="spellStart"/>
      <w:r>
        <w:t>TheraP</w:t>
      </w:r>
      <w:proofErr w:type="spellEnd"/>
      <w:r>
        <w:t xml:space="preserve"> at median follow-up 36 months</w:t>
      </w:r>
    </w:p>
    <w:tbl>
      <w:tblPr>
        <w:tblStyle w:val="TableGrid"/>
        <w:tblW w:w="5000" w:type="pct"/>
        <w:tblLook w:val="04A0" w:firstRow="1" w:lastRow="0" w:firstColumn="1" w:lastColumn="0" w:noHBand="0" w:noVBand="1"/>
      </w:tblPr>
      <w:tblGrid>
        <w:gridCol w:w="4604"/>
        <w:gridCol w:w="2362"/>
        <w:gridCol w:w="2050"/>
      </w:tblGrid>
      <w:tr w:rsidR="007D738D" w:rsidRPr="005D6016" w14:paraId="5AEEC5B0" w14:textId="77777777" w:rsidTr="007D738D">
        <w:tc>
          <w:tcPr>
            <w:tcW w:w="2553" w:type="pct"/>
          </w:tcPr>
          <w:p w14:paraId="513442C1" w14:textId="77777777" w:rsidR="007D738D" w:rsidRPr="00983D23" w:rsidRDefault="007D738D" w:rsidP="007D738D">
            <w:pPr>
              <w:pStyle w:val="Tabletext9pt"/>
              <w:rPr>
                <w:rFonts w:ascii="Arial Narrow" w:hAnsi="Arial Narrow"/>
                <w:b/>
                <w:bCs w:val="0"/>
                <w:sz w:val="20"/>
                <w:szCs w:val="20"/>
              </w:rPr>
            </w:pPr>
          </w:p>
        </w:tc>
        <w:tc>
          <w:tcPr>
            <w:tcW w:w="1310" w:type="pct"/>
          </w:tcPr>
          <w:p w14:paraId="5CF1C545" w14:textId="77777777" w:rsidR="007D738D" w:rsidRPr="00440DD1" w:rsidRDefault="007D738D" w:rsidP="007D738D">
            <w:pPr>
              <w:pStyle w:val="Tabletext0"/>
              <w:jc w:val="center"/>
              <w:rPr>
                <w:b/>
              </w:rPr>
            </w:pPr>
            <w:r w:rsidRPr="00983D23">
              <w:rPr>
                <w:b/>
                <w:vertAlign w:val="superscript"/>
              </w:rPr>
              <w:t>177</w:t>
            </w:r>
            <w:r w:rsidRPr="00983D23">
              <w:rPr>
                <w:b/>
              </w:rPr>
              <w:t>Lu-PSMA-617 (n=99)</w:t>
            </w:r>
          </w:p>
        </w:tc>
        <w:tc>
          <w:tcPr>
            <w:tcW w:w="1137" w:type="pct"/>
          </w:tcPr>
          <w:p w14:paraId="4229DC21" w14:textId="77777777" w:rsidR="007D738D" w:rsidRPr="00440DD1" w:rsidRDefault="007D738D" w:rsidP="007D738D">
            <w:pPr>
              <w:pStyle w:val="Tabletext0"/>
              <w:jc w:val="center"/>
              <w:rPr>
                <w:b/>
              </w:rPr>
            </w:pPr>
            <w:proofErr w:type="spellStart"/>
            <w:r w:rsidRPr="00983D23">
              <w:rPr>
                <w:b/>
              </w:rPr>
              <w:t>Cabazitaxel</w:t>
            </w:r>
            <w:proofErr w:type="spellEnd"/>
            <w:r w:rsidRPr="00983D23">
              <w:rPr>
                <w:b/>
              </w:rPr>
              <w:t xml:space="preserve"> (n=101)</w:t>
            </w:r>
          </w:p>
        </w:tc>
      </w:tr>
      <w:tr w:rsidR="007D738D" w:rsidRPr="005D6016" w14:paraId="77EA521D" w14:textId="77777777" w:rsidTr="007D738D">
        <w:tc>
          <w:tcPr>
            <w:tcW w:w="2553" w:type="pct"/>
          </w:tcPr>
          <w:p w14:paraId="1522D9C4" w14:textId="77777777" w:rsidR="007D738D" w:rsidRPr="00983D23" w:rsidRDefault="007D738D" w:rsidP="007D738D">
            <w:pPr>
              <w:pStyle w:val="Tabletext9pt"/>
              <w:rPr>
                <w:rFonts w:ascii="Arial Narrow" w:hAnsi="Arial Narrow"/>
                <w:sz w:val="20"/>
                <w:szCs w:val="20"/>
              </w:rPr>
            </w:pPr>
            <w:r w:rsidRPr="00983D23">
              <w:rPr>
                <w:rFonts w:ascii="Arial Narrow" w:hAnsi="Arial Narrow"/>
                <w:sz w:val="20"/>
                <w:szCs w:val="20"/>
              </w:rPr>
              <w:t>Median follow-up, months</w:t>
            </w:r>
          </w:p>
        </w:tc>
        <w:tc>
          <w:tcPr>
            <w:tcW w:w="1310" w:type="pct"/>
          </w:tcPr>
          <w:p w14:paraId="7508EC19" w14:textId="77777777" w:rsidR="007D738D" w:rsidRPr="00983D23" w:rsidRDefault="007D738D" w:rsidP="007D738D">
            <w:pPr>
              <w:pStyle w:val="Tabletext9pt"/>
              <w:ind w:left="0"/>
              <w:jc w:val="center"/>
              <w:rPr>
                <w:rFonts w:ascii="Arial Narrow" w:hAnsi="Arial Narrow"/>
                <w:sz w:val="20"/>
                <w:szCs w:val="20"/>
              </w:rPr>
            </w:pPr>
            <w:r w:rsidRPr="00983D23">
              <w:rPr>
                <w:rFonts w:ascii="Arial Narrow" w:hAnsi="Arial Narrow"/>
                <w:sz w:val="20"/>
                <w:szCs w:val="20"/>
              </w:rPr>
              <w:t>36</w:t>
            </w:r>
          </w:p>
        </w:tc>
        <w:tc>
          <w:tcPr>
            <w:tcW w:w="1137" w:type="pct"/>
          </w:tcPr>
          <w:p w14:paraId="72566840" w14:textId="77777777" w:rsidR="007D738D" w:rsidRPr="00983D23" w:rsidRDefault="007D738D" w:rsidP="007D738D">
            <w:pPr>
              <w:pStyle w:val="Tabletext9pt"/>
              <w:ind w:left="0"/>
              <w:jc w:val="center"/>
              <w:rPr>
                <w:rFonts w:ascii="Arial Narrow" w:hAnsi="Arial Narrow"/>
                <w:sz w:val="20"/>
                <w:szCs w:val="20"/>
              </w:rPr>
            </w:pPr>
            <w:r w:rsidRPr="00983D23">
              <w:rPr>
                <w:rFonts w:ascii="Arial Narrow" w:hAnsi="Arial Narrow"/>
                <w:sz w:val="20"/>
                <w:szCs w:val="20"/>
              </w:rPr>
              <w:t>36</w:t>
            </w:r>
          </w:p>
        </w:tc>
      </w:tr>
      <w:tr w:rsidR="007D738D" w:rsidRPr="005D6016" w14:paraId="3153C2AF" w14:textId="77777777" w:rsidTr="007D738D">
        <w:tc>
          <w:tcPr>
            <w:tcW w:w="2553" w:type="pct"/>
          </w:tcPr>
          <w:p w14:paraId="735D0DE8" w14:textId="201BA3AF" w:rsidR="007D738D" w:rsidRPr="00983D23" w:rsidRDefault="007D738D" w:rsidP="007D738D">
            <w:pPr>
              <w:pStyle w:val="Tabletext9pt"/>
              <w:rPr>
                <w:rFonts w:ascii="Arial Narrow" w:hAnsi="Arial Narrow"/>
                <w:sz w:val="20"/>
                <w:szCs w:val="20"/>
              </w:rPr>
            </w:pPr>
            <w:r w:rsidRPr="00983D23">
              <w:rPr>
                <w:rFonts w:ascii="Arial Narrow" w:hAnsi="Arial Narrow"/>
                <w:sz w:val="20"/>
                <w:szCs w:val="20"/>
              </w:rPr>
              <w:t>Death</w:t>
            </w:r>
            <w:r w:rsidR="00983D23">
              <w:rPr>
                <w:rFonts w:ascii="Arial Narrow" w:hAnsi="Arial Narrow"/>
                <w:sz w:val="20"/>
                <w:szCs w:val="20"/>
              </w:rPr>
              <w:t>s</w:t>
            </w:r>
            <w:r w:rsidRPr="00983D23">
              <w:rPr>
                <w:rFonts w:ascii="Arial Narrow" w:hAnsi="Arial Narrow"/>
                <w:sz w:val="20"/>
                <w:szCs w:val="20"/>
              </w:rPr>
              <w:t>, n (%)</w:t>
            </w:r>
          </w:p>
        </w:tc>
        <w:tc>
          <w:tcPr>
            <w:tcW w:w="1310" w:type="pct"/>
          </w:tcPr>
          <w:p w14:paraId="53EB625C" w14:textId="77777777" w:rsidR="007D738D" w:rsidRPr="00983D23" w:rsidRDefault="007D738D" w:rsidP="007D738D">
            <w:pPr>
              <w:pStyle w:val="Tabletext9pt"/>
              <w:ind w:left="0"/>
              <w:jc w:val="center"/>
              <w:rPr>
                <w:rFonts w:ascii="Arial Narrow" w:hAnsi="Arial Narrow"/>
                <w:sz w:val="20"/>
                <w:szCs w:val="20"/>
              </w:rPr>
            </w:pPr>
            <w:r w:rsidRPr="00983D23">
              <w:rPr>
                <w:rFonts w:ascii="Arial Narrow" w:hAnsi="Arial Narrow"/>
                <w:sz w:val="20"/>
                <w:szCs w:val="20"/>
              </w:rPr>
              <w:t>77 (77.8)</w:t>
            </w:r>
          </w:p>
        </w:tc>
        <w:tc>
          <w:tcPr>
            <w:tcW w:w="1137" w:type="pct"/>
          </w:tcPr>
          <w:p w14:paraId="08293E9D" w14:textId="77777777" w:rsidR="007D738D" w:rsidRPr="00983D23" w:rsidRDefault="007D738D" w:rsidP="007D738D">
            <w:pPr>
              <w:pStyle w:val="Tabletext9pt"/>
              <w:ind w:left="0"/>
              <w:jc w:val="center"/>
              <w:rPr>
                <w:rFonts w:ascii="Arial Narrow" w:hAnsi="Arial Narrow"/>
                <w:sz w:val="20"/>
                <w:szCs w:val="20"/>
              </w:rPr>
            </w:pPr>
            <w:r w:rsidRPr="00983D23">
              <w:rPr>
                <w:rFonts w:ascii="Arial Narrow" w:hAnsi="Arial Narrow"/>
                <w:sz w:val="20"/>
                <w:szCs w:val="20"/>
              </w:rPr>
              <w:t>70 (69.3)</w:t>
            </w:r>
          </w:p>
        </w:tc>
      </w:tr>
      <w:tr w:rsidR="007D738D" w:rsidRPr="005D6016" w14:paraId="72475416" w14:textId="77777777" w:rsidTr="007D738D">
        <w:tc>
          <w:tcPr>
            <w:tcW w:w="2553" w:type="pct"/>
          </w:tcPr>
          <w:p w14:paraId="75608F82" w14:textId="77777777" w:rsidR="007D738D" w:rsidRPr="00983D23" w:rsidRDefault="007D738D" w:rsidP="007D738D">
            <w:pPr>
              <w:pStyle w:val="Tabletext9pt"/>
              <w:rPr>
                <w:rFonts w:ascii="Arial Narrow" w:hAnsi="Arial Narrow"/>
                <w:b/>
                <w:sz w:val="20"/>
                <w:szCs w:val="20"/>
              </w:rPr>
            </w:pPr>
            <w:r w:rsidRPr="00983D23">
              <w:rPr>
                <w:rFonts w:ascii="Arial Narrow" w:hAnsi="Arial Narrow"/>
                <w:b/>
                <w:bCs w:val="0"/>
                <w:sz w:val="20"/>
                <w:szCs w:val="20"/>
              </w:rPr>
              <w:t>OS (ITT)</w:t>
            </w:r>
          </w:p>
        </w:tc>
        <w:tc>
          <w:tcPr>
            <w:tcW w:w="1310" w:type="pct"/>
          </w:tcPr>
          <w:p w14:paraId="146E6990" w14:textId="77777777" w:rsidR="007D738D" w:rsidRPr="00983D23" w:rsidRDefault="007D738D" w:rsidP="007D738D">
            <w:pPr>
              <w:pStyle w:val="Tabletext9pt"/>
              <w:jc w:val="center"/>
              <w:rPr>
                <w:rFonts w:ascii="Arial Narrow" w:hAnsi="Arial Narrow"/>
                <w:sz w:val="20"/>
                <w:szCs w:val="20"/>
              </w:rPr>
            </w:pPr>
          </w:p>
        </w:tc>
        <w:tc>
          <w:tcPr>
            <w:tcW w:w="1137" w:type="pct"/>
          </w:tcPr>
          <w:p w14:paraId="6AD46C30" w14:textId="77777777" w:rsidR="007D738D" w:rsidRPr="00983D23" w:rsidRDefault="007D738D" w:rsidP="007D738D">
            <w:pPr>
              <w:pStyle w:val="Tabletext9pt"/>
              <w:jc w:val="center"/>
              <w:rPr>
                <w:rFonts w:ascii="Arial Narrow" w:hAnsi="Arial Narrow"/>
                <w:sz w:val="20"/>
                <w:szCs w:val="20"/>
              </w:rPr>
            </w:pPr>
          </w:p>
        </w:tc>
      </w:tr>
      <w:tr w:rsidR="007D738D" w:rsidRPr="005D6016" w14:paraId="30E1F70F" w14:textId="77777777" w:rsidTr="007D738D">
        <w:tc>
          <w:tcPr>
            <w:tcW w:w="2553" w:type="pct"/>
          </w:tcPr>
          <w:p w14:paraId="3571CA80" w14:textId="77777777" w:rsidR="007D738D" w:rsidRPr="00983D23" w:rsidRDefault="007D738D" w:rsidP="007D738D">
            <w:pPr>
              <w:pStyle w:val="Tabletext9pt"/>
              <w:ind w:left="170"/>
              <w:rPr>
                <w:rFonts w:ascii="Arial Narrow" w:hAnsi="Arial Narrow"/>
                <w:sz w:val="20"/>
                <w:szCs w:val="20"/>
              </w:rPr>
            </w:pPr>
            <w:r w:rsidRPr="00983D23">
              <w:rPr>
                <w:rFonts w:ascii="Arial Narrow" w:hAnsi="Arial Narrow"/>
                <w:sz w:val="20"/>
                <w:szCs w:val="20"/>
              </w:rPr>
              <w:t>Restricted mean survival time to 36 months, months</w:t>
            </w:r>
          </w:p>
        </w:tc>
        <w:tc>
          <w:tcPr>
            <w:tcW w:w="1310" w:type="pct"/>
          </w:tcPr>
          <w:p w14:paraId="697269BD" w14:textId="77777777" w:rsidR="007D738D" w:rsidRPr="00983D23" w:rsidRDefault="007D738D" w:rsidP="007D738D">
            <w:pPr>
              <w:pStyle w:val="Tabletext9pt"/>
              <w:jc w:val="center"/>
              <w:rPr>
                <w:rFonts w:ascii="Arial Narrow" w:hAnsi="Arial Narrow"/>
                <w:sz w:val="20"/>
                <w:szCs w:val="20"/>
              </w:rPr>
            </w:pPr>
            <w:r w:rsidRPr="00983D23">
              <w:rPr>
                <w:rFonts w:ascii="Arial Narrow" w:hAnsi="Arial Narrow"/>
                <w:sz w:val="20"/>
                <w:szCs w:val="20"/>
              </w:rPr>
              <w:t>19.1</w:t>
            </w:r>
          </w:p>
        </w:tc>
        <w:tc>
          <w:tcPr>
            <w:tcW w:w="1137" w:type="pct"/>
          </w:tcPr>
          <w:p w14:paraId="654F5E4F" w14:textId="77777777" w:rsidR="007D738D" w:rsidRPr="00983D23" w:rsidRDefault="007D738D" w:rsidP="007D738D">
            <w:pPr>
              <w:pStyle w:val="Tabletext9pt"/>
              <w:jc w:val="center"/>
              <w:rPr>
                <w:rFonts w:ascii="Arial Narrow" w:hAnsi="Arial Narrow"/>
                <w:sz w:val="20"/>
                <w:szCs w:val="20"/>
              </w:rPr>
            </w:pPr>
            <w:r w:rsidRPr="00983D23">
              <w:rPr>
                <w:rFonts w:ascii="Arial Narrow" w:hAnsi="Arial Narrow"/>
                <w:sz w:val="20"/>
                <w:szCs w:val="20"/>
              </w:rPr>
              <w:t>19.6</w:t>
            </w:r>
          </w:p>
        </w:tc>
      </w:tr>
      <w:tr w:rsidR="007D738D" w:rsidRPr="005D6016" w14:paraId="1D50344C" w14:textId="77777777" w:rsidTr="007D738D">
        <w:tc>
          <w:tcPr>
            <w:tcW w:w="2553" w:type="pct"/>
          </w:tcPr>
          <w:p w14:paraId="67CFC5AD" w14:textId="77777777" w:rsidR="007D738D" w:rsidRPr="00983D23" w:rsidRDefault="007D738D" w:rsidP="007D738D">
            <w:pPr>
              <w:pStyle w:val="Tabletext9pt"/>
              <w:ind w:left="170"/>
              <w:rPr>
                <w:rFonts w:ascii="Arial Narrow" w:hAnsi="Arial Narrow"/>
                <w:sz w:val="20"/>
                <w:szCs w:val="20"/>
              </w:rPr>
            </w:pPr>
            <w:r w:rsidRPr="00983D23">
              <w:rPr>
                <w:rFonts w:ascii="Arial Narrow" w:hAnsi="Arial Narrow"/>
                <w:sz w:val="20"/>
                <w:szCs w:val="20"/>
              </w:rPr>
              <w:t>Difference (95% CI)</w:t>
            </w:r>
          </w:p>
        </w:tc>
        <w:tc>
          <w:tcPr>
            <w:tcW w:w="2447" w:type="pct"/>
            <w:gridSpan w:val="2"/>
          </w:tcPr>
          <w:p w14:paraId="28DF65C6" w14:textId="77777777" w:rsidR="007D738D" w:rsidRPr="00983D23" w:rsidRDefault="007D738D" w:rsidP="007D738D">
            <w:pPr>
              <w:pStyle w:val="Tabletext9pt"/>
              <w:jc w:val="center"/>
              <w:rPr>
                <w:rFonts w:ascii="Arial Narrow" w:hAnsi="Arial Narrow"/>
                <w:sz w:val="20"/>
                <w:szCs w:val="20"/>
              </w:rPr>
            </w:pPr>
            <w:r w:rsidRPr="00983D23">
              <w:rPr>
                <w:rFonts w:ascii="Arial Narrow" w:hAnsi="Arial Narrow"/>
                <w:sz w:val="20"/>
                <w:szCs w:val="20"/>
              </w:rPr>
              <w:t>-0.5 (-3.7 to +2.7)</w:t>
            </w:r>
          </w:p>
        </w:tc>
      </w:tr>
      <w:tr w:rsidR="007D738D" w:rsidRPr="005D6016" w14:paraId="0710DEC3" w14:textId="77777777" w:rsidTr="007D738D">
        <w:tc>
          <w:tcPr>
            <w:tcW w:w="2553" w:type="pct"/>
          </w:tcPr>
          <w:p w14:paraId="28F31982" w14:textId="77777777" w:rsidR="007D738D" w:rsidRPr="00983D23" w:rsidRDefault="007D738D" w:rsidP="007D738D">
            <w:pPr>
              <w:pStyle w:val="Tabletext9pt"/>
              <w:ind w:left="170"/>
              <w:rPr>
                <w:rFonts w:ascii="Arial Narrow" w:hAnsi="Arial Narrow"/>
                <w:sz w:val="20"/>
                <w:szCs w:val="20"/>
              </w:rPr>
            </w:pPr>
            <w:r w:rsidRPr="00983D23">
              <w:rPr>
                <w:rFonts w:ascii="Arial Narrow" w:hAnsi="Arial Narrow"/>
                <w:sz w:val="20"/>
                <w:szCs w:val="20"/>
              </w:rPr>
              <w:t>HR, 95% CI; p-value</w:t>
            </w:r>
          </w:p>
        </w:tc>
        <w:tc>
          <w:tcPr>
            <w:tcW w:w="2447" w:type="pct"/>
            <w:gridSpan w:val="2"/>
          </w:tcPr>
          <w:p w14:paraId="11265829" w14:textId="77777777" w:rsidR="007D738D" w:rsidRPr="00983D23" w:rsidRDefault="007D738D" w:rsidP="007D738D">
            <w:pPr>
              <w:pStyle w:val="Tabletext9pt"/>
              <w:jc w:val="center"/>
              <w:rPr>
                <w:rFonts w:ascii="Arial Narrow" w:hAnsi="Arial Narrow"/>
                <w:sz w:val="20"/>
                <w:szCs w:val="20"/>
              </w:rPr>
            </w:pPr>
            <w:r w:rsidRPr="00983D23">
              <w:rPr>
                <w:rFonts w:ascii="Arial Narrow" w:hAnsi="Arial Narrow"/>
                <w:sz w:val="20"/>
                <w:szCs w:val="20"/>
              </w:rPr>
              <w:t>0.97 (0.70, 1.4); 0.99</w:t>
            </w:r>
          </w:p>
        </w:tc>
      </w:tr>
      <w:tr w:rsidR="007D738D" w:rsidRPr="005D6016" w14:paraId="44E62C1B" w14:textId="77777777" w:rsidTr="007D738D">
        <w:tc>
          <w:tcPr>
            <w:tcW w:w="2553" w:type="pct"/>
          </w:tcPr>
          <w:p w14:paraId="2D3E855B" w14:textId="77777777" w:rsidR="007D738D" w:rsidRPr="00983D23" w:rsidRDefault="007D738D" w:rsidP="007D738D">
            <w:pPr>
              <w:pStyle w:val="Tabletext9pt"/>
              <w:rPr>
                <w:rFonts w:ascii="Arial Narrow" w:hAnsi="Arial Narrow"/>
                <w:sz w:val="20"/>
                <w:szCs w:val="20"/>
              </w:rPr>
            </w:pPr>
            <w:r w:rsidRPr="00983D23">
              <w:rPr>
                <w:rFonts w:ascii="Arial Narrow" w:hAnsi="Arial Narrow"/>
                <w:b/>
                <w:bCs w:val="0"/>
                <w:sz w:val="20"/>
                <w:szCs w:val="20"/>
              </w:rPr>
              <w:t>PFS (PSA and radiographic) (ITT)</w:t>
            </w:r>
          </w:p>
        </w:tc>
        <w:tc>
          <w:tcPr>
            <w:tcW w:w="1310" w:type="pct"/>
          </w:tcPr>
          <w:p w14:paraId="528EB578" w14:textId="77777777" w:rsidR="007D738D" w:rsidRPr="00983D23" w:rsidRDefault="007D738D" w:rsidP="007D738D">
            <w:pPr>
              <w:pStyle w:val="Tabletext9pt"/>
              <w:jc w:val="center"/>
              <w:rPr>
                <w:rFonts w:ascii="Arial Narrow" w:hAnsi="Arial Narrow"/>
                <w:sz w:val="20"/>
                <w:szCs w:val="20"/>
              </w:rPr>
            </w:pPr>
          </w:p>
        </w:tc>
        <w:tc>
          <w:tcPr>
            <w:tcW w:w="1137" w:type="pct"/>
          </w:tcPr>
          <w:p w14:paraId="47D4AC63" w14:textId="77777777" w:rsidR="007D738D" w:rsidRPr="00983D23" w:rsidRDefault="007D738D" w:rsidP="007D738D">
            <w:pPr>
              <w:pStyle w:val="Tabletext9pt"/>
              <w:jc w:val="center"/>
              <w:rPr>
                <w:rFonts w:ascii="Arial Narrow" w:hAnsi="Arial Narrow"/>
                <w:sz w:val="20"/>
                <w:szCs w:val="20"/>
              </w:rPr>
            </w:pPr>
          </w:p>
        </w:tc>
      </w:tr>
      <w:tr w:rsidR="007D738D" w:rsidRPr="005D6016" w14:paraId="4721515A" w14:textId="77777777" w:rsidTr="007D738D">
        <w:tc>
          <w:tcPr>
            <w:tcW w:w="2553" w:type="pct"/>
          </w:tcPr>
          <w:p w14:paraId="4D36CEFD" w14:textId="77777777" w:rsidR="007D738D" w:rsidRPr="00983D23" w:rsidRDefault="007D738D" w:rsidP="007D738D">
            <w:pPr>
              <w:pStyle w:val="Tabletext9pt"/>
              <w:ind w:left="170"/>
              <w:rPr>
                <w:rFonts w:ascii="Arial Narrow" w:hAnsi="Arial Narrow"/>
                <w:sz w:val="20"/>
                <w:szCs w:val="20"/>
              </w:rPr>
            </w:pPr>
            <w:r w:rsidRPr="00983D23">
              <w:rPr>
                <w:rFonts w:ascii="Arial Narrow" w:hAnsi="Arial Narrow"/>
                <w:sz w:val="20"/>
                <w:szCs w:val="20"/>
              </w:rPr>
              <w:t>Restricted mean survival time to 36 months, months</w:t>
            </w:r>
          </w:p>
        </w:tc>
        <w:tc>
          <w:tcPr>
            <w:tcW w:w="1310" w:type="pct"/>
          </w:tcPr>
          <w:p w14:paraId="4AAFAF2E" w14:textId="77777777" w:rsidR="007D738D" w:rsidRPr="00983D23" w:rsidRDefault="007D738D" w:rsidP="007D738D">
            <w:pPr>
              <w:pStyle w:val="Tabletext9pt"/>
              <w:jc w:val="center"/>
              <w:rPr>
                <w:rFonts w:ascii="Arial Narrow" w:hAnsi="Arial Narrow"/>
                <w:sz w:val="20"/>
                <w:szCs w:val="20"/>
              </w:rPr>
            </w:pPr>
            <w:r w:rsidRPr="00983D23">
              <w:rPr>
                <w:rFonts w:ascii="Arial Narrow" w:hAnsi="Arial Narrow"/>
                <w:sz w:val="20"/>
                <w:szCs w:val="20"/>
              </w:rPr>
              <w:t>7.1</w:t>
            </w:r>
          </w:p>
        </w:tc>
        <w:tc>
          <w:tcPr>
            <w:tcW w:w="1137" w:type="pct"/>
          </w:tcPr>
          <w:p w14:paraId="50E0476F" w14:textId="77777777" w:rsidR="007D738D" w:rsidRPr="00983D23" w:rsidRDefault="007D738D" w:rsidP="007D738D">
            <w:pPr>
              <w:pStyle w:val="Tabletext9pt"/>
              <w:jc w:val="center"/>
              <w:rPr>
                <w:rFonts w:ascii="Arial Narrow" w:hAnsi="Arial Narrow"/>
                <w:sz w:val="20"/>
                <w:szCs w:val="20"/>
              </w:rPr>
            </w:pPr>
            <w:r w:rsidRPr="00983D23">
              <w:rPr>
                <w:rFonts w:ascii="Arial Narrow" w:hAnsi="Arial Narrow"/>
                <w:sz w:val="20"/>
                <w:szCs w:val="20"/>
              </w:rPr>
              <w:t>5.0</w:t>
            </w:r>
          </w:p>
        </w:tc>
      </w:tr>
      <w:tr w:rsidR="007D738D" w:rsidRPr="005D6016" w14:paraId="19950B00" w14:textId="77777777" w:rsidTr="007D738D">
        <w:tc>
          <w:tcPr>
            <w:tcW w:w="2553" w:type="pct"/>
          </w:tcPr>
          <w:p w14:paraId="643AD657" w14:textId="77777777" w:rsidR="007D738D" w:rsidRPr="00983D23" w:rsidRDefault="007D738D" w:rsidP="007D738D">
            <w:pPr>
              <w:pStyle w:val="Tabletext9pt"/>
              <w:ind w:left="170"/>
              <w:rPr>
                <w:rFonts w:ascii="Arial Narrow" w:hAnsi="Arial Narrow"/>
                <w:sz w:val="20"/>
                <w:szCs w:val="20"/>
              </w:rPr>
            </w:pPr>
            <w:r w:rsidRPr="00983D23">
              <w:rPr>
                <w:rFonts w:ascii="Arial Narrow" w:hAnsi="Arial Narrow"/>
                <w:sz w:val="20"/>
                <w:szCs w:val="20"/>
              </w:rPr>
              <w:t>Difference (95% CI)</w:t>
            </w:r>
          </w:p>
        </w:tc>
        <w:tc>
          <w:tcPr>
            <w:tcW w:w="2447" w:type="pct"/>
            <w:gridSpan w:val="2"/>
          </w:tcPr>
          <w:p w14:paraId="403DAFFB" w14:textId="77777777" w:rsidR="007D738D" w:rsidRPr="00983D23" w:rsidRDefault="007D738D" w:rsidP="007D738D">
            <w:pPr>
              <w:pStyle w:val="Tabletext9pt"/>
              <w:jc w:val="center"/>
              <w:rPr>
                <w:rFonts w:ascii="Arial Narrow" w:hAnsi="Arial Narrow"/>
                <w:sz w:val="20"/>
                <w:szCs w:val="20"/>
              </w:rPr>
            </w:pPr>
            <w:r w:rsidRPr="00983D23">
              <w:rPr>
                <w:rFonts w:ascii="Arial Narrow" w:hAnsi="Arial Narrow"/>
                <w:sz w:val="20"/>
                <w:szCs w:val="20"/>
              </w:rPr>
              <w:t>2.1 (NR)</w:t>
            </w:r>
          </w:p>
        </w:tc>
      </w:tr>
      <w:tr w:rsidR="007D738D" w:rsidRPr="005D6016" w14:paraId="7BBD305A" w14:textId="77777777" w:rsidTr="007D738D">
        <w:tc>
          <w:tcPr>
            <w:tcW w:w="2553" w:type="pct"/>
          </w:tcPr>
          <w:p w14:paraId="05D3B82D" w14:textId="77777777" w:rsidR="007D738D" w:rsidRPr="00983D23" w:rsidRDefault="007D738D" w:rsidP="007D738D">
            <w:pPr>
              <w:pStyle w:val="Tabletext9pt"/>
              <w:ind w:left="170"/>
              <w:rPr>
                <w:rFonts w:ascii="Arial Narrow" w:hAnsi="Arial Narrow"/>
                <w:sz w:val="20"/>
                <w:szCs w:val="20"/>
              </w:rPr>
            </w:pPr>
            <w:r w:rsidRPr="00983D23">
              <w:rPr>
                <w:rFonts w:ascii="Arial Narrow" w:hAnsi="Arial Narrow"/>
                <w:sz w:val="20"/>
                <w:szCs w:val="20"/>
              </w:rPr>
              <w:t>HR, 95% CI; p-value</w:t>
            </w:r>
          </w:p>
        </w:tc>
        <w:tc>
          <w:tcPr>
            <w:tcW w:w="2447" w:type="pct"/>
            <w:gridSpan w:val="2"/>
          </w:tcPr>
          <w:p w14:paraId="264D3A2A" w14:textId="77777777" w:rsidR="007D738D" w:rsidRPr="00983D23" w:rsidRDefault="007D738D" w:rsidP="007D738D">
            <w:pPr>
              <w:pStyle w:val="Tabletext9pt"/>
              <w:jc w:val="center"/>
              <w:rPr>
                <w:rFonts w:ascii="Arial Narrow" w:hAnsi="Arial Narrow"/>
                <w:sz w:val="20"/>
                <w:szCs w:val="20"/>
              </w:rPr>
            </w:pPr>
            <w:r w:rsidRPr="00983D23">
              <w:rPr>
                <w:rFonts w:ascii="Arial Narrow" w:hAnsi="Arial Narrow"/>
                <w:sz w:val="20"/>
                <w:szCs w:val="20"/>
              </w:rPr>
              <w:t>0.62 (0.45, 0.85); 0.0028</w:t>
            </w:r>
          </w:p>
        </w:tc>
      </w:tr>
    </w:tbl>
    <w:p w14:paraId="23F4D765" w14:textId="013C8600" w:rsidR="007D738D" w:rsidRPr="00983D23" w:rsidRDefault="007D738D" w:rsidP="00554E01">
      <w:pPr>
        <w:pStyle w:val="TableFigNotes18"/>
        <w:keepNext/>
        <w:rPr>
          <w:rFonts w:ascii="Arial Narrow" w:hAnsi="Arial Narrow"/>
          <w:sz w:val="18"/>
          <w:szCs w:val="22"/>
        </w:rPr>
      </w:pPr>
      <w:r w:rsidRPr="00983D23">
        <w:rPr>
          <w:rFonts w:ascii="Arial Narrow" w:hAnsi="Arial Narrow"/>
          <w:sz w:val="18"/>
          <w:szCs w:val="22"/>
        </w:rPr>
        <w:t xml:space="preserve">Source: </w:t>
      </w:r>
      <w:r>
        <w:rPr>
          <w:rFonts w:ascii="Arial Narrow" w:hAnsi="Arial Narrow"/>
          <w:sz w:val="18"/>
          <w:szCs w:val="22"/>
        </w:rPr>
        <w:t xml:space="preserve">Table 1, p6 of the </w:t>
      </w:r>
      <w:proofErr w:type="gramStart"/>
      <w:r>
        <w:rPr>
          <w:rFonts w:ascii="Arial Narrow" w:hAnsi="Arial Narrow"/>
          <w:sz w:val="18"/>
          <w:szCs w:val="22"/>
        </w:rPr>
        <w:t>Pre-MSAC</w:t>
      </w:r>
      <w:proofErr w:type="gramEnd"/>
      <w:r>
        <w:rPr>
          <w:rFonts w:ascii="Arial Narrow" w:hAnsi="Arial Narrow"/>
          <w:sz w:val="18"/>
          <w:szCs w:val="22"/>
        </w:rPr>
        <w:t xml:space="preserve"> response (</w:t>
      </w:r>
      <w:r w:rsidR="00026075">
        <w:rPr>
          <w:rFonts w:ascii="Arial Narrow" w:hAnsi="Arial Narrow"/>
          <w:sz w:val="18"/>
          <w:szCs w:val="22"/>
        </w:rPr>
        <w:t>c</w:t>
      </w:r>
      <w:r>
        <w:rPr>
          <w:rFonts w:ascii="Arial Narrow" w:hAnsi="Arial Narrow"/>
          <w:sz w:val="18"/>
          <w:szCs w:val="22"/>
        </w:rPr>
        <w:t xml:space="preserve">onference abstract; </w:t>
      </w:r>
      <w:proofErr w:type="spellStart"/>
      <w:r w:rsidRPr="00983D23">
        <w:rPr>
          <w:rFonts w:ascii="Arial Narrow" w:hAnsi="Arial Narrow"/>
          <w:sz w:val="18"/>
          <w:szCs w:val="22"/>
        </w:rPr>
        <w:t>Hofman</w:t>
      </w:r>
      <w:proofErr w:type="spellEnd"/>
      <w:r w:rsidRPr="00983D23">
        <w:rPr>
          <w:rFonts w:ascii="Arial Narrow" w:hAnsi="Arial Narrow"/>
          <w:sz w:val="18"/>
          <w:szCs w:val="22"/>
        </w:rPr>
        <w:t xml:space="preserve"> et al., 2022</w:t>
      </w:r>
      <w:r>
        <w:rPr>
          <w:rFonts w:ascii="Arial Narrow" w:hAnsi="Arial Narrow"/>
          <w:sz w:val="18"/>
          <w:szCs w:val="22"/>
        </w:rPr>
        <w:t xml:space="preserve">; </w:t>
      </w:r>
      <w:r w:rsidRPr="00983D23">
        <w:rPr>
          <w:rFonts w:ascii="Arial Narrow" w:hAnsi="Arial Narrow"/>
          <w:sz w:val="18"/>
          <w:szCs w:val="22"/>
        </w:rPr>
        <w:t>Attachment 1)</w:t>
      </w:r>
    </w:p>
    <w:p w14:paraId="02F80A59" w14:textId="77777777" w:rsidR="007D738D" w:rsidRPr="00983D23" w:rsidRDefault="007D738D" w:rsidP="00983D23">
      <w:pPr>
        <w:pStyle w:val="TableFigNotes18"/>
        <w:ind w:left="0" w:firstLine="0"/>
        <w:rPr>
          <w:rFonts w:ascii="Arial Narrow" w:hAnsi="Arial Narrow"/>
          <w:sz w:val="18"/>
          <w:szCs w:val="22"/>
        </w:rPr>
      </w:pPr>
      <w:r w:rsidRPr="00983D23">
        <w:rPr>
          <w:rFonts w:ascii="Arial Narrow" w:hAnsi="Arial Narrow"/>
          <w:sz w:val="18"/>
          <w:szCs w:val="22"/>
        </w:rPr>
        <w:t xml:space="preserve">Abbreviations: </w:t>
      </w:r>
      <w:r w:rsidRPr="00983D23">
        <w:rPr>
          <w:rFonts w:ascii="Arial Narrow" w:hAnsi="Arial Narrow"/>
          <w:sz w:val="18"/>
          <w:szCs w:val="22"/>
          <w:vertAlign w:val="superscript"/>
        </w:rPr>
        <w:t>177</w:t>
      </w:r>
      <w:r w:rsidRPr="00983D23">
        <w:rPr>
          <w:rFonts w:ascii="Arial Narrow" w:hAnsi="Arial Narrow"/>
          <w:sz w:val="18"/>
          <w:szCs w:val="22"/>
        </w:rPr>
        <w:t xml:space="preserve">Lu-PSMA, </w:t>
      </w:r>
      <w:r w:rsidRPr="00983D23">
        <w:rPr>
          <w:rFonts w:ascii="Arial Narrow" w:hAnsi="Arial Narrow"/>
          <w:sz w:val="18"/>
          <w:szCs w:val="22"/>
          <w:vertAlign w:val="superscript"/>
        </w:rPr>
        <w:t>177</w:t>
      </w:r>
      <w:r w:rsidRPr="00983D23">
        <w:rPr>
          <w:rFonts w:ascii="Arial Narrow" w:hAnsi="Arial Narrow"/>
          <w:sz w:val="18"/>
          <w:szCs w:val="22"/>
        </w:rPr>
        <w:t xml:space="preserve">Lutetium prostate-specific membrane antigen; CI, confidence interval; HR, hazard ratio; ITT, intention-to-treat; NR, not reported; PFS, progression-free survival; PSA, prostate specific antigen </w:t>
      </w:r>
    </w:p>
    <w:p w14:paraId="252EAEFB" w14:textId="515CD2CE" w:rsidR="007D738D" w:rsidRPr="00AB402B" w:rsidRDefault="007D738D" w:rsidP="007D738D">
      <w:pPr>
        <w:pStyle w:val="Caption"/>
      </w:pPr>
      <w:bookmarkStart w:id="35" w:name="_Ref108440349"/>
      <w:r>
        <w:t>Figure</w:t>
      </w:r>
      <w:bookmarkEnd w:id="35"/>
      <w:r w:rsidR="00026075">
        <w:t xml:space="preserve"> 4</w:t>
      </w:r>
      <w:r>
        <w:tab/>
        <w:t xml:space="preserve">Kaplan-Meier of OS in </w:t>
      </w:r>
      <w:proofErr w:type="spellStart"/>
      <w:r>
        <w:t>TheraP</w:t>
      </w:r>
      <w:proofErr w:type="spellEnd"/>
      <w:r>
        <w:t xml:space="preserve"> at median follow-up 36 months (ITT)</w:t>
      </w:r>
    </w:p>
    <w:p w14:paraId="0AFBA17D" w14:textId="77777777" w:rsidR="007D738D" w:rsidRDefault="007D738D" w:rsidP="007D738D">
      <w:pPr>
        <w:pStyle w:val="TableFigNotes18"/>
        <w:jc w:val="center"/>
      </w:pPr>
      <w:r w:rsidRPr="00E21795">
        <w:rPr>
          <w:noProof/>
          <w:lang w:eastAsia="en-AU"/>
        </w:rPr>
        <w:drawing>
          <wp:inline distT="0" distB="0" distL="0" distR="0" wp14:anchorId="144E0D92" wp14:editId="2CFBE563">
            <wp:extent cx="4044676" cy="2295525"/>
            <wp:effectExtent l="0" t="0" r="0" b="0"/>
            <wp:docPr id="5" name="Picture 5" descr="Kaplan-Meier of OS in TheraP at median follow-up 36 months (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Kaplan-Meier of OS in TheraP at median follow-up 36 months (ITT)"/>
                    <pic:cNvPicPr/>
                  </pic:nvPicPr>
                  <pic:blipFill>
                    <a:blip r:embed="rId15"/>
                    <a:stretch>
                      <a:fillRect/>
                    </a:stretch>
                  </pic:blipFill>
                  <pic:spPr>
                    <a:xfrm>
                      <a:off x="0" y="0"/>
                      <a:ext cx="4049416" cy="2298215"/>
                    </a:xfrm>
                    <a:prstGeom prst="rect">
                      <a:avLst/>
                    </a:prstGeom>
                  </pic:spPr>
                </pic:pic>
              </a:graphicData>
            </a:graphic>
          </wp:inline>
        </w:drawing>
      </w:r>
    </w:p>
    <w:p w14:paraId="726EE4C4" w14:textId="5CA3CE4C" w:rsidR="007D738D" w:rsidRPr="00983D23" w:rsidRDefault="007D738D" w:rsidP="00554E01">
      <w:pPr>
        <w:pStyle w:val="TableFigNotes18"/>
        <w:keepNext/>
        <w:rPr>
          <w:rFonts w:ascii="Arial Narrow" w:hAnsi="Arial Narrow"/>
          <w:sz w:val="18"/>
          <w:szCs w:val="22"/>
        </w:rPr>
      </w:pPr>
      <w:r w:rsidRPr="00983D23">
        <w:rPr>
          <w:rFonts w:ascii="Arial Narrow" w:hAnsi="Arial Narrow"/>
          <w:sz w:val="18"/>
          <w:szCs w:val="22"/>
        </w:rPr>
        <w:t xml:space="preserve">Source: </w:t>
      </w:r>
      <w:r>
        <w:rPr>
          <w:rFonts w:ascii="Arial Narrow" w:hAnsi="Arial Narrow"/>
          <w:sz w:val="18"/>
        </w:rPr>
        <w:t>Figure 1</w:t>
      </w:r>
      <w:r>
        <w:rPr>
          <w:rFonts w:ascii="Arial Narrow" w:hAnsi="Arial Narrow"/>
          <w:sz w:val="18"/>
          <w:szCs w:val="22"/>
        </w:rPr>
        <w:t>, p</w:t>
      </w:r>
      <w:r>
        <w:rPr>
          <w:rFonts w:ascii="Arial Narrow" w:hAnsi="Arial Narrow"/>
          <w:sz w:val="18"/>
        </w:rPr>
        <w:t>7</w:t>
      </w:r>
      <w:r>
        <w:rPr>
          <w:rFonts w:ascii="Arial Narrow" w:hAnsi="Arial Narrow"/>
          <w:sz w:val="18"/>
          <w:szCs w:val="22"/>
        </w:rPr>
        <w:t xml:space="preserve"> of the </w:t>
      </w:r>
      <w:proofErr w:type="gramStart"/>
      <w:r>
        <w:rPr>
          <w:rFonts w:ascii="Arial Narrow" w:hAnsi="Arial Narrow"/>
          <w:sz w:val="18"/>
          <w:szCs w:val="22"/>
        </w:rPr>
        <w:t>Pre-MSAC</w:t>
      </w:r>
      <w:proofErr w:type="gramEnd"/>
      <w:r>
        <w:rPr>
          <w:rFonts w:ascii="Arial Narrow" w:hAnsi="Arial Narrow"/>
          <w:sz w:val="18"/>
          <w:szCs w:val="22"/>
        </w:rPr>
        <w:t xml:space="preserve"> response (</w:t>
      </w:r>
      <w:r w:rsidR="00026075">
        <w:rPr>
          <w:rFonts w:ascii="Arial Narrow" w:hAnsi="Arial Narrow"/>
          <w:sz w:val="18"/>
          <w:szCs w:val="22"/>
        </w:rPr>
        <w:t xml:space="preserve">conference abstract by </w:t>
      </w:r>
      <w:proofErr w:type="spellStart"/>
      <w:r w:rsidRPr="00983D23">
        <w:rPr>
          <w:rFonts w:ascii="Arial Narrow" w:hAnsi="Arial Narrow"/>
          <w:sz w:val="18"/>
          <w:szCs w:val="22"/>
        </w:rPr>
        <w:t>Hofman</w:t>
      </w:r>
      <w:proofErr w:type="spellEnd"/>
      <w:r w:rsidRPr="00983D23">
        <w:rPr>
          <w:rFonts w:ascii="Arial Narrow" w:hAnsi="Arial Narrow"/>
          <w:sz w:val="18"/>
          <w:szCs w:val="22"/>
        </w:rPr>
        <w:t xml:space="preserve"> et al., 2022</w:t>
      </w:r>
      <w:r w:rsidR="00026075">
        <w:rPr>
          <w:rFonts w:ascii="Arial Narrow" w:hAnsi="Arial Narrow"/>
          <w:sz w:val="18"/>
          <w:szCs w:val="22"/>
        </w:rPr>
        <w:t xml:space="preserve">; </w:t>
      </w:r>
      <w:r w:rsidRPr="00983D23">
        <w:rPr>
          <w:rFonts w:ascii="Arial Narrow" w:hAnsi="Arial Narrow"/>
          <w:sz w:val="18"/>
          <w:szCs w:val="22"/>
        </w:rPr>
        <w:t>Attachment 1)</w:t>
      </w:r>
    </w:p>
    <w:p w14:paraId="6CF72E8E" w14:textId="21A52511" w:rsidR="00887F5D" w:rsidRDefault="007D738D" w:rsidP="00887F5D">
      <w:pPr>
        <w:pStyle w:val="TableFigNotes18"/>
        <w:rPr>
          <w:rFonts w:ascii="Arial Narrow" w:hAnsi="Arial Narrow"/>
          <w:sz w:val="18"/>
          <w:szCs w:val="22"/>
        </w:rPr>
      </w:pPr>
      <w:r w:rsidRPr="00983D23">
        <w:rPr>
          <w:rFonts w:ascii="Arial Narrow" w:hAnsi="Arial Narrow"/>
          <w:sz w:val="18"/>
          <w:szCs w:val="22"/>
        </w:rPr>
        <w:t xml:space="preserve">Abbreviations: </w:t>
      </w:r>
      <w:r w:rsidRPr="00983D23">
        <w:rPr>
          <w:rFonts w:ascii="Arial Narrow" w:hAnsi="Arial Narrow"/>
          <w:sz w:val="18"/>
          <w:szCs w:val="22"/>
          <w:vertAlign w:val="superscript"/>
        </w:rPr>
        <w:t>177</w:t>
      </w:r>
      <w:r w:rsidRPr="00983D23">
        <w:rPr>
          <w:rFonts w:ascii="Arial Narrow" w:hAnsi="Arial Narrow"/>
          <w:sz w:val="18"/>
          <w:szCs w:val="22"/>
        </w:rPr>
        <w:t xml:space="preserve">Lu-PSMA, </w:t>
      </w:r>
      <w:r w:rsidRPr="00983D23">
        <w:rPr>
          <w:rFonts w:ascii="Arial Narrow" w:hAnsi="Arial Narrow"/>
          <w:sz w:val="18"/>
          <w:szCs w:val="22"/>
          <w:vertAlign w:val="superscript"/>
        </w:rPr>
        <w:t>177</w:t>
      </w:r>
      <w:r w:rsidRPr="00983D23">
        <w:rPr>
          <w:rFonts w:ascii="Arial Narrow" w:hAnsi="Arial Narrow"/>
          <w:sz w:val="18"/>
          <w:szCs w:val="22"/>
        </w:rPr>
        <w:t>Lutetium prostate-specific membrane antigen; CI, confidence interval; HR, hazard ratio; ITT, intention-to-treat; OS, overall survival</w:t>
      </w:r>
    </w:p>
    <w:p w14:paraId="578BD331" w14:textId="3EA114E3" w:rsidR="00887F5D" w:rsidRPr="00D1384B" w:rsidRDefault="00887F5D" w:rsidP="007E318E">
      <w:pPr>
        <w:pStyle w:val="TableFooter"/>
      </w:pPr>
      <w:r>
        <w:t xml:space="preserve">Note </w:t>
      </w:r>
      <w:r>
        <w:rPr>
          <w:rFonts w:eastAsia="Calibri" w:cs="Times New Roman"/>
        </w:rPr>
        <w:t>conference abstract was</w:t>
      </w:r>
      <w:r w:rsidRPr="00525765">
        <w:rPr>
          <w:rFonts w:eastAsia="Calibri" w:cs="Times New Roman"/>
        </w:rPr>
        <w:t xml:space="preserve"> presented at the </w:t>
      </w:r>
      <w:hyperlink r:id="rId16" w:history="1">
        <w:r w:rsidRPr="007E52F9">
          <w:rPr>
            <w:rStyle w:val="Hyperlink"/>
            <w:rFonts w:eastAsia="Calibri" w:cs="Times New Roman"/>
          </w:rPr>
          <w:t>2022 American Society of Clinical Oncology (ASCO) Annual Meeting</w:t>
        </w:r>
      </w:hyperlink>
    </w:p>
    <w:p w14:paraId="71E62095" w14:textId="2A20FBF0" w:rsidR="007D738D" w:rsidRPr="00274B70" w:rsidRDefault="007D738D" w:rsidP="007D738D">
      <w:pPr>
        <w:pStyle w:val="Caption"/>
      </w:pPr>
      <w:bookmarkStart w:id="36" w:name="_Ref108449223"/>
      <w:r>
        <w:lastRenderedPageBreak/>
        <w:t>Figure</w:t>
      </w:r>
      <w:bookmarkEnd w:id="36"/>
      <w:r w:rsidR="00026075">
        <w:t xml:space="preserve"> 5</w:t>
      </w:r>
      <w:r>
        <w:tab/>
        <w:t xml:space="preserve">Kaplan-Meier of PFS (PSA and radiographic) in </w:t>
      </w:r>
      <w:proofErr w:type="spellStart"/>
      <w:r>
        <w:t>TheraP</w:t>
      </w:r>
      <w:proofErr w:type="spellEnd"/>
      <w:r>
        <w:t xml:space="preserve"> at median follow-up 36 months (ITT)</w:t>
      </w:r>
    </w:p>
    <w:p w14:paraId="247CF7EE" w14:textId="77777777" w:rsidR="007D738D" w:rsidRPr="004F2260" w:rsidRDefault="007D738D" w:rsidP="007D738D">
      <w:pPr>
        <w:pStyle w:val="Pic"/>
        <w:jc w:val="center"/>
      </w:pPr>
      <w:r>
        <w:rPr>
          <w:noProof/>
          <w:lang w:eastAsia="en-AU"/>
        </w:rPr>
        <w:drawing>
          <wp:inline distT="0" distB="0" distL="0" distR="0" wp14:anchorId="1624DCE3" wp14:editId="7C5A5B66">
            <wp:extent cx="4042800" cy="2287705"/>
            <wp:effectExtent l="0" t="0" r="0" b="0"/>
            <wp:docPr id="7" name="Picture 7" descr="Kaplan-Meier of PFS (PSA and radiographic) in TheraP at median follow-up 36 months (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Kaplan-Meier of PFS (PSA and radiographic) in TheraP at median follow-up 36 months (ITT)"/>
                    <pic:cNvPicPr/>
                  </pic:nvPicPr>
                  <pic:blipFill>
                    <a:blip r:embed="rId17"/>
                    <a:stretch>
                      <a:fillRect/>
                    </a:stretch>
                  </pic:blipFill>
                  <pic:spPr>
                    <a:xfrm>
                      <a:off x="0" y="0"/>
                      <a:ext cx="4042800" cy="2287705"/>
                    </a:xfrm>
                    <a:prstGeom prst="rect">
                      <a:avLst/>
                    </a:prstGeom>
                  </pic:spPr>
                </pic:pic>
              </a:graphicData>
            </a:graphic>
          </wp:inline>
        </w:drawing>
      </w:r>
    </w:p>
    <w:p w14:paraId="69402C6A" w14:textId="77777777" w:rsidR="007D738D" w:rsidRPr="00983D23" w:rsidRDefault="007D738D" w:rsidP="00554E01">
      <w:pPr>
        <w:pStyle w:val="TableFigNotes18"/>
        <w:keepNext/>
        <w:rPr>
          <w:rFonts w:ascii="Arial Narrow" w:hAnsi="Arial Narrow"/>
          <w:sz w:val="18"/>
          <w:szCs w:val="22"/>
        </w:rPr>
      </w:pPr>
      <w:r w:rsidRPr="00983D23">
        <w:rPr>
          <w:rFonts w:ascii="Arial Narrow" w:hAnsi="Arial Narrow"/>
          <w:sz w:val="18"/>
          <w:szCs w:val="22"/>
        </w:rPr>
        <w:t xml:space="preserve">Source: </w:t>
      </w:r>
      <w:proofErr w:type="spellStart"/>
      <w:r w:rsidRPr="00983D23">
        <w:rPr>
          <w:rFonts w:ascii="Arial Narrow" w:hAnsi="Arial Narrow"/>
          <w:sz w:val="18"/>
          <w:szCs w:val="22"/>
        </w:rPr>
        <w:t>Hofman</w:t>
      </w:r>
      <w:proofErr w:type="spellEnd"/>
      <w:r w:rsidRPr="00983D23">
        <w:rPr>
          <w:rFonts w:ascii="Arial Narrow" w:hAnsi="Arial Narrow"/>
          <w:sz w:val="18"/>
          <w:szCs w:val="22"/>
        </w:rPr>
        <w:t xml:space="preserve"> et al., 2022 (Attachment 1)</w:t>
      </w:r>
    </w:p>
    <w:p w14:paraId="5B9B5A5A" w14:textId="6C086CE7" w:rsidR="007D738D" w:rsidRDefault="007D738D" w:rsidP="00983D23">
      <w:pPr>
        <w:pStyle w:val="TableFigNotes18"/>
        <w:ind w:left="0" w:firstLine="0"/>
        <w:rPr>
          <w:rFonts w:ascii="Arial Narrow" w:hAnsi="Arial Narrow"/>
          <w:sz w:val="18"/>
          <w:szCs w:val="22"/>
        </w:rPr>
      </w:pPr>
      <w:r w:rsidRPr="00983D23">
        <w:rPr>
          <w:rFonts w:ascii="Arial Narrow" w:hAnsi="Arial Narrow"/>
          <w:sz w:val="18"/>
          <w:szCs w:val="22"/>
        </w:rPr>
        <w:t xml:space="preserve">Abbreviations: </w:t>
      </w:r>
      <w:r w:rsidRPr="00983D23">
        <w:rPr>
          <w:rFonts w:ascii="Arial Narrow" w:hAnsi="Arial Narrow"/>
          <w:sz w:val="18"/>
          <w:szCs w:val="22"/>
          <w:vertAlign w:val="superscript"/>
        </w:rPr>
        <w:t>177</w:t>
      </w:r>
      <w:r w:rsidRPr="00983D23">
        <w:rPr>
          <w:rFonts w:ascii="Arial Narrow" w:hAnsi="Arial Narrow"/>
          <w:sz w:val="18"/>
          <w:szCs w:val="22"/>
        </w:rPr>
        <w:t xml:space="preserve">Lu-PSMA, </w:t>
      </w:r>
      <w:r w:rsidRPr="00983D23">
        <w:rPr>
          <w:rFonts w:ascii="Arial Narrow" w:hAnsi="Arial Narrow"/>
          <w:sz w:val="18"/>
          <w:szCs w:val="22"/>
          <w:vertAlign w:val="superscript"/>
        </w:rPr>
        <w:t>177</w:t>
      </w:r>
      <w:r w:rsidRPr="00983D23">
        <w:rPr>
          <w:rFonts w:ascii="Arial Narrow" w:hAnsi="Arial Narrow"/>
          <w:sz w:val="18"/>
          <w:szCs w:val="22"/>
        </w:rPr>
        <w:t>Lutetium prostate-specific membrane antigen; CI, confidence interval; HR, hazard ratio; ITT, intention-to-treat; PFS, progression-free survival; PSA, prostate specific antigen</w:t>
      </w:r>
    </w:p>
    <w:p w14:paraId="1A46D3FB" w14:textId="3043D727" w:rsidR="00887F5D" w:rsidRPr="00D1384B" w:rsidRDefault="00887F5D" w:rsidP="007E318E">
      <w:pPr>
        <w:pStyle w:val="TableFooter"/>
      </w:pPr>
      <w:r>
        <w:t xml:space="preserve">Note </w:t>
      </w:r>
      <w:r>
        <w:rPr>
          <w:rFonts w:eastAsia="Calibri" w:cs="Times New Roman"/>
        </w:rPr>
        <w:t>conference abstract was</w:t>
      </w:r>
      <w:r w:rsidRPr="00525765">
        <w:rPr>
          <w:rFonts w:eastAsia="Calibri" w:cs="Times New Roman"/>
        </w:rPr>
        <w:t xml:space="preserve"> presented at the </w:t>
      </w:r>
      <w:hyperlink r:id="rId18" w:history="1">
        <w:r w:rsidRPr="007E52F9">
          <w:rPr>
            <w:rStyle w:val="Hyperlink"/>
            <w:rFonts w:eastAsia="Calibri" w:cs="Times New Roman"/>
          </w:rPr>
          <w:t>2022 American Society of Clinical Oncology (ASCO) Annual Meeting</w:t>
        </w:r>
      </w:hyperlink>
    </w:p>
    <w:p w14:paraId="213924C6" w14:textId="0DDCDE24" w:rsidR="00772829" w:rsidRDefault="00772829" w:rsidP="00761373">
      <w:pPr>
        <w:keepNext/>
        <w:tabs>
          <w:tab w:val="left" w:pos="720"/>
          <w:tab w:val="left" w:pos="1140"/>
        </w:tabs>
        <w:spacing w:before="240" w:after="120"/>
        <w:rPr>
          <w:b/>
          <w:bCs/>
        </w:rPr>
      </w:pPr>
      <w:r w:rsidRPr="00223664">
        <w:rPr>
          <w:b/>
          <w:bCs/>
        </w:rPr>
        <w:t>Clinical claim</w:t>
      </w:r>
      <w:r w:rsidR="00E231AE">
        <w:rPr>
          <w:b/>
          <w:bCs/>
        </w:rPr>
        <w:t>s</w:t>
      </w:r>
    </w:p>
    <w:p w14:paraId="6703738F" w14:textId="39E15EB5" w:rsidR="000F104A" w:rsidRDefault="000F104A" w:rsidP="00761373">
      <w:pPr>
        <w:keepNext/>
        <w:tabs>
          <w:tab w:val="left" w:pos="720"/>
          <w:tab w:val="left" w:pos="1140"/>
        </w:tabs>
        <w:spacing w:before="240" w:after="120"/>
        <w:rPr>
          <w:u w:val="single"/>
        </w:rPr>
      </w:pPr>
      <w:r w:rsidRPr="00291FD7">
        <w:rPr>
          <w:u w:val="single"/>
          <w:vertAlign w:val="superscript"/>
        </w:rPr>
        <w:t>177</w:t>
      </w:r>
      <w:r w:rsidR="009F7816">
        <w:rPr>
          <w:u w:val="single"/>
        </w:rPr>
        <w:t>Lu </w:t>
      </w:r>
      <w:r w:rsidR="00886914">
        <w:rPr>
          <w:u w:val="single"/>
        </w:rPr>
        <w:t>PSMA </w:t>
      </w:r>
      <w:proofErr w:type="spellStart"/>
      <w:r w:rsidR="00886914">
        <w:rPr>
          <w:u w:val="single"/>
        </w:rPr>
        <w:t>i&amp;t</w:t>
      </w:r>
      <w:proofErr w:type="spellEnd"/>
      <w:r w:rsidRPr="00291FD7">
        <w:rPr>
          <w:u w:val="single"/>
        </w:rPr>
        <w:t xml:space="preserve"> versus </w:t>
      </w:r>
      <w:r w:rsidR="00EF3B3C">
        <w:rPr>
          <w:u w:val="single"/>
        </w:rPr>
        <w:t>-</w:t>
      </w:r>
      <w:r w:rsidRPr="00291FD7">
        <w:rPr>
          <w:u w:val="single"/>
        </w:rPr>
        <w:t>617</w:t>
      </w:r>
    </w:p>
    <w:p w14:paraId="790BE12F" w14:textId="05A51A40" w:rsidR="000F104A" w:rsidRPr="00FC6E60" w:rsidRDefault="00E231AE" w:rsidP="004D7F99">
      <w:r w:rsidRPr="008E00EE">
        <w:t xml:space="preserve">The </w:t>
      </w:r>
      <w:r>
        <w:t xml:space="preserve">ADAR claimed that </w:t>
      </w:r>
      <w:r w:rsidR="004D7F99" w:rsidRPr="007E31FD">
        <w:rPr>
          <w:vertAlign w:val="superscript"/>
        </w:rPr>
        <w:t>177</w:t>
      </w:r>
      <w:r w:rsidR="009F7816">
        <w:t>Lu </w:t>
      </w:r>
      <w:r w:rsidR="00886914">
        <w:t>PSMA </w:t>
      </w:r>
      <w:proofErr w:type="spellStart"/>
      <w:r w:rsidR="00886914">
        <w:t>i&amp;t</w:t>
      </w:r>
      <w:proofErr w:type="spellEnd"/>
      <w:r w:rsidR="004D7F99" w:rsidRPr="00B461BC">
        <w:t xml:space="preserve"> can be considered ra</w:t>
      </w:r>
      <w:r w:rsidR="004D7F99">
        <w:t>di</w:t>
      </w:r>
      <w:r w:rsidR="004D7F99" w:rsidRPr="00B461BC">
        <w:t>o equivalent</w:t>
      </w:r>
      <w:r w:rsidR="004D7F99">
        <w:t xml:space="preserve"> (delivers the same radiation dose to cells)</w:t>
      </w:r>
      <w:r w:rsidR="004D7F99" w:rsidRPr="00B461BC">
        <w:t xml:space="preserve"> and deliver</w:t>
      </w:r>
      <w:r w:rsidR="004D7F99">
        <w:t>s</w:t>
      </w:r>
      <w:r w:rsidR="004D7F99" w:rsidRPr="00B461BC">
        <w:t xml:space="preserve"> the same patient outcomes</w:t>
      </w:r>
      <w:r w:rsidR="00DE074D">
        <w:t xml:space="preserve"> (efficacy and safety)</w:t>
      </w:r>
      <w:r w:rsidR="004D7F99" w:rsidRPr="00B461BC">
        <w:t xml:space="preserve"> as </w:t>
      </w:r>
      <w:r w:rsidR="004D7F99" w:rsidRPr="007E31FD">
        <w:rPr>
          <w:vertAlign w:val="superscript"/>
        </w:rPr>
        <w:t>177</w:t>
      </w:r>
      <w:r w:rsidR="009F7816">
        <w:t>Lu PSMA</w:t>
      </w:r>
      <w:r w:rsidR="004D7F99">
        <w:t>-617.</w:t>
      </w:r>
      <w:r>
        <w:t xml:space="preserve"> </w:t>
      </w:r>
      <w:r w:rsidR="00FC6E60" w:rsidRPr="00EC18A5">
        <w:t xml:space="preserve">The commentary </w:t>
      </w:r>
      <w:r w:rsidR="004D7F99" w:rsidRPr="00EC18A5">
        <w:t>noted</w:t>
      </w:r>
      <w:r w:rsidR="00EC18A5">
        <w:t xml:space="preserve"> that</w:t>
      </w:r>
      <w:r w:rsidR="004D7F99" w:rsidRPr="00EC18A5">
        <w:t xml:space="preserve"> a comparison of reported PFS and OS across trials and studies </w:t>
      </w:r>
      <w:r w:rsidR="00706748" w:rsidRPr="00EC18A5">
        <w:t xml:space="preserve">may </w:t>
      </w:r>
      <w:r w:rsidR="004D7F99" w:rsidRPr="00EC18A5">
        <w:t xml:space="preserve">not </w:t>
      </w:r>
      <w:r w:rsidR="00706748" w:rsidRPr="00EC18A5">
        <w:t xml:space="preserve">be </w:t>
      </w:r>
      <w:r w:rsidR="004D7F99" w:rsidRPr="00EC18A5">
        <w:t>sufficient for making a claim of non-inferiority</w:t>
      </w:r>
      <w:r w:rsidR="00EC18A5">
        <w:t xml:space="preserve"> across the two radionuclides</w:t>
      </w:r>
      <w:r w:rsidR="004D7F99" w:rsidRPr="00EC18A5">
        <w:t xml:space="preserve">, which needs to be accepted by MSAC </w:t>
      </w:r>
      <w:proofErr w:type="gramStart"/>
      <w:r w:rsidR="004D7F99" w:rsidRPr="00EC18A5">
        <w:t>in order for</w:t>
      </w:r>
      <w:proofErr w:type="gramEnd"/>
      <w:r w:rsidR="004D7F99" w:rsidRPr="00EC18A5">
        <w:t xml:space="preserve"> the evidence presented for </w:t>
      </w:r>
      <w:r w:rsidR="004D7F99" w:rsidRPr="00EC18A5">
        <w:rPr>
          <w:vertAlign w:val="superscript"/>
        </w:rPr>
        <w:t>177</w:t>
      </w:r>
      <w:r w:rsidR="009F7816">
        <w:t>Lu PSMA</w:t>
      </w:r>
      <w:r w:rsidR="004D7F99" w:rsidRPr="00EC18A5">
        <w:t xml:space="preserve">-617 to be considered relevant for </w:t>
      </w:r>
      <w:r w:rsidR="004D7F99" w:rsidRPr="00EC18A5">
        <w:rPr>
          <w:vertAlign w:val="superscript"/>
        </w:rPr>
        <w:t>177</w:t>
      </w:r>
      <w:r w:rsidR="009F7816">
        <w:t>Lu </w:t>
      </w:r>
      <w:r w:rsidR="00886914">
        <w:t>PSMA </w:t>
      </w:r>
      <w:proofErr w:type="spellStart"/>
      <w:r w:rsidR="00886914">
        <w:t>i&amp;t</w:t>
      </w:r>
      <w:proofErr w:type="spellEnd"/>
      <w:r w:rsidR="004D7F99" w:rsidRPr="00EC18A5">
        <w:t xml:space="preserve"> and for subsequent acceptance of the </w:t>
      </w:r>
      <w:r w:rsidR="00E55577">
        <w:t xml:space="preserve">QALY </w:t>
      </w:r>
      <w:r w:rsidR="004D7F99" w:rsidRPr="00EC18A5">
        <w:t xml:space="preserve">results of the modelled economic evaluation. A minimally clinically important difference in PFS and OS should be </w:t>
      </w:r>
      <w:proofErr w:type="gramStart"/>
      <w:r w:rsidR="004D7F99" w:rsidRPr="00EC18A5">
        <w:t>nominated</w:t>
      </w:r>
      <w:proofErr w:type="gramEnd"/>
      <w:r w:rsidR="004D7F99" w:rsidRPr="00EC18A5">
        <w:t xml:space="preserve"> and a comparison should be made and considered against a nominated non-inferiority margin.</w:t>
      </w:r>
    </w:p>
    <w:p w14:paraId="0499D291" w14:textId="0537F5C9" w:rsidR="000F104A" w:rsidRDefault="000F104A" w:rsidP="00761373">
      <w:pPr>
        <w:keepNext/>
        <w:rPr>
          <w:szCs w:val="20"/>
          <w:u w:val="single"/>
        </w:rPr>
      </w:pPr>
      <w:proofErr w:type="spellStart"/>
      <w:r w:rsidRPr="00F93412">
        <w:rPr>
          <w:szCs w:val="20"/>
          <w:u w:val="single"/>
        </w:rPr>
        <w:t>SUV</w:t>
      </w:r>
      <w:r w:rsidRPr="00F93412">
        <w:rPr>
          <w:szCs w:val="20"/>
          <w:u w:val="single"/>
          <w:vertAlign w:val="subscript"/>
        </w:rPr>
        <w:t>max</w:t>
      </w:r>
      <w:proofErr w:type="spellEnd"/>
      <w:r w:rsidRPr="00F93412">
        <w:rPr>
          <w:szCs w:val="20"/>
          <w:u w:val="single"/>
        </w:rPr>
        <w:t xml:space="preserve"> &gt;15 at a single site of disease and </w:t>
      </w:r>
      <w:proofErr w:type="spellStart"/>
      <w:r w:rsidRPr="00F93412">
        <w:rPr>
          <w:szCs w:val="20"/>
          <w:u w:val="single"/>
        </w:rPr>
        <w:t>SUV</w:t>
      </w:r>
      <w:r w:rsidRPr="00F93412">
        <w:rPr>
          <w:szCs w:val="20"/>
          <w:u w:val="single"/>
          <w:vertAlign w:val="subscript"/>
        </w:rPr>
        <w:t>max</w:t>
      </w:r>
      <w:proofErr w:type="spellEnd"/>
      <w:r w:rsidRPr="00F93412">
        <w:rPr>
          <w:szCs w:val="20"/>
          <w:u w:val="single"/>
        </w:rPr>
        <w:t xml:space="preserve"> &gt;10 at all sites of measurable disease</w:t>
      </w:r>
    </w:p>
    <w:p w14:paraId="0B7F97BA" w14:textId="381F3AC1" w:rsidR="004D7F99" w:rsidRPr="00EC18A5" w:rsidRDefault="00E231AE" w:rsidP="004D7F99">
      <w:r w:rsidRPr="008E00EE">
        <w:t xml:space="preserve">The </w:t>
      </w:r>
      <w:r>
        <w:t>ADAR claimed that t</w:t>
      </w:r>
      <w:r w:rsidR="004D7F99" w:rsidRPr="004D7F99">
        <w:t xml:space="preserve">he use of PSMA PET/CT using PSMA </w:t>
      </w:r>
      <w:proofErr w:type="spellStart"/>
      <w:r w:rsidR="004D7F99" w:rsidRPr="004D7F99">
        <w:t>SUV</w:t>
      </w:r>
      <w:r w:rsidR="004D7F99" w:rsidRPr="004D7F99">
        <w:rPr>
          <w:vertAlign w:val="subscript"/>
        </w:rPr>
        <w:t>max</w:t>
      </w:r>
      <w:proofErr w:type="spellEnd"/>
      <w:r w:rsidR="004D7F99" w:rsidRPr="004D7F99">
        <w:t xml:space="preserve"> threshold &gt;15 (at a site of disease) results in at least similar effectiveness compared with the clinical utility standard (</w:t>
      </w:r>
      <w:proofErr w:type="spellStart"/>
      <w:r w:rsidR="004D7F99" w:rsidRPr="004D7F99">
        <w:t>SUV</w:t>
      </w:r>
      <w:r w:rsidR="004D7F99" w:rsidRPr="004D7F99">
        <w:rPr>
          <w:vertAlign w:val="subscript"/>
        </w:rPr>
        <w:t>max</w:t>
      </w:r>
      <w:proofErr w:type="spellEnd"/>
      <w:r w:rsidR="004D7F99" w:rsidRPr="004D7F99">
        <w:t xml:space="preserve"> </w:t>
      </w:r>
      <w:r w:rsidR="004D7F99" w:rsidRPr="004D7F99">
        <w:rPr>
          <w:rFonts w:cstheme="minorHAnsi"/>
        </w:rPr>
        <w:t>≥</w:t>
      </w:r>
      <w:r w:rsidR="004D7F99" w:rsidRPr="004D7F99">
        <w:t xml:space="preserve">5 or </w:t>
      </w:r>
      <w:proofErr w:type="spellStart"/>
      <w:r w:rsidR="004D7F99" w:rsidRPr="004D7F99">
        <w:t>SUV</w:t>
      </w:r>
      <w:r w:rsidR="004D7F99" w:rsidRPr="004D7F99">
        <w:rPr>
          <w:vertAlign w:val="subscript"/>
        </w:rPr>
        <w:t>max</w:t>
      </w:r>
      <w:proofErr w:type="spellEnd"/>
      <w:r w:rsidR="004D7F99" w:rsidRPr="004D7F99">
        <w:t xml:space="preserve"> </w:t>
      </w:r>
      <w:r w:rsidR="004D7F99" w:rsidRPr="004D7F99">
        <w:rPr>
          <w:rFonts w:cstheme="minorHAnsi"/>
        </w:rPr>
        <w:t>≥</w:t>
      </w:r>
      <w:r w:rsidR="004D7F99" w:rsidRPr="004D7F99">
        <w:t xml:space="preserve">20). </w:t>
      </w:r>
      <w:r w:rsidR="00FC6E60" w:rsidRPr="00FC6E60">
        <w:t xml:space="preserve">The commentary </w:t>
      </w:r>
      <w:r w:rsidR="00FC6E60" w:rsidRPr="00A07816">
        <w:t>considered t</w:t>
      </w:r>
      <w:r w:rsidR="004D7F99" w:rsidRPr="00EC18A5">
        <w:t xml:space="preserve">his claim to be reasonably supported by the reported response rates in the evidence presented. However, the aim should have been to justify the nominated threshold which </w:t>
      </w:r>
      <w:r w:rsidR="00EC18A5">
        <w:t>wa</w:t>
      </w:r>
      <w:r w:rsidR="004D7F99" w:rsidRPr="00EC18A5">
        <w:t xml:space="preserve">s not considered </w:t>
      </w:r>
      <w:r w:rsidR="00EC18A5">
        <w:t xml:space="preserve">by the commentary </w:t>
      </w:r>
      <w:r w:rsidR="004D7F99" w:rsidRPr="00EC18A5">
        <w:t>to have been adequately supported by the evidence.</w:t>
      </w:r>
    </w:p>
    <w:p w14:paraId="785D50B3" w14:textId="77777777" w:rsidR="000F104A" w:rsidRDefault="000F104A" w:rsidP="00761373">
      <w:pPr>
        <w:keepNext/>
        <w:rPr>
          <w:u w:val="single"/>
        </w:rPr>
      </w:pPr>
      <w:r>
        <w:rPr>
          <w:u w:val="single"/>
        </w:rPr>
        <w:t>Health outcomes</w:t>
      </w:r>
    </w:p>
    <w:p w14:paraId="38F6F0E2" w14:textId="775FFD3A" w:rsidR="00CE3F43" w:rsidRPr="00794A18" w:rsidRDefault="00CE3F43" w:rsidP="00CE3F43">
      <w:r w:rsidRPr="008E00EE">
        <w:t xml:space="preserve">The </w:t>
      </w:r>
      <w:r w:rsidR="009B4ECE">
        <w:t>ADAR claim</w:t>
      </w:r>
      <w:r w:rsidR="00E12710">
        <w:t>ed</w:t>
      </w:r>
      <w:r w:rsidR="009B4ECE">
        <w:t xml:space="preserve"> that </w:t>
      </w:r>
      <w:r w:rsidRPr="008E00EE">
        <w:t>use of</w:t>
      </w:r>
      <w:r w:rsidRPr="00DA50E7">
        <w:t xml:space="preserve"> </w:t>
      </w:r>
      <w:r w:rsidRPr="00880530">
        <w:t>PSMA PET/CT</w:t>
      </w:r>
      <w:r>
        <w:t xml:space="preserve"> and</w:t>
      </w:r>
      <w:r w:rsidRPr="008E00EE">
        <w:t xml:space="preserve"> </w:t>
      </w:r>
      <w:r w:rsidRPr="008E00EE">
        <w:rPr>
          <w:vertAlign w:val="superscript"/>
        </w:rPr>
        <w:t>177</w:t>
      </w:r>
      <w:r w:rsidR="009F7816">
        <w:t>Lu PSMA</w:t>
      </w:r>
      <w:r>
        <w:t xml:space="preserve"> </w:t>
      </w:r>
      <w:r w:rsidRPr="008E00EE">
        <w:t>results in superior effectiveness compared with</w:t>
      </w:r>
      <w:r>
        <w:t xml:space="preserve"> </w:t>
      </w:r>
      <w:proofErr w:type="spellStart"/>
      <w:r w:rsidRPr="008E00EE">
        <w:t>cabazitaxel</w:t>
      </w:r>
      <w:proofErr w:type="spellEnd"/>
      <w:r w:rsidRPr="008E00EE">
        <w:t xml:space="preserve"> and superior effectiveness compared </w:t>
      </w:r>
      <w:r>
        <w:t xml:space="preserve">with </w:t>
      </w:r>
      <w:r w:rsidR="00DB005C">
        <w:t>best supportive care</w:t>
      </w:r>
      <w:r w:rsidRPr="008E00EE">
        <w:t>.</w:t>
      </w:r>
      <w:r w:rsidR="00E231AE">
        <w:t xml:space="preserve"> </w:t>
      </w:r>
      <w:r w:rsidR="00FC6E60" w:rsidRPr="00EC18A5">
        <w:t xml:space="preserve">The commentary considered </w:t>
      </w:r>
      <w:r w:rsidR="00FC6E60">
        <w:t>t</w:t>
      </w:r>
      <w:r w:rsidRPr="00794A18">
        <w:t>his would be better defined as:</w:t>
      </w:r>
    </w:p>
    <w:p w14:paraId="7483E7CA" w14:textId="61E99B5E" w:rsidR="00CE3F43" w:rsidRPr="00EC18A5" w:rsidRDefault="00CE3F43" w:rsidP="00CE3F43">
      <w:r w:rsidRPr="00FC6E60">
        <w:t xml:space="preserve">The use of PSMA PET/CT </w:t>
      </w:r>
      <w:r w:rsidR="00EF3B3C">
        <w:t>and</w:t>
      </w:r>
      <w:r w:rsidRPr="00EC18A5">
        <w:t xml:space="preserve"> FDG PET</w:t>
      </w:r>
      <w:r w:rsidR="00DE074D" w:rsidRPr="00EC18A5">
        <w:t>/CT</w:t>
      </w:r>
      <w:r w:rsidRPr="00EC18A5">
        <w:t xml:space="preserve"> </w:t>
      </w:r>
      <w:r w:rsidRPr="00FC6E60">
        <w:t xml:space="preserve">and </w:t>
      </w:r>
      <w:r w:rsidRPr="00A07816">
        <w:rPr>
          <w:vertAlign w:val="superscript"/>
        </w:rPr>
        <w:t>177</w:t>
      </w:r>
      <w:r w:rsidR="009F7816">
        <w:t>Lu PSMA</w:t>
      </w:r>
      <w:r w:rsidRPr="00EC18A5">
        <w:t>-617</w:t>
      </w:r>
      <w:r w:rsidRPr="00FC6E60">
        <w:t xml:space="preserve"> results in superior effectiveness compared with </w:t>
      </w:r>
      <w:proofErr w:type="spellStart"/>
      <w:r w:rsidRPr="00FC6E60">
        <w:t>cabazitaxel</w:t>
      </w:r>
      <w:proofErr w:type="spellEnd"/>
      <w:r w:rsidR="00970033" w:rsidRPr="00A07816">
        <w:t xml:space="preserve"> </w:t>
      </w:r>
      <w:r w:rsidR="00970033" w:rsidRPr="00EC18A5">
        <w:t xml:space="preserve">among patients with </w:t>
      </w:r>
      <w:proofErr w:type="spellStart"/>
      <w:r w:rsidR="00970033" w:rsidRPr="00EC18A5">
        <w:t>mCRPC</w:t>
      </w:r>
      <w:proofErr w:type="spellEnd"/>
      <w:r w:rsidR="00970033" w:rsidRPr="00EC18A5">
        <w:t xml:space="preserve"> who have an </w:t>
      </w:r>
      <w:proofErr w:type="spellStart"/>
      <w:r w:rsidR="00970033" w:rsidRPr="00EC18A5">
        <w:t>SUV</w:t>
      </w:r>
      <w:r w:rsidR="00970033" w:rsidRPr="00EC18A5">
        <w:rPr>
          <w:vertAlign w:val="subscript"/>
        </w:rPr>
        <w:t>max</w:t>
      </w:r>
      <w:proofErr w:type="spellEnd"/>
      <w:r w:rsidR="00970033" w:rsidRPr="00EC18A5">
        <w:rPr>
          <w:vertAlign w:val="subscript"/>
        </w:rPr>
        <w:t xml:space="preserve"> </w:t>
      </w:r>
      <w:r w:rsidR="00970033" w:rsidRPr="00EC18A5">
        <w:t>≥20</w:t>
      </w:r>
      <w:r w:rsidR="00970033" w:rsidRPr="00FC6E60">
        <w:t xml:space="preserve"> </w:t>
      </w:r>
      <w:r w:rsidR="00970033" w:rsidRPr="00EC18A5">
        <w:t xml:space="preserve">at the disease site and &gt;10 at all measurable sites of metastatic disease with no </w:t>
      </w:r>
      <w:r w:rsidR="00970033" w:rsidRPr="00EC18A5">
        <w:rPr>
          <w:szCs w:val="20"/>
        </w:rPr>
        <w:t>with PSMA-negative/FDG-positive discordant disease</w:t>
      </w:r>
      <w:r w:rsidRPr="00FC6E60">
        <w:t>. The use of P</w:t>
      </w:r>
      <w:r w:rsidRPr="00A07816">
        <w:t xml:space="preserve">SMA PET/CT and </w:t>
      </w:r>
      <w:r w:rsidRPr="00A07816">
        <w:rPr>
          <w:vertAlign w:val="superscript"/>
        </w:rPr>
        <w:t>177</w:t>
      </w:r>
      <w:r w:rsidR="009F7816">
        <w:t>Lu PSMA</w:t>
      </w:r>
      <w:r w:rsidRPr="00EC18A5">
        <w:t>-617</w:t>
      </w:r>
      <w:r w:rsidRPr="00FC6E60">
        <w:t xml:space="preserve"> results in superior effectiveness compared with </w:t>
      </w:r>
      <w:r w:rsidR="00DB005C">
        <w:t>best supportive care</w:t>
      </w:r>
      <w:r w:rsidRPr="00FC6E60">
        <w:t xml:space="preserve">. </w:t>
      </w:r>
      <w:r w:rsidRPr="00EC18A5">
        <w:t xml:space="preserve">The evidence presented in the ADAR supports </w:t>
      </w:r>
      <w:r w:rsidR="009B4ECE" w:rsidRPr="00EC18A5">
        <w:t xml:space="preserve">these </w:t>
      </w:r>
      <w:r w:rsidRPr="00EC18A5">
        <w:t>clinical claim</w:t>
      </w:r>
      <w:r w:rsidR="009B4ECE" w:rsidRPr="00EC18A5">
        <w:t>s</w:t>
      </w:r>
      <w:r w:rsidRPr="00EC18A5">
        <w:t>.</w:t>
      </w:r>
    </w:p>
    <w:p w14:paraId="18E4C251" w14:textId="646A99AB" w:rsidR="00CE3F43" w:rsidRPr="00E12710" w:rsidRDefault="00CE3F43" w:rsidP="00CE3F43">
      <w:r w:rsidRPr="008E00EE">
        <w:lastRenderedPageBreak/>
        <w:t xml:space="preserve">The </w:t>
      </w:r>
      <w:r w:rsidR="00417B3F">
        <w:t>ADAR claim</w:t>
      </w:r>
      <w:r w:rsidR="00E12710">
        <w:t>ed</w:t>
      </w:r>
      <w:r w:rsidR="00417B3F">
        <w:t xml:space="preserve"> that </w:t>
      </w:r>
      <w:r w:rsidRPr="008E00EE">
        <w:t>use of</w:t>
      </w:r>
      <w:r w:rsidRPr="00DA50E7">
        <w:t xml:space="preserve"> </w:t>
      </w:r>
      <w:r w:rsidRPr="00880530">
        <w:t>PSMA PET/CT</w:t>
      </w:r>
      <w:r>
        <w:t xml:space="preserve"> and</w:t>
      </w:r>
      <w:r w:rsidRPr="008E00EE">
        <w:t xml:space="preserve"> </w:t>
      </w:r>
      <w:r w:rsidRPr="008E00EE">
        <w:rPr>
          <w:vertAlign w:val="superscript"/>
        </w:rPr>
        <w:t>177</w:t>
      </w:r>
      <w:r w:rsidR="009F7816">
        <w:t>Lu PSMA</w:t>
      </w:r>
      <w:r>
        <w:rPr>
          <w:i/>
          <w:iCs/>
          <w:color w:val="C00000"/>
        </w:rPr>
        <w:t xml:space="preserve"> </w:t>
      </w:r>
      <w:r w:rsidRPr="008E00EE">
        <w:t xml:space="preserve">results in </w:t>
      </w:r>
      <w:r>
        <w:t>superior</w:t>
      </w:r>
      <w:r w:rsidRPr="008E00EE">
        <w:t xml:space="preserve"> safety compared with </w:t>
      </w:r>
      <w:proofErr w:type="spellStart"/>
      <w:r w:rsidRPr="008E00EE">
        <w:t>cabazitaxel</w:t>
      </w:r>
      <w:proofErr w:type="spellEnd"/>
      <w:r w:rsidRPr="008E00EE">
        <w:t xml:space="preserve"> and </w:t>
      </w:r>
      <w:r>
        <w:t xml:space="preserve">inferior safety compared with </w:t>
      </w:r>
      <w:r w:rsidR="00DB005C">
        <w:t>best supportive care</w:t>
      </w:r>
      <w:r w:rsidRPr="008E00EE">
        <w:t>.</w:t>
      </w:r>
      <w:r w:rsidR="00E231AE">
        <w:t xml:space="preserve"> </w:t>
      </w:r>
      <w:r w:rsidR="00FC6E60" w:rsidRPr="00F86D99">
        <w:t xml:space="preserve">The commentary considered </w:t>
      </w:r>
      <w:r w:rsidR="00FC6E60">
        <w:t>t</w:t>
      </w:r>
      <w:r w:rsidR="00FC6E60" w:rsidRPr="00F86D99">
        <w:t xml:space="preserve">his </w:t>
      </w:r>
      <w:r w:rsidRPr="00794A18">
        <w:t>would be better defined as:</w:t>
      </w:r>
    </w:p>
    <w:p w14:paraId="1AFF6AE7" w14:textId="28D10240" w:rsidR="00CE3F43" w:rsidRPr="00E12710" w:rsidRDefault="00CE3F43" w:rsidP="00CE3F43">
      <w:r w:rsidRPr="00FC6E60">
        <w:t xml:space="preserve">The use of PSMA PET/CT </w:t>
      </w:r>
      <w:r w:rsidR="00EF3B3C">
        <w:t>and</w:t>
      </w:r>
      <w:r w:rsidRPr="00E12710">
        <w:t xml:space="preserve"> FDG PET</w:t>
      </w:r>
      <w:r w:rsidR="00417B3F" w:rsidRPr="00E12710">
        <w:t>/CT</w:t>
      </w:r>
      <w:r w:rsidRPr="00E12710">
        <w:t xml:space="preserve"> </w:t>
      </w:r>
      <w:r w:rsidRPr="00FC6E60">
        <w:t xml:space="preserve">and </w:t>
      </w:r>
      <w:r w:rsidRPr="00A07816">
        <w:rPr>
          <w:vertAlign w:val="superscript"/>
        </w:rPr>
        <w:t>177</w:t>
      </w:r>
      <w:r w:rsidR="009F7816">
        <w:t>Lu PSMA</w:t>
      </w:r>
      <w:r w:rsidRPr="00E12710">
        <w:t>-617</w:t>
      </w:r>
      <w:r w:rsidRPr="00FC6E60">
        <w:t xml:space="preserve"> results in superior safety compared with </w:t>
      </w:r>
      <w:proofErr w:type="spellStart"/>
      <w:r w:rsidRPr="00FC6E60">
        <w:t>cabazitaxel</w:t>
      </w:r>
      <w:proofErr w:type="spellEnd"/>
      <w:r w:rsidR="002E7D53" w:rsidRPr="00A07816">
        <w:t xml:space="preserve"> </w:t>
      </w:r>
      <w:r w:rsidR="002E7D53" w:rsidRPr="00E12710">
        <w:t xml:space="preserve">among patients with </w:t>
      </w:r>
      <w:proofErr w:type="spellStart"/>
      <w:r w:rsidR="002E7D53" w:rsidRPr="00E12710">
        <w:t>SUV</w:t>
      </w:r>
      <w:r w:rsidR="002E7D53" w:rsidRPr="00E12710">
        <w:rPr>
          <w:vertAlign w:val="subscript"/>
        </w:rPr>
        <w:t>max</w:t>
      </w:r>
      <w:proofErr w:type="spellEnd"/>
      <w:r w:rsidR="002E7D53" w:rsidRPr="00E12710">
        <w:t xml:space="preserve"> </w:t>
      </w:r>
      <w:r w:rsidR="002E7D53" w:rsidRPr="00E12710">
        <w:rPr>
          <w:szCs w:val="20"/>
        </w:rPr>
        <w:t>uptake greater than that of liver parenchyma in one or more metastatic lesions of any size in any organ system</w:t>
      </w:r>
      <w:r w:rsidRPr="00FC6E60">
        <w:t xml:space="preserve">. The use of PSMA PET/CT and </w:t>
      </w:r>
      <w:r w:rsidRPr="00A07816">
        <w:rPr>
          <w:vertAlign w:val="superscript"/>
        </w:rPr>
        <w:t>177</w:t>
      </w:r>
      <w:r w:rsidR="009F7816">
        <w:t>Lu PSMA</w:t>
      </w:r>
      <w:r w:rsidRPr="00E12710">
        <w:t>-617</w:t>
      </w:r>
      <w:r w:rsidRPr="00FC6E60">
        <w:t xml:space="preserve"> results in inferior safety compared with </w:t>
      </w:r>
      <w:r w:rsidR="00DB005C">
        <w:t>best supportive care</w:t>
      </w:r>
      <w:r w:rsidRPr="00FC6E60">
        <w:t xml:space="preserve">. </w:t>
      </w:r>
      <w:r w:rsidRPr="00E12710">
        <w:t>The evidence presented in the ADAR supports th</w:t>
      </w:r>
      <w:r w:rsidR="00417B3F" w:rsidRPr="00E12710">
        <w:t>ese</w:t>
      </w:r>
      <w:r w:rsidRPr="00E12710">
        <w:t xml:space="preserve"> clinical claim</w:t>
      </w:r>
      <w:r w:rsidR="00417B3F" w:rsidRPr="00E12710">
        <w:t>s</w:t>
      </w:r>
      <w:r w:rsidRPr="00CE3F43">
        <w:rPr>
          <w:i/>
          <w:iCs/>
        </w:rPr>
        <w:t>.</w:t>
      </w:r>
    </w:p>
    <w:p w14:paraId="53B4F2B6" w14:textId="5E09339A" w:rsidR="00CE3F43" w:rsidRPr="00E12710" w:rsidRDefault="00E12710" w:rsidP="00073A7D">
      <w:pPr>
        <w:keepNext/>
      </w:pPr>
      <w:r>
        <w:t>T</w:t>
      </w:r>
      <w:r w:rsidR="00FC6E60" w:rsidRPr="00E12710">
        <w:t xml:space="preserve">he commentary </w:t>
      </w:r>
      <w:r>
        <w:t xml:space="preserve">also </w:t>
      </w:r>
      <w:r w:rsidR="00FC6E60" w:rsidRPr="00E12710">
        <w:t>noted</w:t>
      </w:r>
      <w:r>
        <w:t xml:space="preserve"> that,</w:t>
      </w:r>
      <w:r w:rsidR="00CE3F43" w:rsidRPr="00E12710">
        <w:t xml:space="preserve"> as the </w:t>
      </w:r>
      <w:r>
        <w:t xml:space="preserve">MBS listing </w:t>
      </w:r>
      <w:r w:rsidR="00CE3F43" w:rsidRPr="00E12710">
        <w:t xml:space="preserve">proposal relates to </w:t>
      </w:r>
      <w:r w:rsidR="00CE3F43" w:rsidRPr="00E12710">
        <w:rPr>
          <w:vertAlign w:val="superscript"/>
        </w:rPr>
        <w:t>177</w:t>
      </w:r>
      <w:r w:rsidR="009F7816">
        <w:t>Lu </w:t>
      </w:r>
      <w:r w:rsidR="00886914">
        <w:t>PSMA </w:t>
      </w:r>
      <w:proofErr w:type="spellStart"/>
      <w:r w:rsidR="00886914">
        <w:t>i&amp;t</w:t>
      </w:r>
      <w:proofErr w:type="spellEnd"/>
      <w:r w:rsidR="00CE3F43" w:rsidRPr="00E12710">
        <w:t xml:space="preserve"> </w:t>
      </w:r>
      <w:r w:rsidR="00417B3F" w:rsidRPr="00E12710">
        <w:t xml:space="preserve">or </w:t>
      </w:r>
      <w:r w:rsidR="00417B3F" w:rsidRPr="00E12710">
        <w:rPr>
          <w:vertAlign w:val="superscript"/>
        </w:rPr>
        <w:t>177</w:t>
      </w:r>
      <w:r w:rsidR="009F7816">
        <w:t>Lu PSMA</w:t>
      </w:r>
      <w:r w:rsidR="00417B3F" w:rsidRPr="00E12710">
        <w:t xml:space="preserve"> agnostic of product</w:t>
      </w:r>
      <w:r>
        <w:t>,</w:t>
      </w:r>
      <w:r w:rsidR="00417B3F" w:rsidRPr="00E12710">
        <w:t xml:space="preserve"> </w:t>
      </w:r>
      <w:r w:rsidR="00CE3F43" w:rsidRPr="00E12710">
        <w:t>the claims are dependent on MSAC accepting that:</w:t>
      </w:r>
    </w:p>
    <w:p w14:paraId="5FD0254E" w14:textId="25DCB9C7" w:rsidR="00CE3F43" w:rsidRPr="00E12710" w:rsidRDefault="00CE3F43" w:rsidP="00CB0324">
      <w:pPr>
        <w:pStyle w:val="ListParagraph"/>
        <w:numPr>
          <w:ilvl w:val="0"/>
          <w:numId w:val="18"/>
        </w:numPr>
        <w:ind w:left="284" w:hanging="284"/>
      </w:pPr>
      <w:r w:rsidRPr="00E12710">
        <w:rPr>
          <w:vertAlign w:val="superscript"/>
        </w:rPr>
        <w:t>177</w:t>
      </w:r>
      <w:r w:rsidR="009F7816">
        <w:t>Lu </w:t>
      </w:r>
      <w:r w:rsidR="00886914">
        <w:t>PSMA </w:t>
      </w:r>
      <w:proofErr w:type="spellStart"/>
      <w:r w:rsidR="00886914">
        <w:t>i&amp;t</w:t>
      </w:r>
      <w:proofErr w:type="spellEnd"/>
      <w:r w:rsidRPr="00E12710">
        <w:t xml:space="preserve"> is non-inferior to </w:t>
      </w:r>
      <w:r w:rsidRPr="00E12710">
        <w:rPr>
          <w:vertAlign w:val="superscript"/>
        </w:rPr>
        <w:t>177</w:t>
      </w:r>
      <w:r w:rsidR="009F7816">
        <w:t>Lu PSMA</w:t>
      </w:r>
      <w:r w:rsidRPr="00E12710">
        <w:t xml:space="preserve">-617 for the evidence presented </w:t>
      </w:r>
      <w:r w:rsidR="00AC053D" w:rsidRPr="00E12710">
        <w:t xml:space="preserve">in the </w:t>
      </w:r>
      <w:proofErr w:type="spellStart"/>
      <w:r w:rsidR="00AC053D" w:rsidRPr="00E12710">
        <w:t>TheraP</w:t>
      </w:r>
      <w:proofErr w:type="spellEnd"/>
      <w:r w:rsidR="00AC053D" w:rsidRPr="00E12710">
        <w:t xml:space="preserve"> and VISION trials</w:t>
      </w:r>
      <w:r w:rsidRPr="00E12710">
        <w:t xml:space="preserve"> to be applicable to </w:t>
      </w:r>
      <w:r w:rsidRPr="00E12710">
        <w:rPr>
          <w:vertAlign w:val="superscript"/>
        </w:rPr>
        <w:t>177</w:t>
      </w:r>
      <w:r w:rsidR="009F7816">
        <w:t>Lu </w:t>
      </w:r>
      <w:r w:rsidR="00886914">
        <w:t>PSMA </w:t>
      </w:r>
      <w:proofErr w:type="spellStart"/>
      <w:r w:rsidR="00886914">
        <w:t>i&amp;t</w:t>
      </w:r>
      <w:proofErr w:type="spellEnd"/>
      <w:r w:rsidR="00AC053D" w:rsidRPr="00E12710">
        <w:t>.</w:t>
      </w:r>
    </w:p>
    <w:p w14:paraId="4F33FE79" w14:textId="1A44D922" w:rsidR="00CE3F43" w:rsidRPr="00E12710" w:rsidRDefault="00AC053D" w:rsidP="00073A7D">
      <w:pPr>
        <w:pStyle w:val="ListParagraph"/>
        <w:keepNext/>
        <w:numPr>
          <w:ilvl w:val="0"/>
          <w:numId w:val="18"/>
        </w:numPr>
        <w:ind w:left="284" w:hanging="284"/>
      </w:pPr>
      <w:r w:rsidRPr="00E12710">
        <w:t>T</w:t>
      </w:r>
      <w:r w:rsidR="00CE3F43" w:rsidRPr="00E12710">
        <w:t xml:space="preserve">he </w:t>
      </w:r>
      <w:r w:rsidRPr="00E12710">
        <w:t xml:space="preserve">results reported in the </w:t>
      </w:r>
      <w:proofErr w:type="spellStart"/>
      <w:r w:rsidRPr="00E12710">
        <w:t>TheraP</w:t>
      </w:r>
      <w:proofErr w:type="spellEnd"/>
      <w:r w:rsidRPr="00E12710">
        <w:t xml:space="preserve"> and VISION trials</w:t>
      </w:r>
      <w:r w:rsidR="00CE3F43" w:rsidRPr="00E12710">
        <w:t>, among patients who are not entirely representative of the proposed population with respect to PSMA ‘positivity’ would be relevant to the proposed population:</w:t>
      </w:r>
    </w:p>
    <w:p w14:paraId="18B63955" w14:textId="1A53A3FF" w:rsidR="00CE3F43" w:rsidRPr="00E12710" w:rsidRDefault="00CE3F43" w:rsidP="00CB0324">
      <w:pPr>
        <w:pStyle w:val="ListParagraph"/>
        <w:numPr>
          <w:ilvl w:val="0"/>
          <w:numId w:val="19"/>
        </w:numPr>
      </w:pPr>
      <w:proofErr w:type="spellStart"/>
      <w:r w:rsidRPr="00E12710">
        <w:t>TheraP</w:t>
      </w:r>
      <w:proofErr w:type="spellEnd"/>
      <w:r w:rsidRPr="00E12710">
        <w:t xml:space="preserve"> excluded those with </w:t>
      </w:r>
      <w:proofErr w:type="spellStart"/>
      <w:r w:rsidRPr="00E12710">
        <w:t>SUV</w:t>
      </w:r>
      <w:r w:rsidRPr="00E12710">
        <w:rPr>
          <w:vertAlign w:val="subscript"/>
        </w:rPr>
        <w:t>max</w:t>
      </w:r>
      <w:proofErr w:type="spellEnd"/>
      <w:r w:rsidRPr="00E12710">
        <w:t xml:space="preserve"> &gt;15 to &lt;20</w:t>
      </w:r>
      <w:r w:rsidR="00AC053D" w:rsidRPr="00E12710">
        <w:t xml:space="preserve"> at a single site of disease and </w:t>
      </w:r>
      <w:proofErr w:type="spellStart"/>
      <w:r w:rsidR="00AC053D" w:rsidRPr="00E12710">
        <w:t>SUV</w:t>
      </w:r>
      <w:r w:rsidR="00AC053D" w:rsidRPr="00E12710">
        <w:rPr>
          <w:vertAlign w:val="subscript"/>
        </w:rPr>
        <w:t>max</w:t>
      </w:r>
      <w:proofErr w:type="spellEnd"/>
      <w:r w:rsidR="00AC053D" w:rsidRPr="00E12710">
        <w:t xml:space="preserve"> &gt;10 at all sites of measurable disease</w:t>
      </w:r>
      <w:r w:rsidRPr="00E12710">
        <w:t>, which are included in the proposed population</w:t>
      </w:r>
      <w:r w:rsidR="00DE074D" w:rsidRPr="00E12710">
        <w:t xml:space="preserve"> (</w:t>
      </w:r>
      <w:proofErr w:type="spellStart"/>
      <w:r w:rsidR="00DE074D" w:rsidRPr="00E12710">
        <w:t>SUV</w:t>
      </w:r>
      <w:r w:rsidR="00DE074D" w:rsidRPr="00E12710">
        <w:rPr>
          <w:vertAlign w:val="subscript"/>
        </w:rPr>
        <w:t>max</w:t>
      </w:r>
      <w:proofErr w:type="spellEnd"/>
      <w:r w:rsidR="00DE074D" w:rsidRPr="00E12710">
        <w:t xml:space="preserve"> &gt;15 at a single site of disease and </w:t>
      </w:r>
      <w:proofErr w:type="spellStart"/>
      <w:r w:rsidR="00DE074D" w:rsidRPr="00E12710">
        <w:t>SUV</w:t>
      </w:r>
      <w:r w:rsidR="00DE074D" w:rsidRPr="00E12710">
        <w:rPr>
          <w:vertAlign w:val="subscript"/>
        </w:rPr>
        <w:t>max</w:t>
      </w:r>
      <w:proofErr w:type="spellEnd"/>
      <w:r w:rsidR="00DE074D" w:rsidRPr="00E12710">
        <w:t xml:space="preserve"> &gt;10 at all sites of measurable disease)</w:t>
      </w:r>
      <w:r w:rsidRPr="00E12710">
        <w:t>; and</w:t>
      </w:r>
    </w:p>
    <w:p w14:paraId="21C22F66" w14:textId="5E4ABE0D" w:rsidR="00CE3F43" w:rsidRPr="00E12710" w:rsidRDefault="00CE3F43" w:rsidP="00CB0324">
      <w:pPr>
        <w:pStyle w:val="ListParagraph"/>
        <w:numPr>
          <w:ilvl w:val="0"/>
          <w:numId w:val="19"/>
        </w:numPr>
      </w:pPr>
      <w:r w:rsidRPr="00E12710">
        <w:t xml:space="preserve">VISION included those with </w:t>
      </w:r>
      <w:proofErr w:type="spellStart"/>
      <w:r w:rsidRPr="00E12710">
        <w:t>SUV</w:t>
      </w:r>
      <w:r w:rsidRPr="00E12710">
        <w:rPr>
          <w:vertAlign w:val="subscript"/>
        </w:rPr>
        <w:t>max</w:t>
      </w:r>
      <w:proofErr w:type="spellEnd"/>
      <w:r w:rsidRPr="00E12710">
        <w:rPr>
          <w:vertAlign w:val="subscript"/>
        </w:rPr>
        <w:t xml:space="preserve"> </w:t>
      </w:r>
      <w:r w:rsidRPr="00E12710">
        <w:t xml:space="preserve">&gt;liver parenchyma (approximately 5.4; IQR 4.2 – 7.6), </w:t>
      </w:r>
      <w:r w:rsidR="00AC053D" w:rsidRPr="00E12710">
        <w:t xml:space="preserve">some of whom </w:t>
      </w:r>
      <w:r w:rsidR="00DE074D" w:rsidRPr="00E12710">
        <w:t>would be excluded in the</w:t>
      </w:r>
      <w:r w:rsidRPr="00E12710">
        <w:t xml:space="preserve"> proposed population.</w:t>
      </w:r>
    </w:p>
    <w:p w14:paraId="38D1C5B6" w14:textId="4587CAB6" w:rsidR="00AC053D" w:rsidRPr="00E12710" w:rsidRDefault="00AC053D" w:rsidP="00AC053D">
      <w:pPr>
        <w:pStyle w:val="ListParagraph"/>
        <w:numPr>
          <w:ilvl w:val="0"/>
          <w:numId w:val="18"/>
        </w:numPr>
        <w:ind w:left="284" w:hanging="284"/>
      </w:pPr>
      <w:r w:rsidRPr="00E12710">
        <w:t xml:space="preserve">The results reported in the </w:t>
      </w:r>
      <w:proofErr w:type="spellStart"/>
      <w:r w:rsidRPr="00E12710">
        <w:t>TheraP</w:t>
      </w:r>
      <w:proofErr w:type="spellEnd"/>
      <w:r w:rsidRPr="00E12710">
        <w:t xml:space="preserve"> and VISION trials, where PSMA PET/CT was conducted with </w:t>
      </w:r>
      <w:r w:rsidRPr="00E12710">
        <w:rPr>
          <w:vertAlign w:val="superscript"/>
        </w:rPr>
        <w:t>68</w:t>
      </w:r>
      <w:r w:rsidRPr="00E12710">
        <w:t xml:space="preserve">Ga for patient eligibility would be relevant under the proposed restriction which suggests that PSMA PET/CT </w:t>
      </w:r>
      <w:r w:rsidRPr="00E12710">
        <w:rPr>
          <w:bCs/>
        </w:rPr>
        <w:t>be radiotracer agnostic.</w:t>
      </w:r>
    </w:p>
    <w:p w14:paraId="0578718D" w14:textId="14C7338D" w:rsidR="00AC053D" w:rsidRPr="00E12710" w:rsidRDefault="00AC053D" w:rsidP="00AC053D">
      <w:pPr>
        <w:pStyle w:val="ListParagraph"/>
        <w:numPr>
          <w:ilvl w:val="0"/>
          <w:numId w:val="18"/>
        </w:numPr>
        <w:ind w:left="284" w:hanging="284"/>
      </w:pPr>
      <w:r w:rsidRPr="00E12710">
        <w:rPr>
          <w:bCs/>
        </w:rPr>
        <w:t xml:space="preserve">The results reported in </w:t>
      </w:r>
      <w:proofErr w:type="spellStart"/>
      <w:r w:rsidRPr="00E12710">
        <w:rPr>
          <w:bCs/>
        </w:rPr>
        <w:t>TheraP</w:t>
      </w:r>
      <w:proofErr w:type="spellEnd"/>
      <w:r w:rsidRPr="00E12710">
        <w:rPr>
          <w:bCs/>
        </w:rPr>
        <w:t xml:space="preserve">, where eligibility further depended on FDG PET/CT where </w:t>
      </w:r>
      <w:r w:rsidR="00FA09FD" w:rsidRPr="00E12710">
        <w:rPr>
          <w:bCs/>
        </w:rPr>
        <w:t xml:space="preserve">there were </w:t>
      </w:r>
      <w:r w:rsidR="00FA09FD" w:rsidRPr="00E12710">
        <w:rPr>
          <w:szCs w:val="20"/>
        </w:rPr>
        <w:t>no significant sites with PSMA-negative/FDG-positive discordant disease would be applicable to a proposed population where FDG PET/CT would not be required for patient eligibility.</w:t>
      </w:r>
    </w:p>
    <w:p w14:paraId="39115315" w14:textId="5B76EE1C" w:rsidR="00FA09FD" w:rsidRPr="00E12710" w:rsidRDefault="00FA09FD" w:rsidP="00FA09FD">
      <w:pPr>
        <w:pStyle w:val="ListParagraph"/>
        <w:numPr>
          <w:ilvl w:val="0"/>
          <w:numId w:val="18"/>
        </w:numPr>
        <w:ind w:left="284" w:hanging="284"/>
      </w:pPr>
      <w:r w:rsidRPr="00E12710">
        <w:rPr>
          <w:szCs w:val="20"/>
        </w:rPr>
        <w:t>The incremental benefit observed in the VISION trial, relied upon in the economic evaluation, which did not include post-treatment SPECT/CT would be applicable to the proposed population where post-therapy SPECT/CT would be used.</w:t>
      </w:r>
    </w:p>
    <w:p w14:paraId="0D09C9E4" w14:textId="54E4F315" w:rsidR="00772829" w:rsidRDefault="00C36633" w:rsidP="002A18BE">
      <w:pPr>
        <w:pStyle w:val="Heading2"/>
        <w:numPr>
          <w:ilvl w:val="0"/>
          <w:numId w:val="0"/>
        </w:numPr>
      </w:pPr>
      <w:bookmarkStart w:id="37" w:name="_Toc69491425"/>
      <w:r>
        <w:t>1</w:t>
      </w:r>
      <w:r w:rsidR="006669BE">
        <w:t>3</w:t>
      </w:r>
      <w:r>
        <w:t>.</w:t>
      </w:r>
      <w:r>
        <w:tab/>
      </w:r>
      <w:r w:rsidR="00772829" w:rsidRPr="00CE28E3">
        <w:t>Economic evaluation</w:t>
      </w:r>
      <w:bookmarkEnd w:id="37"/>
    </w:p>
    <w:p w14:paraId="30EF507D" w14:textId="604BDC8F" w:rsidR="004D7F99" w:rsidRPr="0049584B" w:rsidRDefault="004D7F99" w:rsidP="004D7F99">
      <w:r>
        <w:t xml:space="preserve">A cost-effectiveness analysis (incorporating a </w:t>
      </w:r>
      <w:r w:rsidR="00E12710">
        <w:t>cost-utility analysis</w:t>
      </w:r>
      <w:r>
        <w:t>) was performed using a p</w:t>
      </w:r>
      <w:r w:rsidRPr="002A5972">
        <w:t xml:space="preserve">artitioned survival cohort </w:t>
      </w:r>
      <w:r>
        <w:t xml:space="preserve">approach using data from both VISION </w:t>
      </w:r>
      <w:r>
        <w:rPr>
          <w:rFonts w:cs="Cambria Math"/>
          <w:szCs w:val="20"/>
        </w:rPr>
        <w:fldChar w:fldCharType="begin">
          <w:fldData xml:space="preserve">PEVuZE5vdGU+PENpdGU+PEF1dGhvcj5TYXJ0b3I8L0F1dGhvcj48WWVhcj4yMDIxPC9ZZWFyPjxS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</w:fldData>
        </w:fldChar>
      </w:r>
      <w:r>
        <w:rPr>
          <w:rFonts w:cs="Cambria Math"/>
          <w:szCs w:val="20"/>
        </w:rPr>
        <w:instrText xml:space="preserve"> ADDIN EN.CITE </w:instrText>
      </w:r>
      <w:r>
        <w:rPr>
          <w:rFonts w:cs="Cambria Math"/>
          <w:szCs w:val="20"/>
        </w:rPr>
        <w:fldChar w:fldCharType="begin">
          <w:fldData xml:space="preserve">PEVuZE5vdGU+PENpdGU+PEF1dGhvcj5TYXJ0b3I8L0F1dGhvcj48WWVhcj4yMDIxPC9ZZWFyPjxS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</w:fldData>
        </w:fldChar>
      </w:r>
      <w:r>
        <w:rPr>
          <w:rFonts w:cs="Cambria Math"/>
          <w:szCs w:val="20"/>
        </w:rPr>
        <w:instrText xml:space="preserve"> ADDIN EN.CITE.DATA </w:instrText>
      </w:r>
      <w:r>
        <w:rPr>
          <w:rFonts w:cs="Cambria Math"/>
          <w:szCs w:val="20"/>
        </w:rPr>
      </w:r>
      <w:r>
        <w:rPr>
          <w:rFonts w:cs="Cambria Math"/>
          <w:szCs w:val="20"/>
        </w:rPr>
        <w:fldChar w:fldCharType="end"/>
      </w:r>
      <w:r>
        <w:rPr>
          <w:rFonts w:cs="Cambria Math"/>
          <w:szCs w:val="20"/>
        </w:rPr>
      </w:r>
      <w:r>
        <w:rPr>
          <w:rFonts w:cs="Cambria Math"/>
          <w:szCs w:val="20"/>
        </w:rPr>
        <w:fldChar w:fldCharType="separate"/>
      </w:r>
      <w:r>
        <w:rPr>
          <w:rFonts w:cs="Cambria Math"/>
          <w:szCs w:val="20"/>
        </w:rPr>
        <w:t>(Sartor et al., 2021)</w:t>
      </w:r>
      <w:r>
        <w:rPr>
          <w:rFonts w:cs="Cambria Math"/>
          <w:szCs w:val="20"/>
        </w:rPr>
        <w:fldChar w:fldCharType="end"/>
      </w:r>
      <w:r>
        <w:rPr>
          <w:rFonts w:cs="Cambria Math"/>
          <w:szCs w:val="20"/>
        </w:rPr>
        <w:t xml:space="preserve"> and </w:t>
      </w:r>
      <w:proofErr w:type="spellStart"/>
      <w:r>
        <w:rPr>
          <w:rFonts w:cs="Cambria Math"/>
          <w:szCs w:val="20"/>
        </w:rPr>
        <w:t>TheraP</w:t>
      </w:r>
      <w:proofErr w:type="spellEnd"/>
      <w:r>
        <w:rPr>
          <w:rFonts w:cs="Cambria Math"/>
          <w:szCs w:val="20"/>
        </w:rPr>
        <w:t xml:space="preserve"> </w:t>
      </w:r>
      <w:r>
        <w:rPr>
          <w:rFonts w:cs="Cambria Math"/>
          <w:szCs w:val="20"/>
        </w:rPr>
        <w:fldChar w:fldCharType="begin">
          <w:fldData xml:space="preserve">PEVuZE5vdGU+PENpdGU+PEF1dGhvcj5Ib2ZtYW48L0F1dGhvcj48WWVhcj4yMDIxPC9ZZWFyPjxS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</w:fldData>
        </w:fldChar>
      </w:r>
      <w:r>
        <w:rPr>
          <w:rFonts w:cs="Cambria Math"/>
          <w:szCs w:val="20"/>
        </w:rPr>
        <w:instrText xml:space="preserve"> ADDIN EN.CITE </w:instrText>
      </w:r>
      <w:r>
        <w:rPr>
          <w:rFonts w:cs="Cambria Math"/>
          <w:szCs w:val="20"/>
        </w:rPr>
        <w:fldChar w:fldCharType="begin">
          <w:fldData xml:space="preserve">PEVuZE5vdGU+PENpdGU+PEF1dGhvcj5Ib2ZtYW48L0F1dGhvcj48WWVhcj4yMDIxPC9ZZWFyPjxS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</w:fldData>
        </w:fldChar>
      </w:r>
      <w:r>
        <w:rPr>
          <w:rFonts w:cs="Cambria Math"/>
          <w:szCs w:val="20"/>
        </w:rPr>
        <w:instrText xml:space="preserve"> ADDIN EN.CITE.DATA </w:instrText>
      </w:r>
      <w:r>
        <w:rPr>
          <w:rFonts w:cs="Cambria Math"/>
          <w:szCs w:val="20"/>
        </w:rPr>
      </w:r>
      <w:r>
        <w:rPr>
          <w:rFonts w:cs="Cambria Math"/>
          <w:szCs w:val="20"/>
        </w:rPr>
        <w:fldChar w:fldCharType="end"/>
      </w:r>
      <w:r>
        <w:rPr>
          <w:rFonts w:cs="Cambria Math"/>
          <w:szCs w:val="20"/>
        </w:rPr>
      </w:r>
      <w:r>
        <w:rPr>
          <w:rFonts w:cs="Cambria Math"/>
          <w:szCs w:val="20"/>
        </w:rPr>
        <w:fldChar w:fldCharType="separate"/>
      </w:r>
      <w:r>
        <w:rPr>
          <w:rFonts w:cs="Cambria Math"/>
          <w:szCs w:val="20"/>
        </w:rPr>
        <w:t>(</w:t>
      </w:r>
      <w:proofErr w:type="spellStart"/>
      <w:r>
        <w:rPr>
          <w:rFonts w:cs="Cambria Math"/>
          <w:szCs w:val="20"/>
        </w:rPr>
        <w:t>Hofman</w:t>
      </w:r>
      <w:proofErr w:type="spellEnd"/>
      <w:r>
        <w:rPr>
          <w:rFonts w:cs="Cambria Math"/>
          <w:szCs w:val="20"/>
        </w:rPr>
        <w:t xml:space="preserve"> et al., 2021)</w:t>
      </w:r>
      <w:r>
        <w:rPr>
          <w:rFonts w:cs="Cambria Math"/>
          <w:szCs w:val="20"/>
        </w:rPr>
        <w:fldChar w:fldCharType="end"/>
      </w:r>
      <w:r>
        <w:rPr>
          <w:rFonts w:cs="Cambria Math"/>
          <w:szCs w:val="20"/>
        </w:rPr>
        <w:t>.</w:t>
      </w:r>
      <w:r>
        <w:t xml:space="preserve"> </w:t>
      </w:r>
      <w:r>
        <w:rPr>
          <w:rFonts w:cs="Cambria Math"/>
          <w:szCs w:val="20"/>
        </w:rPr>
        <w:t xml:space="preserve">A proportional hazards approach was </w:t>
      </w:r>
      <w:r w:rsidRPr="00F5623B">
        <w:rPr>
          <w:rFonts w:cs="Cambria Math"/>
          <w:szCs w:val="20"/>
        </w:rPr>
        <w:t>adopted</w:t>
      </w:r>
      <w:r w:rsidR="00F5623B" w:rsidRPr="00F5623B">
        <w:rPr>
          <w:rFonts w:cs="Cambria Math"/>
          <w:szCs w:val="20"/>
        </w:rPr>
        <w:t xml:space="preserve">. </w:t>
      </w:r>
      <w:r w:rsidR="00A07816" w:rsidRPr="00A07816">
        <w:rPr>
          <w:rFonts w:cs="Cambria Math"/>
          <w:szCs w:val="20"/>
        </w:rPr>
        <w:t xml:space="preserve">The commentary considered that </w:t>
      </w:r>
      <w:r w:rsidR="00A07816">
        <w:t>t</w:t>
      </w:r>
      <w:r w:rsidR="00F5623B" w:rsidRPr="00794A18">
        <w:t xml:space="preserve">he use of a proportional hazards approach is a large cause of uncertainty in the model as the </w:t>
      </w:r>
      <w:r w:rsidR="001553F0" w:rsidRPr="00794A18">
        <w:t>hazard ratios (</w:t>
      </w:r>
      <w:r w:rsidR="00F5623B" w:rsidRPr="00794A18">
        <w:t>HRs</w:t>
      </w:r>
      <w:r w:rsidR="001553F0" w:rsidRPr="00794A18">
        <w:t>)</w:t>
      </w:r>
      <w:r w:rsidR="00F5623B" w:rsidRPr="00794A18">
        <w:t xml:space="preserve"> seen over the trial durations may not be </w:t>
      </w:r>
      <w:r w:rsidR="00E12710">
        <w:t xml:space="preserve">continued </w:t>
      </w:r>
      <w:r w:rsidR="00F5623B" w:rsidRPr="00E12710">
        <w:t xml:space="preserve">during the extrapolated </w:t>
      </w:r>
      <w:proofErr w:type="gramStart"/>
      <w:r w:rsidR="00F5623B" w:rsidRPr="00E12710">
        <w:t>time</w:t>
      </w:r>
      <w:r w:rsidR="00DC4121">
        <w:t xml:space="preserve"> </w:t>
      </w:r>
      <w:r w:rsidR="00F5623B" w:rsidRPr="00E12710">
        <w:t>period</w:t>
      </w:r>
      <w:proofErr w:type="gramEnd"/>
      <w:r w:rsidR="00F5623B" w:rsidRPr="00E12710">
        <w:t>. This is a particularly prominent issue given the proportion of the model’s time</w:t>
      </w:r>
      <w:r w:rsidR="00DC4121">
        <w:t xml:space="preserve"> </w:t>
      </w:r>
      <w:r w:rsidR="00F5623B" w:rsidRPr="00E12710">
        <w:t>horizon in the base</w:t>
      </w:r>
      <w:r w:rsidR="00E12710">
        <w:t xml:space="preserve"> </w:t>
      </w:r>
      <w:r w:rsidR="00F5623B" w:rsidRPr="00E12710">
        <w:t xml:space="preserve">case informed by extrapolation (approximately 85%). The impact this has on the ICER is unclear. </w:t>
      </w:r>
      <w:r w:rsidR="00F5623B" w:rsidRPr="00A07816">
        <w:rPr>
          <w:rFonts w:cs="Cambria Math"/>
          <w:szCs w:val="20"/>
        </w:rPr>
        <w:t>A</w:t>
      </w:r>
      <w:r w:rsidRPr="00A07816">
        <w:rPr>
          <w:rFonts w:cs="Cambria Math"/>
          <w:szCs w:val="20"/>
        </w:rPr>
        <w:t xml:space="preserve"> 10-year time horizon</w:t>
      </w:r>
      <w:r w:rsidR="00F5623B" w:rsidRPr="00A07816">
        <w:rPr>
          <w:rFonts w:cs="Cambria Math"/>
          <w:szCs w:val="20"/>
        </w:rPr>
        <w:t xml:space="preserve"> was applied</w:t>
      </w:r>
      <w:r w:rsidRPr="00A07816">
        <w:rPr>
          <w:rFonts w:cs="Cambria Math"/>
          <w:szCs w:val="20"/>
        </w:rPr>
        <w:t xml:space="preserve">. </w:t>
      </w:r>
      <w:r w:rsidRPr="0049584B">
        <w:rPr>
          <w:rFonts w:cs="Cambria Math"/>
          <w:szCs w:val="20"/>
        </w:rPr>
        <w:t xml:space="preserve">The </w:t>
      </w:r>
      <w:r w:rsidR="00A07816">
        <w:rPr>
          <w:rFonts w:cs="Cambria Math"/>
          <w:szCs w:val="20"/>
        </w:rPr>
        <w:t xml:space="preserve">commentary considered that the </w:t>
      </w:r>
      <w:r w:rsidRPr="0049584B">
        <w:rPr>
          <w:rFonts w:cs="Cambria Math"/>
          <w:szCs w:val="20"/>
        </w:rPr>
        <w:t xml:space="preserve">time horizon </w:t>
      </w:r>
      <w:r w:rsidR="00DC4121">
        <w:rPr>
          <w:rFonts w:cs="Cambria Math"/>
          <w:szCs w:val="20"/>
        </w:rPr>
        <w:t>wa</w:t>
      </w:r>
      <w:r w:rsidRPr="0049584B">
        <w:rPr>
          <w:rFonts w:cs="Cambria Math"/>
          <w:szCs w:val="20"/>
        </w:rPr>
        <w:t>s excessive</w:t>
      </w:r>
      <w:r w:rsidR="00706748" w:rsidRPr="0049584B">
        <w:rPr>
          <w:rFonts w:cs="Cambria Math"/>
          <w:szCs w:val="20"/>
        </w:rPr>
        <w:t xml:space="preserve">; the PBAC has previously considered that a </w:t>
      </w:r>
      <w:proofErr w:type="gramStart"/>
      <w:r w:rsidR="00706748" w:rsidRPr="0049584B">
        <w:rPr>
          <w:rFonts w:cs="Cambria Math"/>
          <w:szCs w:val="20"/>
        </w:rPr>
        <w:t>5</w:t>
      </w:r>
      <w:r w:rsidR="008F1025">
        <w:rPr>
          <w:rFonts w:cs="Cambria Math"/>
          <w:szCs w:val="20"/>
        </w:rPr>
        <w:t> </w:t>
      </w:r>
      <w:r w:rsidR="00706748" w:rsidRPr="0049584B">
        <w:rPr>
          <w:rFonts w:cs="Cambria Math"/>
          <w:szCs w:val="20"/>
        </w:rPr>
        <w:t>year</w:t>
      </w:r>
      <w:proofErr w:type="gramEnd"/>
      <w:r w:rsidR="00706748" w:rsidRPr="0049584B">
        <w:rPr>
          <w:rFonts w:cs="Cambria Math"/>
          <w:szCs w:val="20"/>
        </w:rPr>
        <w:t xml:space="preserve"> time horizon would </w:t>
      </w:r>
      <w:r w:rsidR="00706748" w:rsidRPr="0049584B">
        <w:t xml:space="preserve">more appropriately represent later-line </w:t>
      </w:r>
      <w:proofErr w:type="spellStart"/>
      <w:r w:rsidR="00706748" w:rsidRPr="0049584B">
        <w:t>mCRPC</w:t>
      </w:r>
      <w:proofErr w:type="spellEnd"/>
      <w:r w:rsidR="00706748" w:rsidRPr="0049584B">
        <w:t xml:space="preserve"> treatment (paragraph 7.11, Olaparib March 2021 PSD) and the modelled economic evaluation presented for abiraterone was reported to be 7 years in duration (Abiraterone November 2012 PSD)</w:t>
      </w:r>
      <w:r w:rsidRPr="0049584B">
        <w:rPr>
          <w:rFonts w:cs="Cambria Math"/>
          <w:szCs w:val="20"/>
        </w:rPr>
        <w:t>.</w:t>
      </w:r>
      <w:r>
        <w:rPr>
          <w:rFonts w:cs="Cambria Math"/>
          <w:i/>
          <w:iCs/>
          <w:szCs w:val="20"/>
        </w:rPr>
        <w:t xml:space="preserve"> </w:t>
      </w:r>
      <w:r>
        <w:t xml:space="preserve">The key components of the model are presented in </w:t>
      </w:r>
      <w:r w:rsidR="00983D23">
        <w:t xml:space="preserve">Table </w:t>
      </w:r>
      <w:r w:rsidR="00F52F26">
        <w:t>9</w:t>
      </w:r>
      <w:r>
        <w:t>.</w:t>
      </w:r>
    </w:p>
    <w:p w14:paraId="094C991D" w14:textId="3995AB8F" w:rsidR="004D7F99" w:rsidRDefault="004D7F99" w:rsidP="004D7F99">
      <w:pPr>
        <w:pStyle w:val="Caption"/>
      </w:pPr>
      <w:bookmarkStart w:id="38" w:name="_Ref93232760"/>
      <w:r>
        <w:lastRenderedPageBreak/>
        <w:t xml:space="preserve">Table </w:t>
      </w:r>
      <w:bookmarkEnd w:id="38"/>
      <w:r w:rsidR="00F52F26">
        <w:t>9</w:t>
      </w:r>
      <w:r>
        <w:tab/>
      </w:r>
      <w:r w:rsidRPr="00356E33">
        <w:t>Key components of the economic evaluation</w:t>
      </w:r>
    </w:p>
    <w:tbl>
      <w:tblPr>
        <w:tblStyle w:val="TableGrid1"/>
        <w:tblW w:w="5000" w:type="pct"/>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1567"/>
        <w:gridCol w:w="7449"/>
      </w:tblGrid>
      <w:tr w:rsidR="004D7F99" w:rsidRPr="00CE28E3" w14:paraId="5D9EC3A2" w14:textId="77777777" w:rsidTr="004856FF">
        <w:trPr>
          <w:cnfStyle w:val="100000000000" w:firstRow="1" w:lastRow="0" w:firstColumn="0" w:lastColumn="0" w:oddVBand="0" w:evenVBand="0" w:oddHBand="0" w:evenHBand="0" w:firstRowFirstColumn="0" w:firstRowLastColumn="0" w:lastRowFirstColumn="0" w:lastRowLastColumn="0"/>
          <w:trHeight w:val="70"/>
          <w:tblHeader/>
        </w:trPr>
        <w:tc>
          <w:tcPr>
            <w:tcW w:w="869" w:type="pct"/>
          </w:tcPr>
          <w:p w14:paraId="0608AE5D" w14:textId="77777777" w:rsidR="004D7F99" w:rsidRPr="000449D1" w:rsidRDefault="004D7F99" w:rsidP="00706748">
            <w:pPr>
              <w:pStyle w:val="TableHeading"/>
              <w:keepNext w:val="0"/>
            </w:pPr>
            <w:r w:rsidRPr="000449D1">
              <w:t>Component</w:t>
            </w:r>
          </w:p>
        </w:tc>
        <w:tc>
          <w:tcPr>
            <w:tcW w:w="4131" w:type="pct"/>
          </w:tcPr>
          <w:p w14:paraId="1615CE79" w14:textId="77777777" w:rsidR="004D7F99" w:rsidRPr="000449D1" w:rsidRDefault="004D7F99" w:rsidP="00706748">
            <w:pPr>
              <w:pStyle w:val="TableHeading"/>
              <w:keepNext w:val="0"/>
            </w:pPr>
            <w:r w:rsidRPr="000449D1">
              <w:t>Description</w:t>
            </w:r>
          </w:p>
        </w:tc>
      </w:tr>
      <w:tr w:rsidR="004D7F99" w:rsidRPr="000449D1" w14:paraId="49FB7E43" w14:textId="77777777" w:rsidTr="004856FF">
        <w:tc>
          <w:tcPr>
            <w:tcW w:w="869" w:type="pct"/>
          </w:tcPr>
          <w:p w14:paraId="2EC4093A" w14:textId="77777777" w:rsidR="004D7F99" w:rsidRPr="000449D1" w:rsidRDefault="004D7F99" w:rsidP="00706748">
            <w:pPr>
              <w:pStyle w:val="TableText"/>
              <w:rPr>
                <w:rFonts w:cs="Cambria Math"/>
              </w:rPr>
            </w:pPr>
            <w:r w:rsidRPr="000449D1">
              <w:rPr>
                <w:rFonts w:cs="Cambria Math"/>
              </w:rPr>
              <w:t>Perspective</w:t>
            </w:r>
          </w:p>
        </w:tc>
        <w:tc>
          <w:tcPr>
            <w:tcW w:w="4131" w:type="pct"/>
          </w:tcPr>
          <w:p w14:paraId="31A2B4B6" w14:textId="77777777" w:rsidR="004D7F99" w:rsidRPr="000449D1" w:rsidRDefault="004D7F99" w:rsidP="00706748">
            <w:pPr>
              <w:pStyle w:val="TableText"/>
              <w:rPr>
                <w:rFonts w:cs="Cambria Math"/>
              </w:rPr>
            </w:pPr>
            <w:r>
              <w:rPr>
                <w:rFonts w:cs="Cambria Math"/>
              </w:rPr>
              <w:t>Australian healthcare perspective</w:t>
            </w:r>
          </w:p>
        </w:tc>
      </w:tr>
      <w:tr w:rsidR="004D7F99" w:rsidRPr="000449D1" w14:paraId="0B7567FB" w14:textId="77777777" w:rsidTr="004856FF">
        <w:trPr>
          <w:tblHeader/>
        </w:trPr>
        <w:tc>
          <w:tcPr>
            <w:tcW w:w="869" w:type="pct"/>
          </w:tcPr>
          <w:p w14:paraId="5027A981" w14:textId="77777777" w:rsidR="004D7F99" w:rsidRPr="000449D1" w:rsidRDefault="004D7F99" w:rsidP="00706748">
            <w:pPr>
              <w:pStyle w:val="TableText"/>
              <w:rPr>
                <w:rFonts w:cs="Cambria Math"/>
              </w:rPr>
            </w:pPr>
            <w:r w:rsidRPr="000449D1">
              <w:rPr>
                <w:rFonts w:cs="Cambria Math"/>
              </w:rPr>
              <w:t>Population</w:t>
            </w:r>
          </w:p>
        </w:tc>
        <w:tc>
          <w:tcPr>
            <w:tcW w:w="4131" w:type="pct"/>
          </w:tcPr>
          <w:p w14:paraId="1C9E998D" w14:textId="51D3E9FE" w:rsidR="004D7F99" w:rsidRPr="00F34F53" w:rsidRDefault="004D7F99" w:rsidP="00706748">
            <w:pPr>
              <w:pStyle w:val="TableText"/>
              <w:rPr>
                <w:rFonts w:cs="Cambria Math"/>
              </w:rPr>
            </w:pPr>
            <w:r w:rsidRPr="00F34F53">
              <w:rPr>
                <w:rFonts w:cs="Cambria Math"/>
              </w:rPr>
              <w:t xml:space="preserve">Patients with </w:t>
            </w:r>
            <w:proofErr w:type="spellStart"/>
            <w:r w:rsidRPr="00F34F53">
              <w:rPr>
                <w:rFonts w:cs="Cambria Math"/>
              </w:rPr>
              <w:t>mCRPC</w:t>
            </w:r>
            <w:proofErr w:type="spellEnd"/>
            <w:r w:rsidRPr="00F34F53">
              <w:rPr>
                <w:rFonts w:cs="Cambria Math"/>
              </w:rPr>
              <w:t xml:space="preserve"> who have received at least one ASI (</w:t>
            </w:r>
            <w:proofErr w:type="gramStart"/>
            <w:r w:rsidRPr="00F34F53">
              <w:rPr>
                <w:rFonts w:cs="Cambria Math"/>
              </w:rPr>
              <w:t>i.e.</w:t>
            </w:r>
            <w:proofErr w:type="gramEnd"/>
            <w:r w:rsidRPr="00F34F53">
              <w:rPr>
                <w:rFonts w:cs="Cambria Math"/>
              </w:rPr>
              <w:t xml:space="preserve"> abiraterone, enzalutamide or </w:t>
            </w:r>
            <w:proofErr w:type="spellStart"/>
            <w:r w:rsidRPr="00F34F53">
              <w:rPr>
                <w:rFonts w:cs="Cambria Math"/>
              </w:rPr>
              <w:t>darolutamide</w:t>
            </w:r>
            <w:proofErr w:type="spellEnd"/>
            <w:r w:rsidRPr="00F34F53">
              <w:rPr>
                <w:rFonts w:cs="Cambria Math"/>
              </w:rPr>
              <w:t xml:space="preserve"> via PBS/RPBS) as well as at least one line of chemotherapy (docetaxel +/- </w:t>
            </w:r>
            <w:proofErr w:type="spellStart"/>
            <w:r w:rsidRPr="00F34F53">
              <w:rPr>
                <w:rFonts w:cs="Cambria Math"/>
              </w:rPr>
              <w:t>cabazitaxel</w:t>
            </w:r>
            <w:proofErr w:type="spellEnd"/>
            <w:r w:rsidRPr="00F34F53">
              <w:rPr>
                <w:rFonts w:cs="Cambria Math"/>
              </w:rPr>
              <w:t xml:space="preserve"> via PBS/RPBS) in the setting of </w:t>
            </w:r>
            <w:proofErr w:type="spellStart"/>
            <w:r w:rsidRPr="00F34F53">
              <w:rPr>
                <w:rFonts w:cs="Cambria Math"/>
              </w:rPr>
              <w:t>mCRPC</w:t>
            </w:r>
            <w:proofErr w:type="spellEnd"/>
            <w:r w:rsidRPr="00F34F53">
              <w:rPr>
                <w:rFonts w:cs="Cambria Math"/>
              </w:rPr>
              <w:t>.</w:t>
            </w:r>
          </w:p>
        </w:tc>
      </w:tr>
      <w:tr w:rsidR="004D7F99" w:rsidRPr="000449D1" w14:paraId="00B9EF70" w14:textId="77777777" w:rsidTr="004856FF">
        <w:tc>
          <w:tcPr>
            <w:tcW w:w="869" w:type="pct"/>
          </w:tcPr>
          <w:p w14:paraId="3222ACAD" w14:textId="77777777" w:rsidR="004D7F99" w:rsidRPr="000449D1" w:rsidRDefault="004D7F99" w:rsidP="00706748">
            <w:pPr>
              <w:pStyle w:val="TableText"/>
              <w:rPr>
                <w:rFonts w:cs="Cambria Math"/>
              </w:rPr>
            </w:pPr>
            <w:r w:rsidRPr="000449D1">
              <w:rPr>
                <w:rFonts w:cs="Cambria Math"/>
              </w:rPr>
              <w:t>Prior testing</w:t>
            </w:r>
          </w:p>
        </w:tc>
        <w:tc>
          <w:tcPr>
            <w:tcW w:w="4131" w:type="pct"/>
          </w:tcPr>
          <w:p w14:paraId="7F980594" w14:textId="77777777" w:rsidR="004D7F99" w:rsidRDefault="003A5D8C" w:rsidP="00706748">
            <w:pPr>
              <w:pStyle w:val="TableText"/>
              <w:rPr>
                <w:rFonts w:cs="Cambria Math"/>
              </w:rPr>
            </w:pPr>
            <w:r>
              <w:rPr>
                <w:rFonts w:cs="Cambria Math"/>
              </w:rPr>
              <w:t xml:space="preserve">Intervention: </w:t>
            </w:r>
            <w:r w:rsidR="004D7F99">
              <w:rPr>
                <w:rFonts w:cs="Cambria Math"/>
              </w:rPr>
              <w:t xml:space="preserve">PSMA PET/CT (data informed by </w:t>
            </w:r>
            <w:proofErr w:type="spellStart"/>
            <w:r w:rsidR="004D7F99">
              <w:rPr>
                <w:rFonts w:cs="Cambria Math"/>
              </w:rPr>
              <w:t>TheraP</w:t>
            </w:r>
            <w:proofErr w:type="spellEnd"/>
            <w:r w:rsidR="004D7F99">
              <w:rPr>
                <w:rFonts w:cs="Cambria Math"/>
              </w:rPr>
              <w:t xml:space="preserve"> </w:t>
            </w:r>
            <w:r w:rsidR="004D7F99">
              <w:rPr>
                <w:rFonts w:cs="Cambria Math"/>
              </w:rPr>
              <w:fldChar w:fldCharType="begin">
                <w:fldData xml:space="preserve">PEVuZE5vdGU+PENpdGU+PEF1dGhvcj5Ib2ZtYW48L0F1dGhvcj48WWVhcj4yMDIxPC9ZZWFyPjxS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</w:fldData>
              </w:fldChar>
            </w:r>
            <w:r w:rsidR="004D7F99">
              <w:rPr>
                <w:rFonts w:cs="Cambria Math"/>
              </w:rPr>
              <w:instrText xml:space="preserve"> ADDIN EN.CITE </w:instrText>
            </w:r>
            <w:r w:rsidR="004D7F99">
              <w:rPr>
                <w:rFonts w:cs="Cambria Math"/>
              </w:rPr>
              <w:fldChar w:fldCharType="begin">
                <w:fldData xml:space="preserve">PEVuZE5vdGU+PENpdGU+PEF1dGhvcj5Ib2ZtYW48L0F1dGhvcj48WWVhcj4yMDIxPC9ZZWFyPjxS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</w:fldData>
              </w:fldChar>
            </w:r>
            <w:r w:rsidR="004D7F99">
              <w:rPr>
                <w:rFonts w:cs="Cambria Math"/>
              </w:rPr>
              <w:instrText xml:space="preserve"> ADDIN EN.CITE.DATA </w:instrText>
            </w:r>
            <w:r w:rsidR="004D7F99">
              <w:rPr>
                <w:rFonts w:cs="Cambria Math"/>
              </w:rPr>
            </w:r>
            <w:r w:rsidR="004D7F99">
              <w:rPr>
                <w:rFonts w:cs="Cambria Math"/>
              </w:rPr>
              <w:fldChar w:fldCharType="end"/>
            </w:r>
            <w:r w:rsidR="004D7F99">
              <w:rPr>
                <w:rFonts w:cs="Cambria Math"/>
              </w:rPr>
            </w:r>
            <w:r w:rsidR="004D7F99">
              <w:rPr>
                <w:rFonts w:cs="Cambria Math"/>
              </w:rPr>
              <w:fldChar w:fldCharType="separate"/>
            </w:r>
            <w:r w:rsidR="004D7F99">
              <w:rPr>
                <w:rFonts w:cs="Cambria Math"/>
              </w:rPr>
              <w:t>(</w:t>
            </w:r>
            <w:proofErr w:type="spellStart"/>
            <w:r w:rsidR="004D7F99">
              <w:rPr>
                <w:rFonts w:cs="Cambria Math"/>
              </w:rPr>
              <w:t>Hofman</w:t>
            </w:r>
            <w:proofErr w:type="spellEnd"/>
            <w:r w:rsidR="004D7F99">
              <w:rPr>
                <w:rFonts w:cs="Cambria Math"/>
              </w:rPr>
              <w:t xml:space="preserve"> et al., 2021)</w:t>
            </w:r>
            <w:r w:rsidR="004D7F99">
              <w:rPr>
                <w:rFonts w:cs="Cambria Math"/>
              </w:rPr>
              <w:fldChar w:fldCharType="end"/>
            </w:r>
            <w:r w:rsidR="004D7F99">
              <w:rPr>
                <w:rFonts w:cs="Cambria Math"/>
              </w:rPr>
              <w:t>)</w:t>
            </w:r>
          </w:p>
          <w:p w14:paraId="77472DEE" w14:textId="3F88AEA4" w:rsidR="00A0232C" w:rsidRPr="000449D1" w:rsidRDefault="00A0232C" w:rsidP="00706748">
            <w:pPr>
              <w:pStyle w:val="TableText"/>
              <w:rPr>
                <w:rFonts w:cs="Cambria Math"/>
              </w:rPr>
            </w:pPr>
            <w:r>
              <w:rPr>
                <w:rFonts w:cs="Cambria Math"/>
              </w:rPr>
              <w:t>Comparator: no prior testing</w:t>
            </w:r>
          </w:p>
        </w:tc>
      </w:tr>
      <w:tr w:rsidR="004D7F99" w:rsidRPr="000449D1" w14:paraId="22FBC62B" w14:textId="77777777" w:rsidTr="004856FF">
        <w:tc>
          <w:tcPr>
            <w:tcW w:w="869" w:type="pct"/>
          </w:tcPr>
          <w:p w14:paraId="7823456B" w14:textId="77777777" w:rsidR="004D7F99" w:rsidRPr="000449D1" w:rsidRDefault="004D7F99" w:rsidP="00706748">
            <w:pPr>
              <w:pStyle w:val="TableText"/>
              <w:rPr>
                <w:rFonts w:cs="Cambria Math"/>
              </w:rPr>
            </w:pPr>
            <w:r w:rsidRPr="000449D1">
              <w:rPr>
                <w:rFonts w:cs="Cambria Math"/>
              </w:rPr>
              <w:t>Comparator</w:t>
            </w:r>
          </w:p>
        </w:tc>
        <w:tc>
          <w:tcPr>
            <w:tcW w:w="4131" w:type="pct"/>
          </w:tcPr>
          <w:p w14:paraId="7C2B20BD" w14:textId="4A95E2FF" w:rsidR="004D7F99" w:rsidRDefault="004D7F99" w:rsidP="00706748">
            <w:pPr>
              <w:pStyle w:val="TableText"/>
              <w:rPr>
                <w:rFonts w:cs="Cambria Math"/>
              </w:rPr>
            </w:pPr>
            <w:r>
              <w:rPr>
                <w:rFonts w:cs="Cambria Math"/>
              </w:rPr>
              <w:t>Base</w:t>
            </w:r>
            <w:r w:rsidR="00E12710">
              <w:rPr>
                <w:rFonts w:cs="Cambria Math"/>
              </w:rPr>
              <w:t xml:space="preserve"> </w:t>
            </w:r>
            <w:r>
              <w:rPr>
                <w:rFonts w:cs="Cambria Math"/>
              </w:rPr>
              <w:t xml:space="preserve">case: </w:t>
            </w:r>
            <w:r w:rsidR="00F34F53">
              <w:rPr>
                <w:rFonts w:cs="Cambria Math"/>
              </w:rPr>
              <w:t>w</w:t>
            </w:r>
            <w:r>
              <w:rPr>
                <w:rFonts w:cs="Cambria Math"/>
              </w:rPr>
              <w:t xml:space="preserve">eighted comparator of 75% </w:t>
            </w:r>
            <w:proofErr w:type="spellStart"/>
            <w:r>
              <w:rPr>
                <w:rFonts w:cs="Cambria Math"/>
              </w:rPr>
              <w:t>cabazitaxel</w:t>
            </w:r>
            <w:proofErr w:type="spellEnd"/>
            <w:r>
              <w:rPr>
                <w:rFonts w:cs="Cambria Math"/>
              </w:rPr>
              <w:t xml:space="preserve"> and 25% </w:t>
            </w:r>
            <w:r w:rsidR="00DB005C">
              <w:t>best supportive care</w:t>
            </w:r>
            <w:r>
              <w:rPr>
                <w:rFonts w:cs="Cambria Math"/>
              </w:rPr>
              <w:t>.</w:t>
            </w:r>
          </w:p>
          <w:p w14:paraId="1D93FC9B" w14:textId="64CE306C" w:rsidR="004D7F99" w:rsidRDefault="004D7F99" w:rsidP="00706748">
            <w:pPr>
              <w:pStyle w:val="TableText"/>
              <w:rPr>
                <w:rFonts w:cs="Cambria Math"/>
              </w:rPr>
            </w:pPr>
            <w:r>
              <w:rPr>
                <w:rFonts w:cs="Cambria Math"/>
              </w:rPr>
              <w:t>Alternative base</w:t>
            </w:r>
            <w:r w:rsidR="00E12710">
              <w:rPr>
                <w:rFonts w:cs="Cambria Math"/>
              </w:rPr>
              <w:t xml:space="preserve"> </w:t>
            </w:r>
            <w:r>
              <w:rPr>
                <w:rFonts w:cs="Cambria Math"/>
              </w:rPr>
              <w:t xml:space="preserve">case: </w:t>
            </w:r>
            <w:r w:rsidR="00F34F53">
              <w:rPr>
                <w:rFonts w:cs="Cambria Math"/>
              </w:rPr>
              <w:t>w</w:t>
            </w:r>
            <w:r>
              <w:rPr>
                <w:rFonts w:cs="Cambria Math"/>
              </w:rPr>
              <w:t xml:space="preserve">eighted comparator of 25% </w:t>
            </w:r>
            <w:proofErr w:type="spellStart"/>
            <w:r>
              <w:rPr>
                <w:rFonts w:cs="Cambria Math"/>
              </w:rPr>
              <w:t>cabazitaxel</w:t>
            </w:r>
            <w:proofErr w:type="spellEnd"/>
            <w:r>
              <w:rPr>
                <w:rFonts w:cs="Cambria Math"/>
              </w:rPr>
              <w:t xml:space="preserve"> and 75% </w:t>
            </w:r>
            <w:r w:rsidR="00DB005C">
              <w:t>best supportive care</w:t>
            </w:r>
            <w:r>
              <w:rPr>
                <w:rFonts w:cs="Cambria Math"/>
              </w:rPr>
              <w:t>.</w:t>
            </w:r>
          </w:p>
          <w:p w14:paraId="4CF30B0D" w14:textId="20A8740A" w:rsidR="004D7F99" w:rsidRPr="000449D1" w:rsidRDefault="004D7F99" w:rsidP="00D57C45">
            <w:pPr>
              <w:pStyle w:val="TableText"/>
              <w:spacing w:before="240"/>
              <w:rPr>
                <w:rFonts w:cs="Cambria Math"/>
              </w:rPr>
            </w:pPr>
            <w:r>
              <w:rPr>
                <w:rFonts w:cs="Cambria Math"/>
              </w:rPr>
              <w:t xml:space="preserve">Alternative weightings </w:t>
            </w:r>
            <w:r w:rsidR="00F34F53">
              <w:rPr>
                <w:rFonts w:cs="Cambria Math"/>
              </w:rPr>
              <w:t>we</w:t>
            </w:r>
            <w:r>
              <w:rPr>
                <w:rFonts w:cs="Cambria Math"/>
              </w:rPr>
              <w:t>re tested.</w:t>
            </w:r>
          </w:p>
        </w:tc>
      </w:tr>
      <w:tr w:rsidR="004D7F99" w:rsidRPr="000449D1" w14:paraId="565A26D0" w14:textId="77777777" w:rsidTr="004856FF">
        <w:tc>
          <w:tcPr>
            <w:tcW w:w="869" w:type="pct"/>
          </w:tcPr>
          <w:p w14:paraId="2FEE2E4C" w14:textId="77777777" w:rsidR="004D7F99" w:rsidRPr="000449D1" w:rsidRDefault="004D7F99" w:rsidP="00706748">
            <w:pPr>
              <w:pStyle w:val="TableText"/>
              <w:rPr>
                <w:rFonts w:cs="Cambria Math"/>
              </w:rPr>
            </w:pPr>
            <w:r w:rsidRPr="000449D1">
              <w:rPr>
                <w:rFonts w:cs="Cambria Math"/>
              </w:rPr>
              <w:t>Type(s) of analysis</w:t>
            </w:r>
          </w:p>
        </w:tc>
        <w:tc>
          <w:tcPr>
            <w:tcW w:w="4131" w:type="pct"/>
          </w:tcPr>
          <w:p w14:paraId="5F72E8CF" w14:textId="77777777" w:rsidR="004D7F99" w:rsidRPr="000449D1" w:rsidRDefault="004D7F99" w:rsidP="00706748">
            <w:pPr>
              <w:pStyle w:val="TableText"/>
              <w:rPr>
                <w:rFonts w:cs="Cambria Math"/>
              </w:rPr>
            </w:pPr>
            <w:r>
              <w:rPr>
                <w:rFonts w:cs="Cambria Math"/>
              </w:rPr>
              <w:t>C</w:t>
            </w:r>
            <w:r w:rsidRPr="000449D1">
              <w:rPr>
                <w:rFonts w:cs="Cambria Math"/>
              </w:rPr>
              <w:t>ost-effectiveness analysis</w:t>
            </w:r>
            <w:r>
              <w:rPr>
                <w:rFonts w:cs="Cambria Math"/>
              </w:rPr>
              <w:t>;</w:t>
            </w:r>
            <w:r w:rsidRPr="000449D1">
              <w:rPr>
                <w:rFonts w:cs="Cambria Math"/>
              </w:rPr>
              <w:t xml:space="preserve"> cost-utility analysis</w:t>
            </w:r>
          </w:p>
        </w:tc>
      </w:tr>
      <w:tr w:rsidR="004D7F99" w:rsidRPr="000449D1" w14:paraId="2800ADC2" w14:textId="77777777" w:rsidTr="004856FF">
        <w:tc>
          <w:tcPr>
            <w:tcW w:w="869" w:type="pct"/>
          </w:tcPr>
          <w:p w14:paraId="5B8FDCB1" w14:textId="77777777" w:rsidR="004D7F99" w:rsidRPr="000449D1" w:rsidRDefault="004D7F99" w:rsidP="002004CD">
            <w:pPr>
              <w:pStyle w:val="TableText"/>
              <w:rPr>
                <w:rFonts w:cs="Cambria Math"/>
              </w:rPr>
            </w:pPr>
            <w:r w:rsidRPr="000449D1">
              <w:rPr>
                <w:rFonts w:cs="Cambria Math"/>
              </w:rPr>
              <w:t>Outcomes</w:t>
            </w:r>
          </w:p>
        </w:tc>
        <w:tc>
          <w:tcPr>
            <w:tcW w:w="4131" w:type="pct"/>
          </w:tcPr>
          <w:p w14:paraId="3912580E" w14:textId="77777777" w:rsidR="004D7F99" w:rsidRDefault="004D7F99" w:rsidP="002004CD">
            <w:pPr>
              <w:pStyle w:val="TableText"/>
              <w:numPr>
                <w:ilvl w:val="0"/>
                <w:numId w:val="20"/>
              </w:numPr>
              <w:spacing w:before="20" w:after="20"/>
              <w:rPr>
                <w:rFonts w:cs="Cambria Math"/>
              </w:rPr>
            </w:pPr>
            <w:r>
              <w:rPr>
                <w:rFonts w:cs="Cambria Math"/>
              </w:rPr>
              <w:t xml:space="preserve">Cost per </w:t>
            </w:r>
            <w:r w:rsidRPr="000449D1">
              <w:rPr>
                <w:rFonts w:cs="Cambria Math"/>
              </w:rPr>
              <w:t>life-year gained</w:t>
            </w:r>
            <w:r>
              <w:rPr>
                <w:rFonts w:cs="Cambria Math"/>
              </w:rPr>
              <w:t xml:space="preserve"> (cost/LYG)</w:t>
            </w:r>
          </w:p>
          <w:p w14:paraId="0FC8DE31" w14:textId="77777777" w:rsidR="004D7F99" w:rsidRPr="000449D1" w:rsidRDefault="004D7F99" w:rsidP="002004CD">
            <w:pPr>
              <w:pStyle w:val="TableText"/>
              <w:numPr>
                <w:ilvl w:val="0"/>
                <w:numId w:val="20"/>
              </w:numPr>
              <w:spacing w:before="20" w:after="20"/>
              <w:rPr>
                <w:rFonts w:cs="Cambria Math"/>
              </w:rPr>
            </w:pPr>
            <w:r>
              <w:rPr>
                <w:rFonts w:cs="Cambria Math"/>
              </w:rPr>
              <w:t xml:space="preserve">Cost per </w:t>
            </w:r>
            <w:r w:rsidRPr="000449D1">
              <w:rPr>
                <w:rFonts w:cs="Cambria Math"/>
              </w:rPr>
              <w:t>quality-adjusted life year</w:t>
            </w:r>
            <w:r>
              <w:rPr>
                <w:rFonts w:cs="Cambria Math"/>
              </w:rPr>
              <w:t xml:space="preserve"> (cost/QALY)</w:t>
            </w:r>
          </w:p>
        </w:tc>
      </w:tr>
      <w:tr w:rsidR="004D7F99" w:rsidRPr="000449D1" w14:paraId="7F327074" w14:textId="77777777" w:rsidTr="004856FF">
        <w:tc>
          <w:tcPr>
            <w:tcW w:w="869" w:type="pct"/>
          </w:tcPr>
          <w:p w14:paraId="3D16A88B" w14:textId="77777777" w:rsidR="004D7F99" w:rsidRPr="000449D1" w:rsidRDefault="004D7F99" w:rsidP="00706748">
            <w:pPr>
              <w:pStyle w:val="TableText"/>
              <w:rPr>
                <w:rFonts w:cs="Cambria Math"/>
              </w:rPr>
            </w:pPr>
            <w:r w:rsidRPr="000449D1">
              <w:rPr>
                <w:rFonts w:cs="Cambria Math"/>
              </w:rPr>
              <w:t>Time horizon</w:t>
            </w:r>
          </w:p>
        </w:tc>
        <w:tc>
          <w:tcPr>
            <w:tcW w:w="4131" w:type="pct"/>
          </w:tcPr>
          <w:p w14:paraId="294CB7C3" w14:textId="5527942E" w:rsidR="004D7F99" w:rsidRPr="00C21F60" w:rsidRDefault="004D7F99" w:rsidP="00706748">
            <w:pPr>
              <w:pStyle w:val="TableText"/>
              <w:rPr>
                <w:rFonts w:cs="Cambria Math"/>
                <w:i/>
                <w:iCs/>
              </w:rPr>
            </w:pPr>
            <w:r>
              <w:rPr>
                <w:rFonts w:cs="Cambria Math"/>
              </w:rPr>
              <w:t>10 years in the base</w:t>
            </w:r>
            <w:r w:rsidR="00E12710">
              <w:rPr>
                <w:rFonts w:cs="Cambria Math"/>
              </w:rPr>
              <w:t xml:space="preserve"> </w:t>
            </w:r>
            <w:r>
              <w:rPr>
                <w:rFonts w:cs="Cambria Math"/>
              </w:rPr>
              <w:t>case</w:t>
            </w:r>
            <w:r w:rsidRPr="000449D1">
              <w:rPr>
                <w:rFonts w:cs="Cambria Math"/>
              </w:rPr>
              <w:t xml:space="preserve"> (vs </w:t>
            </w:r>
            <w:r>
              <w:rPr>
                <w:rFonts w:cs="Cambria Math"/>
              </w:rPr>
              <w:t>median follow-up of 20.9 mont</w:t>
            </w:r>
            <w:r w:rsidRPr="0048595C">
              <w:rPr>
                <w:rFonts w:cs="Cambria Math"/>
              </w:rPr>
              <w:t xml:space="preserve">hs in VISION </w:t>
            </w:r>
            <w:r w:rsidRPr="0048595C">
              <w:rPr>
                <w:rFonts w:cs="Cambria Math"/>
              </w:rPr>
              <w:fldChar w:fldCharType="begin">
                <w:fldData xml:space="preserve">PEVuZE5vdGU+PENpdGU+PEF1dGhvcj5TYXJ0b3I8L0F1dGhvcj48WWVhcj4yMDIxPC9ZZWFyPjxS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</w:fldData>
              </w:fldChar>
            </w:r>
            <w:r w:rsidRPr="0048595C">
              <w:rPr>
                <w:rFonts w:cs="Cambria Math"/>
              </w:rPr>
              <w:instrText xml:space="preserve"> ADDIN EN.CITE </w:instrText>
            </w:r>
            <w:r w:rsidRPr="0048595C">
              <w:rPr>
                <w:rFonts w:cs="Cambria Math"/>
              </w:rPr>
              <w:fldChar w:fldCharType="begin">
                <w:fldData xml:space="preserve">PEVuZE5vdGU+PENpdGU+PEF1dGhvcj5TYXJ0b3I8L0F1dGhvcj48WWVhcj4yMDIxPC9ZZWFyPjxS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</w:fldData>
              </w:fldChar>
            </w:r>
            <w:r w:rsidRPr="0048595C">
              <w:rPr>
                <w:rFonts w:cs="Cambria Math"/>
              </w:rPr>
              <w:instrText xml:space="preserve"> ADDIN EN.CITE.DATA </w:instrText>
            </w:r>
            <w:r w:rsidRPr="0048595C">
              <w:rPr>
                <w:rFonts w:cs="Cambria Math"/>
              </w:rPr>
            </w:r>
            <w:r w:rsidRPr="0048595C">
              <w:rPr>
                <w:rFonts w:cs="Cambria Math"/>
              </w:rPr>
              <w:fldChar w:fldCharType="end"/>
            </w:r>
            <w:r w:rsidRPr="0048595C">
              <w:rPr>
                <w:rFonts w:cs="Cambria Math"/>
              </w:rPr>
            </w:r>
            <w:r w:rsidRPr="0048595C">
              <w:rPr>
                <w:rFonts w:cs="Cambria Math"/>
              </w:rPr>
              <w:fldChar w:fldCharType="separate"/>
            </w:r>
            <w:r w:rsidRPr="0048595C">
              <w:rPr>
                <w:rFonts w:cs="Cambria Math"/>
              </w:rPr>
              <w:t>(Sartor et al., 2021)</w:t>
            </w:r>
            <w:r w:rsidRPr="0048595C">
              <w:rPr>
                <w:rFonts w:cs="Cambria Math"/>
              </w:rPr>
              <w:fldChar w:fldCharType="end"/>
            </w:r>
            <w:r w:rsidR="00FB359A" w:rsidRPr="0048595C">
              <w:rPr>
                <w:rFonts w:cs="Cambria Math"/>
              </w:rPr>
              <w:t xml:space="preserve"> and median follow-up of 18.4 months in </w:t>
            </w:r>
            <w:proofErr w:type="spellStart"/>
            <w:r w:rsidR="00FB359A" w:rsidRPr="0048595C">
              <w:rPr>
                <w:rFonts w:cs="Cambria Math"/>
              </w:rPr>
              <w:t>TheraP</w:t>
            </w:r>
            <w:proofErr w:type="spellEnd"/>
            <w:r w:rsidR="00FB359A" w:rsidRPr="0048595C">
              <w:rPr>
                <w:rFonts w:cs="Cambria Math"/>
              </w:rPr>
              <w:t xml:space="preserve"> (</w:t>
            </w:r>
            <w:proofErr w:type="spellStart"/>
            <w:r w:rsidR="00FB359A" w:rsidRPr="0048595C">
              <w:rPr>
                <w:rFonts w:cs="Cambria Math"/>
              </w:rPr>
              <w:t>Hofman</w:t>
            </w:r>
            <w:proofErr w:type="spellEnd"/>
            <w:r w:rsidR="00FB359A" w:rsidRPr="0048595C">
              <w:rPr>
                <w:rFonts w:cs="Cambria Math"/>
              </w:rPr>
              <w:t xml:space="preserve"> 2021)</w:t>
            </w:r>
            <w:r w:rsidRPr="0048595C">
              <w:rPr>
                <w:rFonts w:cs="Cambria Math"/>
              </w:rPr>
              <w:t>)</w:t>
            </w:r>
            <w:r w:rsidR="00FB359A" w:rsidRPr="0048595C">
              <w:rPr>
                <w:rFonts w:cs="Cambria Math"/>
              </w:rPr>
              <w:t>.</w:t>
            </w:r>
          </w:p>
        </w:tc>
      </w:tr>
      <w:tr w:rsidR="004D7F99" w:rsidRPr="000449D1" w14:paraId="3901C0EC" w14:textId="77777777" w:rsidTr="004856FF">
        <w:trPr>
          <w:trHeight w:val="315"/>
        </w:trPr>
        <w:tc>
          <w:tcPr>
            <w:tcW w:w="869" w:type="pct"/>
          </w:tcPr>
          <w:p w14:paraId="4D111052" w14:textId="77777777" w:rsidR="004D7F99" w:rsidRPr="000449D1" w:rsidRDefault="004D7F99" w:rsidP="00706748">
            <w:pPr>
              <w:pStyle w:val="TableText"/>
              <w:rPr>
                <w:rFonts w:cs="Cambria Math"/>
              </w:rPr>
            </w:pPr>
            <w:r w:rsidRPr="000449D1">
              <w:rPr>
                <w:rFonts w:cs="Cambria Math"/>
              </w:rPr>
              <w:t>Computational method</w:t>
            </w:r>
          </w:p>
        </w:tc>
        <w:tc>
          <w:tcPr>
            <w:tcW w:w="4131" w:type="pct"/>
          </w:tcPr>
          <w:p w14:paraId="22ABEF22" w14:textId="5909DC35" w:rsidR="004D7F99" w:rsidRPr="000449D1" w:rsidRDefault="004D7F99" w:rsidP="00706748">
            <w:pPr>
              <w:pStyle w:val="TableText"/>
              <w:rPr>
                <w:rFonts w:cs="Cambria Math"/>
              </w:rPr>
            </w:pPr>
            <w:r>
              <w:rPr>
                <w:rFonts w:cs="Cambria Math"/>
              </w:rPr>
              <w:t>P</w:t>
            </w:r>
            <w:r w:rsidRPr="000449D1">
              <w:rPr>
                <w:rFonts w:cs="Cambria Math"/>
              </w:rPr>
              <w:t>artitioned survival analysis,</w:t>
            </w:r>
            <w:r>
              <w:rPr>
                <w:rFonts w:cs="Cambria Math"/>
              </w:rPr>
              <w:t xml:space="preserve"> including proportional hazards approach</w:t>
            </w:r>
          </w:p>
        </w:tc>
      </w:tr>
      <w:tr w:rsidR="004D7F99" w:rsidRPr="000449D1" w14:paraId="2B0248C8" w14:textId="77777777" w:rsidTr="004856FF">
        <w:tc>
          <w:tcPr>
            <w:tcW w:w="869" w:type="pct"/>
          </w:tcPr>
          <w:p w14:paraId="1352E1D9" w14:textId="77777777" w:rsidR="004D7F99" w:rsidRPr="000449D1" w:rsidRDefault="004D7F99" w:rsidP="00706748">
            <w:pPr>
              <w:pStyle w:val="TableText"/>
              <w:rPr>
                <w:rFonts w:cs="Cambria Math"/>
              </w:rPr>
            </w:pPr>
            <w:r w:rsidRPr="000449D1">
              <w:rPr>
                <w:rFonts w:cs="Cambria Math"/>
              </w:rPr>
              <w:t>Generation of the base case</w:t>
            </w:r>
          </w:p>
        </w:tc>
        <w:tc>
          <w:tcPr>
            <w:tcW w:w="4131" w:type="pct"/>
          </w:tcPr>
          <w:p w14:paraId="6DAEF994" w14:textId="01D4EB5E" w:rsidR="004D7F99" w:rsidRDefault="004D7F99" w:rsidP="00706748">
            <w:pPr>
              <w:pStyle w:val="TableText"/>
              <w:rPr>
                <w:rFonts w:cs="Cambria Math"/>
              </w:rPr>
            </w:pPr>
            <w:r>
              <w:rPr>
                <w:rFonts w:cs="Cambria Math"/>
              </w:rPr>
              <w:t xml:space="preserve">Outcomes of PFS and OS for </w:t>
            </w:r>
            <w:r w:rsidRPr="00434B70">
              <w:rPr>
                <w:rFonts w:cs="Cambria Math"/>
                <w:vertAlign w:val="superscript"/>
              </w:rPr>
              <w:t>177</w:t>
            </w:r>
            <w:r w:rsidR="009F7816">
              <w:rPr>
                <w:rFonts w:cs="Cambria Math"/>
              </w:rPr>
              <w:t>Lu </w:t>
            </w:r>
            <w:r w:rsidR="00886914">
              <w:rPr>
                <w:rFonts w:cs="Cambria Math"/>
              </w:rPr>
              <w:t>PSMA </w:t>
            </w:r>
            <w:proofErr w:type="spellStart"/>
            <w:r w:rsidR="00886914">
              <w:rPr>
                <w:rFonts w:cs="Cambria Math"/>
              </w:rPr>
              <w:t>i&amp;t</w:t>
            </w:r>
            <w:proofErr w:type="spellEnd"/>
            <w:r>
              <w:rPr>
                <w:rFonts w:cs="Cambria Math"/>
              </w:rPr>
              <w:t xml:space="preserve"> were sourced directly from the </w:t>
            </w:r>
            <w:r w:rsidRPr="00434B70">
              <w:rPr>
                <w:rFonts w:cs="Cambria Math"/>
                <w:vertAlign w:val="superscript"/>
              </w:rPr>
              <w:t>177</w:t>
            </w:r>
            <w:r w:rsidR="009F7816">
              <w:rPr>
                <w:rFonts w:cs="Cambria Math"/>
              </w:rPr>
              <w:t>Lu PSMA</w:t>
            </w:r>
            <w:r>
              <w:rPr>
                <w:rFonts w:cs="Cambria Math"/>
              </w:rPr>
              <w:t xml:space="preserve">-617 KM (ITT) data from VISION </w:t>
            </w:r>
            <w:r>
              <w:rPr>
                <w:rFonts w:cs="Cambria Math"/>
              </w:rPr>
              <w:fldChar w:fldCharType="begin">
                <w:fldData xml:space="preserve">PEVuZE5vdGU+PENpdGU+PEF1dGhvcj5TYXJ0b3I8L0F1dGhvcj48WWVhcj4yMDIxPC9ZZWFyPjxS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</w:fldData>
              </w:fldChar>
            </w:r>
            <w:r>
              <w:rPr>
                <w:rFonts w:cs="Cambria Math"/>
              </w:rPr>
              <w:instrText xml:space="preserve"> ADDIN EN.CITE </w:instrText>
            </w:r>
            <w:r>
              <w:rPr>
                <w:rFonts w:cs="Cambria Math"/>
              </w:rPr>
              <w:fldChar w:fldCharType="begin">
                <w:fldData xml:space="preserve">PEVuZE5vdGU+PENpdGU+PEF1dGhvcj5TYXJ0b3I8L0F1dGhvcj48WWVhcj4yMDIxPC9ZZWFyPjxS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</w:fldData>
              </w:fldChar>
            </w:r>
            <w:r>
              <w:rPr>
                <w:rFonts w:cs="Cambria Math"/>
              </w:rPr>
              <w:instrText xml:space="preserve"> ADDIN EN.CITE.DATA </w:instrText>
            </w:r>
            <w:r>
              <w:rPr>
                <w:rFonts w:cs="Cambria Math"/>
              </w:rPr>
            </w:r>
            <w:r>
              <w:rPr>
                <w:rFonts w:cs="Cambria Math"/>
              </w:rPr>
              <w:fldChar w:fldCharType="end"/>
            </w:r>
            <w:r>
              <w:rPr>
                <w:rFonts w:cs="Cambria Math"/>
              </w:rPr>
            </w:r>
            <w:r>
              <w:rPr>
                <w:rFonts w:cs="Cambria Math"/>
              </w:rPr>
              <w:fldChar w:fldCharType="separate"/>
            </w:r>
            <w:r>
              <w:rPr>
                <w:rFonts w:cs="Cambria Math"/>
              </w:rPr>
              <w:t>(Sartor et al., 2021)</w:t>
            </w:r>
            <w:r>
              <w:rPr>
                <w:rFonts w:cs="Cambria Math"/>
              </w:rPr>
              <w:fldChar w:fldCharType="end"/>
            </w:r>
            <w:r>
              <w:rPr>
                <w:rFonts w:cs="Cambria Math"/>
              </w:rPr>
              <w:t>. P</w:t>
            </w:r>
            <w:r w:rsidRPr="00A60602">
              <w:rPr>
                <w:rFonts w:cs="Cambria Math"/>
              </w:rPr>
              <w:t xml:space="preserve">arametric functions were fitted to </w:t>
            </w:r>
            <w:r w:rsidRPr="00434B70">
              <w:rPr>
                <w:rFonts w:cs="Cambria Math"/>
                <w:vertAlign w:val="superscript"/>
              </w:rPr>
              <w:t>177</w:t>
            </w:r>
            <w:r w:rsidR="009F7816">
              <w:rPr>
                <w:rFonts w:cs="Cambria Math"/>
              </w:rPr>
              <w:t>Lu PSMA</w:t>
            </w:r>
            <w:r>
              <w:rPr>
                <w:rFonts w:cs="Cambria Math"/>
              </w:rPr>
              <w:t xml:space="preserve">-617 KM data (from t=0) </w:t>
            </w:r>
            <w:r w:rsidRPr="00A60602">
              <w:rPr>
                <w:rFonts w:cs="Cambria Math"/>
              </w:rPr>
              <w:t xml:space="preserve">to extrapolate </w:t>
            </w:r>
            <w:r>
              <w:rPr>
                <w:rFonts w:cs="Cambria Math"/>
              </w:rPr>
              <w:t>PFS and OS</w:t>
            </w:r>
            <w:r w:rsidRPr="00A60602">
              <w:rPr>
                <w:rFonts w:cs="Cambria Math"/>
              </w:rPr>
              <w:t xml:space="preserve"> to the model time horizon of 10 years.</w:t>
            </w:r>
          </w:p>
          <w:p w14:paraId="3DED0EBF" w14:textId="6561284A" w:rsidR="004D7F99" w:rsidRPr="00D51631" w:rsidRDefault="004D7F99" w:rsidP="00D57C45">
            <w:pPr>
              <w:pStyle w:val="TableText"/>
              <w:spacing w:before="240"/>
              <w:rPr>
                <w:rFonts w:cs="Cambria Math"/>
                <w:b/>
              </w:rPr>
            </w:pPr>
            <w:r w:rsidRPr="00D51631">
              <w:rPr>
                <w:rFonts w:cs="Cambria Math"/>
                <w:b/>
              </w:rPr>
              <w:t xml:space="preserve">To model </w:t>
            </w:r>
            <w:r w:rsidRPr="00D51631">
              <w:rPr>
                <w:rFonts w:cs="Cambria Math"/>
                <w:b/>
                <w:vertAlign w:val="superscript"/>
              </w:rPr>
              <w:t>177</w:t>
            </w:r>
            <w:r w:rsidR="009F7816">
              <w:rPr>
                <w:rFonts w:cs="Cambria Math"/>
                <w:b/>
              </w:rPr>
              <w:t>Lu </w:t>
            </w:r>
            <w:r w:rsidR="00886914">
              <w:rPr>
                <w:rFonts w:cs="Cambria Math"/>
                <w:b/>
              </w:rPr>
              <w:t>PSMA </w:t>
            </w:r>
            <w:proofErr w:type="spellStart"/>
            <w:r w:rsidR="00886914">
              <w:rPr>
                <w:rFonts w:cs="Cambria Math"/>
                <w:b/>
              </w:rPr>
              <w:t>i&amp;t</w:t>
            </w:r>
            <w:proofErr w:type="spellEnd"/>
            <w:r w:rsidRPr="00D51631">
              <w:rPr>
                <w:rFonts w:cs="Cambria Math"/>
                <w:b/>
              </w:rPr>
              <w:t xml:space="preserve"> outcomes:</w:t>
            </w:r>
          </w:p>
          <w:p w14:paraId="4A5B79A5" w14:textId="03A23FF7" w:rsidR="004D7F99" w:rsidRDefault="004D7F99" w:rsidP="00706748">
            <w:pPr>
              <w:pStyle w:val="TableText"/>
              <w:rPr>
                <w:rFonts w:cs="Cambria Math"/>
              </w:rPr>
            </w:pPr>
            <w:r>
              <w:rPr>
                <w:rFonts w:cs="Cambria Math"/>
              </w:rPr>
              <w:t xml:space="preserve">PFS and OS KM data for </w:t>
            </w:r>
            <w:r w:rsidRPr="00434B70">
              <w:rPr>
                <w:rFonts w:cs="Cambria Math"/>
                <w:vertAlign w:val="superscript"/>
              </w:rPr>
              <w:t>177</w:t>
            </w:r>
            <w:r w:rsidR="009F7816">
              <w:rPr>
                <w:rFonts w:cs="Cambria Math"/>
              </w:rPr>
              <w:t>Lu PSMA</w:t>
            </w:r>
            <w:r>
              <w:rPr>
                <w:rFonts w:cs="Cambria Math"/>
              </w:rPr>
              <w:t>-617 w</w:t>
            </w:r>
            <w:r w:rsidR="00F34F53">
              <w:rPr>
                <w:rFonts w:cs="Cambria Math"/>
              </w:rPr>
              <w:t>ere</w:t>
            </w:r>
            <w:r>
              <w:rPr>
                <w:rFonts w:cs="Cambria Math"/>
              </w:rPr>
              <w:t xml:space="preserve"> used until 20.9 months (median follow-up of VISION as reported in </w:t>
            </w:r>
            <w:r>
              <w:rPr>
                <w:rFonts w:cs="Cambria Math"/>
              </w:rPr>
              <w:fldChar w:fldCharType="begin">
                <w:fldData xml:space="preserve">PEVuZE5vdGU+PENpdGUgQXV0aG9yWWVhcj0iMSI+PEF1dGhvcj5TYXJ0b3I8L0F1dGhvcj48WWVh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==
</w:fldData>
              </w:fldChar>
            </w:r>
            <w:r>
              <w:rPr>
                <w:rFonts w:cs="Cambria Math"/>
              </w:rPr>
              <w:instrText xml:space="preserve"> ADDIN EN.CITE </w:instrText>
            </w:r>
            <w:r>
              <w:rPr>
                <w:rFonts w:cs="Cambria Math"/>
              </w:rPr>
              <w:fldChar w:fldCharType="begin">
                <w:fldData xml:space="preserve">PEVuZE5vdGU+PENpdGUgQXV0aG9yWWVhcj0iMSI+PEF1dGhvcj5TYXJ0b3I8L0F1dGhvcj48WWVh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==
</w:fldData>
              </w:fldChar>
            </w:r>
            <w:r>
              <w:rPr>
                <w:rFonts w:cs="Cambria Math"/>
              </w:rPr>
              <w:instrText xml:space="preserve"> ADDIN EN.CITE.DATA </w:instrText>
            </w:r>
            <w:r>
              <w:rPr>
                <w:rFonts w:cs="Cambria Math"/>
              </w:rPr>
            </w:r>
            <w:r>
              <w:rPr>
                <w:rFonts w:cs="Cambria Math"/>
              </w:rPr>
              <w:fldChar w:fldCharType="end"/>
            </w:r>
            <w:r>
              <w:rPr>
                <w:rFonts w:cs="Cambria Math"/>
              </w:rPr>
            </w:r>
            <w:r>
              <w:rPr>
                <w:rFonts w:cs="Cambria Math"/>
              </w:rPr>
              <w:fldChar w:fldCharType="separate"/>
            </w:r>
            <w:r>
              <w:rPr>
                <w:rFonts w:cs="Cambria Math"/>
              </w:rPr>
              <w:t>Sartor et al. (2021)</w:t>
            </w:r>
            <w:r>
              <w:rPr>
                <w:rFonts w:cs="Cambria Math"/>
              </w:rPr>
              <w:fldChar w:fldCharType="end"/>
            </w:r>
            <w:r>
              <w:rPr>
                <w:rFonts w:cs="Cambria Math"/>
              </w:rPr>
              <w:t xml:space="preserve">). Beyond 20.9 months, parametric functions were used. </w:t>
            </w:r>
            <w:r w:rsidRPr="00A60602">
              <w:rPr>
                <w:rFonts w:cs="Cambria Math"/>
              </w:rPr>
              <w:t xml:space="preserve">The selection </w:t>
            </w:r>
            <w:r>
              <w:rPr>
                <w:rFonts w:cs="Cambria Math"/>
              </w:rPr>
              <w:t xml:space="preserve">of parametric extrapolation </w:t>
            </w:r>
            <w:r w:rsidRPr="00A60602">
              <w:rPr>
                <w:rFonts w:cs="Cambria Math"/>
              </w:rPr>
              <w:t>was based on goodness</w:t>
            </w:r>
            <w:r>
              <w:rPr>
                <w:rFonts w:cs="Cambria Math"/>
              </w:rPr>
              <w:t>-</w:t>
            </w:r>
            <w:r w:rsidRPr="00A60602">
              <w:rPr>
                <w:rFonts w:cs="Cambria Math"/>
              </w:rPr>
              <w:t>of</w:t>
            </w:r>
            <w:r>
              <w:rPr>
                <w:rFonts w:cs="Cambria Math"/>
              </w:rPr>
              <w:t>-</w:t>
            </w:r>
            <w:r w:rsidRPr="00A60602">
              <w:rPr>
                <w:rFonts w:cs="Cambria Math"/>
              </w:rPr>
              <w:t>fit and clinical plausibility.</w:t>
            </w:r>
          </w:p>
          <w:p w14:paraId="3F84B2E7" w14:textId="78CBDFF1" w:rsidR="004D7F99" w:rsidRPr="00D51631" w:rsidRDefault="004D7F99" w:rsidP="00D57C45">
            <w:pPr>
              <w:pStyle w:val="TableText"/>
              <w:spacing w:before="240"/>
              <w:rPr>
                <w:rFonts w:cs="Cambria Math"/>
                <w:b/>
              </w:rPr>
            </w:pPr>
            <w:r w:rsidRPr="00D51631">
              <w:rPr>
                <w:rFonts w:cs="Cambria Math"/>
                <w:b/>
              </w:rPr>
              <w:t xml:space="preserve">To model </w:t>
            </w:r>
            <w:proofErr w:type="spellStart"/>
            <w:r w:rsidRPr="004F6A58">
              <w:rPr>
                <w:rFonts w:cs="Cambria Math"/>
                <w:b/>
              </w:rPr>
              <w:t>cabazitaxel</w:t>
            </w:r>
            <w:proofErr w:type="spellEnd"/>
            <w:r>
              <w:rPr>
                <w:rFonts w:cs="Cambria Math"/>
                <w:b/>
              </w:rPr>
              <w:t>/</w:t>
            </w:r>
            <w:r w:rsidR="00DB005C" w:rsidRPr="00DB005C">
              <w:rPr>
                <w:b/>
                <w:bCs/>
              </w:rPr>
              <w:t>best supportive care</w:t>
            </w:r>
            <w:r w:rsidRPr="00DB005C">
              <w:rPr>
                <w:rFonts w:cs="Cambria Math"/>
                <w:b/>
                <w:bCs/>
              </w:rPr>
              <w:t xml:space="preserve"> </w:t>
            </w:r>
            <w:r>
              <w:rPr>
                <w:rFonts w:cs="Cambria Math"/>
                <w:b/>
              </w:rPr>
              <w:t>outcomes</w:t>
            </w:r>
            <w:r w:rsidRPr="00D51631">
              <w:rPr>
                <w:rFonts w:cs="Cambria Math"/>
                <w:b/>
              </w:rPr>
              <w:t>:</w:t>
            </w:r>
          </w:p>
          <w:p w14:paraId="60D01D56" w14:textId="2C736112" w:rsidR="004D7F99" w:rsidRPr="000449D1" w:rsidRDefault="004D7F99" w:rsidP="00706748">
            <w:pPr>
              <w:pStyle w:val="TableText"/>
              <w:rPr>
                <w:rFonts w:cs="Cambria Math"/>
              </w:rPr>
            </w:pPr>
            <w:r>
              <w:rPr>
                <w:rFonts w:cs="Cambria Math"/>
              </w:rPr>
              <w:t>Proportional hazards approach was adopted whereby h</w:t>
            </w:r>
            <w:r w:rsidRPr="00045808">
              <w:rPr>
                <w:rFonts w:cs="Cambria Math"/>
              </w:rPr>
              <w:t xml:space="preserve">azard ratios for PFS and OS from </w:t>
            </w:r>
            <w:proofErr w:type="spellStart"/>
            <w:r w:rsidRPr="00045808">
              <w:rPr>
                <w:rFonts w:cs="Cambria Math"/>
              </w:rPr>
              <w:t>TheraP</w:t>
            </w:r>
            <w:proofErr w:type="spellEnd"/>
            <w:r w:rsidRPr="00045808">
              <w:rPr>
                <w:rFonts w:cs="Cambria Math"/>
              </w:rPr>
              <w:t xml:space="preserve"> </w:t>
            </w:r>
            <w:r>
              <w:rPr>
                <w:rFonts w:cs="Cambria Math"/>
              </w:rPr>
              <w:t>and VISION</w:t>
            </w:r>
            <w:r w:rsidRPr="00045808">
              <w:rPr>
                <w:rFonts w:cs="Cambria Math"/>
              </w:rPr>
              <w:t xml:space="preserve"> </w:t>
            </w:r>
            <w:r w:rsidRPr="00045808">
              <w:rPr>
                <w:rFonts w:cs="Cambria Math"/>
              </w:rPr>
              <w:fldChar w:fldCharType="begin">
                <w:fldData xml:space="preserve">PEVuZE5vdGU+PENpdGU+PEF1dGhvcj5Ib2ZtYW48L0F1dGhvcj48WWVhcj4yMDIxPC9ZZWFyPjxS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=
</w:fldData>
              </w:fldChar>
            </w:r>
            <w:r>
              <w:rPr>
                <w:rFonts w:cs="Cambria Math"/>
              </w:rPr>
              <w:instrText xml:space="preserve"> ADDIN EN.CITE </w:instrText>
            </w:r>
            <w:r>
              <w:rPr>
                <w:rFonts w:cs="Cambria Math"/>
              </w:rPr>
              <w:fldChar w:fldCharType="begin">
                <w:fldData xml:space="preserve">PEVuZE5vdGU+PENpdGU+PEF1dGhvcj5Ib2ZtYW48L0F1dGhvcj48WWVhcj4yMDIxPC9ZZWFyPjxS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=
</w:fldData>
              </w:fldChar>
            </w:r>
            <w:r>
              <w:rPr>
                <w:rFonts w:cs="Cambria Math"/>
              </w:rPr>
              <w:instrText xml:space="preserve"> ADDIN EN.CITE.DATA </w:instrText>
            </w:r>
            <w:r>
              <w:rPr>
                <w:rFonts w:cs="Cambria Math"/>
              </w:rPr>
            </w:r>
            <w:r>
              <w:rPr>
                <w:rFonts w:cs="Cambria Math"/>
              </w:rPr>
              <w:fldChar w:fldCharType="end"/>
            </w:r>
            <w:r w:rsidRPr="00045808">
              <w:rPr>
                <w:rFonts w:cs="Cambria Math"/>
              </w:rPr>
            </w:r>
            <w:r w:rsidRPr="00045808">
              <w:rPr>
                <w:rFonts w:cs="Cambria Math"/>
              </w:rPr>
              <w:fldChar w:fldCharType="separate"/>
            </w:r>
            <w:r>
              <w:rPr>
                <w:rFonts w:cs="Cambria Math"/>
              </w:rPr>
              <w:t>(</w:t>
            </w:r>
            <w:proofErr w:type="spellStart"/>
            <w:r>
              <w:rPr>
                <w:rFonts w:cs="Cambria Math"/>
              </w:rPr>
              <w:t>Hofman</w:t>
            </w:r>
            <w:proofErr w:type="spellEnd"/>
            <w:r>
              <w:rPr>
                <w:rFonts w:cs="Cambria Math"/>
              </w:rPr>
              <w:t xml:space="preserve"> et al., 2021, Sartor et al., 2021)</w:t>
            </w:r>
            <w:r w:rsidRPr="00045808">
              <w:rPr>
                <w:rFonts w:cs="Cambria Math"/>
              </w:rPr>
              <w:fldChar w:fldCharType="end"/>
            </w:r>
            <w:r w:rsidRPr="00045808">
              <w:rPr>
                <w:rFonts w:cs="Cambria Math"/>
              </w:rPr>
              <w:t xml:space="preserve">) were applied to the modelled PFS and OS in the </w:t>
            </w:r>
            <w:r w:rsidRPr="00045808">
              <w:rPr>
                <w:rFonts w:cs="Cambria Math"/>
                <w:vertAlign w:val="superscript"/>
              </w:rPr>
              <w:t>177</w:t>
            </w:r>
            <w:r w:rsidR="009F7816">
              <w:rPr>
                <w:rFonts w:cs="Cambria Math"/>
              </w:rPr>
              <w:t>Lu </w:t>
            </w:r>
            <w:r w:rsidR="00886914">
              <w:rPr>
                <w:rFonts w:cs="Cambria Math"/>
              </w:rPr>
              <w:t>PSMA </w:t>
            </w:r>
            <w:proofErr w:type="spellStart"/>
            <w:r w:rsidR="00886914">
              <w:rPr>
                <w:rFonts w:cs="Cambria Math"/>
              </w:rPr>
              <w:t>i&amp;t</w:t>
            </w:r>
            <w:proofErr w:type="spellEnd"/>
            <w:r w:rsidRPr="00045808">
              <w:rPr>
                <w:rFonts w:cs="Cambria Math"/>
              </w:rPr>
              <w:t xml:space="preserve"> arm.</w:t>
            </w:r>
          </w:p>
        </w:tc>
      </w:tr>
      <w:tr w:rsidR="004D7F99" w:rsidRPr="000449D1" w14:paraId="2A034950" w14:textId="77777777" w:rsidTr="004856FF">
        <w:tc>
          <w:tcPr>
            <w:tcW w:w="869" w:type="pct"/>
          </w:tcPr>
          <w:p w14:paraId="11AEE0A6" w14:textId="77777777" w:rsidR="004D7F99" w:rsidRPr="000449D1" w:rsidRDefault="004D7F99" w:rsidP="00706748">
            <w:pPr>
              <w:pStyle w:val="TableText"/>
              <w:rPr>
                <w:rFonts w:cs="Cambria Math"/>
              </w:rPr>
            </w:pPr>
            <w:r w:rsidRPr="000449D1">
              <w:rPr>
                <w:rFonts w:cs="Cambria Math"/>
              </w:rPr>
              <w:t>Health states</w:t>
            </w:r>
          </w:p>
        </w:tc>
        <w:tc>
          <w:tcPr>
            <w:tcW w:w="4131" w:type="pct"/>
          </w:tcPr>
          <w:p w14:paraId="7CECF86C" w14:textId="59F9F03D" w:rsidR="004D7F99" w:rsidRPr="000449D1" w:rsidRDefault="004D7F99" w:rsidP="00706748">
            <w:pPr>
              <w:pStyle w:val="TableText"/>
              <w:rPr>
                <w:rFonts w:cs="Cambria Math"/>
              </w:rPr>
            </w:pPr>
            <w:r w:rsidRPr="00CB22A5">
              <w:rPr>
                <w:rFonts w:cs="Cambria Math"/>
              </w:rPr>
              <w:t>Three health states: progression</w:t>
            </w:r>
            <w:r>
              <w:rPr>
                <w:rFonts w:cs="Cambria Math"/>
              </w:rPr>
              <w:t>-</w:t>
            </w:r>
            <w:r w:rsidRPr="00CB22A5">
              <w:rPr>
                <w:rFonts w:cs="Cambria Math"/>
              </w:rPr>
              <w:t>free survival, progressed disease and death</w:t>
            </w:r>
            <w:r w:rsidR="00E33AA7">
              <w:rPr>
                <w:rFonts w:cs="Cambria Math"/>
              </w:rPr>
              <w:t>.</w:t>
            </w:r>
          </w:p>
        </w:tc>
      </w:tr>
      <w:tr w:rsidR="00FB359A" w:rsidRPr="000449D1" w14:paraId="5C390E4A" w14:textId="77777777" w:rsidTr="004856FF">
        <w:tc>
          <w:tcPr>
            <w:tcW w:w="869" w:type="pct"/>
          </w:tcPr>
          <w:p w14:paraId="4DE6B4A6" w14:textId="151707BB" w:rsidR="00FB359A" w:rsidRPr="0048595C" w:rsidRDefault="00FB359A" w:rsidP="00706748">
            <w:pPr>
              <w:pStyle w:val="TableText"/>
              <w:rPr>
                <w:rFonts w:cs="Cambria Math"/>
              </w:rPr>
            </w:pPr>
            <w:r w:rsidRPr="0048595C">
              <w:rPr>
                <w:rFonts w:cs="Cambria Math"/>
              </w:rPr>
              <w:t>Utilities</w:t>
            </w:r>
          </w:p>
        </w:tc>
        <w:tc>
          <w:tcPr>
            <w:tcW w:w="4131" w:type="pct"/>
          </w:tcPr>
          <w:p w14:paraId="12D22AF6" w14:textId="77777777" w:rsidR="00FB359A" w:rsidRPr="0048595C" w:rsidRDefault="00FB359A" w:rsidP="00706748">
            <w:pPr>
              <w:pStyle w:val="TableText"/>
              <w:rPr>
                <w:rFonts w:cs="Cambria Math"/>
              </w:rPr>
            </w:pPr>
            <w:r w:rsidRPr="0048595C">
              <w:rPr>
                <w:rFonts w:cs="Cambria Math"/>
              </w:rPr>
              <w:t>Progression-free survival: 0.74; Progressed disease: 0.59</w:t>
            </w:r>
            <w:r w:rsidR="00A0232C" w:rsidRPr="0048595C">
              <w:rPr>
                <w:rFonts w:cs="Cambria Math"/>
              </w:rPr>
              <w:t>.</w:t>
            </w:r>
          </w:p>
          <w:p w14:paraId="26AD2A36" w14:textId="2CA32DFC" w:rsidR="00A0232C" w:rsidRPr="0048595C" w:rsidRDefault="00A0232C" w:rsidP="00706748">
            <w:pPr>
              <w:pStyle w:val="TableText"/>
              <w:rPr>
                <w:rFonts w:cs="Cambria Math"/>
              </w:rPr>
            </w:pPr>
            <w:r w:rsidRPr="0048595C">
              <w:rPr>
                <w:rFonts w:cs="Cambria Math"/>
              </w:rPr>
              <w:t>The PBAC considered that the utility values used in the March 2021 olaparib submission (0.75 for progression-free; 0.70 for progressed disease) were higher than other utility value estimates in the literature (Olaparib March 2021 PBAC PSD). T</w:t>
            </w:r>
            <w:r w:rsidRPr="0048595C">
              <w:t xml:space="preserve">he abiraterone submission to the PBAC applied utilities from </w:t>
            </w:r>
            <w:proofErr w:type="spellStart"/>
            <w:r w:rsidRPr="0048595C">
              <w:t>Sandblom</w:t>
            </w:r>
            <w:proofErr w:type="spellEnd"/>
            <w:r w:rsidRPr="0048595C">
              <w:t xml:space="preserve"> et al (2004) (Abiraterone November 2012 PSD). The utilities reported in the publication were EQ5D scores of 0.538, 0.564 and 0.770 and </w:t>
            </w:r>
            <w:proofErr w:type="spellStart"/>
            <w:r w:rsidRPr="0048595C">
              <w:t>EuroQOL</w:t>
            </w:r>
            <w:proofErr w:type="spellEnd"/>
            <w:r w:rsidRPr="0048595C">
              <w:t xml:space="preserve"> VAS of 54.0, 53.2 and 70.0 for those who died of prostate cancer, died of other causes or were still alive on 31 Dec 2000, respectively. It is not clear which of these utilities were applied to each health state in the abiraterone submission, but these utility values are consistent with those </w:t>
            </w:r>
            <w:r w:rsidR="00FA09FD" w:rsidRPr="0048595C">
              <w:t>used in the ADAR</w:t>
            </w:r>
            <w:r w:rsidRPr="0048595C">
              <w:t xml:space="preserve"> (if 0.77 was used for progression-free and 0.54 was used for progressed health states).</w:t>
            </w:r>
          </w:p>
        </w:tc>
      </w:tr>
      <w:tr w:rsidR="004D7F99" w:rsidRPr="000449D1" w14:paraId="2BD0F5DC" w14:textId="77777777" w:rsidTr="004856FF">
        <w:tc>
          <w:tcPr>
            <w:tcW w:w="869" w:type="pct"/>
          </w:tcPr>
          <w:p w14:paraId="5B204220" w14:textId="77777777" w:rsidR="004D7F99" w:rsidRPr="000449D1" w:rsidRDefault="004D7F99" w:rsidP="00706748">
            <w:pPr>
              <w:pStyle w:val="TableText"/>
              <w:rPr>
                <w:rFonts w:cs="Cambria Math"/>
              </w:rPr>
            </w:pPr>
            <w:r w:rsidRPr="000449D1">
              <w:rPr>
                <w:rFonts w:cs="Cambria Math"/>
              </w:rPr>
              <w:t>Cycle length</w:t>
            </w:r>
          </w:p>
        </w:tc>
        <w:tc>
          <w:tcPr>
            <w:tcW w:w="4131" w:type="pct"/>
          </w:tcPr>
          <w:p w14:paraId="7F95AB13" w14:textId="77777777" w:rsidR="004D7F99" w:rsidRPr="000449D1" w:rsidRDefault="004D7F99" w:rsidP="00706748">
            <w:pPr>
              <w:pStyle w:val="TableText"/>
              <w:rPr>
                <w:rFonts w:cs="Cambria Math"/>
              </w:rPr>
            </w:pPr>
            <w:r>
              <w:rPr>
                <w:rFonts w:cs="Cambria Math"/>
              </w:rPr>
              <w:t>1 week</w:t>
            </w:r>
          </w:p>
        </w:tc>
      </w:tr>
      <w:tr w:rsidR="004D7F99" w:rsidRPr="000449D1" w14:paraId="4F14CCE0" w14:textId="77777777" w:rsidTr="004856FF">
        <w:tc>
          <w:tcPr>
            <w:tcW w:w="869" w:type="pct"/>
          </w:tcPr>
          <w:p w14:paraId="0A74B970" w14:textId="77777777" w:rsidR="004D7F99" w:rsidRPr="000449D1" w:rsidRDefault="004D7F99" w:rsidP="00706748">
            <w:pPr>
              <w:pStyle w:val="TableText"/>
              <w:rPr>
                <w:rFonts w:cs="Cambria Math"/>
              </w:rPr>
            </w:pPr>
            <w:r w:rsidRPr="000449D1">
              <w:rPr>
                <w:rFonts w:cs="Cambria Math"/>
              </w:rPr>
              <w:t>Transition probabilities</w:t>
            </w:r>
          </w:p>
        </w:tc>
        <w:tc>
          <w:tcPr>
            <w:tcW w:w="4131" w:type="pct"/>
          </w:tcPr>
          <w:p w14:paraId="3AFAC039" w14:textId="019DA965" w:rsidR="004D7F99" w:rsidRDefault="004D7F99" w:rsidP="00706748">
            <w:pPr>
              <w:pStyle w:val="TableText"/>
              <w:rPr>
                <w:rFonts w:cs="Cambria Math"/>
              </w:rPr>
            </w:pPr>
            <w:r w:rsidRPr="00CB22A5">
              <w:rPr>
                <w:rFonts w:cs="Cambria Math"/>
              </w:rPr>
              <w:t xml:space="preserve">Health state allocation over time determined </w:t>
            </w:r>
            <w:r>
              <w:rPr>
                <w:rFonts w:cs="Cambria Math"/>
              </w:rPr>
              <w:t>by PFS</w:t>
            </w:r>
            <w:r w:rsidRPr="00CB22A5">
              <w:rPr>
                <w:rFonts w:cs="Cambria Math"/>
              </w:rPr>
              <w:t xml:space="preserve"> and </w:t>
            </w:r>
            <w:r>
              <w:rPr>
                <w:rFonts w:cs="Cambria Math"/>
              </w:rPr>
              <w:t>OS data</w:t>
            </w:r>
            <w:r w:rsidRPr="00CB22A5">
              <w:rPr>
                <w:rFonts w:cs="Cambria Math"/>
              </w:rPr>
              <w:t xml:space="preserve">. </w:t>
            </w:r>
            <w:r>
              <w:rPr>
                <w:rFonts w:cs="Cambria Math"/>
              </w:rPr>
              <w:t>In the base</w:t>
            </w:r>
            <w:r w:rsidR="00E12710">
              <w:rPr>
                <w:rFonts w:cs="Cambria Math"/>
              </w:rPr>
              <w:t xml:space="preserve"> </w:t>
            </w:r>
            <w:r>
              <w:rPr>
                <w:rFonts w:cs="Cambria Math"/>
              </w:rPr>
              <w:t>case, time on index treatment was approximated using PFS data.</w:t>
            </w:r>
          </w:p>
          <w:p w14:paraId="40AD2FEF" w14:textId="24D1C432" w:rsidR="004D7F99" w:rsidRPr="000449D1" w:rsidRDefault="004D7F99" w:rsidP="00706748">
            <w:pPr>
              <w:pStyle w:val="TableText"/>
              <w:rPr>
                <w:rFonts w:cs="Cambria Math"/>
              </w:rPr>
            </w:pPr>
            <w:r>
              <w:rPr>
                <w:rFonts w:cs="Cambria Math"/>
              </w:rPr>
              <w:t xml:space="preserve">PFS and OS data for </w:t>
            </w:r>
            <w:r w:rsidRPr="0023480A">
              <w:rPr>
                <w:rFonts w:cs="Cambria Math"/>
                <w:bCs/>
                <w:vertAlign w:val="superscript"/>
              </w:rPr>
              <w:t>177</w:t>
            </w:r>
            <w:r w:rsidR="009F7816">
              <w:rPr>
                <w:rFonts w:cs="Cambria Math"/>
                <w:bCs/>
              </w:rPr>
              <w:t>Lu PSMA</w:t>
            </w:r>
            <w:r w:rsidR="00EF3B3C">
              <w:rPr>
                <w:rFonts w:cs="Cambria Math"/>
                <w:bCs/>
              </w:rPr>
              <w:t> </w:t>
            </w:r>
            <w:proofErr w:type="spellStart"/>
            <w:r w:rsidR="00EF3B3C">
              <w:rPr>
                <w:rFonts w:cs="Cambria Math"/>
                <w:bCs/>
              </w:rPr>
              <w:t>i&amp;t</w:t>
            </w:r>
            <w:proofErr w:type="spellEnd"/>
            <w:r w:rsidRPr="00D51631">
              <w:rPr>
                <w:rFonts w:cs="Cambria Math"/>
                <w:b/>
              </w:rPr>
              <w:t xml:space="preserve"> </w:t>
            </w:r>
            <w:r>
              <w:rPr>
                <w:rFonts w:cs="Cambria Math"/>
              </w:rPr>
              <w:t xml:space="preserve">were sourced from VISION </w:t>
            </w:r>
            <w:r>
              <w:rPr>
                <w:rFonts w:cs="Cambria Math"/>
              </w:rPr>
              <w:fldChar w:fldCharType="begin">
                <w:fldData xml:space="preserve">PEVuZE5vdGU+PENpdGU+PEF1dGhvcj5TYXJ0b3I8L0F1dGhvcj48WWVhcj4yMDIxPC9ZZWFyPjxS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</w:fldData>
              </w:fldChar>
            </w:r>
            <w:r>
              <w:rPr>
                <w:rFonts w:cs="Cambria Math"/>
              </w:rPr>
              <w:instrText xml:space="preserve"> ADDIN EN.CITE </w:instrText>
            </w:r>
            <w:r>
              <w:rPr>
                <w:rFonts w:cs="Cambria Math"/>
              </w:rPr>
              <w:fldChar w:fldCharType="begin">
                <w:fldData xml:space="preserve">PEVuZE5vdGU+PENpdGU+PEF1dGhvcj5TYXJ0b3I8L0F1dGhvcj48WWVhcj4yMDIxPC9ZZWFyPjxS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</w:fldData>
              </w:fldChar>
            </w:r>
            <w:r>
              <w:rPr>
                <w:rFonts w:cs="Cambria Math"/>
              </w:rPr>
              <w:instrText xml:space="preserve"> ADDIN EN.CITE.DATA </w:instrText>
            </w:r>
            <w:r>
              <w:rPr>
                <w:rFonts w:cs="Cambria Math"/>
              </w:rPr>
            </w:r>
            <w:r>
              <w:rPr>
                <w:rFonts w:cs="Cambria Math"/>
              </w:rPr>
              <w:fldChar w:fldCharType="end"/>
            </w:r>
            <w:r>
              <w:rPr>
                <w:rFonts w:cs="Cambria Math"/>
              </w:rPr>
            </w:r>
            <w:r>
              <w:rPr>
                <w:rFonts w:cs="Cambria Math"/>
              </w:rPr>
              <w:fldChar w:fldCharType="separate"/>
            </w:r>
            <w:r>
              <w:rPr>
                <w:rFonts w:cs="Cambria Math"/>
              </w:rPr>
              <w:t>(Sartor et al., 2021)</w:t>
            </w:r>
            <w:r>
              <w:rPr>
                <w:rFonts w:cs="Cambria Math"/>
              </w:rPr>
              <w:fldChar w:fldCharType="end"/>
            </w:r>
            <w:r>
              <w:rPr>
                <w:rFonts w:cs="Cambria Math"/>
              </w:rPr>
              <w:t xml:space="preserve"> representing a median follow-up of 20.9 months.</w:t>
            </w:r>
          </w:p>
        </w:tc>
      </w:tr>
      <w:tr w:rsidR="004D7F99" w:rsidRPr="000449D1" w14:paraId="7E635914" w14:textId="77777777" w:rsidTr="004856FF">
        <w:tc>
          <w:tcPr>
            <w:tcW w:w="869" w:type="pct"/>
          </w:tcPr>
          <w:p w14:paraId="6C047A2D" w14:textId="77777777" w:rsidR="004D7F99" w:rsidRPr="000449D1" w:rsidRDefault="004D7F99" w:rsidP="00706748">
            <w:pPr>
              <w:pStyle w:val="TableText"/>
              <w:rPr>
                <w:rFonts w:cs="Cambria Math"/>
              </w:rPr>
            </w:pPr>
            <w:r w:rsidRPr="000449D1">
              <w:rPr>
                <w:rFonts w:cs="Cambria Math"/>
              </w:rPr>
              <w:t>Discount rate</w:t>
            </w:r>
          </w:p>
        </w:tc>
        <w:tc>
          <w:tcPr>
            <w:tcW w:w="4131" w:type="pct"/>
          </w:tcPr>
          <w:p w14:paraId="02CFF129" w14:textId="77777777" w:rsidR="004D7F99" w:rsidRPr="000449D1" w:rsidRDefault="004D7F99" w:rsidP="00706748">
            <w:pPr>
              <w:pStyle w:val="TableText"/>
              <w:rPr>
                <w:rFonts w:cs="Cambria Math"/>
              </w:rPr>
            </w:pPr>
            <w:r w:rsidRPr="000449D1">
              <w:rPr>
                <w:rFonts w:cs="Cambria Math"/>
              </w:rPr>
              <w:t>5% for both costs and outcomes</w:t>
            </w:r>
          </w:p>
        </w:tc>
      </w:tr>
      <w:tr w:rsidR="004D7F99" w:rsidRPr="000449D1" w14:paraId="5D2F655E" w14:textId="77777777" w:rsidTr="004856FF">
        <w:tc>
          <w:tcPr>
            <w:tcW w:w="869" w:type="pct"/>
          </w:tcPr>
          <w:p w14:paraId="445D5465" w14:textId="77777777" w:rsidR="004D7F99" w:rsidRPr="000449D1" w:rsidRDefault="004D7F99" w:rsidP="00706748">
            <w:pPr>
              <w:pStyle w:val="TableText"/>
              <w:rPr>
                <w:rFonts w:cs="Cambria Math"/>
              </w:rPr>
            </w:pPr>
            <w:r w:rsidRPr="000449D1">
              <w:rPr>
                <w:rFonts w:cs="Cambria Math"/>
              </w:rPr>
              <w:t>Software</w:t>
            </w:r>
          </w:p>
        </w:tc>
        <w:tc>
          <w:tcPr>
            <w:tcW w:w="4131" w:type="pct"/>
          </w:tcPr>
          <w:p w14:paraId="4B7B8879" w14:textId="77777777" w:rsidR="004D7F99" w:rsidRPr="000449D1" w:rsidRDefault="004D7F99" w:rsidP="00706748">
            <w:pPr>
              <w:pStyle w:val="TableText"/>
              <w:rPr>
                <w:rFonts w:cs="Cambria Math"/>
              </w:rPr>
            </w:pPr>
            <w:r>
              <w:rPr>
                <w:rFonts w:cs="Cambria Math"/>
              </w:rPr>
              <w:t>Microsoft Excel</w:t>
            </w:r>
          </w:p>
        </w:tc>
      </w:tr>
    </w:tbl>
    <w:p w14:paraId="683F51C9" w14:textId="5EC2C66D" w:rsidR="004D7F99" w:rsidRDefault="004D7F99" w:rsidP="00D57C45">
      <w:pPr>
        <w:spacing w:before="240"/>
        <w:rPr>
          <w:lang w:eastAsia="en-GB"/>
        </w:rPr>
      </w:pPr>
      <w:r w:rsidRPr="00020B25">
        <w:rPr>
          <w:lang w:eastAsia="en-GB"/>
        </w:rPr>
        <w:lastRenderedPageBreak/>
        <w:t xml:space="preserve">Patients enter the model in the PFS state. </w:t>
      </w:r>
      <w:r w:rsidR="00C21F60">
        <w:rPr>
          <w:lang w:eastAsia="en-GB"/>
        </w:rPr>
        <w:t xml:space="preserve">In the base case, of those in the </w:t>
      </w:r>
      <w:r w:rsidR="00C21F60" w:rsidRPr="00C21F60">
        <w:rPr>
          <w:vertAlign w:val="superscript"/>
          <w:lang w:eastAsia="en-GB"/>
        </w:rPr>
        <w:t>177</w:t>
      </w:r>
      <w:r w:rsidR="009F7816">
        <w:rPr>
          <w:lang w:eastAsia="en-GB"/>
        </w:rPr>
        <w:t>Lu PSMA</w:t>
      </w:r>
      <w:r w:rsidR="00EF3B3C">
        <w:t> </w:t>
      </w:r>
      <w:proofErr w:type="spellStart"/>
      <w:r w:rsidR="00EF3B3C">
        <w:t>i&amp;t</w:t>
      </w:r>
      <w:proofErr w:type="spellEnd"/>
      <w:r w:rsidR="00C21F60">
        <w:rPr>
          <w:lang w:eastAsia="en-GB"/>
        </w:rPr>
        <w:t xml:space="preserve"> arm, 90% are assumed to undergo treatment with </w:t>
      </w:r>
      <w:r w:rsidR="00C21F60" w:rsidRPr="00C21F60">
        <w:rPr>
          <w:vertAlign w:val="superscript"/>
          <w:lang w:eastAsia="en-GB"/>
        </w:rPr>
        <w:t>177</w:t>
      </w:r>
      <w:r w:rsidR="009F7816">
        <w:rPr>
          <w:lang w:eastAsia="en-GB"/>
        </w:rPr>
        <w:t>Lu PSMA</w:t>
      </w:r>
      <w:r w:rsidR="00EF3B3C">
        <w:t> </w:t>
      </w:r>
      <w:proofErr w:type="spellStart"/>
      <w:r w:rsidR="00EF3B3C">
        <w:t>i&amp;t</w:t>
      </w:r>
      <w:proofErr w:type="spellEnd"/>
      <w:r w:rsidR="00C21F60">
        <w:rPr>
          <w:lang w:eastAsia="en-GB"/>
        </w:rPr>
        <w:t xml:space="preserve"> (the proportion meeting the PSMA PET/CT criteria in </w:t>
      </w:r>
      <w:proofErr w:type="spellStart"/>
      <w:r w:rsidR="00C21F60">
        <w:rPr>
          <w:lang w:eastAsia="en-GB"/>
        </w:rPr>
        <w:t>TheraP</w:t>
      </w:r>
      <w:proofErr w:type="spellEnd"/>
      <w:r w:rsidR="00C21F60">
        <w:rPr>
          <w:lang w:eastAsia="en-GB"/>
        </w:rPr>
        <w:t xml:space="preserve">), with the remainder treated with </w:t>
      </w:r>
      <w:proofErr w:type="spellStart"/>
      <w:r w:rsidR="00C21F60">
        <w:rPr>
          <w:lang w:eastAsia="en-GB"/>
        </w:rPr>
        <w:t>cabazitaxel</w:t>
      </w:r>
      <w:proofErr w:type="spellEnd"/>
      <w:r w:rsidR="00AE360D">
        <w:rPr>
          <w:lang w:eastAsia="en-GB"/>
        </w:rPr>
        <w:t xml:space="preserve"> (75%)/</w:t>
      </w:r>
      <w:r w:rsidR="00DB005C">
        <w:t>best supportive care</w:t>
      </w:r>
      <w:r w:rsidR="00AE360D">
        <w:rPr>
          <w:lang w:eastAsia="en-GB"/>
        </w:rPr>
        <w:t xml:space="preserve"> (25%)</w:t>
      </w:r>
      <w:r w:rsidR="00C21F60">
        <w:rPr>
          <w:lang w:eastAsia="en-GB"/>
        </w:rPr>
        <w:t>. In the comparator arm</w:t>
      </w:r>
      <w:r w:rsidR="00A0232C">
        <w:rPr>
          <w:lang w:eastAsia="en-GB"/>
        </w:rPr>
        <w:t>,</w:t>
      </w:r>
      <w:r w:rsidR="00C21F60">
        <w:rPr>
          <w:lang w:eastAsia="en-GB"/>
        </w:rPr>
        <w:t xml:space="preserve"> 75% are treated with </w:t>
      </w:r>
      <w:proofErr w:type="spellStart"/>
      <w:r w:rsidR="00C21F60">
        <w:rPr>
          <w:lang w:eastAsia="en-GB"/>
        </w:rPr>
        <w:t>cabazitaxel</w:t>
      </w:r>
      <w:proofErr w:type="spellEnd"/>
      <w:r w:rsidR="00C21F60">
        <w:rPr>
          <w:lang w:eastAsia="en-GB"/>
        </w:rPr>
        <w:t xml:space="preserve"> and are 25% treated with </w:t>
      </w:r>
      <w:r w:rsidR="00DB005C">
        <w:t>best supportive care</w:t>
      </w:r>
      <w:r w:rsidR="00C21F60">
        <w:rPr>
          <w:lang w:eastAsia="en-GB"/>
        </w:rPr>
        <w:t xml:space="preserve">. </w:t>
      </w:r>
      <w:r w:rsidRPr="00C21F60">
        <w:rPr>
          <w:lang w:eastAsia="en-GB"/>
        </w:rPr>
        <w:t>In</w:t>
      </w:r>
      <w:r w:rsidRPr="00020B25">
        <w:rPr>
          <w:lang w:eastAsia="en-GB"/>
        </w:rPr>
        <w:t xml:space="preserve"> each cycle, patients can either remain in the PFS health state, or transition to the </w:t>
      </w:r>
      <w:r>
        <w:rPr>
          <w:lang w:eastAsia="en-GB"/>
        </w:rPr>
        <w:t>PD</w:t>
      </w:r>
      <w:r w:rsidRPr="00020B25">
        <w:rPr>
          <w:lang w:eastAsia="en-GB"/>
        </w:rPr>
        <w:t xml:space="preserve"> or death health state. Patients who have progressed can remain in the </w:t>
      </w:r>
      <w:r>
        <w:rPr>
          <w:lang w:eastAsia="en-GB"/>
        </w:rPr>
        <w:t>PD</w:t>
      </w:r>
      <w:r w:rsidRPr="00020B25">
        <w:rPr>
          <w:lang w:eastAsia="en-GB"/>
        </w:rPr>
        <w:t xml:space="preserve"> state or transition to the death state but never go back to the PFS state. All patients eventually enter the death state.</w:t>
      </w:r>
    </w:p>
    <w:p w14:paraId="38319F38" w14:textId="024DCE09" w:rsidR="00053356" w:rsidRPr="00364E19" w:rsidRDefault="00F52F26" w:rsidP="004D7F99">
      <w:pPr>
        <w:rPr>
          <w:lang w:eastAsia="en-GB"/>
        </w:rPr>
      </w:pPr>
      <w:r>
        <w:rPr>
          <w:lang w:eastAsia="en-GB"/>
        </w:rPr>
        <w:t xml:space="preserve">Figure 6 </w:t>
      </w:r>
      <w:r w:rsidR="00364E19">
        <w:rPr>
          <w:lang w:eastAsia="en-GB"/>
        </w:rPr>
        <w:t xml:space="preserve">presents the regenerated KM OS curve from the </w:t>
      </w:r>
      <w:r w:rsidR="00364E19">
        <w:rPr>
          <w:vertAlign w:val="superscript"/>
          <w:lang w:eastAsia="en-GB"/>
        </w:rPr>
        <w:t>177</w:t>
      </w:r>
      <w:r w:rsidR="009F7816">
        <w:rPr>
          <w:lang w:eastAsia="en-GB"/>
        </w:rPr>
        <w:t>Lu PSMA</w:t>
      </w:r>
      <w:r w:rsidR="00EF3B3C">
        <w:t> </w:t>
      </w:r>
      <w:proofErr w:type="spellStart"/>
      <w:r w:rsidR="00EF3B3C">
        <w:t>i&amp;t</w:t>
      </w:r>
      <w:proofErr w:type="spellEnd"/>
      <w:r w:rsidR="00364E19">
        <w:rPr>
          <w:lang w:eastAsia="en-GB"/>
        </w:rPr>
        <w:t xml:space="preserve"> arm from VISION and the </w:t>
      </w:r>
      <w:r w:rsidR="00364E19">
        <w:t xml:space="preserve">extrapolated survival curves for </w:t>
      </w:r>
      <w:r w:rsidR="00364E19">
        <w:rPr>
          <w:vertAlign w:val="superscript"/>
        </w:rPr>
        <w:t>177</w:t>
      </w:r>
      <w:r w:rsidR="009F7816">
        <w:t>Lu PSMA</w:t>
      </w:r>
      <w:r w:rsidR="00EF3B3C">
        <w:t> </w:t>
      </w:r>
      <w:proofErr w:type="spellStart"/>
      <w:r w:rsidR="00EF3B3C">
        <w:t>i&amp;t</w:t>
      </w:r>
      <w:proofErr w:type="spellEnd"/>
      <w:r w:rsidR="00364E19">
        <w:t xml:space="preserve"> and comparator (75% </w:t>
      </w:r>
      <w:proofErr w:type="spellStart"/>
      <w:r w:rsidR="00364E19">
        <w:t>cabazitaxel</w:t>
      </w:r>
      <w:proofErr w:type="spellEnd"/>
      <w:r w:rsidR="00364E19">
        <w:t xml:space="preserve">/25% </w:t>
      </w:r>
      <w:r w:rsidR="00DB005C">
        <w:t>best supportive care</w:t>
      </w:r>
      <w:r w:rsidR="00364E19">
        <w:t>) applied in the model.</w:t>
      </w:r>
    </w:p>
    <w:p w14:paraId="0C0E0AA6" w14:textId="23C30BF1" w:rsidR="00AE360D" w:rsidRPr="00053356" w:rsidRDefault="00AE360D" w:rsidP="00364E19">
      <w:pPr>
        <w:pStyle w:val="Caption"/>
        <w:ind w:left="709" w:hanging="709"/>
        <w:rPr>
          <w:lang w:eastAsia="en-GB"/>
        </w:rPr>
      </w:pPr>
      <w:bookmarkStart w:id="39" w:name="_Ref102966761"/>
      <w:r>
        <w:t xml:space="preserve">Figure </w:t>
      </w:r>
      <w:bookmarkEnd w:id="39"/>
      <w:r w:rsidR="00F52F26">
        <w:t>6</w:t>
      </w:r>
      <w:r>
        <w:tab/>
      </w:r>
      <w:r w:rsidR="005432A4">
        <w:t xml:space="preserve">Kaplan Meier curve for </w:t>
      </w:r>
      <w:r w:rsidR="00053356">
        <w:t>overall survival for</w:t>
      </w:r>
      <w:r w:rsidR="005432A4">
        <w:rPr>
          <w:vertAlign w:val="superscript"/>
        </w:rPr>
        <w:t>177</w:t>
      </w:r>
      <w:r w:rsidR="009F7816">
        <w:t>Lu PSMA</w:t>
      </w:r>
      <w:r w:rsidR="00EF3B3C">
        <w:t> </w:t>
      </w:r>
      <w:proofErr w:type="spellStart"/>
      <w:r w:rsidR="00EF3B3C">
        <w:t>i&amp;t</w:t>
      </w:r>
      <w:proofErr w:type="spellEnd"/>
      <w:r w:rsidR="005432A4">
        <w:t xml:space="preserve"> </w:t>
      </w:r>
      <w:r w:rsidR="00BB67E4">
        <w:t xml:space="preserve">from VISION, </w:t>
      </w:r>
      <w:r w:rsidR="005432A4">
        <w:t xml:space="preserve">regenerated </w:t>
      </w:r>
      <w:r w:rsidR="00BB67E4">
        <w:t xml:space="preserve">using </w:t>
      </w:r>
      <w:proofErr w:type="spellStart"/>
      <w:r w:rsidR="00BB67E4" w:rsidRPr="00BB67E4">
        <w:t>WebPlotDigitizer</w:t>
      </w:r>
      <w:proofErr w:type="spellEnd"/>
      <w:r w:rsidR="00053356">
        <w:t xml:space="preserve">, and the extrapolated survival curves for </w:t>
      </w:r>
      <w:r w:rsidR="00053356">
        <w:rPr>
          <w:vertAlign w:val="superscript"/>
        </w:rPr>
        <w:t>177</w:t>
      </w:r>
      <w:r w:rsidR="009F7816">
        <w:t>Lu PSMA</w:t>
      </w:r>
      <w:r w:rsidR="00EF3B3C">
        <w:t> </w:t>
      </w:r>
      <w:proofErr w:type="spellStart"/>
      <w:r w:rsidR="00EF3B3C">
        <w:t>i&amp;t</w:t>
      </w:r>
      <w:proofErr w:type="spellEnd"/>
      <w:r w:rsidR="00053356">
        <w:t xml:space="preserve"> and comparator (75% </w:t>
      </w:r>
      <w:proofErr w:type="spellStart"/>
      <w:r w:rsidR="00053356">
        <w:t>cabazitaxel</w:t>
      </w:r>
      <w:proofErr w:type="spellEnd"/>
      <w:r w:rsidR="00053356">
        <w:t xml:space="preserve">/25% </w:t>
      </w:r>
      <w:r w:rsidR="00DB005C">
        <w:t>best supportive care</w:t>
      </w:r>
      <w:r w:rsidR="00053356">
        <w:t>)</w:t>
      </w:r>
      <w:r w:rsidR="00364E19">
        <w:t xml:space="preserve"> applied in the model</w:t>
      </w:r>
      <w:r w:rsidR="00761E17">
        <w:t xml:space="preserve"> base case</w:t>
      </w:r>
      <w:r w:rsidR="008759F0">
        <w:t xml:space="preserve"> (weeks)</w:t>
      </w:r>
    </w:p>
    <w:p w14:paraId="3FC18E6C" w14:textId="2D55E1BE" w:rsidR="00AE360D" w:rsidRDefault="00AE360D" w:rsidP="004D7F99">
      <w:pPr>
        <w:rPr>
          <w:lang w:eastAsia="en-GB"/>
        </w:rPr>
      </w:pPr>
      <w:r>
        <w:rPr>
          <w:noProof/>
        </w:rPr>
        <w:drawing>
          <wp:inline distT="0" distB="0" distL="0" distR="0" wp14:anchorId="52C1EE85" wp14:editId="2684431B">
            <wp:extent cx="5731510" cy="4346575"/>
            <wp:effectExtent l="0" t="0" r="2540" b="15875"/>
            <wp:docPr id="4" name="Chart 4" descr="Kaplan Meier curve for overall survival for177Lu PSMA from VISION, regenerated using WebPlotDigitizer, and the extrapolated survival curves for 177Lu PSMA and comparator (75% cabazitaxel/25% BSc) applied in the model base case">
              <a:extLst xmlns:a="http://schemas.openxmlformats.org/drawingml/2006/main">
                <a:ext uri="{FF2B5EF4-FFF2-40B4-BE49-F238E27FC236}">
                  <a16:creationId xmlns:a16="http://schemas.microsoft.com/office/drawing/2014/main" id="{33EA09DF-0DF4-4D57-9E8D-EB6ECE4745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03187B9" w14:textId="665AC80A" w:rsidR="004D7F99" w:rsidRDefault="004D7F99" w:rsidP="004D7F99">
      <w:r>
        <w:rPr>
          <w:lang w:eastAsia="en-GB"/>
        </w:rPr>
        <w:t xml:space="preserve">Data from VISION </w:t>
      </w:r>
      <w:r w:rsidR="00E33AA7">
        <w:rPr>
          <w:lang w:eastAsia="en-GB"/>
        </w:rPr>
        <w:t>wa</w:t>
      </w:r>
      <w:r>
        <w:rPr>
          <w:lang w:eastAsia="en-GB"/>
        </w:rPr>
        <w:t xml:space="preserve">s used to inform PFS and OS of </w:t>
      </w:r>
      <w:r>
        <w:rPr>
          <w:vertAlign w:val="superscript"/>
          <w:lang w:eastAsia="en-GB"/>
        </w:rPr>
        <w:t>177</w:t>
      </w:r>
      <w:r w:rsidR="009F7816">
        <w:rPr>
          <w:lang w:eastAsia="en-GB"/>
        </w:rPr>
        <w:t>Lu PSMA</w:t>
      </w:r>
      <w:r w:rsidR="00EF3B3C">
        <w:t> </w:t>
      </w:r>
      <w:proofErr w:type="spellStart"/>
      <w:r w:rsidR="00EF3B3C">
        <w:t>i&amp;t</w:t>
      </w:r>
      <w:proofErr w:type="spellEnd"/>
      <w:r>
        <w:rPr>
          <w:lang w:eastAsia="en-GB"/>
        </w:rPr>
        <w:t xml:space="preserve"> </w:t>
      </w:r>
      <w:r w:rsidR="00DB005C">
        <w:rPr>
          <w:lang w:eastAsia="en-GB"/>
        </w:rPr>
        <w:t xml:space="preserve">+ </w:t>
      </w:r>
      <w:r w:rsidR="00DB005C">
        <w:t xml:space="preserve">best supportive care </w:t>
      </w:r>
      <w:r>
        <w:rPr>
          <w:lang w:eastAsia="en-GB"/>
        </w:rPr>
        <w:t xml:space="preserve">versus </w:t>
      </w:r>
      <w:r w:rsidR="00DB005C">
        <w:t>best supportive care alone</w:t>
      </w:r>
      <w:r>
        <w:rPr>
          <w:lang w:eastAsia="en-GB"/>
        </w:rPr>
        <w:t xml:space="preserve">. </w:t>
      </w:r>
      <w:proofErr w:type="spellStart"/>
      <w:r>
        <w:rPr>
          <w:lang w:eastAsia="en-GB"/>
        </w:rPr>
        <w:t>TheraP</w:t>
      </w:r>
      <w:proofErr w:type="spellEnd"/>
      <w:r>
        <w:rPr>
          <w:lang w:eastAsia="en-GB"/>
        </w:rPr>
        <w:t xml:space="preserve"> </w:t>
      </w:r>
      <w:r w:rsidR="00E33AA7">
        <w:rPr>
          <w:lang w:eastAsia="en-GB"/>
        </w:rPr>
        <w:t>wa</w:t>
      </w:r>
      <w:r>
        <w:rPr>
          <w:lang w:eastAsia="en-GB"/>
        </w:rPr>
        <w:t xml:space="preserve">s used to inform the PFS of </w:t>
      </w:r>
      <w:r>
        <w:rPr>
          <w:vertAlign w:val="superscript"/>
          <w:lang w:eastAsia="en-GB"/>
        </w:rPr>
        <w:t>177</w:t>
      </w:r>
      <w:r w:rsidR="009F7816">
        <w:rPr>
          <w:lang w:eastAsia="en-GB"/>
        </w:rPr>
        <w:t>Lu PSMA</w:t>
      </w:r>
      <w:r w:rsidR="00EF3B3C">
        <w:t> </w:t>
      </w:r>
      <w:proofErr w:type="spellStart"/>
      <w:r w:rsidR="00EF3B3C">
        <w:t>i&amp;t</w:t>
      </w:r>
      <w:proofErr w:type="spellEnd"/>
      <w:r>
        <w:rPr>
          <w:lang w:eastAsia="en-GB"/>
        </w:rPr>
        <w:t xml:space="preserve"> versus </w:t>
      </w:r>
      <w:proofErr w:type="spellStart"/>
      <w:r>
        <w:rPr>
          <w:lang w:eastAsia="en-GB"/>
        </w:rPr>
        <w:t>cabazitaxel</w:t>
      </w:r>
      <w:proofErr w:type="spellEnd"/>
      <w:r>
        <w:rPr>
          <w:lang w:eastAsia="en-GB"/>
        </w:rPr>
        <w:t xml:space="preserve">. In the absence of OS data from </w:t>
      </w:r>
      <w:proofErr w:type="spellStart"/>
      <w:r>
        <w:rPr>
          <w:lang w:eastAsia="en-GB"/>
        </w:rPr>
        <w:t>TheraP</w:t>
      </w:r>
      <w:proofErr w:type="spellEnd"/>
      <w:r>
        <w:rPr>
          <w:lang w:eastAsia="en-GB"/>
        </w:rPr>
        <w:t xml:space="preserve"> to inform the comparative effectiveness of </w:t>
      </w:r>
      <w:r>
        <w:rPr>
          <w:vertAlign w:val="superscript"/>
          <w:lang w:eastAsia="en-GB"/>
        </w:rPr>
        <w:t>177</w:t>
      </w:r>
      <w:r w:rsidR="009F7816">
        <w:rPr>
          <w:lang w:eastAsia="en-GB"/>
        </w:rPr>
        <w:t>Lu PSMA</w:t>
      </w:r>
      <w:r w:rsidR="00EF3B3C">
        <w:t> </w:t>
      </w:r>
      <w:proofErr w:type="spellStart"/>
      <w:r w:rsidR="00EF3B3C">
        <w:t>i&amp;t</w:t>
      </w:r>
      <w:proofErr w:type="spellEnd"/>
      <w:r>
        <w:rPr>
          <w:lang w:eastAsia="en-GB"/>
        </w:rPr>
        <w:t xml:space="preserve"> versus </w:t>
      </w:r>
      <w:proofErr w:type="spellStart"/>
      <w:r>
        <w:rPr>
          <w:lang w:eastAsia="en-GB"/>
        </w:rPr>
        <w:t>cabazitaxel</w:t>
      </w:r>
      <w:proofErr w:type="spellEnd"/>
      <w:r>
        <w:rPr>
          <w:lang w:eastAsia="en-GB"/>
        </w:rPr>
        <w:t xml:space="preserve">, the ADAR base case </w:t>
      </w:r>
      <w:r>
        <w:t>assume</w:t>
      </w:r>
      <w:r w:rsidR="00E33AA7">
        <w:t>d</w:t>
      </w:r>
      <w:r>
        <w:t xml:space="preserve"> the comparative OS benefit for </w:t>
      </w:r>
      <w:r w:rsidRPr="00B95918">
        <w:rPr>
          <w:vertAlign w:val="superscript"/>
        </w:rPr>
        <w:t>177</w:t>
      </w:r>
      <w:r w:rsidR="009F7816">
        <w:t>Lu PSMA</w:t>
      </w:r>
      <w:r w:rsidR="00EF3B3C">
        <w:t> </w:t>
      </w:r>
      <w:proofErr w:type="spellStart"/>
      <w:r w:rsidR="00EF3B3C">
        <w:t>i&amp;t</w:t>
      </w:r>
      <w:proofErr w:type="spellEnd"/>
      <w:r>
        <w:t xml:space="preserve"> versus </w:t>
      </w:r>
      <w:proofErr w:type="spellStart"/>
      <w:r>
        <w:t>cabazitaxel</w:t>
      </w:r>
      <w:proofErr w:type="spellEnd"/>
      <w:r>
        <w:t xml:space="preserve"> is the same for </w:t>
      </w:r>
      <w:r w:rsidRPr="00B95918">
        <w:rPr>
          <w:vertAlign w:val="superscript"/>
        </w:rPr>
        <w:t>177</w:t>
      </w:r>
      <w:r w:rsidR="009F7816">
        <w:t>Lu PSMA</w:t>
      </w:r>
      <w:r w:rsidR="00EF3B3C">
        <w:t> </w:t>
      </w:r>
      <w:proofErr w:type="spellStart"/>
      <w:r w:rsidR="00EF3B3C">
        <w:t>i&amp;t</w:t>
      </w:r>
      <w:proofErr w:type="spellEnd"/>
      <w:r>
        <w:t xml:space="preserve"> versus </w:t>
      </w:r>
      <w:r w:rsidR="00DB005C">
        <w:t>best supportive care</w:t>
      </w:r>
      <w:r>
        <w:t>.</w:t>
      </w:r>
    </w:p>
    <w:p w14:paraId="6730C023" w14:textId="590DED7F" w:rsidR="004D7F99" w:rsidRPr="00C707E5" w:rsidRDefault="004D7F99" w:rsidP="004D7F99">
      <w:pPr>
        <w:rPr>
          <w:lang w:eastAsia="en-GB"/>
        </w:rPr>
      </w:pPr>
      <w:r w:rsidRPr="0048595C">
        <w:t xml:space="preserve">The use of the </w:t>
      </w:r>
      <w:r w:rsidRPr="0048595C">
        <w:rPr>
          <w:vertAlign w:val="superscript"/>
        </w:rPr>
        <w:t>177</w:t>
      </w:r>
      <w:r w:rsidR="009F7816">
        <w:t>Lu PSMA</w:t>
      </w:r>
      <w:r w:rsidRPr="0048595C">
        <w:t xml:space="preserve">-617 + </w:t>
      </w:r>
      <w:r w:rsidR="00DB005C">
        <w:t>best supportive care</w:t>
      </w:r>
      <w:r w:rsidRPr="0048595C">
        <w:t xml:space="preserve"> versus </w:t>
      </w:r>
      <w:r w:rsidR="00DB005C">
        <w:t>best supportive care</w:t>
      </w:r>
      <w:r w:rsidRPr="0048595C">
        <w:t xml:space="preserve"> alone OS HR from VISION to inform </w:t>
      </w:r>
      <w:r w:rsidR="00E33AA7" w:rsidRPr="0048595C">
        <w:t xml:space="preserve">the </w:t>
      </w:r>
      <w:r w:rsidRPr="0048595C">
        <w:t xml:space="preserve">comparative effectiveness of </w:t>
      </w:r>
      <w:proofErr w:type="spellStart"/>
      <w:r w:rsidRPr="0048595C">
        <w:t>cabazitaxel</w:t>
      </w:r>
      <w:proofErr w:type="spellEnd"/>
      <w:r w:rsidRPr="0048595C">
        <w:t xml:space="preserve"> versus </w:t>
      </w:r>
      <w:r w:rsidRPr="0048595C">
        <w:rPr>
          <w:vertAlign w:val="superscript"/>
        </w:rPr>
        <w:t>177</w:t>
      </w:r>
      <w:r w:rsidR="009F7816">
        <w:t>Lu PSMA</w:t>
      </w:r>
      <w:r w:rsidR="00EF3B3C">
        <w:t> </w:t>
      </w:r>
      <w:proofErr w:type="spellStart"/>
      <w:r w:rsidR="00EF3B3C">
        <w:t>i&amp;t</w:t>
      </w:r>
      <w:proofErr w:type="spellEnd"/>
      <w:r w:rsidRPr="0048595C">
        <w:t xml:space="preserve"> in the model is an important issue creating a high level of uncertainty in the ICER given the </w:t>
      </w:r>
      <w:r w:rsidR="00E33AA7" w:rsidRPr="0048595C">
        <w:t xml:space="preserve">inferred </w:t>
      </w:r>
      <w:r w:rsidRPr="0048595C">
        <w:t xml:space="preserve">differences </w:t>
      </w:r>
      <w:r w:rsidR="00E33AA7" w:rsidRPr="0048595C">
        <w:t xml:space="preserve">in effectiveness </w:t>
      </w:r>
      <w:r w:rsidRPr="0048595C">
        <w:t xml:space="preserve">between </w:t>
      </w:r>
      <w:r w:rsidR="00DB005C">
        <w:t>best supportive care</w:t>
      </w:r>
      <w:r w:rsidRPr="0048595C">
        <w:t xml:space="preserve"> and </w:t>
      </w:r>
      <w:proofErr w:type="spellStart"/>
      <w:r w:rsidRPr="0048595C">
        <w:t>cabazitaxel</w:t>
      </w:r>
      <w:proofErr w:type="spellEnd"/>
      <w:r w:rsidRPr="0048595C">
        <w:t xml:space="preserve">. This issue is </w:t>
      </w:r>
      <w:r w:rsidR="00E33AA7" w:rsidRPr="0048595C">
        <w:lastRenderedPageBreak/>
        <w:t xml:space="preserve">important </w:t>
      </w:r>
      <w:r w:rsidRPr="0048595C">
        <w:t xml:space="preserve">given the base case analysis assumes 75% of patients in the comparator arm of the model are treated with </w:t>
      </w:r>
      <w:proofErr w:type="spellStart"/>
      <w:r w:rsidRPr="0048595C">
        <w:t>cabazitaxel</w:t>
      </w:r>
      <w:proofErr w:type="spellEnd"/>
      <w:r w:rsidRPr="0048595C">
        <w:t>.</w:t>
      </w:r>
    </w:p>
    <w:p w14:paraId="4B1F0208" w14:textId="05009F52" w:rsidR="004D7F99" w:rsidRPr="0048595C" w:rsidRDefault="004D7F99" w:rsidP="004D7F99">
      <w:r w:rsidRPr="0048595C">
        <w:t>The approach used in the ADAR has the potential to underestimate the eff</w:t>
      </w:r>
      <w:r w:rsidR="00E33AA7" w:rsidRPr="0048595C">
        <w:t>ectiveness</w:t>
      </w:r>
      <w:r w:rsidRPr="0048595C">
        <w:t xml:space="preserve"> of </w:t>
      </w:r>
      <w:proofErr w:type="spellStart"/>
      <w:r w:rsidRPr="0048595C">
        <w:t>cabazitaxel</w:t>
      </w:r>
      <w:proofErr w:type="spellEnd"/>
      <w:r w:rsidRPr="0048595C">
        <w:t xml:space="preserve"> on OS. The TROPIC trial</w:t>
      </w:r>
      <w:r w:rsidRPr="0048595C">
        <w:rPr>
          <w:rStyle w:val="FootnoteReference"/>
        </w:rPr>
        <w:footnoteReference w:id="8"/>
      </w:r>
      <w:r w:rsidRPr="0048595C">
        <w:t xml:space="preserve"> provided a comparison of </w:t>
      </w:r>
      <w:proofErr w:type="spellStart"/>
      <w:r w:rsidRPr="0048595C">
        <w:t>cabazitaxel</w:t>
      </w:r>
      <w:proofErr w:type="spellEnd"/>
      <w:r w:rsidRPr="0048595C">
        <w:t xml:space="preserve"> 25 mg/m</w:t>
      </w:r>
      <w:r w:rsidRPr="0048595C">
        <w:rPr>
          <w:vertAlign w:val="superscript"/>
        </w:rPr>
        <w:t>2</w:t>
      </w:r>
      <w:r w:rsidRPr="0048595C">
        <w:t xml:space="preserve"> once every three weeks plus prednisolone 10 mg daily with </w:t>
      </w:r>
      <w:proofErr w:type="spellStart"/>
      <w:r w:rsidRPr="0048595C">
        <w:t>mitozantrone</w:t>
      </w:r>
      <w:proofErr w:type="spellEnd"/>
      <w:r w:rsidRPr="0048595C">
        <w:t xml:space="preserve"> 12 mg/m</w:t>
      </w:r>
      <w:r w:rsidRPr="0048595C">
        <w:rPr>
          <w:vertAlign w:val="superscript"/>
        </w:rPr>
        <w:t>2</w:t>
      </w:r>
      <w:r w:rsidRPr="0048595C">
        <w:t xml:space="preserve"> once every three weeks plus prednisolone 10 mg daily in patients with </w:t>
      </w:r>
      <w:proofErr w:type="spellStart"/>
      <w:r w:rsidRPr="0048595C">
        <w:t>mCRPC</w:t>
      </w:r>
      <w:proofErr w:type="spellEnd"/>
      <w:r w:rsidRPr="0048595C">
        <w:t xml:space="preserve"> with disease progression post docetaxel chemotherapy. Median overall survival was statistically significantly longer for patients treated with </w:t>
      </w:r>
      <w:proofErr w:type="spellStart"/>
      <w:r w:rsidRPr="0048595C">
        <w:t>cabazitaxel</w:t>
      </w:r>
      <w:proofErr w:type="spellEnd"/>
      <w:r w:rsidRPr="0048595C">
        <w:t xml:space="preserve"> than for those treated with </w:t>
      </w:r>
      <w:proofErr w:type="spellStart"/>
      <w:r w:rsidRPr="0048595C">
        <w:t>mitozantrone</w:t>
      </w:r>
      <w:proofErr w:type="spellEnd"/>
      <w:r w:rsidRPr="0048595C">
        <w:t xml:space="preserve"> (15.1 months versus 12.7 months; an incremental overall survival of 2.4 months </w:t>
      </w:r>
      <w:r w:rsidR="007F2C54" w:rsidRPr="0048595C">
        <w:t>[</w:t>
      </w:r>
      <w:r w:rsidRPr="0048595C">
        <w:t>p&lt;0.0001</w:t>
      </w:r>
      <w:r w:rsidR="007F2C54" w:rsidRPr="0048595C">
        <w:t>]</w:t>
      </w:r>
      <w:r w:rsidRPr="0048595C">
        <w:t xml:space="preserve">). The hazard ratio was 0.70 (95% CI: 0.59, 0.83) in favour of </w:t>
      </w:r>
      <w:proofErr w:type="spellStart"/>
      <w:r w:rsidRPr="0048595C">
        <w:t>cabazitaxel</w:t>
      </w:r>
      <w:proofErr w:type="spellEnd"/>
      <w:r w:rsidRPr="0048595C">
        <w:t xml:space="preserve"> (</w:t>
      </w:r>
      <w:proofErr w:type="spellStart"/>
      <w:r w:rsidRPr="0048595C">
        <w:t>Cabazitaxel</w:t>
      </w:r>
      <w:proofErr w:type="spellEnd"/>
      <w:r w:rsidRPr="0048595C">
        <w:t xml:space="preserve"> July 2011 PSD). In its consideration of abiraterone at the November 2011 PBAC meeting, the PBAC agreed that it was reasonable to assume that there is no overall survival benefit for </w:t>
      </w:r>
      <w:proofErr w:type="spellStart"/>
      <w:r w:rsidRPr="0048595C">
        <w:t>mitozantrone</w:t>
      </w:r>
      <w:proofErr w:type="spellEnd"/>
      <w:r w:rsidRPr="0048595C">
        <w:t xml:space="preserve"> and that placebo and </w:t>
      </w:r>
      <w:proofErr w:type="spellStart"/>
      <w:r w:rsidRPr="0048595C">
        <w:t>mitozantrone</w:t>
      </w:r>
      <w:proofErr w:type="spellEnd"/>
      <w:r w:rsidRPr="0048595C">
        <w:t xml:space="preserve"> are equivalent (Abiraterone November 2011 PSD).</w:t>
      </w:r>
    </w:p>
    <w:p w14:paraId="7F9DC0BF" w14:textId="065D0B3D" w:rsidR="004D7F99" w:rsidRPr="0048595C" w:rsidRDefault="004D7F99" w:rsidP="004D7F99">
      <w:r w:rsidRPr="0048595C">
        <w:t xml:space="preserve">Sensitivity analyses conducted during the evaluation using the upper and lower 95% confidence </w:t>
      </w:r>
      <w:r w:rsidR="0048595C">
        <w:t>limits</w:t>
      </w:r>
      <w:r w:rsidRPr="0048595C">
        <w:t xml:space="preserve"> around the OS HR from VISION and applied to </w:t>
      </w:r>
      <w:proofErr w:type="spellStart"/>
      <w:r w:rsidRPr="0048595C">
        <w:t>cabazitaxel</w:t>
      </w:r>
      <w:proofErr w:type="spellEnd"/>
      <w:r w:rsidRPr="0048595C">
        <w:t xml:space="preserve"> only had substantial impacts on the ICER (decreased by 15.1%, increased by 24.5%, respectively). Further sensitivity analysis assuming a HR for OS of 0.885 (0.62*(1/0.70)) and 1 (no difference) between </w:t>
      </w:r>
      <w:r w:rsidRPr="0048595C">
        <w:rPr>
          <w:vertAlign w:val="superscript"/>
        </w:rPr>
        <w:t>177</w:t>
      </w:r>
      <w:r w:rsidR="009F7816">
        <w:t>Lu PSMA</w:t>
      </w:r>
      <w:r w:rsidR="00530600">
        <w:t> </w:t>
      </w:r>
      <w:proofErr w:type="spellStart"/>
      <w:r w:rsidR="00530600">
        <w:t>i&amp;t</w:t>
      </w:r>
      <w:proofErr w:type="spellEnd"/>
      <w:r w:rsidRPr="0048595C">
        <w:t xml:space="preserve"> and </w:t>
      </w:r>
      <w:proofErr w:type="spellStart"/>
      <w:r w:rsidRPr="0048595C">
        <w:t>cabazitaxel</w:t>
      </w:r>
      <w:proofErr w:type="spellEnd"/>
      <w:r w:rsidRPr="0048595C">
        <w:t xml:space="preserve"> resulted in an increase of the ICER by 72.3% and 131.3%, respectively.</w:t>
      </w:r>
    </w:p>
    <w:p w14:paraId="62A2439C" w14:textId="5D20B81B" w:rsidR="004D7F99" w:rsidRPr="0048595C" w:rsidRDefault="004D7F99" w:rsidP="004D7F99">
      <w:r w:rsidRPr="00C707E5">
        <w:t>Cost</w:t>
      </w:r>
      <w:r w:rsidR="003D6EFD" w:rsidRPr="00C707E5">
        <w:t>s</w:t>
      </w:r>
      <w:r w:rsidRPr="00C707E5">
        <w:t xml:space="preserve"> relevant to PSMA PET/CT testing, </w:t>
      </w:r>
      <w:r w:rsidRPr="00C707E5">
        <w:rPr>
          <w:vertAlign w:val="superscript"/>
        </w:rPr>
        <w:t>177</w:t>
      </w:r>
      <w:r w:rsidR="009F7816">
        <w:t>Lu PSMA</w:t>
      </w:r>
      <w:r w:rsidR="00530600">
        <w:t> </w:t>
      </w:r>
      <w:proofErr w:type="spellStart"/>
      <w:r w:rsidR="00530600">
        <w:t>i&amp;t</w:t>
      </w:r>
      <w:proofErr w:type="spellEnd"/>
      <w:r w:rsidRPr="00C707E5">
        <w:t xml:space="preserve"> and </w:t>
      </w:r>
      <w:proofErr w:type="spellStart"/>
      <w:r w:rsidRPr="00C707E5">
        <w:t>cabazitaxel</w:t>
      </w:r>
      <w:proofErr w:type="spellEnd"/>
      <w:r w:rsidRPr="00C707E5">
        <w:t xml:space="preserve"> </w:t>
      </w:r>
      <w:r w:rsidR="00B93D2C" w:rsidRPr="00C707E5">
        <w:t>we</w:t>
      </w:r>
      <w:r w:rsidRPr="00C707E5">
        <w:t xml:space="preserve">re </w:t>
      </w:r>
      <w:r w:rsidR="00FB359A" w:rsidRPr="00C707E5">
        <w:t xml:space="preserve">appropriately </w:t>
      </w:r>
      <w:r w:rsidRPr="00C707E5">
        <w:t>included</w:t>
      </w:r>
      <w:r w:rsidR="00F5623B" w:rsidRPr="00C707E5">
        <w:t>, as well as costs for treating Grade 3 or 4 adverse events</w:t>
      </w:r>
      <w:r w:rsidRPr="00C707E5">
        <w:t>.</w:t>
      </w:r>
      <w:r w:rsidRPr="0048595C">
        <w:t xml:space="preserve"> </w:t>
      </w:r>
      <w:r w:rsidR="00B93D2C" w:rsidRPr="0048595C">
        <w:t xml:space="preserve">A price reduction for </w:t>
      </w:r>
      <w:proofErr w:type="spellStart"/>
      <w:r w:rsidR="00B93D2C" w:rsidRPr="0048595C">
        <w:t>cabazitaxel</w:t>
      </w:r>
      <w:proofErr w:type="spellEnd"/>
      <w:r w:rsidR="00B93D2C" w:rsidRPr="0048595C">
        <w:t xml:space="preserve"> came into effect on 1 April 2022, the results of the economic evaluation have been update</w:t>
      </w:r>
      <w:r w:rsidR="00F5623B" w:rsidRPr="0048595C">
        <w:t>d</w:t>
      </w:r>
      <w:r w:rsidR="00B93D2C" w:rsidRPr="0048595C">
        <w:t xml:space="preserve"> to reflect that price decrease. </w:t>
      </w:r>
      <w:r w:rsidRPr="00C707E5">
        <w:t xml:space="preserve">Although the model is predominantly based on VISION, where </w:t>
      </w:r>
      <w:r w:rsidR="00DB005C">
        <w:t>best supportive care</w:t>
      </w:r>
      <w:r w:rsidRPr="00C707E5">
        <w:t xml:space="preserve"> therapies were reported, the ADAR did not apply costs related to th</w:t>
      </w:r>
      <w:r w:rsidR="00B93D2C" w:rsidRPr="00C707E5">
        <w:t>ose therapies</w:t>
      </w:r>
      <w:r w:rsidRPr="0048595C">
        <w:t>. This may be an issue as there were differences in the relative use of various therapies between the groups.</w:t>
      </w:r>
      <w:r w:rsidR="00F5623B" w:rsidRPr="0048595C">
        <w:t xml:space="preserve"> It is also notable that no costs associated with treatment of bone pain such as opioid use, </w:t>
      </w:r>
      <w:r w:rsidR="003048A3" w:rsidRPr="0048595C">
        <w:rPr>
          <w:vertAlign w:val="superscript"/>
        </w:rPr>
        <w:t>89</w:t>
      </w:r>
      <w:r w:rsidR="00F5623B" w:rsidRPr="0048595C">
        <w:t>strontium (palliative isotope) and local radiotherapy were included.</w:t>
      </w:r>
    </w:p>
    <w:p w14:paraId="51863640" w14:textId="40D71796" w:rsidR="00F5623B" w:rsidRPr="00F5623B" w:rsidRDefault="00F5623B" w:rsidP="004D7F99">
      <w:r w:rsidRPr="00F5623B">
        <w:t>The results of the economic evaluation</w:t>
      </w:r>
      <w:r w:rsidRPr="0048595C">
        <w:t xml:space="preserve"> </w:t>
      </w:r>
      <w:r w:rsidR="00A13F19" w:rsidRPr="0048595C">
        <w:t>(</w:t>
      </w:r>
      <w:r w:rsidR="0048595C" w:rsidRPr="0048595C">
        <w:t xml:space="preserve">modified during the evaluation to </w:t>
      </w:r>
      <w:r w:rsidR="00A13F19" w:rsidRPr="0048595C">
        <w:t xml:space="preserve">reflect the recent price reduction of </w:t>
      </w:r>
      <w:proofErr w:type="spellStart"/>
      <w:r w:rsidR="00A13F19" w:rsidRPr="0048595C">
        <w:t>cabazitaxel</w:t>
      </w:r>
      <w:proofErr w:type="spellEnd"/>
      <w:r w:rsidR="00A13F19" w:rsidRPr="0048595C">
        <w:t xml:space="preserve">) </w:t>
      </w:r>
      <w:r w:rsidRPr="0048595C">
        <w:t>are pres</w:t>
      </w:r>
      <w:r w:rsidRPr="00F5623B">
        <w:t>ented in</w:t>
      </w:r>
      <w:r w:rsidR="00983D23">
        <w:t xml:space="preserve"> Table</w:t>
      </w:r>
      <w:r w:rsidRPr="00F5623B">
        <w:t xml:space="preserve"> </w:t>
      </w:r>
      <w:r w:rsidR="00F52F26">
        <w:t>10</w:t>
      </w:r>
      <w:r w:rsidRPr="00F5623B">
        <w:t>.</w:t>
      </w:r>
    </w:p>
    <w:p w14:paraId="48505E1E" w14:textId="1562691C" w:rsidR="00F5623B" w:rsidRDefault="00F5623B" w:rsidP="00F5623B">
      <w:pPr>
        <w:pStyle w:val="Caption"/>
      </w:pPr>
      <w:bookmarkStart w:id="40" w:name="_Ref94273086"/>
      <w:r>
        <w:lastRenderedPageBreak/>
        <w:t>Table</w:t>
      </w:r>
      <w:r w:rsidR="00F52F26">
        <w:t xml:space="preserve"> 10</w:t>
      </w:r>
      <w:bookmarkEnd w:id="40"/>
      <w:r>
        <w:tab/>
      </w:r>
      <w:r w:rsidRPr="002D64A3">
        <w:t>Stepped derivation of the base</w:t>
      </w:r>
      <w:r w:rsidR="00E12710">
        <w:t xml:space="preserve"> </w:t>
      </w:r>
      <w:r w:rsidRPr="002D64A3">
        <w:t xml:space="preserve">case </w:t>
      </w:r>
      <w:r w:rsidR="00E12710">
        <w:t xml:space="preserve">result of the </w:t>
      </w:r>
      <w:r w:rsidRPr="002D64A3">
        <w:t>economic evaluation (discounted)</w:t>
      </w:r>
    </w:p>
    <w:tbl>
      <w:tblPr>
        <w:tblStyle w:val="TableGrid"/>
        <w:tblW w:w="5000" w:type="pct"/>
        <w:tblLayout w:type="fixed"/>
        <w:tblCellMar>
          <w:left w:w="28" w:type="dxa"/>
          <w:right w:w="28" w:type="dxa"/>
        </w:tblCellMar>
        <w:tblLook w:val="04A0" w:firstRow="1" w:lastRow="0" w:firstColumn="1" w:lastColumn="0" w:noHBand="0" w:noVBand="1"/>
      </w:tblPr>
      <w:tblGrid>
        <w:gridCol w:w="3823"/>
        <w:gridCol w:w="849"/>
        <w:gridCol w:w="994"/>
        <w:gridCol w:w="1132"/>
        <w:gridCol w:w="1277"/>
        <w:gridCol w:w="941"/>
      </w:tblGrid>
      <w:tr w:rsidR="00F5623B" w14:paraId="44B38EEC" w14:textId="77777777" w:rsidTr="00C531F2">
        <w:trPr>
          <w:tblHeader/>
        </w:trPr>
        <w:tc>
          <w:tcPr>
            <w:tcW w:w="2120" w:type="pct"/>
            <w:tcBorders>
              <w:bottom w:val="single" w:sz="4" w:space="0" w:color="auto"/>
            </w:tcBorders>
          </w:tcPr>
          <w:p w14:paraId="6E9471AA" w14:textId="77777777" w:rsidR="00F5623B" w:rsidRPr="00C531F2" w:rsidRDefault="00F5623B" w:rsidP="00C531F2">
            <w:pPr>
              <w:pStyle w:val="TableText"/>
              <w:keepNext/>
              <w:rPr>
                <w:b/>
                <w:bCs/>
              </w:rPr>
            </w:pPr>
            <w:r w:rsidRPr="00C531F2">
              <w:rPr>
                <w:b/>
                <w:bCs/>
              </w:rPr>
              <w:t>Strategy</w:t>
            </w:r>
          </w:p>
        </w:tc>
        <w:tc>
          <w:tcPr>
            <w:tcW w:w="471" w:type="pct"/>
            <w:tcBorders>
              <w:bottom w:val="single" w:sz="4" w:space="0" w:color="auto"/>
            </w:tcBorders>
          </w:tcPr>
          <w:p w14:paraId="4FD984B6" w14:textId="77777777" w:rsidR="00F5623B" w:rsidRPr="0048595C" w:rsidRDefault="00F5623B" w:rsidP="004856FF">
            <w:pPr>
              <w:pStyle w:val="TableText"/>
              <w:jc w:val="center"/>
              <w:rPr>
                <w:b/>
                <w:bCs/>
              </w:rPr>
            </w:pPr>
            <w:r w:rsidRPr="0048595C">
              <w:rPr>
                <w:b/>
                <w:bCs/>
              </w:rPr>
              <w:t>Cost</w:t>
            </w:r>
          </w:p>
        </w:tc>
        <w:tc>
          <w:tcPr>
            <w:tcW w:w="551" w:type="pct"/>
            <w:tcBorders>
              <w:bottom w:val="single" w:sz="4" w:space="0" w:color="auto"/>
            </w:tcBorders>
          </w:tcPr>
          <w:p w14:paraId="66C520FE" w14:textId="77777777" w:rsidR="00F5623B" w:rsidRPr="0048595C" w:rsidRDefault="00F5623B" w:rsidP="004856FF">
            <w:pPr>
              <w:pStyle w:val="TableText"/>
              <w:jc w:val="center"/>
              <w:rPr>
                <w:b/>
                <w:bCs/>
              </w:rPr>
            </w:pPr>
            <w:r w:rsidRPr="0048595C">
              <w:rPr>
                <w:b/>
                <w:bCs/>
              </w:rPr>
              <w:t>Incremental cost</w:t>
            </w:r>
          </w:p>
        </w:tc>
        <w:tc>
          <w:tcPr>
            <w:tcW w:w="628" w:type="pct"/>
            <w:tcBorders>
              <w:bottom w:val="single" w:sz="4" w:space="0" w:color="auto"/>
            </w:tcBorders>
          </w:tcPr>
          <w:p w14:paraId="338F992D" w14:textId="77777777" w:rsidR="00F5623B" w:rsidRPr="0048595C" w:rsidRDefault="00F5623B" w:rsidP="004856FF">
            <w:pPr>
              <w:pStyle w:val="TableText"/>
              <w:jc w:val="center"/>
              <w:rPr>
                <w:b/>
                <w:bCs/>
              </w:rPr>
            </w:pPr>
            <w:r w:rsidRPr="0048595C">
              <w:rPr>
                <w:b/>
                <w:bCs/>
              </w:rPr>
              <w:t>Effectiveness</w:t>
            </w:r>
          </w:p>
        </w:tc>
        <w:tc>
          <w:tcPr>
            <w:tcW w:w="708" w:type="pct"/>
            <w:tcBorders>
              <w:bottom w:val="single" w:sz="4" w:space="0" w:color="auto"/>
            </w:tcBorders>
          </w:tcPr>
          <w:p w14:paraId="26F41237" w14:textId="77777777" w:rsidR="00F5623B" w:rsidRPr="0048595C" w:rsidRDefault="00F5623B" w:rsidP="004856FF">
            <w:pPr>
              <w:pStyle w:val="TableText"/>
              <w:jc w:val="center"/>
              <w:rPr>
                <w:b/>
                <w:bCs/>
              </w:rPr>
            </w:pPr>
            <w:r w:rsidRPr="0048595C">
              <w:rPr>
                <w:b/>
                <w:bCs/>
              </w:rPr>
              <w:t>Incremental effectiveness</w:t>
            </w:r>
          </w:p>
        </w:tc>
        <w:tc>
          <w:tcPr>
            <w:tcW w:w="522" w:type="pct"/>
            <w:tcBorders>
              <w:bottom w:val="single" w:sz="4" w:space="0" w:color="auto"/>
            </w:tcBorders>
          </w:tcPr>
          <w:p w14:paraId="7C6B8AAA" w14:textId="77777777" w:rsidR="00F5623B" w:rsidRPr="0048595C" w:rsidRDefault="00F5623B" w:rsidP="004856FF">
            <w:pPr>
              <w:pStyle w:val="TableText"/>
              <w:jc w:val="center"/>
              <w:rPr>
                <w:b/>
                <w:bCs/>
              </w:rPr>
            </w:pPr>
            <w:r w:rsidRPr="0048595C">
              <w:rPr>
                <w:b/>
                <w:bCs/>
              </w:rPr>
              <w:t>ICER</w:t>
            </w:r>
          </w:p>
        </w:tc>
      </w:tr>
      <w:tr w:rsidR="00F5623B" w14:paraId="413A1A1F" w14:textId="77777777" w:rsidTr="000F125F">
        <w:tc>
          <w:tcPr>
            <w:tcW w:w="2120" w:type="pct"/>
            <w:tcBorders>
              <w:right w:val="nil"/>
            </w:tcBorders>
          </w:tcPr>
          <w:p w14:paraId="377ED49E" w14:textId="77777777" w:rsidR="00F5623B" w:rsidRPr="00555611" w:rsidRDefault="00F5623B" w:rsidP="00C531F2">
            <w:pPr>
              <w:pStyle w:val="TableText"/>
              <w:keepNext/>
            </w:pPr>
            <w:r w:rsidRPr="00555611">
              <w:t>Step 1</w:t>
            </w:r>
            <w:r>
              <w:t xml:space="preserve"> (</w:t>
            </w:r>
            <w:r w:rsidRPr="003757A6">
              <w:rPr>
                <w:b/>
                <w:bCs/>
              </w:rPr>
              <w:t>cost per LY</w:t>
            </w:r>
            <w:r>
              <w:t xml:space="preserve"> – 90.8-week time horizon)</w:t>
            </w:r>
          </w:p>
        </w:tc>
        <w:tc>
          <w:tcPr>
            <w:tcW w:w="471" w:type="pct"/>
            <w:tcBorders>
              <w:left w:val="nil"/>
              <w:right w:val="nil"/>
            </w:tcBorders>
          </w:tcPr>
          <w:p w14:paraId="17AF85EC" w14:textId="77777777" w:rsidR="00F5623B" w:rsidRPr="0048595C" w:rsidRDefault="00F5623B" w:rsidP="004856FF">
            <w:pPr>
              <w:pStyle w:val="TableText"/>
              <w:jc w:val="center"/>
            </w:pPr>
          </w:p>
        </w:tc>
        <w:tc>
          <w:tcPr>
            <w:tcW w:w="551" w:type="pct"/>
            <w:tcBorders>
              <w:left w:val="nil"/>
              <w:right w:val="nil"/>
            </w:tcBorders>
          </w:tcPr>
          <w:p w14:paraId="43B15E04" w14:textId="77777777" w:rsidR="00F5623B" w:rsidRPr="0048595C" w:rsidRDefault="00F5623B" w:rsidP="004856FF">
            <w:pPr>
              <w:pStyle w:val="TableText"/>
              <w:jc w:val="center"/>
            </w:pPr>
          </w:p>
        </w:tc>
        <w:tc>
          <w:tcPr>
            <w:tcW w:w="628" w:type="pct"/>
            <w:tcBorders>
              <w:left w:val="nil"/>
              <w:right w:val="nil"/>
            </w:tcBorders>
          </w:tcPr>
          <w:p w14:paraId="06708A89" w14:textId="77777777" w:rsidR="00F5623B" w:rsidRPr="0048595C" w:rsidRDefault="00F5623B" w:rsidP="004856FF">
            <w:pPr>
              <w:pStyle w:val="TableText"/>
              <w:jc w:val="center"/>
            </w:pPr>
          </w:p>
        </w:tc>
        <w:tc>
          <w:tcPr>
            <w:tcW w:w="708" w:type="pct"/>
            <w:tcBorders>
              <w:left w:val="nil"/>
              <w:right w:val="nil"/>
            </w:tcBorders>
          </w:tcPr>
          <w:p w14:paraId="267F5D66" w14:textId="77777777" w:rsidR="00F5623B" w:rsidRPr="0048595C" w:rsidRDefault="00F5623B" w:rsidP="004856FF">
            <w:pPr>
              <w:pStyle w:val="TableText"/>
              <w:jc w:val="center"/>
            </w:pPr>
          </w:p>
        </w:tc>
        <w:tc>
          <w:tcPr>
            <w:tcW w:w="522" w:type="pct"/>
            <w:tcBorders>
              <w:left w:val="nil"/>
            </w:tcBorders>
          </w:tcPr>
          <w:p w14:paraId="7F2ECB4C" w14:textId="77777777" w:rsidR="00F5623B" w:rsidRPr="0048595C" w:rsidRDefault="00F5623B" w:rsidP="004856FF">
            <w:pPr>
              <w:pStyle w:val="TableText"/>
              <w:jc w:val="center"/>
            </w:pPr>
          </w:p>
        </w:tc>
      </w:tr>
      <w:tr w:rsidR="00F5623B" w14:paraId="61AF4C47" w14:textId="77777777" w:rsidTr="000F125F">
        <w:tc>
          <w:tcPr>
            <w:tcW w:w="2120" w:type="pct"/>
          </w:tcPr>
          <w:p w14:paraId="6D08E64F" w14:textId="2FC6820E" w:rsidR="00F5623B" w:rsidRDefault="00F5623B" w:rsidP="00C531F2">
            <w:pPr>
              <w:pStyle w:val="TableText"/>
              <w:keepNext/>
            </w:pPr>
            <w:r w:rsidRPr="00896186">
              <w:rPr>
                <w:vertAlign w:val="superscript"/>
              </w:rPr>
              <w:t>177</w:t>
            </w:r>
            <w:r w:rsidR="009F7816">
              <w:t>Lu </w:t>
            </w:r>
            <w:r w:rsidR="00886914">
              <w:t>PSMA </w:t>
            </w:r>
            <w:proofErr w:type="spellStart"/>
            <w:r w:rsidR="00886914">
              <w:t>i&amp;t</w:t>
            </w:r>
            <w:proofErr w:type="spellEnd"/>
          </w:p>
        </w:tc>
        <w:tc>
          <w:tcPr>
            <w:tcW w:w="471" w:type="pct"/>
            <w:vAlign w:val="bottom"/>
          </w:tcPr>
          <w:p w14:paraId="097856BE" w14:textId="77777777" w:rsidR="00F5623B" w:rsidRPr="0048595C" w:rsidRDefault="00F5623B" w:rsidP="004856FF">
            <w:pPr>
              <w:pStyle w:val="TableText"/>
              <w:jc w:val="center"/>
            </w:pPr>
            <w:r w:rsidRPr="0048595C">
              <w:t>$63,127</w:t>
            </w:r>
          </w:p>
        </w:tc>
        <w:tc>
          <w:tcPr>
            <w:tcW w:w="551" w:type="pct"/>
            <w:vAlign w:val="bottom"/>
          </w:tcPr>
          <w:p w14:paraId="68A47C2E" w14:textId="77777777" w:rsidR="00F5623B" w:rsidRPr="0048595C" w:rsidRDefault="00F5623B" w:rsidP="004856FF">
            <w:pPr>
              <w:pStyle w:val="TableText"/>
              <w:jc w:val="center"/>
            </w:pPr>
            <w:r w:rsidRPr="0048595C">
              <w:t>$24,074</w:t>
            </w:r>
          </w:p>
        </w:tc>
        <w:tc>
          <w:tcPr>
            <w:tcW w:w="628" w:type="pct"/>
            <w:vAlign w:val="bottom"/>
          </w:tcPr>
          <w:p w14:paraId="093CE3A8" w14:textId="77777777" w:rsidR="00F5623B" w:rsidRPr="0048595C" w:rsidRDefault="00F5623B" w:rsidP="004856FF">
            <w:pPr>
              <w:pStyle w:val="TableText"/>
              <w:jc w:val="center"/>
            </w:pPr>
            <w:r w:rsidRPr="0048595C">
              <w:t>1.154</w:t>
            </w:r>
          </w:p>
        </w:tc>
        <w:tc>
          <w:tcPr>
            <w:tcW w:w="708" w:type="pct"/>
            <w:vAlign w:val="bottom"/>
          </w:tcPr>
          <w:p w14:paraId="7FF64991" w14:textId="77777777" w:rsidR="00F5623B" w:rsidRPr="0048595C" w:rsidRDefault="00F5623B" w:rsidP="004856FF">
            <w:pPr>
              <w:pStyle w:val="TableText"/>
              <w:jc w:val="center"/>
            </w:pPr>
            <w:r w:rsidRPr="0048595C">
              <w:t>0.173</w:t>
            </w:r>
          </w:p>
        </w:tc>
        <w:tc>
          <w:tcPr>
            <w:tcW w:w="522" w:type="pct"/>
            <w:vAlign w:val="bottom"/>
          </w:tcPr>
          <w:p w14:paraId="26713FF4" w14:textId="77777777" w:rsidR="00F5623B" w:rsidRPr="0048595C" w:rsidRDefault="00F5623B" w:rsidP="004856FF">
            <w:pPr>
              <w:pStyle w:val="TableText"/>
              <w:jc w:val="center"/>
            </w:pPr>
            <w:r w:rsidRPr="0048595C">
              <w:t>$139,283</w:t>
            </w:r>
          </w:p>
        </w:tc>
      </w:tr>
      <w:tr w:rsidR="00F5623B" w14:paraId="35C56E78" w14:textId="77777777" w:rsidTr="000F125F">
        <w:tc>
          <w:tcPr>
            <w:tcW w:w="2120" w:type="pct"/>
            <w:tcBorders>
              <w:bottom w:val="single" w:sz="4" w:space="0" w:color="auto"/>
            </w:tcBorders>
          </w:tcPr>
          <w:p w14:paraId="1D0E3B6D" w14:textId="46E9D047" w:rsidR="00F5623B" w:rsidRDefault="00F5623B" w:rsidP="00C531F2">
            <w:pPr>
              <w:pStyle w:val="TableText"/>
              <w:keepNext/>
            </w:pPr>
            <w:proofErr w:type="spellStart"/>
            <w:r>
              <w:t>Cabazitaxel</w:t>
            </w:r>
            <w:proofErr w:type="spellEnd"/>
            <w:r>
              <w:t>/</w:t>
            </w:r>
            <w:r w:rsidR="00DB005C">
              <w:t>best supportive care</w:t>
            </w:r>
          </w:p>
        </w:tc>
        <w:tc>
          <w:tcPr>
            <w:tcW w:w="471" w:type="pct"/>
            <w:tcBorders>
              <w:bottom w:val="single" w:sz="4" w:space="0" w:color="auto"/>
            </w:tcBorders>
            <w:vAlign w:val="bottom"/>
          </w:tcPr>
          <w:p w14:paraId="460A9333" w14:textId="77777777" w:rsidR="00F5623B" w:rsidRPr="0048595C" w:rsidRDefault="00F5623B" w:rsidP="004856FF">
            <w:pPr>
              <w:pStyle w:val="TableText"/>
              <w:jc w:val="center"/>
            </w:pPr>
            <w:r w:rsidRPr="0048595C">
              <w:t>$39,053</w:t>
            </w:r>
          </w:p>
        </w:tc>
        <w:tc>
          <w:tcPr>
            <w:tcW w:w="551" w:type="pct"/>
            <w:tcBorders>
              <w:bottom w:val="single" w:sz="4" w:space="0" w:color="auto"/>
            </w:tcBorders>
            <w:vAlign w:val="bottom"/>
          </w:tcPr>
          <w:p w14:paraId="1EBDD3C3" w14:textId="77777777" w:rsidR="00F5623B" w:rsidRPr="0048595C" w:rsidRDefault="00F5623B" w:rsidP="004856FF">
            <w:pPr>
              <w:pStyle w:val="TableText"/>
              <w:jc w:val="center"/>
            </w:pPr>
          </w:p>
        </w:tc>
        <w:tc>
          <w:tcPr>
            <w:tcW w:w="628" w:type="pct"/>
            <w:tcBorders>
              <w:bottom w:val="single" w:sz="4" w:space="0" w:color="auto"/>
            </w:tcBorders>
            <w:vAlign w:val="bottom"/>
          </w:tcPr>
          <w:p w14:paraId="73719736" w14:textId="77777777" w:rsidR="00F5623B" w:rsidRPr="0048595C" w:rsidRDefault="00F5623B" w:rsidP="004856FF">
            <w:pPr>
              <w:pStyle w:val="TableText"/>
              <w:jc w:val="center"/>
            </w:pPr>
            <w:r w:rsidRPr="0048595C">
              <w:t>0.981</w:t>
            </w:r>
          </w:p>
        </w:tc>
        <w:tc>
          <w:tcPr>
            <w:tcW w:w="708" w:type="pct"/>
            <w:tcBorders>
              <w:bottom w:val="single" w:sz="4" w:space="0" w:color="auto"/>
            </w:tcBorders>
            <w:vAlign w:val="bottom"/>
          </w:tcPr>
          <w:p w14:paraId="67C2D55F" w14:textId="77777777" w:rsidR="00F5623B" w:rsidRPr="0048595C" w:rsidRDefault="00F5623B" w:rsidP="004856FF">
            <w:pPr>
              <w:pStyle w:val="TableText"/>
              <w:jc w:val="center"/>
            </w:pPr>
          </w:p>
        </w:tc>
        <w:tc>
          <w:tcPr>
            <w:tcW w:w="522" w:type="pct"/>
            <w:tcBorders>
              <w:bottom w:val="single" w:sz="4" w:space="0" w:color="auto"/>
            </w:tcBorders>
            <w:vAlign w:val="bottom"/>
          </w:tcPr>
          <w:p w14:paraId="388086F0" w14:textId="77777777" w:rsidR="00F5623B" w:rsidRPr="0048595C" w:rsidRDefault="00F5623B" w:rsidP="004856FF">
            <w:pPr>
              <w:pStyle w:val="TableText"/>
              <w:jc w:val="center"/>
            </w:pPr>
          </w:p>
        </w:tc>
      </w:tr>
      <w:tr w:rsidR="00F5623B" w14:paraId="0B4E79FA" w14:textId="77777777" w:rsidTr="000F125F">
        <w:tc>
          <w:tcPr>
            <w:tcW w:w="2120" w:type="pct"/>
            <w:tcBorders>
              <w:right w:val="nil"/>
            </w:tcBorders>
          </w:tcPr>
          <w:p w14:paraId="722BBDCB" w14:textId="77777777" w:rsidR="00F5623B" w:rsidRDefault="00F5623B" w:rsidP="00C531F2">
            <w:pPr>
              <w:pStyle w:val="TableText"/>
              <w:keepNext/>
            </w:pPr>
            <w:r w:rsidRPr="00555611">
              <w:t xml:space="preserve">Step </w:t>
            </w:r>
            <w:r>
              <w:t>2 (</w:t>
            </w:r>
            <w:r w:rsidRPr="003757A6">
              <w:rPr>
                <w:b/>
                <w:bCs/>
              </w:rPr>
              <w:t>cost per LY</w:t>
            </w:r>
            <w:r>
              <w:t xml:space="preserve"> – 10-year time horizon)</w:t>
            </w:r>
          </w:p>
        </w:tc>
        <w:tc>
          <w:tcPr>
            <w:tcW w:w="471" w:type="pct"/>
            <w:tcBorders>
              <w:left w:val="nil"/>
              <w:right w:val="nil"/>
            </w:tcBorders>
          </w:tcPr>
          <w:p w14:paraId="131D0A89" w14:textId="77777777" w:rsidR="00F5623B" w:rsidRPr="0048595C" w:rsidRDefault="00F5623B" w:rsidP="004856FF">
            <w:pPr>
              <w:pStyle w:val="TableText"/>
              <w:jc w:val="center"/>
            </w:pPr>
          </w:p>
        </w:tc>
        <w:tc>
          <w:tcPr>
            <w:tcW w:w="551" w:type="pct"/>
            <w:tcBorders>
              <w:left w:val="nil"/>
              <w:right w:val="nil"/>
            </w:tcBorders>
          </w:tcPr>
          <w:p w14:paraId="5C29F1ED" w14:textId="77777777" w:rsidR="00F5623B" w:rsidRPr="0048595C" w:rsidRDefault="00F5623B" w:rsidP="004856FF">
            <w:pPr>
              <w:pStyle w:val="TableText"/>
              <w:jc w:val="center"/>
            </w:pPr>
          </w:p>
        </w:tc>
        <w:tc>
          <w:tcPr>
            <w:tcW w:w="628" w:type="pct"/>
            <w:tcBorders>
              <w:left w:val="nil"/>
              <w:right w:val="nil"/>
            </w:tcBorders>
          </w:tcPr>
          <w:p w14:paraId="5032E7DD" w14:textId="77777777" w:rsidR="00F5623B" w:rsidRPr="0048595C" w:rsidRDefault="00F5623B" w:rsidP="004856FF">
            <w:pPr>
              <w:pStyle w:val="TableText"/>
              <w:jc w:val="center"/>
            </w:pPr>
          </w:p>
        </w:tc>
        <w:tc>
          <w:tcPr>
            <w:tcW w:w="708" w:type="pct"/>
            <w:tcBorders>
              <w:left w:val="nil"/>
              <w:right w:val="nil"/>
            </w:tcBorders>
          </w:tcPr>
          <w:p w14:paraId="4BF5F029" w14:textId="77777777" w:rsidR="00F5623B" w:rsidRPr="0048595C" w:rsidRDefault="00F5623B" w:rsidP="004856FF">
            <w:pPr>
              <w:pStyle w:val="TableText"/>
              <w:jc w:val="center"/>
            </w:pPr>
          </w:p>
        </w:tc>
        <w:tc>
          <w:tcPr>
            <w:tcW w:w="522" w:type="pct"/>
            <w:tcBorders>
              <w:left w:val="nil"/>
            </w:tcBorders>
          </w:tcPr>
          <w:p w14:paraId="350B3DCC" w14:textId="77777777" w:rsidR="00F5623B" w:rsidRPr="0048595C" w:rsidRDefault="00F5623B" w:rsidP="004856FF">
            <w:pPr>
              <w:pStyle w:val="TableText"/>
              <w:jc w:val="center"/>
            </w:pPr>
          </w:p>
        </w:tc>
      </w:tr>
      <w:tr w:rsidR="00F5623B" w14:paraId="4C149FEA" w14:textId="77777777" w:rsidTr="000F125F">
        <w:tc>
          <w:tcPr>
            <w:tcW w:w="2120" w:type="pct"/>
          </w:tcPr>
          <w:p w14:paraId="5CAA2E81" w14:textId="32A03CF7" w:rsidR="00F5623B" w:rsidRDefault="00F5623B" w:rsidP="00C531F2">
            <w:pPr>
              <w:pStyle w:val="TableText"/>
              <w:keepNext/>
            </w:pPr>
            <w:r w:rsidRPr="00896186">
              <w:rPr>
                <w:vertAlign w:val="superscript"/>
              </w:rPr>
              <w:t>177</w:t>
            </w:r>
            <w:r w:rsidR="009F7816">
              <w:t>Lu </w:t>
            </w:r>
            <w:r w:rsidR="00886914">
              <w:t>PSMA </w:t>
            </w:r>
            <w:proofErr w:type="spellStart"/>
            <w:r w:rsidR="00886914">
              <w:t>i&amp;t</w:t>
            </w:r>
            <w:proofErr w:type="spellEnd"/>
          </w:p>
        </w:tc>
        <w:tc>
          <w:tcPr>
            <w:tcW w:w="471" w:type="pct"/>
            <w:vAlign w:val="bottom"/>
          </w:tcPr>
          <w:p w14:paraId="07C6FE08" w14:textId="77777777" w:rsidR="00F5623B" w:rsidRPr="0048595C" w:rsidRDefault="00F5623B" w:rsidP="004856FF">
            <w:pPr>
              <w:pStyle w:val="TableText"/>
              <w:jc w:val="center"/>
            </w:pPr>
            <w:r w:rsidRPr="0048595C">
              <w:t>$74,380</w:t>
            </w:r>
          </w:p>
        </w:tc>
        <w:tc>
          <w:tcPr>
            <w:tcW w:w="551" w:type="pct"/>
            <w:vAlign w:val="bottom"/>
          </w:tcPr>
          <w:p w14:paraId="780C3359" w14:textId="77777777" w:rsidR="00F5623B" w:rsidRPr="0048595C" w:rsidRDefault="00F5623B" w:rsidP="004856FF">
            <w:pPr>
              <w:pStyle w:val="TableText"/>
              <w:jc w:val="center"/>
            </w:pPr>
            <w:r w:rsidRPr="0048595C">
              <w:t>$28,799</w:t>
            </w:r>
          </w:p>
        </w:tc>
        <w:tc>
          <w:tcPr>
            <w:tcW w:w="628" w:type="pct"/>
            <w:vAlign w:val="bottom"/>
          </w:tcPr>
          <w:p w14:paraId="071AD140" w14:textId="77777777" w:rsidR="00F5623B" w:rsidRPr="0048595C" w:rsidRDefault="00F5623B" w:rsidP="004856FF">
            <w:pPr>
              <w:pStyle w:val="TableText"/>
              <w:jc w:val="center"/>
            </w:pPr>
            <w:r w:rsidRPr="0048595C">
              <w:t>1.671</w:t>
            </w:r>
          </w:p>
        </w:tc>
        <w:tc>
          <w:tcPr>
            <w:tcW w:w="708" w:type="pct"/>
            <w:vAlign w:val="bottom"/>
          </w:tcPr>
          <w:p w14:paraId="2ADA37BA" w14:textId="77777777" w:rsidR="00F5623B" w:rsidRPr="0048595C" w:rsidRDefault="00F5623B" w:rsidP="004856FF">
            <w:pPr>
              <w:pStyle w:val="TableText"/>
              <w:jc w:val="center"/>
            </w:pPr>
            <w:r w:rsidRPr="0048595C">
              <w:t>0.516</w:t>
            </w:r>
          </w:p>
        </w:tc>
        <w:tc>
          <w:tcPr>
            <w:tcW w:w="522" w:type="pct"/>
            <w:vAlign w:val="bottom"/>
          </w:tcPr>
          <w:p w14:paraId="1098AC3F" w14:textId="77777777" w:rsidR="00F5623B" w:rsidRPr="0048595C" w:rsidRDefault="00F5623B" w:rsidP="004856FF">
            <w:pPr>
              <w:pStyle w:val="TableText"/>
              <w:jc w:val="center"/>
            </w:pPr>
            <w:r w:rsidRPr="0048595C">
              <w:t>$55,809</w:t>
            </w:r>
          </w:p>
        </w:tc>
      </w:tr>
      <w:tr w:rsidR="00F5623B" w14:paraId="463FFA7F" w14:textId="77777777" w:rsidTr="000F125F">
        <w:tc>
          <w:tcPr>
            <w:tcW w:w="2120" w:type="pct"/>
            <w:tcBorders>
              <w:bottom w:val="single" w:sz="4" w:space="0" w:color="auto"/>
            </w:tcBorders>
          </w:tcPr>
          <w:p w14:paraId="4E47A23B" w14:textId="6BB8ED83" w:rsidR="00F5623B" w:rsidRDefault="00F5623B" w:rsidP="00C531F2">
            <w:pPr>
              <w:pStyle w:val="TableText"/>
              <w:keepNext/>
            </w:pPr>
            <w:proofErr w:type="spellStart"/>
            <w:r>
              <w:t>Cabazitaxel</w:t>
            </w:r>
            <w:proofErr w:type="spellEnd"/>
            <w:r>
              <w:t>/</w:t>
            </w:r>
            <w:r w:rsidR="00DB005C">
              <w:t>best supportive care</w:t>
            </w:r>
          </w:p>
        </w:tc>
        <w:tc>
          <w:tcPr>
            <w:tcW w:w="471" w:type="pct"/>
            <w:tcBorders>
              <w:bottom w:val="single" w:sz="4" w:space="0" w:color="auto"/>
            </w:tcBorders>
            <w:vAlign w:val="bottom"/>
          </w:tcPr>
          <w:p w14:paraId="2D27A38D" w14:textId="77777777" w:rsidR="00F5623B" w:rsidRPr="0048595C" w:rsidRDefault="00F5623B" w:rsidP="004856FF">
            <w:pPr>
              <w:pStyle w:val="TableText"/>
              <w:jc w:val="center"/>
            </w:pPr>
            <w:r w:rsidRPr="0048595C">
              <w:t>$45,581</w:t>
            </w:r>
          </w:p>
        </w:tc>
        <w:tc>
          <w:tcPr>
            <w:tcW w:w="551" w:type="pct"/>
            <w:tcBorders>
              <w:bottom w:val="single" w:sz="4" w:space="0" w:color="auto"/>
            </w:tcBorders>
            <w:vAlign w:val="bottom"/>
          </w:tcPr>
          <w:p w14:paraId="64BA2433" w14:textId="77777777" w:rsidR="00F5623B" w:rsidRPr="0048595C" w:rsidRDefault="00F5623B" w:rsidP="004856FF">
            <w:pPr>
              <w:pStyle w:val="TableText"/>
              <w:jc w:val="center"/>
            </w:pPr>
          </w:p>
        </w:tc>
        <w:tc>
          <w:tcPr>
            <w:tcW w:w="628" w:type="pct"/>
            <w:tcBorders>
              <w:bottom w:val="single" w:sz="4" w:space="0" w:color="auto"/>
            </w:tcBorders>
            <w:vAlign w:val="bottom"/>
          </w:tcPr>
          <w:p w14:paraId="540B9969" w14:textId="77777777" w:rsidR="00F5623B" w:rsidRPr="0048595C" w:rsidRDefault="00F5623B" w:rsidP="004856FF">
            <w:pPr>
              <w:pStyle w:val="TableText"/>
              <w:jc w:val="center"/>
            </w:pPr>
            <w:r w:rsidRPr="0048595C">
              <w:t>1.155</w:t>
            </w:r>
          </w:p>
        </w:tc>
        <w:tc>
          <w:tcPr>
            <w:tcW w:w="708" w:type="pct"/>
            <w:tcBorders>
              <w:bottom w:val="single" w:sz="4" w:space="0" w:color="auto"/>
            </w:tcBorders>
            <w:vAlign w:val="bottom"/>
          </w:tcPr>
          <w:p w14:paraId="5C0925AA" w14:textId="77777777" w:rsidR="00F5623B" w:rsidRPr="0048595C" w:rsidRDefault="00F5623B" w:rsidP="004856FF">
            <w:pPr>
              <w:pStyle w:val="TableText"/>
              <w:jc w:val="center"/>
            </w:pPr>
          </w:p>
        </w:tc>
        <w:tc>
          <w:tcPr>
            <w:tcW w:w="522" w:type="pct"/>
            <w:tcBorders>
              <w:bottom w:val="single" w:sz="4" w:space="0" w:color="auto"/>
            </w:tcBorders>
            <w:vAlign w:val="bottom"/>
          </w:tcPr>
          <w:p w14:paraId="65F6C066" w14:textId="77777777" w:rsidR="00F5623B" w:rsidRPr="0048595C" w:rsidRDefault="00F5623B" w:rsidP="004856FF">
            <w:pPr>
              <w:pStyle w:val="TableText"/>
              <w:jc w:val="center"/>
            </w:pPr>
          </w:p>
        </w:tc>
      </w:tr>
      <w:tr w:rsidR="00F5623B" w14:paraId="2C890FC0" w14:textId="77777777" w:rsidTr="000F125F">
        <w:tc>
          <w:tcPr>
            <w:tcW w:w="2120" w:type="pct"/>
            <w:tcBorders>
              <w:right w:val="nil"/>
            </w:tcBorders>
          </w:tcPr>
          <w:p w14:paraId="1F79B421" w14:textId="77777777" w:rsidR="00F5623B" w:rsidRDefault="00F5623B" w:rsidP="00C531F2">
            <w:pPr>
              <w:pStyle w:val="TableText"/>
              <w:keepNext/>
            </w:pPr>
            <w:r w:rsidRPr="00555611">
              <w:t xml:space="preserve">Step </w:t>
            </w:r>
            <w:r>
              <w:t>3 (</w:t>
            </w:r>
            <w:r w:rsidRPr="003757A6">
              <w:rPr>
                <w:b/>
                <w:bCs/>
              </w:rPr>
              <w:t>cost per QALY</w:t>
            </w:r>
            <w:r>
              <w:t xml:space="preserve"> – 10-year time horizon)</w:t>
            </w:r>
          </w:p>
        </w:tc>
        <w:tc>
          <w:tcPr>
            <w:tcW w:w="471" w:type="pct"/>
            <w:tcBorders>
              <w:left w:val="nil"/>
              <w:right w:val="nil"/>
            </w:tcBorders>
          </w:tcPr>
          <w:p w14:paraId="1B000F3C" w14:textId="77777777" w:rsidR="00F5623B" w:rsidRPr="0048595C" w:rsidRDefault="00F5623B" w:rsidP="004856FF">
            <w:pPr>
              <w:pStyle w:val="TableText"/>
              <w:jc w:val="center"/>
            </w:pPr>
          </w:p>
        </w:tc>
        <w:tc>
          <w:tcPr>
            <w:tcW w:w="551" w:type="pct"/>
            <w:tcBorders>
              <w:left w:val="nil"/>
              <w:right w:val="nil"/>
            </w:tcBorders>
          </w:tcPr>
          <w:p w14:paraId="6C5541F1" w14:textId="77777777" w:rsidR="00F5623B" w:rsidRPr="0048595C" w:rsidRDefault="00F5623B" w:rsidP="004856FF">
            <w:pPr>
              <w:pStyle w:val="TableText"/>
              <w:jc w:val="center"/>
            </w:pPr>
          </w:p>
        </w:tc>
        <w:tc>
          <w:tcPr>
            <w:tcW w:w="628" w:type="pct"/>
            <w:tcBorders>
              <w:left w:val="nil"/>
              <w:right w:val="nil"/>
            </w:tcBorders>
          </w:tcPr>
          <w:p w14:paraId="1DCFAFE4" w14:textId="77777777" w:rsidR="00F5623B" w:rsidRPr="0048595C" w:rsidRDefault="00F5623B" w:rsidP="004856FF">
            <w:pPr>
              <w:pStyle w:val="TableText"/>
              <w:jc w:val="center"/>
            </w:pPr>
          </w:p>
        </w:tc>
        <w:tc>
          <w:tcPr>
            <w:tcW w:w="708" w:type="pct"/>
            <w:tcBorders>
              <w:left w:val="nil"/>
              <w:right w:val="nil"/>
            </w:tcBorders>
          </w:tcPr>
          <w:p w14:paraId="439B82B0" w14:textId="77777777" w:rsidR="00F5623B" w:rsidRPr="0048595C" w:rsidRDefault="00F5623B" w:rsidP="004856FF">
            <w:pPr>
              <w:pStyle w:val="TableText"/>
              <w:jc w:val="center"/>
            </w:pPr>
          </w:p>
        </w:tc>
        <w:tc>
          <w:tcPr>
            <w:tcW w:w="522" w:type="pct"/>
            <w:tcBorders>
              <w:left w:val="nil"/>
            </w:tcBorders>
          </w:tcPr>
          <w:p w14:paraId="3FF17101" w14:textId="77777777" w:rsidR="00F5623B" w:rsidRPr="0048595C" w:rsidRDefault="00F5623B" w:rsidP="004856FF">
            <w:pPr>
              <w:pStyle w:val="TableText"/>
              <w:jc w:val="center"/>
            </w:pPr>
          </w:p>
        </w:tc>
      </w:tr>
      <w:tr w:rsidR="00F5623B" w14:paraId="38EEE677" w14:textId="77777777" w:rsidTr="000F125F">
        <w:tc>
          <w:tcPr>
            <w:tcW w:w="2120" w:type="pct"/>
          </w:tcPr>
          <w:p w14:paraId="212E112B" w14:textId="3265A082" w:rsidR="00F5623B" w:rsidRDefault="00F5623B" w:rsidP="00C531F2">
            <w:pPr>
              <w:pStyle w:val="TableText"/>
              <w:keepNext/>
            </w:pPr>
            <w:r w:rsidRPr="00896186">
              <w:rPr>
                <w:vertAlign w:val="superscript"/>
              </w:rPr>
              <w:t>177</w:t>
            </w:r>
            <w:r w:rsidR="009F7816">
              <w:t>Lu </w:t>
            </w:r>
            <w:r w:rsidR="00886914">
              <w:t>PSMA </w:t>
            </w:r>
            <w:proofErr w:type="spellStart"/>
            <w:r w:rsidR="00886914">
              <w:t>i&amp;t</w:t>
            </w:r>
            <w:proofErr w:type="spellEnd"/>
          </w:p>
        </w:tc>
        <w:tc>
          <w:tcPr>
            <w:tcW w:w="471" w:type="pct"/>
            <w:vAlign w:val="bottom"/>
          </w:tcPr>
          <w:p w14:paraId="7F555EFB" w14:textId="77777777" w:rsidR="00F5623B" w:rsidRPr="0048595C" w:rsidRDefault="00F5623B" w:rsidP="004856FF">
            <w:pPr>
              <w:pStyle w:val="TableText"/>
              <w:jc w:val="center"/>
            </w:pPr>
            <w:r w:rsidRPr="0048595C">
              <w:t>$74,934</w:t>
            </w:r>
          </w:p>
        </w:tc>
        <w:tc>
          <w:tcPr>
            <w:tcW w:w="551" w:type="pct"/>
            <w:vAlign w:val="bottom"/>
          </w:tcPr>
          <w:p w14:paraId="0929C483" w14:textId="77777777" w:rsidR="00F5623B" w:rsidRPr="0048595C" w:rsidRDefault="00F5623B" w:rsidP="004856FF">
            <w:pPr>
              <w:pStyle w:val="TableText"/>
              <w:jc w:val="center"/>
            </w:pPr>
            <w:r w:rsidRPr="0048595C">
              <w:t>$27,376</w:t>
            </w:r>
          </w:p>
        </w:tc>
        <w:tc>
          <w:tcPr>
            <w:tcW w:w="628" w:type="pct"/>
            <w:vAlign w:val="bottom"/>
          </w:tcPr>
          <w:p w14:paraId="22649CD9" w14:textId="77777777" w:rsidR="00F5623B" w:rsidRPr="0048595C" w:rsidRDefault="00F5623B" w:rsidP="004856FF">
            <w:pPr>
              <w:pStyle w:val="TableText"/>
              <w:jc w:val="center"/>
            </w:pPr>
            <w:r w:rsidRPr="0048595C">
              <w:t>1.118</w:t>
            </w:r>
          </w:p>
        </w:tc>
        <w:tc>
          <w:tcPr>
            <w:tcW w:w="708" w:type="pct"/>
            <w:vAlign w:val="bottom"/>
          </w:tcPr>
          <w:p w14:paraId="08E200B6" w14:textId="77777777" w:rsidR="00F5623B" w:rsidRPr="0048595C" w:rsidRDefault="00F5623B" w:rsidP="004856FF">
            <w:pPr>
              <w:pStyle w:val="TableText"/>
              <w:jc w:val="center"/>
            </w:pPr>
            <w:r w:rsidRPr="0048595C">
              <w:t>0.353</w:t>
            </w:r>
          </w:p>
        </w:tc>
        <w:tc>
          <w:tcPr>
            <w:tcW w:w="522" w:type="pct"/>
            <w:vAlign w:val="bottom"/>
          </w:tcPr>
          <w:p w14:paraId="6141EB5B" w14:textId="77777777" w:rsidR="00F5623B" w:rsidRPr="0048595C" w:rsidRDefault="00F5623B" w:rsidP="004856FF">
            <w:pPr>
              <w:pStyle w:val="TableText"/>
              <w:jc w:val="center"/>
            </w:pPr>
            <w:r w:rsidRPr="0048595C">
              <w:t>$81,653</w:t>
            </w:r>
          </w:p>
        </w:tc>
      </w:tr>
      <w:tr w:rsidR="00F5623B" w14:paraId="5C066F6E" w14:textId="77777777" w:rsidTr="000F125F">
        <w:tc>
          <w:tcPr>
            <w:tcW w:w="2120" w:type="pct"/>
          </w:tcPr>
          <w:p w14:paraId="400C25FE" w14:textId="3A1FC60D" w:rsidR="00F5623B" w:rsidRDefault="00F5623B" w:rsidP="00C531F2">
            <w:pPr>
              <w:pStyle w:val="TableText"/>
              <w:keepNext/>
            </w:pPr>
            <w:proofErr w:type="spellStart"/>
            <w:r>
              <w:t>Cabazitaxel</w:t>
            </w:r>
            <w:proofErr w:type="spellEnd"/>
            <w:r>
              <w:t>/</w:t>
            </w:r>
            <w:r w:rsidR="00DB005C">
              <w:t>best supportive care</w:t>
            </w:r>
          </w:p>
        </w:tc>
        <w:tc>
          <w:tcPr>
            <w:tcW w:w="471" w:type="pct"/>
            <w:vAlign w:val="bottom"/>
          </w:tcPr>
          <w:p w14:paraId="2D1A550B" w14:textId="77777777" w:rsidR="00F5623B" w:rsidRPr="0048595C" w:rsidRDefault="00F5623B" w:rsidP="004856FF">
            <w:pPr>
              <w:pStyle w:val="TableText"/>
              <w:jc w:val="center"/>
            </w:pPr>
            <w:r w:rsidRPr="0048595C">
              <w:t>$47,558</w:t>
            </w:r>
          </w:p>
        </w:tc>
        <w:tc>
          <w:tcPr>
            <w:tcW w:w="551" w:type="pct"/>
            <w:vAlign w:val="bottom"/>
          </w:tcPr>
          <w:p w14:paraId="663D63AE" w14:textId="77777777" w:rsidR="00F5623B" w:rsidRPr="0048595C" w:rsidRDefault="00F5623B" w:rsidP="004856FF">
            <w:pPr>
              <w:pStyle w:val="TableText"/>
              <w:jc w:val="center"/>
            </w:pPr>
          </w:p>
        </w:tc>
        <w:tc>
          <w:tcPr>
            <w:tcW w:w="628" w:type="pct"/>
            <w:vAlign w:val="bottom"/>
          </w:tcPr>
          <w:p w14:paraId="5C25FE80" w14:textId="77777777" w:rsidR="00F5623B" w:rsidRPr="0048595C" w:rsidRDefault="00F5623B" w:rsidP="004856FF">
            <w:pPr>
              <w:pStyle w:val="TableText"/>
              <w:jc w:val="center"/>
            </w:pPr>
            <w:r w:rsidRPr="0048595C">
              <w:t>0.765</w:t>
            </w:r>
          </w:p>
        </w:tc>
        <w:tc>
          <w:tcPr>
            <w:tcW w:w="708" w:type="pct"/>
            <w:vAlign w:val="bottom"/>
          </w:tcPr>
          <w:p w14:paraId="38A14ABE" w14:textId="77777777" w:rsidR="00F5623B" w:rsidRPr="0048595C" w:rsidRDefault="00F5623B" w:rsidP="000F125F">
            <w:pPr>
              <w:pStyle w:val="TableText"/>
              <w:jc w:val="center"/>
            </w:pPr>
          </w:p>
        </w:tc>
        <w:tc>
          <w:tcPr>
            <w:tcW w:w="522" w:type="pct"/>
            <w:vAlign w:val="bottom"/>
          </w:tcPr>
          <w:p w14:paraId="1EBD377D" w14:textId="77777777" w:rsidR="00F5623B" w:rsidRPr="0048595C" w:rsidRDefault="00F5623B" w:rsidP="000F125F">
            <w:pPr>
              <w:pStyle w:val="TableText"/>
              <w:jc w:val="center"/>
            </w:pPr>
          </w:p>
        </w:tc>
      </w:tr>
    </w:tbl>
    <w:p w14:paraId="358BEAF7" w14:textId="243D41EE" w:rsidR="00F5623B" w:rsidRDefault="00F5623B" w:rsidP="00F5623B">
      <w:pPr>
        <w:pStyle w:val="Tablenotes0"/>
        <w:spacing w:after="360"/>
        <w:contextualSpacing w:val="0"/>
      </w:pPr>
      <w:r>
        <w:t xml:space="preserve">Abbreviations: ICER, incremental cost-effectiveness ratio; </w:t>
      </w:r>
      <w:r w:rsidRPr="00F20BAD">
        <w:rPr>
          <w:vertAlign w:val="superscript"/>
        </w:rPr>
        <w:t>177</w:t>
      </w:r>
      <w:r>
        <w:t>Lu, lutetium-177; LY, life-year; PSMA, prostate specific membrane antigen; QALY, quality-adjusted life year</w:t>
      </w:r>
    </w:p>
    <w:p w14:paraId="3943D7B4" w14:textId="3F014695" w:rsidR="00F5623B" w:rsidRPr="007E1612" w:rsidRDefault="00F5623B" w:rsidP="004D7F99">
      <w:r w:rsidRPr="00F5623B">
        <w:t xml:space="preserve">The key drivers of the model </w:t>
      </w:r>
      <w:r w:rsidR="00A07816">
        <w:t xml:space="preserve">as summarised by the commentary </w:t>
      </w:r>
      <w:r w:rsidRPr="00F5623B">
        <w:t>are presented in</w:t>
      </w:r>
      <w:r w:rsidR="00F52F26">
        <w:t xml:space="preserve"> Table 11</w:t>
      </w:r>
      <w:r>
        <w:rPr>
          <w:i/>
          <w:iCs/>
        </w:rPr>
        <w:t>.</w:t>
      </w:r>
    </w:p>
    <w:p w14:paraId="708EBBC4" w14:textId="2EFDA6E9" w:rsidR="002F32FB" w:rsidRPr="00CE28E3" w:rsidRDefault="002F32FB" w:rsidP="002F32FB">
      <w:pPr>
        <w:pStyle w:val="Caption"/>
      </w:pPr>
      <w:bookmarkStart w:id="41" w:name="_Ref69726321"/>
      <w:r w:rsidRPr="00CE28E3">
        <w:t>Table</w:t>
      </w:r>
      <w:r w:rsidR="003571C2">
        <w:t> </w:t>
      </w:r>
      <w:r w:rsidR="00F52F26">
        <w:t>1</w:t>
      </w:r>
      <w:bookmarkEnd w:id="41"/>
      <w:r w:rsidR="00F52F26">
        <w:t>1</w:t>
      </w:r>
      <w:r w:rsidRPr="00CE28E3">
        <w:tab/>
        <w:t>Key drivers of the model</w:t>
      </w:r>
    </w:p>
    <w:tbl>
      <w:tblPr>
        <w:tblStyle w:val="TableGrid1"/>
        <w:tblW w:w="5000" w:type="pct"/>
        <w:tblLayout w:type="fixed"/>
        <w:tblCellMar>
          <w:left w:w="28" w:type="dxa"/>
          <w:right w:w="28" w:type="dxa"/>
        </w:tblCellMar>
        <w:tblLook w:val="04A0" w:firstRow="1" w:lastRow="0" w:firstColumn="1" w:lastColumn="0" w:noHBand="0" w:noVBand="1"/>
      </w:tblPr>
      <w:tblGrid>
        <w:gridCol w:w="1129"/>
        <w:gridCol w:w="3828"/>
        <w:gridCol w:w="4059"/>
      </w:tblGrid>
      <w:tr w:rsidR="002F32FB" w:rsidRPr="00CE28E3" w14:paraId="11B0BC91" w14:textId="77777777" w:rsidTr="0048595C">
        <w:trPr>
          <w:cnfStyle w:val="100000000000" w:firstRow="1" w:lastRow="0" w:firstColumn="0" w:lastColumn="0" w:oddVBand="0" w:evenVBand="0" w:oddHBand="0" w:evenHBand="0" w:firstRowFirstColumn="0" w:firstRowLastColumn="0" w:lastRowFirstColumn="0" w:lastRowLastColumn="0"/>
          <w:trHeight w:val="70"/>
          <w:tblHeader/>
        </w:trPr>
        <w:tc>
          <w:tcPr>
            <w:tcW w:w="626" w:type="pct"/>
            <w:shd w:val="clear" w:color="auto" w:fill="auto"/>
            <w:vAlign w:val="center"/>
          </w:tcPr>
          <w:p w14:paraId="2EC6365B" w14:textId="77777777" w:rsidR="002F32FB" w:rsidRPr="00CE28E3" w:rsidRDefault="002F32FB" w:rsidP="001E2488">
            <w:pPr>
              <w:pStyle w:val="In-tableHeading"/>
              <w:keepNext w:val="0"/>
            </w:pPr>
            <w:bookmarkStart w:id="42" w:name="Title_Table10" w:colFirst="0" w:colLast="0"/>
            <w:bookmarkStart w:id="43" w:name="_Hlk68276626"/>
            <w:r w:rsidRPr="00CE28E3">
              <w:t>Description</w:t>
            </w:r>
          </w:p>
        </w:tc>
        <w:tc>
          <w:tcPr>
            <w:tcW w:w="2123" w:type="pct"/>
            <w:shd w:val="clear" w:color="auto" w:fill="auto"/>
            <w:vAlign w:val="center"/>
          </w:tcPr>
          <w:p w14:paraId="0520071F" w14:textId="3427CCE9" w:rsidR="002F32FB" w:rsidRPr="00CE28E3" w:rsidRDefault="002F32FB" w:rsidP="00F5623B">
            <w:pPr>
              <w:pStyle w:val="In-tableHeading"/>
              <w:jc w:val="center"/>
            </w:pPr>
            <w:r w:rsidRPr="00CE28E3">
              <w:t>Method/</w:t>
            </w:r>
            <w:r w:rsidR="00E12710">
              <w:t>v</w:t>
            </w:r>
            <w:r w:rsidRPr="00CE28E3">
              <w:t>alue</w:t>
            </w:r>
          </w:p>
        </w:tc>
        <w:tc>
          <w:tcPr>
            <w:tcW w:w="2251" w:type="pct"/>
            <w:shd w:val="clear" w:color="auto" w:fill="auto"/>
            <w:vAlign w:val="center"/>
          </w:tcPr>
          <w:p w14:paraId="38BDDD5F" w14:textId="77777777" w:rsidR="002F32FB" w:rsidRPr="0048595C" w:rsidRDefault="002F32FB" w:rsidP="00F5623B">
            <w:pPr>
              <w:pStyle w:val="In-tableHeading"/>
              <w:jc w:val="center"/>
            </w:pPr>
            <w:r w:rsidRPr="0048595C">
              <w:t>Impact</w:t>
            </w:r>
          </w:p>
          <w:p w14:paraId="66E24653" w14:textId="5D29A4DA" w:rsidR="002F32FB" w:rsidRPr="0048595C" w:rsidRDefault="002F32FB" w:rsidP="00F5623B">
            <w:pPr>
              <w:pStyle w:val="In-tableHeading"/>
              <w:jc w:val="center"/>
            </w:pPr>
            <w:r w:rsidRPr="0048595C">
              <w:rPr>
                <w:rFonts w:cs="Arial"/>
                <w:szCs w:val="20"/>
              </w:rPr>
              <w:t xml:space="preserve">Base case: </w:t>
            </w:r>
            <w:r w:rsidR="00F5623B" w:rsidRPr="0048595C">
              <w:rPr>
                <w:rFonts w:cs="Arial"/>
                <w:szCs w:val="20"/>
              </w:rPr>
              <w:t>$81,653</w:t>
            </w:r>
            <w:r w:rsidRPr="0048595C">
              <w:rPr>
                <w:rFonts w:cs="Arial"/>
                <w:szCs w:val="20"/>
              </w:rPr>
              <w:t>/QALY gained</w:t>
            </w:r>
          </w:p>
        </w:tc>
      </w:tr>
      <w:bookmarkEnd w:id="42"/>
      <w:tr w:rsidR="00FB359A" w:rsidRPr="00CE28E3" w14:paraId="656CD47F" w14:textId="77777777" w:rsidTr="0048595C">
        <w:trPr>
          <w:trHeight w:val="631"/>
        </w:trPr>
        <w:tc>
          <w:tcPr>
            <w:tcW w:w="626" w:type="pct"/>
            <w:shd w:val="clear" w:color="auto" w:fill="auto"/>
            <w:vAlign w:val="center"/>
          </w:tcPr>
          <w:p w14:paraId="095F29B7" w14:textId="6590B9C5" w:rsidR="00FB359A" w:rsidRPr="00CE28E3" w:rsidRDefault="00FB359A" w:rsidP="001E2488">
            <w:pPr>
              <w:pStyle w:val="TableText"/>
              <w:spacing w:before="0" w:after="0"/>
              <w:rPr>
                <w:lang w:val="en-US"/>
              </w:rPr>
            </w:pPr>
            <w:proofErr w:type="spellStart"/>
            <w:r>
              <w:rPr>
                <w:lang w:val="en-US"/>
              </w:rPr>
              <w:t>Cabazitaxel</w:t>
            </w:r>
            <w:proofErr w:type="spellEnd"/>
            <w:r>
              <w:rPr>
                <w:lang w:val="en-US"/>
              </w:rPr>
              <w:t xml:space="preserve"> overall survival</w:t>
            </w:r>
          </w:p>
        </w:tc>
        <w:tc>
          <w:tcPr>
            <w:tcW w:w="2123" w:type="pct"/>
            <w:shd w:val="clear" w:color="auto" w:fill="auto"/>
            <w:vAlign w:val="center"/>
          </w:tcPr>
          <w:p w14:paraId="22D01957" w14:textId="6D79B963" w:rsidR="00FB359A" w:rsidRPr="00CE28E3" w:rsidRDefault="00FB359A" w:rsidP="00FB359A">
            <w:pPr>
              <w:pStyle w:val="TableText"/>
              <w:spacing w:before="0" w:after="0"/>
              <w:rPr>
                <w:lang w:val="en-US"/>
              </w:rPr>
            </w:pPr>
            <w:r>
              <w:rPr>
                <w:lang w:val="en-US"/>
              </w:rPr>
              <w:t xml:space="preserve">Not reported in </w:t>
            </w:r>
            <w:proofErr w:type="spellStart"/>
            <w:r>
              <w:rPr>
                <w:lang w:val="en-US"/>
              </w:rPr>
              <w:t>TheraP</w:t>
            </w:r>
            <w:proofErr w:type="spellEnd"/>
            <w:r w:rsidR="00E12710">
              <w:rPr>
                <w:lang w:val="en-US"/>
              </w:rPr>
              <w:t>, s</w:t>
            </w:r>
            <w:r w:rsidR="00685D16">
              <w:rPr>
                <w:lang w:val="en-US"/>
              </w:rPr>
              <w:t>o</w:t>
            </w:r>
            <w:r>
              <w:rPr>
                <w:lang w:val="en-US"/>
              </w:rPr>
              <w:t xml:space="preserve"> the ADAR assumed the </w:t>
            </w:r>
            <w:r w:rsidR="0048595C">
              <w:rPr>
                <w:lang w:val="en-US"/>
              </w:rPr>
              <w:t>overall survival</w:t>
            </w:r>
            <w:r>
              <w:rPr>
                <w:lang w:val="en-US"/>
              </w:rPr>
              <w:t xml:space="preserve"> </w:t>
            </w:r>
            <w:r w:rsidR="0048595C">
              <w:rPr>
                <w:lang w:val="en-US"/>
              </w:rPr>
              <w:t>hazard ratio</w:t>
            </w:r>
            <w:r>
              <w:rPr>
                <w:lang w:val="en-US"/>
              </w:rPr>
              <w:t xml:space="preserve"> of </w:t>
            </w:r>
            <w:r>
              <w:rPr>
                <w:vertAlign w:val="superscript"/>
                <w:lang w:val="en-US"/>
              </w:rPr>
              <w:t>177</w:t>
            </w:r>
            <w:r w:rsidR="009F7816">
              <w:rPr>
                <w:lang w:val="en-US"/>
              </w:rPr>
              <w:t>Lu PSMA</w:t>
            </w:r>
            <w:r w:rsidR="00F37E00">
              <w:t> </w:t>
            </w:r>
            <w:proofErr w:type="spellStart"/>
            <w:r w:rsidR="00F37E00">
              <w:t>i&amp;t</w:t>
            </w:r>
            <w:proofErr w:type="spellEnd"/>
            <w:r>
              <w:rPr>
                <w:lang w:val="en-US"/>
              </w:rPr>
              <w:t xml:space="preserve"> versus BSc (HR=0.62) is the same for </w:t>
            </w:r>
            <w:proofErr w:type="spellStart"/>
            <w:r>
              <w:rPr>
                <w:lang w:val="en-US"/>
              </w:rPr>
              <w:t>cabazitaxel</w:t>
            </w:r>
            <w:proofErr w:type="spellEnd"/>
          </w:p>
        </w:tc>
        <w:tc>
          <w:tcPr>
            <w:tcW w:w="2251" w:type="pct"/>
            <w:shd w:val="clear" w:color="auto" w:fill="auto"/>
            <w:vAlign w:val="center"/>
          </w:tcPr>
          <w:p w14:paraId="66CC0222" w14:textId="4AA79962" w:rsidR="00FB359A" w:rsidRPr="0048595C" w:rsidRDefault="00FB359A" w:rsidP="00FB359A">
            <w:pPr>
              <w:pStyle w:val="TableText"/>
              <w:spacing w:before="0" w:after="0"/>
            </w:pPr>
            <w:r w:rsidRPr="0048595C">
              <w:rPr>
                <w:lang w:val="en-US"/>
              </w:rPr>
              <w:t xml:space="preserve">High, </w:t>
            </w:r>
            <w:proofErr w:type="spellStart"/>
            <w:r w:rsidRPr="0048595C">
              <w:rPr>
                <w:lang w:val="en-US"/>
              </w:rPr>
              <w:t>favours</w:t>
            </w:r>
            <w:proofErr w:type="spellEnd"/>
            <w:r w:rsidRPr="0048595C">
              <w:rPr>
                <w:lang w:val="en-US"/>
              </w:rPr>
              <w:t xml:space="preserve"> </w:t>
            </w:r>
            <w:r w:rsidRPr="0048595C">
              <w:rPr>
                <w:vertAlign w:val="superscript"/>
                <w:lang w:val="en-US"/>
              </w:rPr>
              <w:t>177</w:t>
            </w:r>
            <w:r w:rsidR="009F7816">
              <w:rPr>
                <w:lang w:val="en-US"/>
              </w:rPr>
              <w:t>Lu PSMA</w:t>
            </w:r>
            <w:r w:rsidR="00530600">
              <w:t> </w:t>
            </w:r>
            <w:proofErr w:type="spellStart"/>
            <w:r w:rsidR="00530600">
              <w:t>i&amp;t</w:t>
            </w:r>
            <w:proofErr w:type="spellEnd"/>
          </w:p>
          <w:p w14:paraId="2468D980" w14:textId="56AAA3E7" w:rsidR="00FB359A" w:rsidRPr="0048595C" w:rsidRDefault="0048595C" w:rsidP="00FB359A">
            <w:pPr>
              <w:pStyle w:val="TableText"/>
              <w:spacing w:before="0" w:after="0"/>
              <w:rPr>
                <w:lang w:val="en-US"/>
              </w:rPr>
            </w:pPr>
            <w:r>
              <w:rPr>
                <w:lang w:val="en-US"/>
              </w:rPr>
              <w:t>A</w:t>
            </w:r>
            <w:r w:rsidR="00FB359A" w:rsidRPr="0048595C">
              <w:rPr>
                <w:lang w:val="en-US"/>
              </w:rPr>
              <w:t xml:space="preserve">djusting </w:t>
            </w:r>
            <w:r>
              <w:rPr>
                <w:lang w:val="en-US"/>
              </w:rPr>
              <w:t>the hazard ratio</w:t>
            </w:r>
            <w:r w:rsidR="00FB359A" w:rsidRPr="0048595C">
              <w:rPr>
                <w:lang w:val="en-US"/>
              </w:rPr>
              <w:t xml:space="preserve"> by </w:t>
            </w:r>
            <w:proofErr w:type="spellStart"/>
            <w:r w:rsidR="00FB359A" w:rsidRPr="0048595C">
              <w:rPr>
                <w:lang w:val="en-US"/>
              </w:rPr>
              <w:t>cabazitaxel</w:t>
            </w:r>
            <w:proofErr w:type="spellEnd"/>
            <w:r w:rsidR="00FB359A" w:rsidRPr="0048595C">
              <w:rPr>
                <w:lang w:val="en-US"/>
              </w:rPr>
              <w:t xml:space="preserve"> versus </w:t>
            </w:r>
            <w:proofErr w:type="spellStart"/>
            <w:r w:rsidR="00FB359A" w:rsidRPr="0048595C">
              <w:rPr>
                <w:lang w:val="en-US"/>
              </w:rPr>
              <w:t>mitozantrone</w:t>
            </w:r>
            <w:proofErr w:type="spellEnd"/>
            <w:r w:rsidR="00FB359A" w:rsidRPr="0048595C">
              <w:rPr>
                <w:lang w:val="en-US"/>
              </w:rPr>
              <w:t xml:space="preserve"> to 0.89 increased the ICER to $140,706/QALY gained.</w:t>
            </w:r>
          </w:p>
        </w:tc>
      </w:tr>
      <w:tr w:rsidR="00FB359A" w:rsidRPr="00CE28E3" w14:paraId="65F2DB8D" w14:textId="77777777" w:rsidTr="0048595C">
        <w:trPr>
          <w:trHeight w:val="631"/>
        </w:trPr>
        <w:tc>
          <w:tcPr>
            <w:tcW w:w="626" w:type="pct"/>
            <w:shd w:val="clear" w:color="auto" w:fill="auto"/>
            <w:vAlign w:val="center"/>
          </w:tcPr>
          <w:p w14:paraId="443EB50E" w14:textId="77777777" w:rsidR="00FB359A" w:rsidRPr="00CE28E3" w:rsidRDefault="00FB359A" w:rsidP="001E2488">
            <w:pPr>
              <w:pStyle w:val="TableText"/>
              <w:spacing w:before="0" w:after="0"/>
              <w:rPr>
                <w:lang w:val="en-US"/>
              </w:rPr>
            </w:pPr>
            <w:r w:rsidRPr="00CE28E3">
              <w:rPr>
                <w:lang w:val="en-US"/>
              </w:rPr>
              <w:t>Extrapolation</w:t>
            </w:r>
          </w:p>
        </w:tc>
        <w:tc>
          <w:tcPr>
            <w:tcW w:w="2123" w:type="pct"/>
            <w:shd w:val="clear" w:color="auto" w:fill="auto"/>
            <w:vAlign w:val="center"/>
          </w:tcPr>
          <w:p w14:paraId="0EB50894" w14:textId="3EC29A7F" w:rsidR="00FB359A" w:rsidRPr="00CE28E3" w:rsidRDefault="00FB359A" w:rsidP="00FB359A">
            <w:pPr>
              <w:pStyle w:val="TableText"/>
              <w:spacing w:before="0" w:after="0"/>
              <w:rPr>
                <w:lang w:val="en-US"/>
              </w:rPr>
            </w:pPr>
            <w:r w:rsidRPr="00CE28E3">
              <w:rPr>
                <w:lang w:val="en-US"/>
              </w:rPr>
              <w:t xml:space="preserve">Treatment effect continued beyond </w:t>
            </w:r>
            <w:r>
              <w:rPr>
                <w:lang w:val="en-US"/>
              </w:rPr>
              <w:t>20.9-</w:t>
            </w:r>
            <w:r w:rsidRPr="00CE28E3">
              <w:rPr>
                <w:lang w:val="en-US"/>
              </w:rPr>
              <w:t>month</w:t>
            </w:r>
            <w:r>
              <w:rPr>
                <w:lang w:val="en-US"/>
              </w:rPr>
              <w:t>s in the trial</w:t>
            </w:r>
            <w:r w:rsidRPr="00CE28E3">
              <w:rPr>
                <w:lang w:val="en-US"/>
              </w:rPr>
              <w:t xml:space="preserve"> period for up to </w:t>
            </w:r>
            <w:r>
              <w:rPr>
                <w:lang w:val="en-US"/>
              </w:rPr>
              <w:t>10</w:t>
            </w:r>
            <w:r w:rsidRPr="00CE28E3">
              <w:rPr>
                <w:lang w:val="en-US"/>
              </w:rPr>
              <w:t xml:space="preserve"> years</w:t>
            </w:r>
          </w:p>
        </w:tc>
        <w:tc>
          <w:tcPr>
            <w:tcW w:w="2251" w:type="pct"/>
            <w:shd w:val="clear" w:color="auto" w:fill="auto"/>
            <w:vAlign w:val="center"/>
          </w:tcPr>
          <w:p w14:paraId="5216C472" w14:textId="72337793" w:rsidR="00FB359A" w:rsidRPr="0048595C" w:rsidRDefault="00FB359A" w:rsidP="00FB359A">
            <w:pPr>
              <w:pStyle w:val="TableText"/>
              <w:spacing w:before="0" w:after="0"/>
              <w:rPr>
                <w:lang w:val="en-US"/>
              </w:rPr>
            </w:pPr>
            <w:r w:rsidRPr="0048595C">
              <w:rPr>
                <w:lang w:val="en-US"/>
              </w:rPr>
              <w:t xml:space="preserve">High, </w:t>
            </w:r>
            <w:proofErr w:type="spellStart"/>
            <w:r w:rsidRPr="0048595C">
              <w:rPr>
                <w:lang w:val="en-US"/>
              </w:rPr>
              <w:t>favours</w:t>
            </w:r>
            <w:proofErr w:type="spellEnd"/>
            <w:r w:rsidRPr="0048595C">
              <w:rPr>
                <w:lang w:val="en-US"/>
              </w:rPr>
              <w:t xml:space="preserve"> </w:t>
            </w:r>
            <w:r w:rsidRPr="0048595C">
              <w:rPr>
                <w:vertAlign w:val="superscript"/>
                <w:lang w:val="en-US"/>
              </w:rPr>
              <w:t>177</w:t>
            </w:r>
            <w:r w:rsidR="009F7816">
              <w:rPr>
                <w:lang w:val="en-US"/>
              </w:rPr>
              <w:t>Lu PSMA</w:t>
            </w:r>
            <w:r w:rsidR="00F37E00">
              <w:t> </w:t>
            </w:r>
            <w:proofErr w:type="spellStart"/>
            <w:r w:rsidR="00F37E00">
              <w:t>i&amp;t</w:t>
            </w:r>
            <w:proofErr w:type="spellEnd"/>
          </w:p>
          <w:p w14:paraId="4E7B2979" w14:textId="2163A57D" w:rsidR="00FB359A" w:rsidRPr="0048595C" w:rsidRDefault="00FB359A" w:rsidP="00FB359A">
            <w:pPr>
              <w:pStyle w:val="TableText"/>
              <w:spacing w:before="0" w:after="0"/>
              <w:rPr>
                <w:lang w:val="en-US"/>
              </w:rPr>
            </w:pPr>
            <w:r w:rsidRPr="0048595C">
              <w:rPr>
                <w:lang w:val="en-US"/>
              </w:rPr>
              <w:t>Us</w:t>
            </w:r>
            <w:r w:rsidR="0048595C">
              <w:rPr>
                <w:lang w:val="en-US"/>
              </w:rPr>
              <w:t>ing the</w:t>
            </w:r>
            <w:r w:rsidRPr="0048595C">
              <w:rPr>
                <w:lang w:val="en-US"/>
              </w:rPr>
              <w:t xml:space="preserve"> second-best fitting function for</w:t>
            </w:r>
            <w:r w:rsidR="0048595C">
              <w:rPr>
                <w:lang w:val="en-US"/>
              </w:rPr>
              <w:t xml:space="preserve"> overall survival</w:t>
            </w:r>
            <w:r w:rsidRPr="0048595C">
              <w:rPr>
                <w:lang w:val="en-US"/>
              </w:rPr>
              <w:t xml:space="preserve"> increased the ICER to $105,911/QALY gained.</w:t>
            </w:r>
          </w:p>
        </w:tc>
      </w:tr>
      <w:tr w:rsidR="00FB359A" w:rsidRPr="00CE28E3" w14:paraId="2AFB6EE0" w14:textId="77777777" w:rsidTr="0048595C">
        <w:tc>
          <w:tcPr>
            <w:tcW w:w="626" w:type="pct"/>
            <w:shd w:val="clear" w:color="auto" w:fill="auto"/>
            <w:vAlign w:val="center"/>
          </w:tcPr>
          <w:p w14:paraId="66FD9669" w14:textId="05A86C5C" w:rsidR="00FB359A" w:rsidRPr="00CE28E3" w:rsidRDefault="00FB359A" w:rsidP="001E2488">
            <w:pPr>
              <w:pStyle w:val="TableText"/>
              <w:spacing w:before="0" w:after="0"/>
              <w:rPr>
                <w:lang w:val="en-US"/>
              </w:rPr>
            </w:pPr>
            <w:r>
              <w:rPr>
                <w:lang w:val="en-US"/>
              </w:rPr>
              <w:t>Time horizon</w:t>
            </w:r>
          </w:p>
        </w:tc>
        <w:tc>
          <w:tcPr>
            <w:tcW w:w="2123" w:type="pct"/>
            <w:shd w:val="clear" w:color="auto" w:fill="auto"/>
            <w:vAlign w:val="center"/>
          </w:tcPr>
          <w:p w14:paraId="2980315B" w14:textId="0D795D51" w:rsidR="00FB359A" w:rsidRPr="0048595C" w:rsidRDefault="00FB359A" w:rsidP="00FB359A">
            <w:pPr>
              <w:pStyle w:val="TableText"/>
              <w:spacing w:before="0" w:after="0"/>
              <w:rPr>
                <w:iCs/>
                <w:lang w:val="en-US"/>
              </w:rPr>
            </w:pPr>
            <w:r w:rsidRPr="0048595C">
              <w:rPr>
                <w:iCs/>
                <w:lang w:val="en-US"/>
              </w:rPr>
              <w:t xml:space="preserve">10 years in the base case, which </w:t>
            </w:r>
            <w:r w:rsidR="00A053EF" w:rsidRPr="0048595C">
              <w:rPr>
                <w:iCs/>
                <w:lang w:val="en-US"/>
              </w:rPr>
              <w:t xml:space="preserve">might be </w:t>
            </w:r>
            <w:r w:rsidRPr="0048595C">
              <w:rPr>
                <w:iCs/>
                <w:lang w:val="en-US"/>
              </w:rPr>
              <w:t>considered excessive</w:t>
            </w:r>
          </w:p>
        </w:tc>
        <w:tc>
          <w:tcPr>
            <w:tcW w:w="2251" w:type="pct"/>
            <w:shd w:val="clear" w:color="auto" w:fill="auto"/>
            <w:vAlign w:val="center"/>
          </w:tcPr>
          <w:p w14:paraId="16A8603E" w14:textId="767B9722" w:rsidR="00FB359A" w:rsidRPr="0048595C" w:rsidRDefault="00FB359A" w:rsidP="00FB359A">
            <w:pPr>
              <w:pStyle w:val="TableText"/>
              <w:spacing w:before="0" w:after="0"/>
              <w:rPr>
                <w:lang w:val="en-US"/>
              </w:rPr>
            </w:pPr>
            <w:r w:rsidRPr="0048595C">
              <w:rPr>
                <w:lang w:val="en-US"/>
              </w:rPr>
              <w:t xml:space="preserve">High, </w:t>
            </w:r>
            <w:proofErr w:type="spellStart"/>
            <w:r w:rsidRPr="0048595C">
              <w:rPr>
                <w:lang w:val="en-US"/>
              </w:rPr>
              <w:t>favours</w:t>
            </w:r>
            <w:proofErr w:type="spellEnd"/>
            <w:r w:rsidRPr="0048595C">
              <w:rPr>
                <w:lang w:val="en-US"/>
              </w:rPr>
              <w:t xml:space="preserve"> </w:t>
            </w:r>
            <w:r w:rsidRPr="0048595C">
              <w:rPr>
                <w:vertAlign w:val="superscript"/>
                <w:lang w:val="en-US"/>
              </w:rPr>
              <w:t>177</w:t>
            </w:r>
            <w:r w:rsidR="009F7816">
              <w:rPr>
                <w:lang w:val="en-US"/>
              </w:rPr>
              <w:t>Lu PSMA</w:t>
            </w:r>
            <w:r w:rsidR="00F37E00">
              <w:t> </w:t>
            </w:r>
            <w:proofErr w:type="spellStart"/>
            <w:r w:rsidR="00F37E00">
              <w:t>i&amp;t</w:t>
            </w:r>
            <w:proofErr w:type="spellEnd"/>
          </w:p>
          <w:p w14:paraId="35F24986" w14:textId="46A5FD37" w:rsidR="00FB359A" w:rsidRPr="0048595C" w:rsidRDefault="00FB359A" w:rsidP="00FB359A">
            <w:pPr>
              <w:pStyle w:val="TableText"/>
              <w:spacing w:before="0" w:after="0"/>
              <w:rPr>
                <w:lang w:val="en-US"/>
              </w:rPr>
            </w:pPr>
            <w:r w:rsidRPr="0048595C">
              <w:t xml:space="preserve">Reducing to 5 years </w:t>
            </w:r>
            <w:r w:rsidRPr="0048595C">
              <w:rPr>
                <w:lang w:val="en-US"/>
              </w:rPr>
              <w:t>increased the ICER to $93,947/QALY gained.</w:t>
            </w:r>
          </w:p>
        </w:tc>
      </w:tr>
    </w:tbl>
    <w:p w14:paraId="4405D7A7" w14:textId="6E8E5C04" w:rsidR="00E12710" w:rsidRPr="00E12710" w:rsidRDefault="0048595C" w:rsidP="00E12710">
      <w:pPr>
        <w:pStyle w:val="TableFigureFooter"/>
      </w:pPr>
      <w:bookmarkStart w:id="44" w:name="_Hlk68276635"/>
      <w:bookmarkEnd w:id="43"/>
      <w:r>
        <w:t xml:space="preserve">Abbreviations: BSc, best supportive care; </w:t>
      </w:r>
      <w:r w:rsidR="00E12710" w:rsidRPr="00E12710">
        <w:t>ICER = incremental cost-effectiveness ratio; QALY = quality-adjusted life year</w:t>
      </w:r>
    </w:p>
    <w:p w14:paraId="0BA7DFE8" w14:textId="53F8F7E2" w:rsidR="00364E19" w:rsidRPr="00E12710" w:rsidRDefault="00364E19" w:rsidP="00364E19">
      <w:pPr>
        <w:pStyle w:val="Caption"/>
      </w:pPr>
      <w:r w:rsidRPr="00E12710">
        <w:t xml:space="preserve">Table </w:t>
      </w:r>
      <w:r w:rsidR="00F52F26">
        <w:t>12</w:t>
      </w:r>
      <w:r w:rsidRPr="00E12710">
        <w:tab/>
        <w:t>Sensitivity analyses for the modelled economic evaluation</w:t>
      </w:r>
    </w:p>
    <w:tbl>
      <w:tblPr>
        <w:tblStyle w:val="TableGrid"/>
        <w:tblW w:w="5000" w:type="pct"/>
        <w:tblLook w:val="04A0" w:firstRow="1" w:lastRow="0" w:firstColumn="1" w:lastColumn="0" w:noHBand="0" w:noVBand="1"/>
      </w:tblPr>
      <w:tblGrid>
        <w:gridCol w:w="4904"/>
        <w:gridCol w:w="1137"/>
        <w:gridCol w:w="1138"/>
        <w:gridCol w:w="968"/>
        <w:gridCol w:w="869"/>
      </w:tblGrid>
      <w:tr w:rsidR="00364E19" w:rsidRPr="00364E19" w14:paraId="74C6E9A1" w14:textId="77777777" w:rsidTr="00706748">
        <w:trPr>
          <w:tblHeader/>
        </w:trPr>
        <w:tc>
          <w:tcPr>
            <w:tcW w:w="2720" w:type="pct"/>
            <w:tcBorders>
              <w:top w:val="single" w:sz="4" w:space="0" w:color="auto"/>
              <w:left w:val="single" w:sz="4" w:space="0" w:color="auto"/>
              <w:bottom w:val="single" w:sz="4" w:space="0" w:color="auto"/>
              <w:right w:val="single" w:sz="4" w:space="0" w:color="auto"/>
            </w:tcBorders>
          </w:tcPr>
          <w:p w14:paraId="47450D8C" w14:textId="77777777" w:rsidR="00364E19" w:rsidRPr="0048595C" w:rsidRDefault="00364E19">
            <w:pPr>
              <w:pStyle w:val="TableText"/>
              <w:rPr>
                <w:rFonts w:eastAsia="Times New Roman" w:cs="Times New Roman"/>
                <w:b/>
                <w:bCs/>
                <w:szCs w:val="18"/>
                <w:lang w:eastAsia="en-AU"/>
              </w:rPr>
            </w:pPr>
          </w:p>
        </w:tc>
        <w:tc>
          <w:tcPr>
            <w:tcW w:w="631" w:type="pct"/>
            <w:tcBorders>
              <w:top w:val="single" w:sz="4" w:space="0" w:color="auto"/>
              <w:left w:val="single" w:sz="4" w:space="0" w:color="auto"/>
              <w:bottom w:val="single" w:sz="4" w:space="0" w:color="auto"/>
              <w:right w:val="single" w:sz="4" w:space="0" w:color="auto"/>
            </w:tcBorders>
            <w:vAlign w:val="center"/>
            <w:hideMark/>
          </w:tcPr>
          <w:p w14:paraId="3F258BD4" w14:textId="77777777" w:rsidR="00364E19" w:rsidRPr="0048595C" w:rsidRDefault="00364E19" w:rsidP="00364E19">
            <w:pPr>
              <w:pStyle w:val="TableText"/>
              <w:jc w:val="center"/>
              <w:rPr>
                <w:rFonts w:eastAsia="Times New Roman" w:cs="Times New Roman"/>
                <w:b/>
                <w:szCs w:val="18"/>
                <w:lang w:eastAsia="en-AU"/>
              </w:rPr>
            </w:pPr>
            <w:r w:rsidRPr="0048595C">
              <w:rPr>
                <w:rFonts w:eastAsia="Times New Roman" w:cs="Times New Roman"/>
                <w:b/>
                <w:szCs w:val="18"/>
                <w:lang w:eastAsia="en-AU"/>
              </w:rPr>
              <w:t>Incremental cost</w:t>
            </w:r>
          </w:p>
        </w:tc>
        <w:tc>
          <w:tcPr>
            <w:tcW w:w="631" w:type="pct"/>
            <w:tcBorders>
              <w:top w:val="single" w:sz="4" w:space="0" w:color="auto"/>
              <w:left w:val="single" w:sz="4" w:space="0" w:color="auto"/>
              <w:bottom w:val="single" w:sz="4" w:space="0" w:color="auto"/>
              <w:right w:val="single" w:sz="4" w:space="0" w:color="auto"/>
            </w:tcBorders>
            <w:vAlign w:val="center"/>
            <w:hideMark/>
          </w:tcPr>
          <w:p w14:paraId="1E720C66" w14:textId="77777777" w:rsidR="00364E19" w:rsidRPr="0048595C" w:rsidRDefault="00364E19" w:rsidP="00364E19">
            <w:pPr>
              <w:pStyle w:val="TableText"/>
              <w:jc w:val="center"/>
              <w:rPr>
                <w:rFonts w:eastAsia="Times New Roman" w:cs="Times New Roman"/>
                <w:b/>
                <w:szCs w:val="18"/>
                <w:lang w:eastAsia="en-AU"/>
              </w:rPr>
            </w:pPr>
            <w:r w:rsidRPr="0048595C">
              <w:rPr>
                <w:rFonts w:eastAsia="Times New Roman" w:cs="Times New Roman"/>
                <w:b/>
                <w:szCs w:val="18"/>
                <w:lang w:eastAsia="en-AU"/>
              </w:rPr>
              <w:t>Incremental QALYs</w:t>
            </w:r>
          </w:p>
        </w:tc>
        <w:tc>
          <w:tcPr>
            <w:tcW w:w="537" w:type="pct"/>
            <w:tcBorders>
              <w:top w:val="single" w:sz="4" w:space="0" w:color="auto"/>
              <w:left w:val="single" w:sz="4" w:space="0" w:color="auto"/>
              <w:bottom w:val="single" w:sz="4" w:space="0" w:color="auto"/>
              <w:right w:val="single" w:sz="4" w:space="0" w:color="auto"/>
            </w:tcBorders>
            <w:vAlign w:val="center"/>
            <w:hideMark/>
          </w:tcPr>
          <w:p w14:paraId="18526A5E" w14:textId="77777777" w:rsidR="00364E19" w:rsidRPr="0048595C" w:rsidRDefault="00364E19" w:rsidP="00364E19">
            <w:pPr>
              <w:pStyle w:val="TableText"/>
              <w:jc w:val="center"/>
              <w:rPr>
                <w:rFonts w:eastAsia="Times New Roman" w:cs="Times New Roman"/>
                <w:b/>
                <w:szCs w:val="18"/>
                <w:lang w:eastAsia="en-AU"/>
              </w:rPr>
            </w:pPr>
            <w:r w:rsidRPr="0048595C">
              <w:rPr>
                <w:rFonts w:eastAsia="Times New Roman" w:cs="Times New Roman"/>
                <w:b/>
                <w:szCs w:val="18"/>
                <w:lang w:eastAsia="en-AU"/>
              </w:rPr>
              <w:t>ICER</w:t>
            </w:r>
          </w:p>
        </w:tc>
        <w:tc>
          <w:tcPr>
            <w:tcW w:w="482" w:type="pct"/>
            <w:tcBorders>
              <w:top w:val="single" w:sz="4" w:space="0" w:color="auto"/>
              <w:left w:val="single" w:sz="4" w:space="0" w:color="auto"/>
              <w:bottom w:val="single" w:sz="4" w:space="0" w:color="auto"/>
              <w:right w:val="single" w:sz="4" w:space="0" w:color="auto"/>
            </w:tcBorders>
            <w:vAlign w:val="center"/>
            <w:hideMark/>
          </w:tcPr>
          <w:p w14:paraId="2CC74C4D" w14:textId="77777777" w:rsidR="00364E19" w:rsidRPr="0048595C" w:rsidRDefault="00364E19" w:rsidP="00364E19">
            <w:pPr>
              <w:pStyle w:val="TableText"/>
              <w:jc w:val="center"/>
              <w:rPr>
                <w:rFonts w:eastAsia="Times New Roman" w:cs="Times New Roman"/>
                <w:b/>
                <w:szCs w:val="18"/>
                <w:lang w:eastAsia="en-AU"/>
              </w:rPr>
            </w:pPr>
            <w:r w:rsidRPr="0048595C">
              <w:rPr>
                <w:rFonts w:eastAsia="Times New Roman" w:cs="Times New Roman"/>
                <w:b/>
                <w:szCs w:val="18"/>
                <w:lang w:eastAsia="en-AU"/>
              </w:rPr>
              <w:t>Impact</w:t>
            </w:r>
          </w:p>
        </w:tc>
      </w:tr>
      <w:tr w:rsidR="00364E19" w:rsidRPr="00364E19" w14:paraId="276E8494" w14:textId="77777777" w:rsidTr="00706748">
        <w:tc>
          <w:tcPr>
            <w:tcW w:w="2720" w:type="pct"/>
            <w:tcBorders>
              <w:top w:val="single" w:sz="4" w:space="0" w:color="auto"/>
              <w:left w:val="single" w:sz="4" w:space="0" w:color="auto"/>
              <w:bottom w:val="single" w:sz="4" w:space="0" w:color="auto"/>
              <w:right w:val="single" w:sz="4" w:space="0" w:color="auto"/>
            </w:tcBorders>
            <w:hideMark/>
          </w:tcPr>
          <w:p w14:paraId="0DFDC685" w14:textId="5746E0E6" w:rsidR="00364E19" w:rsidRPr="0048595C" w:rsidRDefault="00364E19">
            <w:pPr>
              <w:pStyle w:val="TableText"/>
              <w:rPr>
                <w:rFonts w:eastAsia="Times New Roman" w:cs="Times New Roman"/>
                <w:b/>
                <w:szCs w:val="18"/>
                <w:lang w:eastAsia="en-AU"/>
              </w:rPr>
            </w:pPr>
            <w:r w:rsidRPr="0048595C">
              <w:rPr>
                <w:rFonts w:eastAsia="Times New Roman" w:cs="Times New Roman"/>
                <w:b/>
                <w:szCs w:val="18"/>
                <w:lang w:eastAsia="en-AU"/>
              </w:rPr>
              <w:t>Base</w:t>
            </w:r>
            <w:r w:rsidR="00E12710" w:rsidRPr="0048595C">
              <w:rPr>
                <w:rFonts w:eastAsia="Times New Roman" w:cs="Times New Roman"/>
                <w:b/>
                <w:szCs w:val="18"/>
                <w:lang w:eastAsia="en-AU"/>
              </w:rPr>
              <w:t xml:space="preserve"> </w:t>
            </w:r>
            <w:r w:rsidRPr="0048595C">
              <w:rPr>
                <w:rFonts w:eastAsia="Times New Roman" w:cs="Times New Roman"/>
                <w:b/>
                <w:szCs w:val="18"/>
                <w:lang w:eastAsia="en-AU"/>
              </w:rPr>
              <w:t>case</w:t>
            </w:r>
          </w:p>
        </w:tc>
        <w:tc>
          <w:tcPr>
            <w:tcW w:w="631" w:type="pct"/>
            <w:tcBorders>
              <w:top w:val="single" w:sz="4" w:space="0" w:color="auto"/>
              <w:left w:val="single" w:sz="4" w:space="0" w:color="auto"/>
              <w:bottom w:val="single" w:sz="4" w:space="0" w:color="auto"/>
              <w:right w:val="single" w:sz="4" w:space="0" w:color="auto"/>
            </w:tcBorders>
            <w:vAlign w:val="center"/>
            <w:hideMark/>
          </w:tcPr>
          <w:p w14:paraId="5BB587B3" w14:textId="77777777" w:rsidR="00364E19" w:rsidRPr="0048595C" w:rsidRDefault="00364E19" w:rsidP="00364E19">
            <w:pPr>
              <w:pStyle w:val="TableText"/>
              <w:jc w:val="center"/>
              <w:rPr>
                <w:rFonts w:eastAsia="Times New Roman" w:cs="Times New Roman"/>
                <w:szCs w:val="18"/>
                <w:lang w:eastAsia="en-AU"/>
              </w:rPr>
            </w:pPr>
            <w:r w:rsidRPr="0048595C">
              <w:t>$28,799</w:t>
            </w:r>
          </w:p>
        </w:tc>
        <w:tc>
          <w:tcPr>
            <w:tcW w:w="631" w:type="pct"/>
            <w:tcBorders>
              <w:top w:val="single" w:sz="4" w:space="0" w:color="auto"/>
              <w:left w:val="single" w:sz="4" w:space="0" w:color="auto"/>
              <w:bottom w:val="single" w:sz="4" w:space="0" w:color="auto"/>
              <w:right w:val="single" w:sz="4" w:space="0" w:color="auto"/>
            </w:tcBorders>
            <w:vAlign w:val="center"/>
            <w:hideMark/>
          </w:tcPr>
          <w:p w14:paraId="5E23BE62"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0.353</w:t>
            </w:r>
          </w:p>
        </w:tc>
        <w:tc>
          <w:tcPr>
            <w:tcW w:w="537" w:type="pct"/>
            <w:tcBorders>
              <w:top w:val="single" w:sz="4" w:space="0" w:color="auto"/>
              <w:left w:val="single" w:sz="4" w:space="0" w:color="auto"/>
              <w:bottom w:val="single" w:sz="4" w:space="0" w:color="auto"/>
              <w:right w:val="single" w:sz="4" w:space="0" w:color="auto"/>
            </w:tcBorders>
            <w:vAlign w:val="center"/>
            <w:hideMark/>
          </w:tcPr>
          <w:p w14:paraId="1C4BA612" w14:textId="77777777" w:rsidR="00364E19" w:rsidRPr="0048595C" w:rsidRDefault="00364E19" w:rsidP="00364E19">
            <w:pPr>
              <w:pStyle w:val="TableText"/>
              <w:jc w:val="center"/>
              <w:rPr>
                <w:rFonts w:eastAsia="Times New Roman" w:cs="Times New Roman"/>
                <w:szCs w:val="18"/>
                <w:lang w:eastAsia="en-AU"/>
              </w:rPr>
            </w:pPr>
            <w:r w:rsidRPr="0048595C">
              <w:t>$81,653</w:t>
            </w:r>
          </w:p>
        </w:tc>
        <w:tc>
          <w:tcPr>
            <w:tcW w:w="482" w:type="pct"/>
            <w:tcBorders>
              <w:top w:val="single" w:sz="4" w:space="0" w:color="auto"/>
              <w:left w:val="single" w:sz="4" w:space="0" w:color="auto"/>
              <w:bottom w:val="single" w:sz="4" w:space="0" w:color="auto"/>
              <w:right w:val="single" w:sz="4" w:space="0" w:color="auto"/>
            </w:tcBorders>
            <w:vAlign w:val="center"/>
            <w:hideMark/>
          </w:tcPr>
          <w:p w14:paraId="1D2ECCAB" w14:textId="5FC3E950" w:rsidR="00364E19" w:rsidRPr="0048595C" w:rsidRDefault="00E12710" w:rsidP="00364E19">
            <w:pPr>
              <w:pStyle w:val="TableText"/>
              <w:jc w:val="center"/>
              <w:rPr>
                <w:rFonts w:eastAsia="Times New Roman" w:cs="Times New Roman"/>
                <w:szCs w:val="18"/>
                <w:lang w:eastAsia="en-AU"/>
              </w:rPr>
            </w:pPr>
            <w:r w:rsidRPr="0048595C">
              <w:rPr>
                <w:rFonts w:eastAsia="Times New Roman" w:cs="Times New Roman"/>
                <w:szCs w:val="18"/>
                <w:lang w:eastAsia="en-AU"/>
              </w:rPr>
              <w:t>-</w:t>
            </w:r>
          </w:p>
        </w:tc>
      </w:tr>
      <w:tr w:rsidR="00364E19" w:rsidRPr="00364E19" w14:paraId="4577696F" w14:textId="77777777" w:rsidTr="00706748">
        <w:tc>
          <w:tcPr>
            <w:tcW w:w="2720" w:type="pct"/>
            <w:tcBorders>
              <w:top w:val="single" w:sz="4" w:space="0" w:color="auto"/>
              <w:left w:val="single" w:sz="4" w:space="0" w:color="auto"/>
              <w:bottom w:val="single" w:sz="4" w:space="0" w:color="auto"/>
              <w:right w:val="single" w:sz="4" w:space="0" w:color="auto"/>
            </w:tcBorders>
            <w:hideMark/>
          </w:tcPr>
          <w:p w14:paraId="55E0EE0B" w14:textId="77777777" w:rsidR="00364E19" w:rsidRPr="0048595C" w:rsidRDefault="00364E19">
            <w:pPr>
              <w:pStyle w:val="TableText"/>
              <w:rPr>
                <w:rFonts w:eastAsia="Times New Roman" w:cs="Times New Roman"/>
                <w:bCs/>
                <w:szCs w:val="18"/>
                <w:lang w:eastAsia="en-AU"/>
              </w:rPr>
            </w:pPr>
            <w:r w:rsidRPr="0048595C">
              <w:rPr>
                <w:rFonts w:eastAsia="Times New Roman" w:cs="Times New Roman"/>
                <w:bCs/>
                <w:szCs w:val="18"/>
                <w:lang w:eastAsia="en-AU"/>
              </w:rPr>
              <w:t>Discount rate 0% for costs and outcomes</w:t>
            </w:r>
          </w:p>
        </w:tc>
        <w:tc>
          <w:tcPr>
            <w:tcW w:w="631" w:type="pct"/>
            <w:tcBorders>
              <w:top w:val="single" w:sz="4" w:space="0" w:color="auto"/>
              <w:left w:val="single" w:sz="4" w:space="0" w:color="auto"/>
              <w:bottom w:val="single" w:sz="4" w:space="0" w:color="auto"/>
              <w:right w:val="single" w:sz="4" w:space="0" w:color="auto"/>
            </w:tcBorders>
            <w:vAlign w:val="center"/>
            <w:hideMark/>
          </w:tcPr>
          <w:p w14:paraId="3118F264"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$30,080</w:t>
            </w:r>
          </w:p>
        </w:tc>
        <w:tc>
          <w:tcPr>
            <w:tcW w:w="631" w:type="pct"/>
            <w:tcBorders>
              <w:top w:val="single" w:sz="4" w:space="0" w:color="auto"/>
              <w:left w:val="single" w:sz="4" w:space="0" w:color="auto"/>
              <w:bottom w:val="single" w:sz="4" w:space="0" w:color="auto"/>
              <w:right w:val="single" w:sz="4" w:space="0" w:color="auto"/>
            </w:tcBorders>
            <w:vAlign w:val="center"/>
            <w:hideMark/>
          </w:tcPr>
          <w:p w14:paraId="2517AA5D"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0.408</w:t>
            </w:r>
          </w:p>
        </w:tc>
        <w:tc>
          <w:tcPr>
            <w:tcW w:w="537" w:type="pct"/>
            <w:tcBorders>
              <w:top w:val="single" w:sz="4" w:space="0" w:color="auto"/>
              <w:left w:val="single" w:sz="4" w:space="0" w:color="auto"/>
              <w:bottom w:val="single" w:sz="4" w:space="0" w:color="auto"/>
              <w:right w:val="single" w:sz="4" w:space="0" w:color="auto"/>
            </w:tcBorders>
            <w:vAlign w:val="center"/>
            <w:hideMark/>
          </w:tcPr>
          <w:p w14:paraId="17EF88EE"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$73,675</w:t>
            </w:r>
          </w:p>
        </w:tc>
        <w:tc>
          <w:tcPr>
            <w:tcW w:w="482" w:type="pct"/>
            <w:tcBorders>
              <w:top w:val="single" w:sz="4" w:space="0" w:color="auto"/>
              <w:left w:val="single" w:sz="4" w:space="0" w:color="auto"/>
              <w:bottom w:val="single" w:sz="4" w:space="0" w:color="auto"/>
              <w:right w:val="single" w:sz="4" w:space="0" w:color="auto"/>
            </w:tcBorders>
            <w:vAlign w:val="center"/>
            <w:hideMark/>
          </w:tcPr>
          <w:p w14:paraId="5B64CF74"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-9.8%</w:t>
            </w:r>
          </w:p>
        </w:tc>
      </w:tr>
      <w:tr w:rsidR="00364E19" w:rsidRPr="00364E19" w14:paraId="17104355" w14:textId="77777777" w:rsidTr="00706748">
        <w:tc>
          <w:tcPr>
            <w:tcW w:w="2720" w:type="pct"/>
            <w:tcBorders>
              <w:top w:val="single" w:sz="4" w:space="0" w:color="auto"/>
              <w:left w:val="single" w:sz="4" w:space="0" w:color="auto"/>
              <w:bottom w:val="single" w:sz="4" w:space="0" w:color="auto"/>
              <w:right w:val="single" w:sz="4" w:space="0" w:color="auto"/>
            </w:tcBorders>
            <w:hideMark/>
          </w:tcPr>
          <w:p w14:paraId="1114AE6E" w14:textId="77777777" w:rsidR="00364E19" w:rsidRPr="0048595C" w:rsidRDefault="00364E19">
            <w:pPr>
              <w:pStyle w:val="TableText"/>
              <w:rPr>
                <w:rFonts w:eastAsia="Times New Roman" w:cs="Times New Roman"/>
                <w:bCs/>
                <w:szCs w:val="18"/>
                <w:lang w:eastAsia="en-AU"/>
              </w:rPr>
            </w:pPr>
            <w:r w:rsidRPr="0048595C">
              <w:rPr>
                <w:rFonts w:eastAsia="Times New Roman" w:cs="Times New Roman"/>
                <w:bCs/>
                <w:szCs w:val="18"/>
                <w:lang w:eastAsia="en-AU"/>
              </w:rPr>
              <w:t>Discount rate 3.5% for costs and outcomes</w:t>
            </w:r>
          </w:p>
        </w:tc>
        <w:tc>
          <w:tcPr>
            <w:tcW w:w="631" w:type="pct"/>
            <w:tcBorders>
              <w:top w:val="single" w:sz="4" w:space="0" w:color="auto"/>
              <w:left w:val="single" w:sz="4" w:space="0" w:color="auto"/>
              <w:bottom w:val="single" w:sz="4" w:space="0" w:color="auto"/>
              <w:right w:val="single" w:sz="4" w:space="0" w:color="auto"/>
            </w:tcBorders>
            <w:vAlign w:val="center"/>
            <w:hideMark/>
          </w:tcPr>
          <w:p w14:paraId="6174630A"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$29,153</w:t>
            </w:r>
          </w:p>
        </w:tc>
        <w:tc>
          <w:tcPr>
            <w:tcW w:w="631" w:type="pct"/>
            <w:tcBorders>
              <w:top w:val="single" w:sz="4" w:space="0" w:color="auto"/>
              <w:left w:val="single" w:sz="4" w:space="0" w:color="auto"/>
              <w:bottom w:val="single" w:sz="4" w:space="0" w:color="auto"/>
              <w:right w:val="single" w:sz="4" w:space="0" w:color="auto"/>
            </w:tcBorders>
            <w:vAlign w:val="center"/>
            <w:hideMark/>
          </w:tcPr>
          <w:p w14:paraId="49084F7F"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0.368</w:t>
            </w:r>
          </w:p>
        </w:tc>
        <w:tc>
          <w:tcPr>
            <w:tcW w:w="537" w:type="pct"/>
            <w:tcBorders>
              <w:top w:val="single" w:sz="4" w:space="0" w:color="auto"/>
              <w:left w:val="single" w:sz="4" w:space="0" w:color="auto"/>
              <w:bottom w:val="single" w:sz="4" w:space="0" w:color="auto"/>
              <w:right w:val="single" w:sz="4" w:space="0" w:color="auto"/>
            </w:tcBorders>
            <w:vAlign w:val="center"/>
            <w:hideMark/>
          </w:tcPr>
          <w:p w14:paraId="5EDEA54F"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$79,260</w:t>
            </w:r>
          </w:p>
        </w:tc>
        <w:tc>
          <w:tcPr>
            <w:tcW w:w="482" w:type="pct"/>
            <w:tcBorders>
              <w:top w:val="single" w:sz="4" w:space="0" w:color="auto"/>
              <w:left w:val="single" w:sz="4" w:space="0" w:color="auto"/>
              <w:bottom w:val="single" w:sz="4" w:space="0" w:color="auto"/>
              <w:right w:val="single" w:sz="4" w:space="0" w:color="auto"/>
            </w:tcBorders>
            <w:vAlign w:val="center"/>
            <w:hideMark/>
          </w:tcPr>
          <w:p w14:paraId="1E78B04D"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-2.9%</w:t>
            </w:r>
          </w:p>
        </w:tc>
      </w:tr>
      <w:tr w:rsidR="00364E19" w:rsidRPr="00364E19" w14:paraId="35BF1594" w14:textId="77777777" w:rsidTr="00706748">
        <w:tc>
          <w:tcPr>
            <w:tcW w:w="2720" w:type="pct"/>
            <w:tcBorders>
              <w:top w:val="single" w:sz="4" w:space="0" w:color="auto"/>
              <w:left w:val="single" w:sz="4" w:space="0" w:color="auto"/>
              <w:bottom w:val="single" w:sz="4" w:space="0" w:color="auto"/>
              <w:right w:val="single" w:sz="4" w:space="0" w:color="auto"/>
            </w:tcBorders>
            <w:hideMark/>
          </w:tcPr>
          <w:p w14:paraId="65F3C0AF" w14:textId="77777777" w:rsidR="00364E19" w:rsidRPr="0048595C" w:rsidRDefault="00364E19">
            <w:pPr>
              <w:pStyle w:val="TableText"/>
              <w:rPr>
                <w:rFonts w:eastAsia="Times New Roman" w:cs="Times New Roman"/>
                <w:szCs w:val="18"/>
                <w:lang w:eastAsia="en-AU"/>
              </w:rPr>
            </w:pPr>
            <w:r w:rsidRPr="0048595C">
              <w:rPr>
                <w:rFonts w:eastAsia="Times New Roman" w:cs="Times New Roman"/>
                <w:szCs w:val="18"/>
                <w:lang w:eastAsia="en-AU"/>
              </w:rPr>
              <w:t>Time horizon of 7.5 years</w:t>
            </w:r>
          </w:p>
        </w:tc>
        <w:tc>
          <w:tcPr>
            <w:tcW w:w="631" w:type="pct"/>
            <w:tcBorders>
              <w:top w:val="single" w:sz="4" w:space="0" w:color="auto"/>
              <w:left w:val="single" w:sz="4" w:space="0" w:color="auto"/>
              <w:bottom w:val="single" w:sz="4" w:space="0" w:color="auto"/>
              <w:right w:val="single" w:sz="4" w:space="0" w:color="auto"/>
            </w:tcBorders>
            <w:vAlign w:val="center"/>
            <w:hideMark/>
          </w:tcPr>
          <w:p w14:paraId="5333EB3D"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$28,528</w:t>
            </w:r>
          </w:p>
        </w:tc>
        <w:tc>
          <w:tcPr>
            <w:tcW w:w="631" w:type="pct"/>
            <w:tcBorders>
              <w:top w:val="single" w:sz="4" w:space="0" w:color="auto"/>
              <w:left w:val="single" w:sz="4" w:space="0" w:color="auto"/>
              <w:bottom w:val="single" w:sz="4" w:space="0" w:color="auto"/>
              <w:right w:val="single" w:sz="4" w:space="0" w:color="auto"/>
            </w:tcBorders>
            <w:vAlign w:val="center"/>
            <w:hideMark/>
          </w:tcPr>
          <w:p w14:paraId="09D4720F"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0.334</w:t>
            </w:r>
          </w:p>
        </w:tc>
        <w:tc>
          <w:tcPr>
            <w:tcW w:w="537" w:type="pct"/>
            <w:tcBorders>
              <w:top w:val="single" w:sz="4" w:space="0" w:color="auto"/>
              <w:left w:val="single" w:sz="4" w:space="0" w:color="auto"/>
              <w:bottom w:val="single" w:sz="4" w:space="0" w:color="auto"/>
              <w:right w:val="single" w:sz="4" w:space="0" w:color="auto"/>
            </w:tcBorders>
            <w:vAlign w:val="center"/>
            <w:hideMark/>
          </w:tcPr>
          <w:p w14:paraId="36285655"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$85,319</w:t>
            </w:r>
          </w:p>
        </w:tc>
        <w:tc>
          <w:tcPr>
            <w:tcW w:w="482" w:type="pct"/>
            <w:tcBorders>
              <w:top w:val="single" w:sz="4" w:space="0" w:color="auto"/>
              <w:left w:val="single" w:sz="4" w:space="0" w:color="auto"/>
              <w:bottom w:val="single" w:sz="4" w:space="0" w:color="auto"/>
              <w:right w:val="single" w:sz="4" w:space="0" w:color="auto"/>
            </w:tcBorders>
            <w:vAlign w:val="center"/>
            <w:hideMark/>
          </w:tcPr>
          <w:p w14:paraId="4484CD26"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+4.5%</w:t>
            </w:r>
          </w:p>
        </w:tc>
      </w:tr>
      <w:tr w:rsidR="00364E19" w:rsidRPr="00364E19" w14:paraId="30977F78" w14:textId="77777777" w:rsidTr="00706748">
        <w:tc>
          <w:tcPr>
            <w:tcW w:w="2720" w:type="pct"/>
            <w:tcBorders>
              <w:top w:val="single" w:sz="4" w:space="0" w:color="auto"/>
              <w:left w:val="single" w:sz="4" w:space="0" w:color="auto"/>
              <w:bottom w:val="single" w:sz="4" w:space="0" w:color="auto"/>
              <w:right w:val="single" w:sz="4" w:space="0" w:color="auto"/>
            </w:tcBorders>
            <w:hideMark/>
          </w:tcPr>
          <w:p w14:paraId="7EABA262" w14:textId="77777777" w:rsidR="00364E19" w:rsidRPr="0048595C" w:rsidRDefault="00364E19">
            <w:pPr>
              <w:pStyle w:val="TableText"/>
              <w:rPr>
                <w:rFonts w:eastAsia="Times New Roman" w:cs="Times New Roman"/>
                <w:b/>
                <w:bCs/>
                <w:szCs w:val="18"/>
                <w:lang w:eastAsia="en-AU"/>
              </w:rPr>
            </w:pPr>
            <w:r w:rsidRPr="0048595C">
              <w:rPr>
                <w:rFonts w:eastAsia="Times New Roman" w:cs="Times New Roman"/>
                <w:b/>
                <w:bCs/>
                <w:szCs w:val="18"/>
                <w:lang w:eastAsia="en-AU"/>
              </w:rPr>
              <w:t>Time horizon of 5 years</w:t>
            </w:r>
          </w:p>
        </w:tc>
        <w:tc>
          <w:tcPr>
            <w:tcW w:w="631" w:type="pct"/>
            <w:tcBorders>
              <w:top w:val="single" w:sz="4" w:space="0" w:color="auto"/>
              <w:left w:val="single" w:sz="4" w:space="0" w:color="auto"/>
              <w:bottom w:val="single" w:sz="4" w:space="0" w:color="auto"/>
              <w:right w:val="single" w:sz="4" w:space="0" w:color="auto"/>
            </w:tcBorders>
            <w:vAlign w:val="center"/>
            <w:hideMark/>
          </w:tcPr>
          <w:p w14:paraId="19817EB8" w14:textId="77777777" w:rsidR="00364E19" w:rsidRPr="0048595C" w:rsidRDefault="00364E19" w:rsidP="00364E19">
            <w:pPr>
              <w:pStyle w:val="TableText"/>
              <w:jc w:val="center"/>
              <w:rPr>
                <w:rFonts w:eastAsia="Times New Roman" w:cs="Times New Roman"/>
                <w:b/>
                <w:bCs/>
                <w:szCs w:val="18"/>
                <w:lang w:eastAsia="en-AU"/>
              </w:rPr>
            </w:pPr>
            <w:r w:rsidRPr="0048595C">
              <w:rPr>
                <w:rFonts w:eastAsia="Times New Roman" w:cs="Times New Roman"/>
                <w:b/>
                <w:bCs/>
                <w:szCs w:val="18"/>
                <w:lang w:eastAsia="en-AU"/>
              </w:rPr>
              <w:t>$27,792</w:t>
            </w:r>
          </w:p>
        </w:tc>
        <w:tc>
          <w:tcPr>
            <w:tcW w:w="631" w:type="pct"/>
            <w:tcBorders>
              <w:top w:val="single" w:sz="4" w:space="0" w:color="auto"/>
              <w:left w:val="single" w:sz="4" w:space="0" w:color="auto"/>
              <w:bottom w:val="single" w:sz="4" w:space="0" w:color="auto"/>
              <w:right w:val="single" w:sz="4" w:space="0" w:color="auto"/>
            </w:tcBorders>
            <w:vAlign w:val="center"/>
            <w:hideMark/>
          </w:tcPr>
          <w:p w14:paraId="17E708BA" w14:textId="77777777" w:rsidR="00364E19" w:rsidRPr="0048595C" w:rsidRDefault="00364E19" w:rsidP="00364E19">
            <w:pPr>
              <w:pStyle w:val="TableText"/>
              <w:jc w:val="center"/>
              <w:rPr>
                <w:rFonts w:eastAsia="Times New Roman" w:cs="Times New Roman"/>
                <w:b/>
                <w:bCs/>
                <w:szCs w:val="18"/>
                <w:lang w:eastAsia="en-AU"/>
              </w:rPr>
            </w:pPr>
            <w:r w:rsidRPr="0048595C">
              <w:rPr>
                <w:rFonts w:eastAsia="Times New Roman" w:cs="Times New Roman"/>
                <w:b/>
                <w:bCs/>
                <w:szCs w:val="18"/>
                <w:lang w:eastAsia="en-AU"/>
              </w:rPr>
              <w:t>0.296</w:t>
            </w:r>
          </w:p>
        </w:tc>
        <w:tc>
          <w:tcPr>
            <w:tcW w:w="537" w:type="pct"/>
            <w:tcBorders>
              <w:top w:val="single" w:sz="4" w:space="0" w:color="auto"/>
              <w:left w:val="single" w:sz="4" w:space="0" w:color="auto"/>
              <w:bottom w:val="single" w:sz="4" w:space="0" w:color="auto"/>
              <w:right w:val="single" w:sz="4" w:space="0" w:color="auto"/>
            </w:tcBorders>
            <w:vAlign w:val="center"/>
            <w:hideMark/>
          </w:tcPr>
          <w:p w14:paraId="15467DAC" w14:textId="77777777" w:rsidR="00364E19" w:rsidRPr="0048595C" w:rsidRDefault="00364E19" w:rsidP="00364E19">
            <w:pPr>
              <w:pStyle w:val="TableText"/>
              <w:jc w:val="center"/>
              <w:rPr>
                <w:rFonts w:eastAsia="Times New Roman" w:cs="Times New Roman"/>
                <w:b/>
                <w:bCs/>
                <w:szCs w:val="18"/>
                <w:lang w:eastAsia="en-AU"/>
              </w:rPr>
            </w:pPr>
            <w:r w:rsidRPr="0048595C">
              <w:rPr>
                <w:rFonts w:eastAsia="Times New Roman" w:cs="Times New Roman"/>
                <w:b/>
                <w:bCs/>
                <w:szCs w:val="18"/>
                <w:lang w:eastAsia="en-AU"/>
              </w:rPr>
              <w:t>$93,947</w:t>
            </w:r>
          </w:p>
        </w:tc>
        <w:tc>
          <w:tcPr>
            <w:tcW w:w="482" w:type="pct"/>
            <w:tcBorders>
              <w:top w:val="single" w:sz="4" w:space="0" w:color="auto"/>
              <w:left w:val="single" w:sz="4" w:space="0" w:color="auto"/>
              <w:bottom w:val="single" w:sz="4" w:space="0" w:color="auto"/>
              <w:right w:val="single" w:sz="4" w:space="0" w:color="auto"/>
            </w:tcBorders>
            <w:vAlign w:val="center"/>
            <w:hideMark/>
          </w:tcPr>
          <w:p w14:paraId="4C4FE881" w14:textId="77777777" w:rsidR="00364E19" w:rsidRPr="0048595C" w:rsidRDefault="00364E19" w:rsidP="00364E19">
            <w:pPr>
              <w:pStyle w:val="TableText"/>
              <w:jc w:val="center"/>
              <w:rPr>
                <w:rFonts w:eastAsia="Times New Roman" w:cs="Times New Roman"/>
                <w:b/>
                <w:bCs/>
                <w:szCs w:val="18"/>
                <w:lang w:eastAsia="en-AU"/>
              </w:rPr>
            </w:pPr>
            <w:r w:rsidRPr="0048595C">
              <w:rPr>
                <w:rFonts w:eastAsia="Times New Roman" w:cs="Times New Roman"/>
                <w:b/>
                <w:bCs/>
                <w:szCs w:val="18"/>
                <w:lang w:eastAsia="en-AU"/>
              </w:rPr>
              <w:t>+15.1%</w:t>
            </w:r>
          </w:p>
        </w:tc>
      </w:tr>
      <w:tr w:rsidR="00364E19" w:rsidRPr="00364E19" w14:paraId="570FB1E5" w14:textId="77777777" w:rsidTr="00706748">
        <w:tc>
          <w:tcPr>
            <w:tcW w:w="2720" w:type="pct"/>
            <w:tcBorders>
              <w:top w:val="single" w:sz="4" w:space="0" w:color="auto"/>
              <w:left w:val="single" w:sz="4" w:space="0" w:color="auto"/>
              <w:bottom w:val="single" w:sz="4" w:space="0" w:color="auto"/>
              <w:right w:val="nil"/>
            </w:tcBorders>
            <w:hideMark/>
          </w:tcPr>
          <w:p w14:paraId="3F01F9EF" w14:textId="77777777" w:rsidR="00364E19" w:rsidRPr="0048595C" w:rsidRDefault="00364E19">
            <w:pPr>
              <w:pStyle w:val="TableText"/>
              <w:rPr>
                <w:rFonts w:eastAsia="Times New Roman" w:cs="Times New Roman"/>
                <w:b/>
                <w:bCs/>
                <w:szCs w:val="18"/>
                <w:lang w:eastAsia="en-AU"/>
              </w:rPr>
            </w:pPr>
            <w:r w:rsidRPr="0048595C">
              <w:rPr>
                <w:rFonts w:eastAsia="Times New Roman" w:cs="Times New Roman"/>
                <w:b/>
                <w:bCs/>
                <w:szCs w:val="18"/>
                <w:lang w:eastAsia="en-AU"/>
              </w:rPr>
              <w:t>Testing</w:t>
            </w:r>
          </w:p>
        </w:tc>
        <w:tc>
          <w:tcPr>
            <w:tcW w:w="631" w:type="pct"/>
            <w:tcBorders>
              <w:top w:val="single" w:sz="4" w:space="0" w:color="auto"/>
              <w:left w:val="nil"/>
              <w:bottom w:val="single" w:sz="4" w:space="0" w:color="auto"/>
              <w:right w:val="nil"/>
            </w:tcBorders>
            <w:vAlign w:val="center"/>
          </w:tcPr>
          <w:p w14:paraId="49DE0969" w14:textId="77777777" w:rsidR="00364E19" w:rsidRPr="0048595C" w:rsidRDefault="00364E19" w:rsidP="00364E19">
            <w:pPr>
              <w:pStyle w:val="TableText"/>
              <w:jc w:val="center"/>
              <w:rPr>
                <w:rFonts w:eastAsia="Times New Roman" w:cs="Times New Roman"/>
                <w:szCs w:val="18"/>
                <w:lang w:eastAsia="en-AU"/>
              </w:rPr>
            </w:pPr>
          </w:p>
        </w:tc>
        <w:tc>
          <w:tcPr>
            <w:tcW w:w="631" w:type="pct"/>
            <w:tcBorders>
              <w:top w:val="single" w:sz="4" w:space="0" w:color="auto"/>
              <w:left w:val="nil"/>
              <w:bottom w:val="single" w:sz="4" w:space="0" w:color="auto"/>
              <w:right w:val="nil"/>
            </w:tcBorders>
            <w:vAlign w:val="center"/>
          </w:tcPr>
          <w:p w14:paraId="661BD4D6" w14:textId="77777777" w:rsidR="00364E19" w:rsidRPr="0048595C" w:rsidRDefault="00364E19" w:rsidP="00364E19">
            <w:pPr>
              <w:pStyle w:val="TableText"/>
              <w:jc w:val="center"/>
              <w:rPr>
                <w:rFonts w:eastAsia="Times New Roman" w:cs="Times New Roman"/>
                <w:szCs w:val="18"/>
                <w:lang w:eastAsia="en-AU"/>
              </w:rPr>
            </w:pPr>
          </w:p>
        </w:tc>
        <w:tc>
          <w:tcPr>
            <w:tcW w:w="537" w:type="pct"/>
            <w:tcBorders>
              <w:top w:val="single" w:sz="4" w:space="0" w:color="auto"/>
              <w:left w:val="nil"/>
              <w:bottom w:val="single" w:sz="4" w:space="0" w:color="auto"/>
              <w:right w:val="nil"/>
            </w:tcBorders>
            <w:vAlign w:val="center"/>
          </w:tcPr>
          <w:p w14:paraId="54C111D3" w14:textId="77777777" w:rsidR="00364E19" w:rsidRPr="0048595C" w:rsidRDefault="00364E19" w:rsidP="00364E19">
            <w:pPr>
              <w:pStyle w:val="TableText"/>
              <w:jc w:val="center"/>
              <w:rPr>
                <w:rFonts w:eastAsia="Times New Roman" w:cs="Times New Roman"/>
                <w:szCs w:val="18"/>
                <w:lang w:eastAsia="en-AU"/>
              </w:rPr>
            </w:pPr>
          </w:p>
        </w:tc>
        <w:tc>
          <w:tcPr>
            <w:tcW w:w="482" w:type="pct"/>
            <w:tcBorders>
              <w:top w:val="single" w:sz="4" w:space="0" w:color="auto"/>
              <w:left w:val="nil"/>
              <w:bottom w:val="single" w:sz="4" w:space="0" w:color="auto"/>
              <w:right w:val="single" w:sz="4" w:space="0" w:color="auto"/>
            </w:tcBorders>
            <w:vAlign w:val="center"/>
          </w:tcPr>
          <w:p w14:paraId="0DD59DB4" w14:textId="77777777" w:rsidR="00364E19" w:rsidRPr="0048595C" w:rsidRDefault="00364E19" w:rsidP="00364E19">
            <w:pPr>
              <w:pStyle w:val="TableText"/>
              <w:jc w:val="center"/>
              <w:rPr>
                <w:rFonts w:eastAsia="Times New Roman" w:cs="Times New Roman"/>
                <w:szCs w:val="18"/>
                <w:lang w:eastAsia="en-AU"/>
              </w:rPr>
            </w:pPr>
          </w:p>
        </w:tc>
      </w:tr>
      <w:tr w:rsidR="00364E19" w:rsidRPr="00364E19" w14:paraId="4773AC80" w14:textId="77777777" w:rsidTr="00706748">
        <w:tc>
          <w:tcPr>
            <w:tcW w:w="2720" w:type="pct"/>
            <w:tcBorders>
              <w:top w:val="single" w:sz="4" w:space="0" w:color="auto"/>
              <w:left w:val="single" w:sz="4" w:space="0" w:color="auto"/>
              <w:bottom w:val="single" w:sz="4" w:space="0" w:color="auto"/>
              <w:right w:val="single" w:sz="4" w:space="0" w:color="auto"/>
            </w:tcBorders>
            <w:hideMark/>
          </w:tcPr>
          <w:p w14:paraId="10287E2E" w14:textId="147AF9A6" w:rsidR="00364E19" w:rsidRPr="0048595C" w:rsidRDefault="00364E19">
            <w:pPr>
              <w:pStyle w:val="TableText"/>
              <w:rPr>
                <w:rFonts w:eastAsia="Times New Roman" w:cs="Times New Roman"/>
                <w:szCs w:val="18"/>
                <w:lang w:eastAsia="en-AU"/>
              </w:rPr>
            </w:pPr>
            <w:r w:rsidRPr="0048595C">
              <w:rPr>
                <w:rFonts w:eastAsia="Times New Roman" w:cs="Times New Roman"/>
                <w:szCs w:val="18"/>
                <w:lang w:eastAsia="en-AU"/>
              </w:rPr>
              <w:t>Use PSMA PET/CT sc</w:t>
            </w:r>
            <w:r w:rsidR="00250B75">
              <w:rPr>
                <w:rFonts w:eastAsia="Times New Roman" w:cs="Times New Roman"/>
                <w:szCs w:val="18"/>
                <w:lang w:eastAsia="en-AU"/>
              </w:rPr>
              <w:t>an</w:t>
            </w:r>
            <w:r w:rsidRPr="0048595C">
              <w:rPr>
                <w:rFonts w:eastAsia="Times New Roman" w:cs="Times New Roman"/>
                <w:szCs w:val="18"/>
                <w:lang w:eastAsia="en-AU"/>
              </w:rPr>
              <w:t>ning data from VISION (</w:t>
            </w:r>
            <w:r w:rsidRPr="0048595C">
              <w:rPr>
                <w:rFonts w:eastAsia="Times New Roman" w:cs="Times New Roman"/>
                <w:strike/>
                <w:szCs w:val="18"/>
                <w:lang w:eastAsia="en-AU"/>
              </w:rPr>
              <w:t>86.6</w:t>
            </w:r>
            <w:r w:rsidRPr="0048595C">
              <w:rPr>
                <w:rFonts w:eastAsia="Times New Roman" w:cs="Times New Roman"/>
                <w:szCs w:val="18"/>
                <w:lang w:eastAsia="en-AU"/>
              </w:rPr>
              <w:t xml:space="preserve"> 87.7%)</w:t>
            </w:r>
          </w:p>
        </w:tc>
        <w:tc>
          <w:tcPr>
            <w:tcW w:w="631" w:type="pct"/>
            <w:tcBorders>
              <w:top w:val="single" w:sz="4" w:space="0" w:color="auto"/>
              <w:left w:val="single" w:sz="4" w:space="0" w:color="auto"/>
              <w:bottom w:val="single" w:sz="4" w:space="0" w:color="auto"/>
              <w:right w:val="single" w:sz="4" w:space="0" w:color="auto"/>
            </w:tcBorders>
            <w:vAlign w:val="center"/>
            <w:hideMark/>
          </w:tcPr>
          <w:p w14:paraId="7C7D51F8"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$28,089</w:t>
            </w:r>
          </w:p>
        </w:tc>
        <w:tc>
          <w:tcPr>
            <w:tcW w:w="631" w:type="pct"/>
            <w:tcBorders>
              <w:top w:val="single" w:sz="4" w:space="0" w:color="auto"/>
              <w:left w:val="single" w:sz="4" w:space="0" w:color="auto"/>
              <w:bottom w:val="single" w:sz="4" w:space="0" w:color="auto"/>
              <w:right w:val="single" w:sz="4" w:space="0" w:color="auto"/>
            </w:tcBorders>
            <w:vAlign w:val="center"/>
            <w:hideMark/>
          </w:tcPr>
          <w:p w14:paraId="6EBE9E30"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0.334</w:t>
            </w:r>
          </w:p>
        </w:tc>
        <w:tc>
          <w:tcPr>
            <w:tcW w:w="537" w:type="pct"/>
            <w:tcBorders>
              <w:top w:val="single" w:sz="4" w:space="0" w:color="auto"/>
              <w:left w:val="single" w:sz="4" w:space="0" w:color="auto"/>
              <w:bottom w:val="single" w:sz="4" w:space="0" w:color="auto"/>
              <w:right w:val="single" w:sz="4" w:space="0" w:color="auto"/>
            </w:tcBorders>
            <w:vAlign w:val="center"/>
            <w:hideMark/>
          </w:tcPr>
          <w:p w14:paraId="21C78476"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$81,759</w:t>
            </w:r>
          </w:p>
        </w:tc>
        <w:tc>
          <w:tcPr>
            <w:tcW w:w="482" w:type="pct"/>
            <w:tcBorders>
              <w:top w:val="single" w:sz="4" w:space="0" w:color="auto"/>
              <w:left w:val="single" w:sz="4" w:space="0" w:color="auto"/>
              <w:bottom w:val="single" w:sz="4" w:space="0" w:color="auto"/>
              <w:right w:val="single" w:sz="4" w:space="0" w:color="auto"/>
            </w:tcBorders>
            <w:vAlign w:val="center"/>
            <w:hideMark/>
          </w:tcPr>
          <w:p w14:paraId="7E31616E"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+0.1%</w:t>
            </w:r>
          </w:p>
        </w:tc>
      </w:tr>
      <w:tr w:rsidR="00364E19" w:rsidRPr="00364E19" w14:paraId="277DE90F" w14:textId="77777777" w:rsidTr="00706748">
        <w:tc>
          <w:tcPr>
            <w:tcW w:w="2720" w:type="pct"/>
            <w:tcBorders>
              <w:top w:val="single" w:sz="4" w:space="0" w:color="auto"/>
              <w:left w:val="single" w:sz="4" w:space="0" w:color="auto"/>
              <w:bottom w:val="single" w:sz="4" w:space="0" w:color="auto"/>
              <w:right w:val="single" w:sz="4" w:space="0" w:color="auto"/>
            </w:tcBorders>
            <w:hideMark/>
          </w:tcPr>
          <w:p w14:paraId="3BAD87F0" w14:textId="4CC813CB" w:rsidR="00364E19" w:rsidRPr="0048595C" w:rsidRDefault="00364E19">
            <w:pPr>
              <w:pStyle w:val="TableText"/>
              <w:rPr>
                <w:rFonts w:eastAsia="Times New Roman" w:cs="Times New Roman"/>
                <w:szCs w:val="18"/>
                <w:lang w:eastAsia="en-AU"/>
              </w:rPr>
            </w:pPr>
            <w:r w:rsidRPr="0048595C">
              <w:rPr>
                <w:rFonts w:eastAsia="Times New Roman" w:cs="Times New Roman"/>
                <w:szCs w:val="18"/>
                <w:lang w:eastAsia="en-AU"/>
              </w:rPr>
              <w:t>Use PSMA PET/CT and FDG PET/CT sc</w:t>
            </w:r>
            <w:r w:rsidR="00250B75">
              <w:rPr>
                <w:rFonts w:eastAsia="Times New Roman" w:cs="Times New Roman"/>
                <w:szCs w:val="18"/>
                <w:lang w:eastAsia="en-AU"/>
              </w:rPr>
              <w:t>an</w:t>
            </w:r>
            <w:r w:rsidRPr="0048595C">
              <w:rPr>
                <w:rFonts w:eastAsia="Times New Roman" w:cs="Times New Roman"/>
                <w:szCs w:val="18"/>
                <w:lang w:eastAsia="en-AU"/>
              </w:rPr>
              <w:t xml:space="preserve">ning data from </w:t>
            </w:r>
            <w:proofErr w:type="spellStart"/>
            <w:r w:rsidRPr="0048595C">
              <w:rPr>
                <w:rFonts w:eastAsia="Times New Roman" w:cs="Times New Roman"/>
                <w:szCs w:val="18"/>
                <w:lang w:eastAsia="en-AU"/>
              </w:rPr>
              <w:t>TheraP</w:t>
            </w:r>
            <w:proofErr w:type="spellEnd"/>
            <w:r w:rsidRPr="0048595C">
              <w:rPr>
                <w:rFonts w:eastAsia="Times New Roman" w:cs="Times New Roman"/>
                <w:szCs w:val="18"/>
                <w:lang w:eastAsia="en-AU"/>
              </w:rPr>
              <w:t xml:space="preserve"> (90.0% and 80.5%, respectively) and FDG PET/CT cost ($1,000)</w:t>
            </w:r>
          </w:p>
        </w:tc>
        <w:tc>
          <w:tcPr>
            <w:tcW w:w="631" w:type="pct"/>
            <w:tcBorders>
              <w:top w:val="single" w:sz="4" w:space="0" w:color="auto"/>
              <w:left w:val="single" w:sz="4" w:space="0" w:color="auto"/>
              <w:bottom w:val="single" w:sz="4" w:space="0" w:color="auto"/>
              <w:right w:val="single" w:sz="4" w:space="0" w:color="auto"/>
            </w:tcBorders>
            <w:vAlign w:val="center"/>
            <w:hideMark/>
          </w:tcPr>
          <w:p w14:paraId="0B44C913"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$24,365</w:t>
            </w:r>
          </w:p>
        </w:tc>
        <w:tc>
          <w:tcPr>
            <w:tcW w:w="631" w:type="pct"/>
            <w:tcBorders>
              <w:top w:val="single" w:sz="4" w:space="0" w:color="auto"/>
              <w:left w:val="single" w:sz="4" w:space="0" w:color="auto"/>
              <w:bottom w:val="single" w:sz="4" w:space="0" w:color="auto"/>
              <w:right w:val="single" w:sz="4" w:space="0" w:color="auto"/>
            </w:tcBorders>
            <w:vAlign w:val="center"/>
            <w:hideMark/>
          </w:tcPr>
          <w:p w14:paraId="68E28AEF"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0.284</w:t>
            </w:r>
          </w:p>
        </w:tc>
        <w:tc>
          <w:tcPr>
            <w:tcW w:w="537" w:type="pct"/>
            <w:tcBorders>
              <w:top w:val="single" w:sz="4" w:space="0" w:color="auto"/>
              <w:left w:val="single" w:sz="4" w:space="0" w:color="auto"/>
              <w:bottom w:val="single" w:sz="4" w:space="0" w:color="auto"/>
              <w:right w:val="single" w:sz="4" w:space="0" w:color="auto"/>
            </w:tcBorders>
            <w:vAlign w:val="center"/>
            <w:hideMark/>
          </w:tcPr>
          <w:p w14:paraId="55F8D308"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$85,788</w:t>
            </w:r>
          </w:p>
        </w:tc>
        <w:tc>
          <w:tcPr>
            <w:tcW w:w="482" w:type="pct"/>
            <w:tcBorders>
              <w:top w:val="single" w:sz="4" w:space="0" w:color="auto"/>
              <w:left w:val="single" w:sz="4" w:space="0" w:color="auto"/>
              <w:bottom w:val="single" w:sz="4" w:space="0" w:color="auto"/>
              <w:right w:val="single" w:sz="4" w:space="0" w:color="auto"/>
            </w:tcBorders>
            <w:vAlign w:val="center"/>
            <w:hideMark/>
          </w:tcPr>
          <w:p w14:paraId="45C4BC70"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+5.1%</w:t>
            </w:r>
          </w:p>
        </w:tc>
      </w:tr>
      <w:tr w:rsidR="00364E19" w:rsidRPr="00364E19" w14:paraId="2E6E81EB" w14:textId="77777777" w:rsidTr="00706748">
        <w:tc>
          <w:tcPr>
            <w:tcW w:w="2720" w:type="pct"/>
            <w:tcBorders>
              <w:top w:val="single" w:sz="4" w:space="0" w:color="auto"/>
              <w:left w:val="single" w:sz="4" w:space="0" w:color="auto"/>
              <w:bottom w:val="single" w:sz="4" w:space="0" w:color="auto"/>
              <w:right w:val="single" w:sz="4" w:space="0" w:color="auto"/>
            </w:tcBorders>
            <w:hideMark/>
          </w:tcPr>
          <w:p w14:paraId="2462AC28" w14:textId="77777777" w:rsidR="00364E19" w:rsidRPr="0048595C" w:rsidRDefault="00364E19">
            <w:pPr>
              <w:pStyle w:val="TableText"/>
              <w:rPr>
                <w:rFonts w:eastAsia="Times New Roman" w:cs="Times New Roman"/>
                <w:b/>
                <w:bCs/>
                <w:szCs w:val="18"/>
                <w:lang w:eastAsia="en-AU"/>
              </w:rPr>
            </w:pPr>
            <w:r w:rsidRPr="0048595C">
              <w:rPr>
                <w:rFonts w:eastAsia="Times New Roman" w:cs="Times New Roman"/>
                <w:b/>
                <w:bCs/>
                <w:szCs w:val="18"/>
                <w:lang w:eastAsia="en-AU"/>
              </w:rPr>
              <w:t>Assume FDG PET/CT patient selection translates to OS benefit (HR decreased from 0.62 to 0.48 [0.62/1.3])</w:t>
            </w:r>
          </w:p>
        </w:tc>
        <w:tc>
          <w:tcPr>
            <w:tcW w:w="631" w:type="pct"/>
            <w:tcBorders>
              <w:top w:val="single" w:sz="4" w:space="0" w:color="auto"/>
              <w:left w:val="single" w:sz="4" w:space="0" w:color="auto"/>
              <w:bottom w:val="single" w:sz="4" w:space="0" w:color="auto"/>
              <w:right w:val="single" w:sz="4" w:space="0" w:color="auto"/>
            </w:tcBorders>
            <w:vAlign w:val="center"/>
            <w:hideMark/>
          </w:tcPr>
          <w:p w14:paraId="78734DD9" w14:textId="77777777" w:rsidR="00364E19" w:rsidRPr="0048595C" w:rsidRDefault="00364E19" w:rsidP="00364E19">
            <w:pPr>
              <w:pStyle w:val="TableText"/>
              <w:jc w:val="center"/>
              <w:rPr>
                <w:rFonts w:eastAsia="Times New Roman" w:cs="Times New Roman"/>
                <w:b/>
                <w:bCs/>
                <w:szCs w:val="18"/>
                <w:lang w:eastAsia="en-AU"/>
              </w:rPr>
            </w:pPr>
            <w:r w:rsidRPr="0048595C">
              <w:rPr>
                <w:rFonts w:eastAsia="Times New Roman" w:cs="Times New Roman"/>
                <w:b/>
                <w:bCs/>
                <w:szCs w:val="18"/>
                <w:lang w:eastAsia="en-AU"/>
              </w:rPr>
              <w:t>$24,156</w:t>
            </w:r>
          </w:p>
        </w:tc>
        <w:tc>
          <w:tcPr>
            <w:tcW w:w="631" w:type="pct"/>
            <w:tcBorders>
              <w:top w:val="single" w:sz="4" w:space="0" w:color="auto"/>
              <w:left w:val="single" w:sz="4" w:space="0" w:color="auto"/>
              <w:bottom w:val="single" w:sz="4" w:space="0" w:color="auto"/>
              <w:right w:val="single" w:sz="4" w:space="0" w:color="auto"/>
            </w:tcBorders>
            <w:vAlign w:val="center"/>
            <w:hideMark/>
          </w:tcPr>
          <w:p w14:paraId="7A7E7D6F" w14:textId="77777777" w:rsidR="00364E19" w:rsidRPr="0048595C" w:rsidRDefault="00364E19" w:rsidP="00364E19">
            <w:pPr>
              <w:pStyle w:val="TableText"/>
              <w:jc w:val="center"/>
              <w:rPr>
                <w:rFonts w:eastAsia="Times New Roman" w:cs="Times New Roman"/>
                <w:b/>
                <w:bCs/>
                <w:szCs w:val="18"/>
                <w:lang w:eastAsia="en-AU"/>
              </w:rPr>
            </w:pPr>
            <w:r w:rsidRPr="0048595C">
              <w:rPr>
                <w:rFonts w:eastAsia="Times New Roman" w:cs="Times New Roman"/>
                <w:b/>
                <w:bCs/>
                <w:szCs w:val="18"/>
                <w:lang w:eastAsia="en-AU"/>
              </w:rPr>
              <w:t>0.371</w:t>
            </w:r>
          </w:p>
        </w:tc>
        <w:tc>
          <w:tcPr>
            <w:tcW w:w="537" w:type="pct"/>
            <w:tcBorders>
              <w:top w:val="single" w:sz="4" w:space="0" w:color="auto"/>
              <w:left w:val="single" w:sz="4" w:space="0" w:color="auto"/>
              <w:bottom w:val="single" w:sz="4" w:space="0" w:color="auto"/>
              <w:right w:val="single" w:sz="4" w:space="0" w:color="auto"/>
            </w:tcBorders>
            <w:vAlign w:val="center"/>
            <w:hideMark/>
          </w:tcPr>
          <w:p w14:paraId="619EF20D" w14:textId="77777777" w:rsidR="00364E19" w:rsidRPr="0048595C" w:rsidRDefault="00364E19" w:rsidP="00364E19">
            <w:pPr>
              <w:pStyle w:val="TableText"/>
              <w:jc w:val="center"/>
              <w:rPr>
                <w:rFonts w:eastAsia="Times New Roman" w:cs="Times New Roman"/>
                <w:b/>
                <w:bCs/>
                <w:szCs w:val="18"/>
                <w:lang w:eastAsia="en-AU"/>
              </w:rPr>
            </w:pPr>
            <w:r w:rsidRPr="0048595C">
              <w:rPr>
                <w:rFonts w:eastAsia="Times New Roman" w:cs="Times New Roman"/>
                <w:b/>
                <w:bCs/>
                <w:szCs w:val="18"/>
                <w:lang w:eastAsia="en-AU"/>
              </w:rPr>
              <w:t>$65,122</w:t>
            </w:r>
          </w:p>
        </w:tc>
        <w:tc>
          <w:tcPr>
            <w:tcW w:w="482" w:type="pct"/>
            <w:tcBorders>
              <w:top w:val="single" w:sz="4" w:space="0" w:color="auto"/>
              <w:left w:val="single" w:sz="4" w:space="0" w:color="auto"/>
              <w:bottom w:val="single" w:sz="4" w:space="0" w:color="auto"/>
              <w:right w:val="single" w:sz="4" w:space="0" w:color="auto"/>
            </w:tcBorders>
            <w:vAlign w:val="center"/>
            <w:hideMark/>
          </w:tcPr>
          <w:p w14:paraId="29B8B7C3" w14:textId="77777777" w:rsidR="00364E19" w:rsidRPr="0048595C" w:rsidRDefault="00364E19" w:rsidP="00364E19">
            <w:pPr>
              <w:pStyle w:val="TableText"/>
              <w:jc w:val="center"/>
              <w:rPr>
                <w:rFonts w:eastAsia="Times New Roman" w:cs="Times New Roman"/>
                <w:b/>
                <w:bCs/>
                <w:szCs w:val="18"/>
                <w:lang w:eastAsia="en-AU"/>
              </w:rPr>
            </w:pPr>
            <w:r w:rsidRPr="0048595C">
              <w:rPr>
                <w:rFonts w:eastAsia="Times New Roman" w:cs="Times New Roman"/>
                <w:b/>
                <w:bCs/>
                <w:szCs w:val="18"/>
                <w:lang w:eastAsia="en-AU"/>
              </w:rPr>
              <w:t>-20.2%</w:t>
            </w:r>
          </w:p>
        </w:tc>
      </w:tr>
      <w:tr w:rsidR="00364E19" w:rsidRPr="00364E19" w14:paraId="4F6865FD" w14:textId="77777777" w:rsidTr="00706748">
        <w:tc>
          <w:tcPr>
            <w:tcW w:w="2720" w:type="pct"/>
            <w:tcBorders>
              <w:top w:val="single" w:sz="4" w:space="0" w:color="auto"/>
              <w:left w:val="single" w:sz="4" w:space="0" w:color="auto"/>
              <w:bottom w:val="single" w:sz="4" w:space="0" w:color="auto"/>
              <w:right w:val="nil"/>
            </w:tcBorders>
            <w:hideMark/>
          </w:tcPr>
          <w:p w14:paraId="607AD22F" w14:textId="77777777" w:rsidR="00364E19" w:rsidRPr="0048595C" w:rsidRDefault="00364E19">
            <w:pPr>
              <w:pStyle w:val="TableText"/>
              <w:rPr>
                <w:rFonts w:eastAsia="Times New Roman" w:cs="Times New Roman"/>
                <w:b/>
                <w:bCs/>
                <w:szCs w:val="18"/>
                <w:lang w:eastAsia="en-AU"/>
              </w:rPr>
            </w:pPr>
            <w:r w:rsidRPr="0048595C">
              <w:rPr>
                <w:rFonts w:eastAsia="Times New Roman" w:cs="Times New Roman"/>
                <w:b/>
                <w:bCs/>
                <w:szCs w:val="18"/>
                <w:lang w:eastAsia="en-AU"/>
              </w:rPr>
              <w:lastRenderedPageBreak/>
              <w:t>Efficacy</w:t>
            </w:r>
          </w:p>
        </w:tc>
        <w:tc>
          <w:tcPr>
            <w:tcW w:w="631" w:type="pct"/>
            <w:tcBorders>
              <w:top w:val="single" w:sz="4" w:space="0" w:color="auto"/>
              <w:left w:val="nil"/>
              <w:bottom w:val="single" w:sz="4" w:space="0" w:color="auto"/>
              <w:right w:val="nil"/>
            </w:tcBorders>
            <w:vAlign w:val="center"/>
          </w:tcPr>
          <w:p w14:paraId="62DE4FA8" w14:textId="77777777" w:rsidR="00364E19" w:rsidRPr="0048595C" w:rsidRDefault="00364E19" w:rsidP="00364E19">
            <w:pPr>
              <w:pStyle w:val="TableText"/>
              <w:jc w:val="center"/>
              <w:rPr>
                <w:rFonts w:eastAsia="Times New Roman" w:cs="Times New Roman"/>
                <w:szCs w:val="18"/>
                <w:lang w:eastAsia="en-AU"/>
              </w:rPr>
            </w:pPr>
          </w:p>
        </w:tc>
        <w:tc>
          <w:tcPr>
            <w:tcW w:w="631" w:type="pct"/>
            <w:tcBorders>
              <w:top w:val="single" w:sz="4" w:space="0" w:color="auto"/>
              <w:left w:val="nil"/>
              <w:bottom w:val="single" w:sz="4" w:space="0" w:color="auto"/>
              <w:right w:val="nil"/>
            </w:tcBorders>
            <w:vAlign w:val="center"/>
          </w:tcPr>
          <w:p w14:paraId="05A2C02B" w14:textId="77777777" w:rsidR="00364E19" w:rsidRPr="0048595C" w:rsidRDefault="00364E19" w:rsidP="00364E19">
            <w:pPr>
              <w:pStyle w:val="TableText"/>
              <w:jc w:val="center"/>
              <w:rPr>
                <w:rFonts w:eastAsia="Times New Roman" w:cs="Times New Roman"/>
                <w:szCs w:val="18"/>
                <w:lang w:eastAsia="en-AU"/>
              </w:rPr>
            </w:pPr>
          </w:p>
        </w:tc>
        <w:tc>
          <w:tcPr>
            <w:tcW w:w="537" w:type="pct"/>
            <w:tcBorders>
              <w:top w:val="single" w:sz="4" w:space="0" w:color="auto"/>
              <w:left w:val="nil"/>
              <w:bottom w:val="single" w:sz="4" w:space="0" w:color="auto"/>
              <w:right w:val="nil"/>
            </w:tcBorders>
            <w:vAlign w:val="center"/>
          </w:tcPr>
          <w:p w14:paraId="4FB2E6D2" w14:textId="77777777" w:rsidR="00364E19" w:rsidRPr="0048595C" w:rsidRDefault="00364E19" w:rsidP="00364E19">
            <w:pPr>
              <w:pStyle w:val="TableText"/>
              <w:jc w:val="center"/>
              <w:rPr>
                <w:rFonts w:eastAsia="Times New Roman" w:cs="Times New Roman"/>
                <w:szCs w:val="18"/>
                <w:lang w:eastAsia="en-AU"/>
              </w:rPr>
            </w:pPr>
          </w:p>
        </w:tc>
        <w:tc>
          <w:tcPr>
            <w:tcW w:w="482" w:type="pct"/>
            <w:tcBorders>
              <w:top w:val="single" w:sz="4" w:space="0" w:color="auto"/>
              <w:left w:val="nil"/>
              <w:bottom w:val="single" w:sz="4" w:space="0" w:color="auto"/>
              <w:right w:val="single" w:sz="4" w:space="0" w:color="auto"/>
            </w:tcBorders>
            <w:vAlign w:val="center"/>
          </w:tcPr>
          <w:p w14:paraId="1D4DDEC8" w14:textId="77777777" w:rsidR="00364E19" w:rsidRPr="0048595C" w:rsidRDefault="00364E19" w:rsidP="00364E19">
            <w:pPr>
              <w:pStyle w:val="TableText"/>
              <w:jc w:val="center"/>
              <w:rPr>
                <w:rFonts w:eastAsia="Times New Roman" w:cs="Times New Roman"/>
                <w:szCs w:val="18"/>
                <w:lang w:eastAsia="en-AU"/>
              </w:rPr>
            </w:pPr>
          </w:p>
        </w:tc>
      </w:tr>
      <w:tr w:rsidR="00364E19" w:rsidRPr="00364E19" w14:paraId="627C36E7" w14:textId="77777777" w:rsidTr="00706748">
        <w:tc>
          <w:tcPr>
            <w:tcW w:w="2720" w:type="pct"/>
            <w:tcBorders>
              <w:top w:val="single" w:sz="4" w:space="0" w:color="auto"/>
              <w:left w:val="single" w:sz="4" w:space="0" w:color="auto"/>
              <w:bottom w:val="single" w:sz="4" w:space="0" w:color="auto"/>
              <w:right w:val="single" w:sz="4" w:space="0" w:color="auto"/>
            </w:tcBorders>
            <w:hideMark/>
          </w:tcPr>
          <w:p w14:paraId="731D71C0" w14:textId="278C2EF3" w:rsidR="00364E19" w:rsidRPr="0048595C" w:rsidRDefault="00364E19">
            <w:pPr>
              <w:pStyle w:val="TableText"/>
              <w:rPr>
                <w:rFonts w:eastAsia="Times New Roman" w:cs="Times New Roman"/>
                <w:szCs w:val="18"/>
                <w:lang w:eastAsia="en-AU"/>
              </w:rPr>
            </w:pPr>
            <w:r w:rsidRPr="0048595C">
              <w:rPr>
                <w:rFonts w:eastAsia="Times New Roman" w:cs="Times New Roman"/>
                <w:szCs w:val="18"/>
                <w:lang w:eastAsia="en-AU"/>
              </w:rPr>
              <w:t xml:space="preserve">Next best statistically fitting PFS for </w:t>
            </w:r>
            <w:r w:rsidRPr="0048595C">
              <w:rPr>
                <w:rFonts w:eastAsia="Times New Roman" w:cs="Times New Roman"/>
                <w:szCs w:val="18"/>
                <w:vertAlign w:val="superscript"/>
                <w:lang w:eastAsia="en-AU"/>
              </w:rPr>
              <w:t>177</w:t>
            </w:r>
            <w:r w:rsidR="009F7816">
              <w:rPr>
                <w:rFonts w:eastAsia="Times New Roman" w:cs="Times New Roman"/>
                <w:szCs w:val="18"/>
                <w:lang w:eastAsia="en-AU"/>
              </w:rPr>
              <w:t>Lu PSMA</w:t>
            </w:r>
            <w:r w:rsidR="00F37E00">
              <w:t> </w:t>
            </w:r>
            <w:proofErr w:type="spellStart"/>
            <w:r w:rsidR="00F37E00">
              <w:t>i&amp;t</w:t>
            </w:r>
            <w:proofErr w:type="spellEnd"/>
            <w:r w:rsidRPr="0048595C">
              <w:rPr>
                <w:rFonts w:eastAsia="Times New Roman" w:cs="Times New Roman"/>
                <w:szCs w:val="18"/>
                <w:lang w:eastAsia="en-AU"/>
              </w:rPr>
              <w:t xml:space="preserve"> (from log-normal to generalised gamma)</w:t>
            </w:r>
          </w:p>
        </w:tc>
        <w:tc>
          <w:tcPr>
            <w:tcW w:w="631" w:type="pct"/>
            <w:tcBorders>
              <w:top w:val="single" w:sz="4" w:space="0" w:color="auto"/>
              <w:left w:val="single" w:sz="4" w:space="0" w:color="auto"/>
              <w:bottom w:val="single" w:sz="4" w:space="0" w:color="auto"/>
              <w:right w:val="single" w:sz="4" w:space="0" w:color="auto"/>
            </w:tcBorders>
            <w:vAlign w:val="center"/>
            <w:hideMark/>
          </w:tcPr>
          <w:p w14:paraId="4BA1C098"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$28,787</w:t>
            </w:r>
          </w:p>
        </w:tc>
        <w:tc>
          <w:tcPr>
            <w:tcW w:w="631" w:type="pct"/>
            <w:tcBorders>
              <w:top w:val="single" w:sz="4" w:space="0" w:color="auto"/>
              <w:left w:val="single" w:sz="4" w:space="0" w:color="auto"/>
              <w:bottom w:val="single" w:sz="4" w:space="0" w:color="auto"/>
              <w:right w:val="single" w:sz="4" w:space="0" w:color="auto"/>
            </w:tcBorders>
            <w:vAlign w:val="center"/>
            <w:hideMark/>
          </w:tcPr>
          <w:p w14:paraId="17666C26"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0.351</w:t>
            </w:r>
          </w:p>
        </w:tc>
        <w:tc>
          <w:tcPr>
            <w:tcW w:w="537" w:type="pct"/>
            <w:tcBorders>
              <w:top w:val="single" w:sz="4" w:space="0" w:color="auto"/>
              <w:left w:val="single" w:sz="4" w:space="0" w:color="auto"/>
              <w:bottom w:val="single" w:sz="4" w:space="0" w:color="auto"/>
              <w:right w:val="single" w:sz="4" w:space="0" w:color="auto"/>
            </w:tcBorders>
            <w:vAlign w:val="center"/>
            <w:hideMark/>
          </w:tcPr>
          <w:p w14:paraId="4F4FBAFB"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$81,977</w:t>
            </w:r>
          </w:p>
        </w:tc>
        <w:tc>
          <w:tcPr>
            <w:tcW w:w="482" w:type="pct"/>
            <w:tcBorders>
              <w:top w:val="single" w:sz="4" w:space="0" w:color="auto"/>
              <w:left w:val="single" w:sz="4" w:space="0" w:color="auto"/>
              <w:bottom w:val="single" w:sz="4" w:space="0" w:color="auto"/>
              <w:right w:val="single" w:sz="4" w:space="0" w:color="auto"/>
            </w:tcBorders>
            <w:vAlign w:val="center"/>
            <w:hideMark/>
          </w:tcPr>
          <w:p w14:paraId="40C50C78"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+0.4%</w:t>
            </w:r>
          </w:p>
        </w:tc>
      </w:tr>
      <w:tr w:rsidR="00364E19" w:rsidRPr="00364E19" w14:paraId="6DB3D75C" w14:textId="77777777" w:rsidTr="00706748">
        <w:tc>
          <w:tcPr>
            <w:tcW w:w="2720" w:type="pct"/>
            <w:tcBorders>
              <w:top w:val="single" w:sz="4" w:space="0" w:color="auto"/>
              <w:left w:val="single" w:sz="4" w:space="0" w:color="auto"/>
              <w:bottom w:val="single" w:sz="4" w:space="0" w:color="auto"/>
              <w:right w:val="single" w:sz="4" w:space="0" w:color="auto"/>
            </w:tcBorders>
            <w:hideMark/>
          </w:tcPr>
          <w:p w14:paraId="5253178E" w14:textId="73ABF969" w:rsidR="00364E19" w:rsidRPr="0048595C" w:rsidRDefault="00364E19">
            <w:pPr>
              <w:pStyle w:val="TableText"/>
              <w:rPr>
                <w:rFonts w:eastAsia="Times New Roman" w:cs="Times New Roman"/>
                <w:b/>
                <w:bCs/>
                <w:szCs w:val="18"/>
                <w:lang w:eastAsia="en-AU"/>
              </w:rPr>
            </w:pPr>
            <w:r w:rsidRPr="0048595C">
              <w:rPr>
                <w:rFonts w:eastAsia="Times New Roman" w:cs="Times New Roman"/>
                <w:b/>
                <w:bCs/>
                <w:szCs w:val="18"/>
                <w:lang w:eastAsia="en-AU"/>
              </w:rPr>
              <w:t xml:space="preserve">Next best statistically fitting OS for </w:t>
            </w:r>
            <w:r w:rsidRPr="0048595C">
              <w:rPr>
                <w:rFonts w:eastAsia="Times New Roman" w:cs="Times New Roman"/>
                <w:b/>
                <w:bCs/>
                <w:szCs w:val="18"/>
                <w:vertAlign w:val="superscript"/>
                <w:lang w:eastAsia="en-AU"/>
              </w:rPr>
              <w:t>177</w:t>
            </w:r>
            <w:r w:rsidR="009F7816">
              <w:rPr>
                <w:rFonts w:eastAsia="Times New Roman" w:cs="Times New Roman"/>
                <w:b/>
                <w:bCs/>
                <w:szCs w:val="18"/>
                <w:lang w:eastAsia="en-AU"/>
              </w:rPr>
              <w:t>Lu PSMA</w:t>
            </w:r>
            <w:r w:rsidR="00F37E00" w:rsidRPr="00F37E00">
              <w:rPr>
                <w:b/>
                <w:bCs/>
              </w:rPr>
              <w:t> </w:t>
            </w:r>
            <w:proofErr w:type="spellStart"/>
            <w:r w:rsidR="00F37E00" w:rsidRPr="00F37E00">
              <w:rPr>
                <w:b/>
                <w:bCs/>
              </w:rPr>
              <w:t>i&amp;t</w:t>
            </w:r>
            <w:proofErr w:type="spellEnd"/>
            <w:r w:rsidRPr="0048595C">
              <w:rPr>
                <w:rFonts w:eastAsia="Times New Roman" w:cs="Times New Roman"/>
                <w:b/>
                <w:bCs/>
                <w:szCs w:val="18"/>
                <w:lang w:eastAsia="en-AU"/>
              </w:rPr>
              <w:t xml:space="preserve"> (from log-logistic to generalised gamma)</w:t>
            </w:r>
          </w:p>
        </w:tc>
        <w:tc>
          <w:tcPr>
            <w:tcW w:w="631" w:type="pct"/>
            <w:tcBorders>
              <w:top w:val="single" w:sz="4" w:space="0" w:color="auto"/>
              <w:left w:val="single" w:sz="4" w:space="0" w:color="auto"/>
              <w:bottom w:val="single" w:sz="4" w:space="0" w:color="auto"/>
              <w:right w:val="single" w:sz="4" w:space="0" w:color="auto"/>
            </w:tcBorders>
            <w:vAlign w:val="center"/>
            <w:hideMark/>
          </w:tcPr>
          <w:p w14:paraId="58BB820B" w14:textId="77777777" w:rsidR="00364E19" w:rsidRPr="0048595C" w:rsidRDefault="00364E19" w:rsidP="00364E19">
            <w:pPr>
              <w:pStyle w:val="TableText"/>
              <w:jc w:val="center"/>
              <w:rPr>
                <w:rFonts w:eastAsia="Times New Roman" w:cs="Times New Roman"/>
                <w:b/>
                <w:bCs/>
                <w:szCs w:val="18"/>
                <w:lang w:eastAsia="en-AU"/>
              </w:rPr>
            </w:pPr>
            <w:r w:rsidRPr="0048595C">
              <w:rPr>
                <w:rFonts w:eastAsia="Times New Roman" w:cs="Times New Roman"/>
                <w:b/>
                <w:bCs/>
                <w:szCs w:val="18"/>
                <w:lang w:eastAsia="en-AU"/>
              </w:rPr>
              <w:t>$29,290</w:t>
            </w:r>
          </w:p>
        </w:tc>
        <w:tc>
          <w:tcPr>
            <w:tcW w:w="631" w:type="pct"/>
            <w:tcBorders>
              <w:top w:val="single" w:sz="4" w:space="0" w:color="auto"/>
              <w:left w:val="single" w:sz="4" w:space="0" w:color="auto"/>
              <w:bottom w:val="single" w:sz="4" w:space="0" w:color="auto"/>
              <w:right w:val="single" w:sz="4" w:space="0" w:color="auto"/>
            </w:tcBorders>
            <w:vAlign w:val="center"/>
            <w:hideMark/>
          </w:tcPr>
          <w:p w14:paraId="2C78C992" w14:textId="77777777" w:rsidR="00364E19" w:rsidRPr="0048595C" w:rsidRDefault="00364E19" w:rsidP="00364E19">
            <w:pPr>
              <w:pStyle w:val="TableText"/>
              <w:jc w:val="center"/>
              <w:rPr>
                <w:rFonts w:eastAsia="Times New Roman" w:cs="Times New Roman"/>
                <w:b/>
                <w:bCs/>
                <w:szCs w:val="18"/>
                <w:lang w:eastAsia="en-AU"/>
              </w:rPr>
            </w:pPr>
            <w:r w:rsidRPr="0048595C">
              <w:rPr>
                <w:rFonts w:eastAsia="Times New Roman" w:cs="Times New Roman"/>
                <w:b/>
                <w:bCs/>
                <w:szCs w:val="18"/>
                <w:lang w:eastAsia="en-AU"/>
              </w:rPr>
              <w:t>0.277</w:t>
            </w:r>
          </w:p>
        </w:tc>
        <w:tc>
          <w:tcPr>
            <w:tcW w:w="537" w:type="pct"/>
            <w:tcBorders>
              <w:top w:val="single" w:sz="4" w:space="0" w:color="auto"/>
              <w:left w:val="single" w:sz="4" w:space="0" w:color="auto"/>
              <w:bottom w:val="single" w:sz="4" w:space="0" w:color="auto"/>
              <w:right w:val="single" w:sz="4" w:space="0" w:color="auto"/>
            </w:tcBorders>
            <w:vAlign w:val="center"/>
            <w:hideMark/>
          </w:tcPr>
          <w:p w14:paraId="30D9BD42" w14:textId="77777777" w:rsidR="00364E19" w:rsidRPr="0048595C" w:rsidRDefault="00364E19" w:rsidP="00364E19">
            <w:pPr>
              <w:pStyle w:val="TableText"/>
              <w:jc w:val="center"/>
              <w:rPr>
                <w:rFonts w:eastAsia="Times New Roman" w:cs="Times New Roman"/>
                <w:b/>
                <w:bCs/>
                <w:szCs w:val="18"/>
                <w:lang w:eastAsia="en-AU"/>
              </w:rPr>
            </w:pPr>
            <w:r w:rsidRPr="0048595C">
              <w:rPr>
                <w:rFonts w:eastAsia="Times New Roman" w:cs="Times New Roman"/>
                <w:b/>
                <w:bCs/>
                <w:szCs w:val="18"/>
                <w:lang w:eastAsia="en-AU"/>
              </w:rPr>
              <w:t>$105,911</w:t>
            </w:r>
          </w:p>
        </w:tc>
        <w:tc>
          <w:tcPr>
            <w:tcW w:w="482" w:type="pct"/>
            <w:tcBorders>
              <w:top w:val="single" w:sz="4" w:space="0" w:color="auto"/>
              <w:left w:val="single" w:sz="4" w:space="0" w:color="auto"/>
              <w:bottom w:val="single" w:sz="4" w:space="0" w:color="auto"/>
              <w:right w:val="single" w:sz="4" w:space="0" w:color="auto"/>
            </w:tcBorders>
            <w:vAlign w:val="center"/>
            <w:hideMark/>
          </w:tcPr>
          <w:p w14:paraId="2C3E50F0" w14:textId="77777777" w:rsidR="00364E19" w:rsidRPr="0048595C" w:rsidRDefault="00364E19" w:rsidP="00364E19">
            <w:pPr>
              <w:pStyle w:val="TableText"/>
              <w:jc w:val="center"/>
              <w:rPr>
                <w:rFonts w:eastAsia="Times New Roman" w:cs="Times New Roman"/>
                <w:b/>
                <w:bCs/>
                <w:szCs w:val="18"/>
                <w:lang w:eastAsia="en-AU"/>
              </w:rPr>
            </w:pPr>
            <w:r w:rsidRPr="0048595C">
              <w:rPr>
                <w:rFonts w:eastAsia="Times New Roman" w:cs="Times New Roman"/>
                <w:b/>
                <w:bCs/>
                <w:szCs w:val="18"/>
                <w:lang w:eastAsia="en-AU"/>
              </w:rPr>
              <w:t>+29.7%</w:t>
            </w:r>
          </w:p>
        </w:tc>
      </w:tr>
      <w:tr w:rsidR="00364E19" w:rsidRPr="00364E19" w14:paraId="0708B587" w14:textId="77777777" w:rsidTr="00706748">
        <w:tc>
          <w:tcPr>
            <w:tcW w:w="2720" w:type="pct"/>
            <w:tcBorders>
              <w:top w:val="single" w:sz="4" w:space="0" w:color="auto"/>
              <w:left w:val="single" w:sz="4" w:space="0" w:color="auto"/>
              <w:bottom w:val="single" w:sz="4" w:space="0" w:color="auto"/>
              <w:right w:val="single" w:sz="4" w:space="0" w:color="auto"/>
            </w:tcBorders>
            <w:hideMark/>
          </w:tcPr>
          <w:p w14:paraId="2759CBE6" w14:textId="2B5B9691" w:rsidR="00364E19" w:rsidRPr="0048595C" w:rsidRDefault="00364E19">
            <w:pPr>
              <w:pStyle w:val="TableText"/>
              <w:rPr>
                <w:rFonts w:eastAsia="Times New Roman" w:cs="Times New Roman"/>
                <w:b/>
                <w:bCs/>
                <w:szCs w:val="18"/>
                <w:lang w:eastAsia="en-AU"/>
              </w:rPr>
            </w:pPr>
            <w:r w:rsidRPr="0048595C">
              <w:rPr>
                <w:rFonts w:eastAsia="Times New Roman" w:cs="Times New Roman"/>
                <w:b/>
                <w:bCs/>
                <w:szCs w:val="18"/>
                <w:lang w:eastAsia="en-AU"/>
              </w:rPr>
              <w:t xml:space="preserve">Next best statistically fitting OS for </w:t>
            </w:r>
            <w:r w:rsidRPr="0048595C">
              <w:rPr>
                <w:rFonts w:eastAsia="Times New Roman" w:cs="Times New Roman"/>
                <w:b/>
                <w:bCs/>
                <w:szCs w:val="18"/>
                <w:vertAlign w:val="superscript"/>
                <w:lang w:eastAsia="en-AU"/>
              </w:rPr>
              <w:t>177</w:t>
            </w:r>
            <w:r w:rsidR="009F7816">
              <w:rPr>
                <w:rFonts w:eastAsia="Times New Roman" w:cs="Times New Roman"/>
                <w:b/>
                <w:bCs/>
                <w:szCs w:val="18"/>
                <w:lang w:eastAsia="en-AU"/>
              </w:rPr>
              <w:t>Lu PSMA</w:t>
            </w:r>
            <w:r w:rsidR="00F37E00" w:rsidRPr="00F37E00">
              <w:rPr>
                <w:b/>
                <w:bCs/>
              </w:rPr>
              <w:t> </w:t>
            </w:r>
            <w:proofErr w:type="spellStart"/>
            <w:r w:rsidR="00F37E00" w:rsidRPr="00F37E00">
              <w:rPr>
                <w:b/>
                <w:bCs/>
              </w:rPr>
              <w:t>i&amp;t</w:t>
            </w:r>
            <w:proofErr w:type="spellEnd"/>
            <w:r w:rsidRPr="0048595C">
              <w:rPr>
                <w:rFonts w:eastAsia="Times New Roman" w:cs="Times New Roman"/>
                <w:b/>
                <w:bCs/>
                <w:szCs w:val="18"/>
                <w:lang w:eastAsia="en-AU"/>
              </w:rPr>
              <w:t xml:space="preserve"> (from log-logistic to generalised gamma) AND time horizon of 5 years</w:t>
            </w:r>
          </w:p>
        </w:tc>
        <w:tc>
          <w:tcPr>
            <w:tcW w:w="631" w:type="pct"/>
            <w:tcBorders>
              <w:top w:val="single" w:sz="4" w:space="0" w:color="auto"/>
              <w:left w:val="single" w:sz="4" w:space="0" w:color="auto"/>
              <w:bottom w:val="single" w:sz="4" w:space="0" w:color="auto"/>
              <w:right w:val="single" w:sz="4" w:space="0" w:color="auto"/>
            </w:tcBorders>
            <w:vAlign w:val="center"/>
            <w:hideMark/>
          </w:tcPr>
          <w:p w14:paraId="3AF00A8D" w14:textId="77777777" w:rsidR="00364E19" w:rsidRPr="0048595C" w:rsidRDefault="00364E19" w:rsidP="00364E19">
            <w:pPr>
              <w:pStyle w:val="TableText"/>
              <w:jc w:val="center"/>
              <w:rPr>
                <w:rFonts w:eastAsia="Times New Roman" w:cs="Times New Roman"/>
                <w:b/>
                <w:bCs/>
                <w:szCs w:val="18"/>
                <w:lang w:eastAsia="en-AU"/>
              </w:rPr>
            </w:pPr>
            <w:r w:rsidRPr="0048595C">
              <w:rPr>
                <w:rFonts w:eastAsia="Times New Roman" w:cs="Times New Roman"/>
                <w:b/>
                <w:bCs/>
                <w:szCs w:val="18"/>
                <w:lang w:eastAsia="en-AU"/>
              </w:rPr>
              <w:t>$28,756</w:t>
            </w:r>
          </w:p>
        </w:tc>
        <w:tc>
          <w:tcPr>
            <w:tcW w:w="631" w:type="pct"/>
            <w:tcBorders>
              <w:top w:val="single" w:sz="4" w:space="0" w:color="auto"/>
              <w:left w:val="single" w:sz="4" w:space="0" w:color="auto"/>
              <w:bottom w:val="single" w:sz="4" w:space="0" w:color="auto"/>
              <w:right w:val="single" w:sz="4" w:space="0" w:color="auto"/>
            </w:tcBorders>
            <w:vAlign w:val="center"/>
            <w:hideMark/>
          </w:tcPr>
          <w:p w14:paraId="25D18E74" w14:textId="77777777" w:rsidR="00364E19" w:rsidRPr="0048595C" w:rsidRDefault="00364E19" w:rsidP="00364E19">
            <w:pPr>
              <w:pStyle w:val="TableText"/>
              <w:jc w:val="center"/>
              <w:rPr>
                <w:rFonts w:eastAsia="Times New Roman" w:cs="Times New Roman"/>
                <w:b/>
                <w:bCs/>
                <w:szCs w:val="18"/>
                <w:lang w:eastAsia="en-AU"/>
              </w:rPr>
            </w:pPr>
            <w:r w:rsidRPr="0048595C">
              <w:rPr>
                <w:rFonts w:eastAsia="Times New Roman" w:cs="Times New Roman"/>
                <w:b/>
                <w:bCs/>
                <w:szCs w:val="18"/>
                <w:lang w:eastAsia="en-AU"/>
              </w:rPr>
              <w:t>0.266</w:t>
            </w:r>
          </w:p>
        </w:tc>
        <w:tc>
          <w:tcPr>
            <w:tcW w:w="537" w:type="pct"/>
            <w:tcBorders>
              <w:top w:val="single" w:sz="4" w:space="0" w:color="auto"/>
              <w:left w:val="single" w:sz="4" w:space="0" w:color="auto"/>
              <w:bottom w:val="single" w:sz="4" w:space="0" w:color="auto"/>
              <w:right w:val="single" w:sz="4" w:space="0" w:color="auto"/>
            </w:tcBorders>
            <w:vAlign w:val="center"/>
            <w:hideMark/>
          </w:tcPr>
          <w:p w14:paraId="7352B9B3" w14:textId="77777777" w:rsidR="00364E19" w:rsidRPr="0048595C" w:rsidRDefault="00364E19" w:rsidP="00364E19">
            <w:pPr>
              <w:pStyle w:val="TableText"/>
              <w:jc w:val="center"/>
              <w:rPr>
                <w:rFonts w:eastAsia="Times New Roman" w:cs="Times New Roman"/>
                <w:b/>
                <w:bCs/>
                <w:szCs w:val="18"/>
                <w:lang w:eastAsia="en-AU"/>
              </w:rPr>
            </w:pPr>
            <w:r w:rsidRPr="0048595C">
              <w:rPr>
                <w:rFonts w:eastAsia="Times New Roman" w:cs="Times New Roman"/>
                <w:b/>
                <w:bCs/>
                <w:szCs w:val="18"/>
                <w:lang w:eastAsia="en-AU"/>
              </w:rPr>
              <w:t>$108,293</w:t>
            </w:r>
          </w:p>
        </w:tc>
        <w:tc>
          <w:tcPr>
            <w:tcW w:w="482" w:type="pct"/>
            <w:tcBorders>
              <w:top w:val="single" w:sz="4" w:space="0" w:color="auto"/>
              <w:left w:val="single" w:sz="4" w:space="0" w:color="auto"/>
              <w:bottom w:val="single" w:sz="4" w:space="0" w:color="auto"/>
              <w:right w:val="single" w:sz="4" w:space="0" w:color="auto"/>
            </w:tcBorders>
            <w:vAlign w:val="center"/>
            <w:hideMark/>
          </w:tcPr>
          <w:p w14:paraId="47AB05C2" w14:textId="77777777" w:rsidR="00364E19" w:rsidRPr="0048595C" w:rsidRDefault="00364E19" w:rsidP="00364E19">
            <w:pPr>
              <w:pStyle w:val="TableText"/>
              <w:jc w:val="center"/>
              <w:rPr>
                <w:rFonts w:eastAsia="Times New Roman" w:cs="Times New Roman"/>
                <w:b/>
                <w:bCs/>
                <w:szCs w:val="18"/>
                <w:lang w:eastAsia="en-AU"/>
              </w:rPr>
            </w:pPr>
            <w:r w:rsidRPr="0048595C">
              <w:rPr>
                <w:rFonts w:eastAsia="Times New Roman" w:cs="Times New Roman"/>
                <w:b/>
                <w:bCs/>
                <w:szCs w:val="18"/>
                <w:lang w:eastAsia="en-AU"/>
              </w:rPr>
              <w:t>+32.6%</w:t>
            </w:r>
          </w:p>
        </w:tc>
      </w:tr>
      <w:tr w:rsidR="00364E19" w:rsidRPr="00364E19" w14:paraId="5F72954B" w14:textId="77777777" w:rsidTr="00706748">
        <w:tc>
          <w:tcPr>
            <w:tcW w:w="2720" w:type="pct"/>
            <w:tcBorders>
              <w:top w:val="single" w:sz="4" w:space="0" w:color="auto"/>
              <w:left w:val="single" w:sz="4" w:space="0" w:color="auto"/>
              <w:bottom w:val="single" w:sz="4" w:space="0" w:color="auto"/>
              <w:right w:val="nil"/>
            </w:tcBorders>
            <w:hideMark/>
          </w:tcPr>
          <w:p w14:paraId="7428AB8B" w14:textId="77777777" w:rsidR="00364E19" w:rsidRPr="0048595C" w:rsidRDefault="00364E19">
            <w:pPr>
              <w:pStyle w:val="TableText"/>
              <w:rPr>
                <w:rFonts w:eastAsia="Times New Roman" w:cs="Times New Roman"/>
                <w:b/>
                <w:bCs/>
                <w:szCs w:val="18"/>
                <w:lang w:eastAsia="en-AU"/>
              </w:rPr>
            </w:pPr>
            <w:r w:rsidRPr="0048595C">
              <w:rPr>
                <w:rFonts w:eastAsia="Times New Roman" w:cs="Times New Roman"/>
                <w:b/>
                <w:bCs/>
                <w:szCs w:val="18"/>
                <w:lang w:eastAsia="en-AU"/>
              </w:rPr>
              <w:t xml:space="preserve">Comparator </w:t>
            </w:r>
          </w:p>
        </w:tc>
        <w:tc>
          <w:tcPr>
            <w:tcW w:w="631" w:type="pct"/>
            <w:tcBorders>
              <w:top w:val="single" w:sz="4" w:space="0" w:color="auto"/>
              <w:left w:val="nil"/>
              <w:bottom w:val="single" w:sz="4" w:space="0" w:color="auto"/>
              <w:right w:val="nil"/>
            </w:tcBorders>
            <w:vAlign w:val="center"/>
          </w:tcPr>
          <w:p w14:paraId="5749F9D7" w14:textId="77777777" w:rsidR="00364E19" w:rsidRPr="0048595C" w:rsidRDefault="00364E19" w:rsidP="00364E19">
            <w:pPr>
              <w:pStyle w:val="TableText"/>
              <w:jc w:val="center"/>
              <w:rPr>
                <w:rFonts w:eastAsia="Times New Roman" w:cs="Times New Roman"/>
                <w:szCs w:val="18"/>
                <w:lang w:eastAsia="en-AU"/>
              </w:rPr>
            </w:pPr>
          </w:p>
        </w:tc>
        <w:tc>
          <w:tcPr>
            <w:tcW w:w="631" w:type="pct"/>
            <w:tcBorders>
              <w:top w:val="single" w:sz="4" w:space="0" w:color="auto"/>
              <w:left w:val="nil"/>
              <w:bottom w:val="single" w:sz="4" w:space="0" w:color="auto"/>
              <w:right w:val="nil"/>
            </w:tcBorders>
            <w:vAlign w:val="center"/>
          </w:tcPr>
          <w:p w14:paraId="4C02A12B" w14:textId="77777777" w:rsidR="00364E19" w:rsidRPr="0048595C" w:rsidRDefault="00364E19" w:rsidP="00364E19">
            <w:pPr>
              <w:pStyle w:val="TableText"/>
              <w:jc w:val="center"/>
              <w:rPr>
                <w:rFonts w:eastAsia="Times New Roman" w:cs="Times New Roman"/>
                <w:szCs w:val="18"/>
                <w:lang w:eastAsia="en-AU"/>
              </w:rPr>
            </w:pPr>
          </w:p>
        </w:tc>
        <w:tc>
          <w:tcPr>
            <w:tcW w:w="537" w:type="pct"/>
            <w:tcBorders>
              <w:top w:val="single" w:sz="4" w:space="0" w:color="auto"/>
              <w:left w:val="nil"/>
              <w:bottom w:val="single" w:sz="4" w:space="0" w:color="auto"/>
              <w:right w:val="nil"/>
            </w:tcBorders>
            <w:vAlign w:val="center"/>
          </w:tcPr>
          <w:p w14:paraId="1BEDD653" w14:textId="77777777" w:rsidR="00364E19" w:rsidRPr="0048595C" w:rsidRDefault="00364E19" w:rsidP="00364E19">
            <w:pPr>
              <w:pStyle w:val="TableText"/>
              <w:jc w:val="center"/>
              <w:rPr>
                <w:rFonts w:eastAsia="Times New Roman" w:cs="Times New Roman"/>
                <w:szCs w:val="18"/>
                <w:lang w:eastAsia="en-AU"/>
              </w:rPr>
            </w:pPr>
          </w:p>
        </w:tc>
        <w:tc>
          <w:tcPr>
            <w:tcW w:w="482" w:type="pct"/>
            <w:tcBorders>
              <w:top w:val="single" w:sz="4" w:space="0" w:color="auto"/>
              <w:left w:val="nil"/>
              <w:bottom w:val="single" w:sz="4" w:space="0" w:color="auto"/>
              <w:right w:val="single" w:sz="4" w:space="0" w:color="auto"/>
            </w:tcBorders>
            <w:vAlign w:val="center"/>
          </w:tcPr>
          <w:p w14:paraId="0E43F09E" w14:textId="77777777" w:rsidR="00364E19" w:rsidRPr="0048595C" w:rsidRDefault="00364E19" w:rsidP="00364E19">
            <w:pPr>
              <w:pStyle w:val="TableText"/>
              <w:jc w:val="center"/>
              <w:rPr>
                <w:rFonts w:eastAsia="Times New Roman" w:cs="Times New Roman"/>
                <w:szCs w:val="18"/>
                <w:lang w:eastAsia="en-AU"/>
              </w:rPr>
            </w:pPr>
          </w:p>
        </w:tc>
      </w:tr>
      <w:tr w:rsidR="00364E19" w:rsidRPr="00364E19" w14:paraId="35E1773C" w14:textId="77777777" w:rsidTr="00706748">
        <w:tc>
          <w:tcPr>
            <w:tcW w:w="2720" w:type="pct"/>
            <w:tcBorders>
              <w:top w:val="single" w:sz="4" w:space="0" w:color="auto"/>
              <w:left w:val="single" w:sz="4" w:space="0" w:color="auto"/>
              <w:bottom w:val="single" w:sz="4" w:space="0" w:color="auto"/>
              <w:right w:val="single" w:sz="4" w:space="0" w:color="auto"/>
            </w:tcBorders>
            <w:hideMark/>
          </w:tcPr>
          <w:p w14:paraId="49D64B6B" w14:textId="77777777" w:rsidR="00364E19" w:rsidRPr="0048595C" w:rsidRDefault="00364E19">
            <w:pPr>
              <w:pStyle w:val="TableText"/>
              <w:rPr>
                <w:rFonts w:eastAsia="Times New Roman" w:cs="Times New Roman"/>
                <w:szCs w:val="18"/>
                <w:lang w:eastAsia="en-AU"/>
              </w:rPr>
            </w:pPr>
            <w:r w:rsidRPr="0048595C">
              <w:rPr>
                <w:rFonts w:eastAsia="Times New Roman" w:cs="Times New Roman"/>
                <w:szCs w:val="18"/>
                <w:lang w:eastAsia="en-AU"/>
              </w:rPr>
              <w:t xml:space="preserve">Assume 0% </w:t>
            </w:r>
            <w:proofErr w:type="spellStart"/>
            <w:r w:rsidRPr="0048595C">
              <w:rPr>
                <w:rFonts w:eastAsia="Times New Roman" w:cs="Times New Roman"/>
                <w:szCs w:val="18"/>
                <w:lang w:eastAsia="en-AU"/>
              </w:rPr>
              <w:t>cabazitaxel</w:t>
            </w:r>
            <w:proofErr w:type="spellEnd"/>
            <w:r w:rsidRPr="0048595C">
              <w:rPr>
                <w:rFonts w:eastAsia="Times New Roman" w:cs="Times New Roman"/>
                <w:szCs w:val="18"/>
                <w:lang w:eastAsia="en-AU"/>
              </w:rPr>
              <w:t>, 100% BSc</w:t>
            </w:r>
          </w:p>
        </w:tc>
        <w:tc>
          <w:tcPr>
            <w:tcW w:w="631" w:type="pct"/>
            <w:tcBorders>
              <w:top w:val="single" w:sz="4" w:space="0" w:color="auto"/>
              <w:left w:val="single" w:sz="4" w:space="0" w:color="auto"/>
              <w:bottom w:val="single" w:sz="4" w:space="0" w:color="auto"/>
              <w:right w:val="single" w:sz="4" w:space="0" w:color="auto"/>
            </w:tcBorders>
            <w:vAlign w:val="center"/>
            <w:hideMark/>
          </w:tcPr>
          <w:p w14:paraId="3D18144C"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$34,362</w:t>
            </w:r>
          </w:p>
        </w:tc>
        <w:tc>
          <w:tcPr>
            <w:tcW w:w="631" w:type="pct"/>
            <w:tcBorders>
              <w:top w:val="single" w:sz="4" w:space="0" w:color="auto"/>
              <w:left w:val="single" w:sz="4" w:space="0" w:color="auto"/>
              <w:bottom w:val="single" w:sz="4" w:space="0" w:color="auto"/>
              <w:right w:val="single" w:sz="4" w:space="0" w:color="auto"/>
            </w:tcBorders>
            <w:vAlign w:val="center"/>
            <w:hideMark/>
          </w:tcPr>
          <w:p w14:paraId="5FCF8BF0"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0.369</w:t>
            </w:r>
          </w:p>
        </w:tc>
        <w:tc>
          <w:tcPr>
            <w:tcW w:w="537" w:type="pct"/>
            <w:tcBorders>
              <w:top w:val="single" w:sz="4" w:space="0" w:color="auto"/>
              <w:left w:val="single" w:sz="4" w:space="0" w:color="auto"/>
              <w:bottom w:val="single" w:sz="4" w:space="0" w:color="auto"/>
              <w:right w:val="single" w:sz="4" w:space="0" w:color="auto"/>
            </w:tcBorders>
            <w:vAlign w:val="center"/>
            <w:hideMark/>
          </w:tcPr>
          <w:p w14:paraId="38385858"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$93,189</w:t>
            </w:r>
          </w:p>
        </w:tc>
        <w:tc>
          <w:tcPr>
            <w:tcW w:w="482" w:type="pct"/>
            <w:tcBorders>
              <w:top w:val="single" w:sz="4" w:space="0" w:color="auto"/>
              <w:left w:val="single" w:sz="4" w:space="0" w:color="auto"/>
              <w:bottom w:val="single" w:sz="4" w:space="0" w:color="auto"/>
              <w:right w:val="single" w:sz="4" w:space="0" w:color="auto"/>
            </w:tcBorders>
            <w:vAlign w:val="center"/>
            <w:hideMark/>
          </w:tcPr>
          <w:p w14:paraId="64A1FFDC"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+14.1%</w:t>
            </w:r>
          </w:p>
        </w:tc>
      </w:tr>
      <w:tr w:rsidR="00364E19" w:rsidRPr="00364E19" w14:paraId="08B1A477" w14:textId="77777777" w:rsidTr="00706748">
        <w:tc>
          <w:tcPr>
            <w:tcW w:w="2720" w:type="pct"/>
            <w:tcBorders>
              <w:top w:val="single" w:sz="4" w:space="0" w:color="auto"/>
              <w:left w:val="single" w:sz="4" w:space="0" w:color="auto"/>
              <w:bottom w:val="single" w:sz="4" w:space="0" w:color="auto"/>
              <w:right w:val="single" w:sz="4" w:space="0" w:color="auto"/>
            </w:tcBorders>
            <w:hideMark/>
          </w:tcPr>
          <w:p w14:paraId="25A80A3F" w14:textId="31CD81D2" w:rsidR="00364E19" w:rsidRPr="0048595C" w:rsidRDefault="00364E19">
            <w:pPr>
              <w:pStyle w:val="TableText"/>
              <w:rPr>
                <w:rFonts w:eastAsia="Times New Roman" w:cs="Times New Roman"/>
                <w:b/>
                <w:bCs/>
                <w:szCs w:val="18"/>
                <w:lang w:eastAsia="en-AU"/>
              </w:rPr>
            </w:pPr>
            <w:r w:rsidRPr="0048595C">
              <w:rPr>
                <w:rFonts w:eastAsia="Times New Roman" w:cs="Times New Roman"/>
                <w:szCs w:val="18"/>
                <w:lang w:eastAsia="en-AU"/>
              </w:rPr>
              <w:t xml:space="preserve">Assume 25% </w:t>
            </w:r>
            <w:proofErr w:type="spellStart"/>
            <w:r w:rsidRPr="0048595C">
              <w:rPr>
                <w:rFonts w:eastAsia="Times New Roman" w:cs="Times New Roman"/>
                <w:szCs w:val="18"/>
                <w:lang w:eastAsia="en-AU"/>
              </w:rPr>
              <w:t>cabazitaxel</w:t>
            </w:r>
            <w:proofErr w:type="spellEnd"/>
            <w:r w:rsidRPr="0048595C">
              <w:rPr>
                <w:rFonts w:eastAsia="Times New Roman" w:cs="Times New Roman"/>
                <w:szCs w:val="18"/>
                <w:lang w:eastAsia="en-AU"/>
              </w:rPr>
              <w:t>, 75% BSc (alternative base</w:t>
            </w:r>
            <w:r w:rsidR="00E12710" w:rsidRPr="0048595C">
              <w:rPr>
                <w:rFonts w:eastAsia="Times New Roman" w:cs="Times New Roman"/>
                <w:szCs w:val="18"/>
                <w:lang w:eastAsia="en-AU"/>
              </w:rPr>
              <w:t xml:space="preserve"> </w:t>
            </w:r>
            <w:r w:rsidRPr="0048595C">
              <w:rPr>
                <w:rFonts w:eastAsia="Times New Roman" w:cs="Times New Roman"/>
                <w:szCs w:val="18"/>
                <w:lang w:eastAsia="en-AU"/>
              </w:rPr>
              <w:t>case)</w:t>
            </w:r>
          </w:p>
        </w:tc>
        <w:tc>
          <w:tcPr>
            <w:tcW w:w="631" w:type="pct"/>
            <w:tcBorders>
              <w:top w:val="single" w:sz="4" w:space="0" w:color="auto"/>
              <w:left w:val="single" w:sz="4" w:space="0" w:color="auto"/>
              <w:bottom w:val="single" w:sz="4" w:space="0" w:color="auto"/>
              <w:right w:val="single" w:sz="4" w:space="0" w:color="auto"/>
            </w:tcBorders>
            <w:vAlign w:val="center"/>
            <w:hideMark/>
          </w:tcPr>
          <w:p w14:paraId="3A9DD75F"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$32,670</w:t>
            </w:r>
          </w:p>
        </w:tc>
        <w:tc>
          <w:tcPr>
            <w:tcW w:w="631" w:type="pct"/>
            <w:tcBorders>
              <w:top w:val="single" w:sz="4" w:space="0" w:color="auto"/>
              <w:left w:val="single" w:sz="4" w:space="0" w:color="auto"/>
              <w:bottom w:val="single" w:sz="4" w:space="0" w:color="auto"/>
              <w:right w:val="single" w:sz="4" w:space="0" w:color="auto"/>
            </w:tcBorders>
            <w:vAlign w:val="center"/>
            <w:hideMark/>
          </w:tcPr>
          <w:p w14:paraId="545C3219"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0.364</w:t>
            </w:r>
          </w:p>
        </w:tc>
        <w:tc>
          <w:tcPr>
            <w:tcW w:w="537" w:type="pct"/>
            <w:tcBorders>
              <w:top w:val="single" w:sz="4" w:space="0" w:color="auto"/>
              <w:left w:val="single" w:sz="4" w:space="0" w:color="auto"/>
              <w:bottom w:val="single" w:sz="4" w:space="0" w:color="auto"/>
              <w:right w:val="single" w:sz="4" w:space="0" w:color="auto"/>
            </w:tcBorders>
            <w:vAlign w:val="center"/>
            <w:hideMark/>
          </w:tcPr>
          <w:p w14:paraId="6FFADA12"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$89,649</w:t>
            </w:r>
          </w:p>
        </w:tc>
        <w:tc>
          <w:tcPr>
            <w:tcW w:w="482" w:type="pct"/>
            <w:tcBorders>
              <w:top w:val="single" w:sz="4" w:space="0" w:color="auto"/>
              <w:left w:val="single" w:sz="4" w:space="0" w:color="auto"/>
              <w:bottom w:val="single" w:sz="4" w:space="0" w:color="auto"/>
              <w:right w:val="single" w:sz="4" w:space="0" w:color="auto"/>
            </w:tcBorders>
            <w:vAlign w:val="center"/>
            <w:hideMark/>
          </w:tcPr>
          <w:p w14:paraId="058CE173"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+9.8%</w:t>
            </w:r>
          </w:p>
        </w:tc>
      </w:tr>
      <w:tr w:rsidR="00364E19" w:rsidRPr="00364E19" w14:paraId="2A7B7A67" w14:textId="77777777" w:rsidTr="00706748">
        <w:tc>
          <w:tcPr>
            <w:tcW w:w="2720" w:type="pct"/>
            <w:tcBorders>
              <w:top w:val="single" w:sz="4" w:space="0" w:color="auto"/>
              <w:left w:val="single" w:sz="4" w:space="0" w:color="auto"/>
              <w:bottom w:val="single" w:sz="4" w:space="0" w:color="auto"/>
              <w:right w:val="single" w:sz="4" w:space="0" w:color="auto"/>
            </w:tcBorders>
            <w:hideMark/>
          </w:tcPr>
          <w:p w14:paraId="21FF18BD" w14:textId="77777777" w:rsidR="00364E19" w:rsidRPr="0048595C" w:rsidRDefault="00364E19">
            <w:pPr>
              <w:pStyle w:val="TableText"/>
              <w:rPr>
                <w:rFonts w:eastAsia="Times New Roman" w:cs="Times New Roman"/>
                <w:szCs w:val="18"/>
                <w:lang w:eastAsia="en-AU"/>
              </w:rPr>
            </w:pPr>
            <w:r w:rsidRPr="0048595C">
              <w:rPr>
                <w:rFonts w:eastAsia="Times New Roman" w:cs="Times New Roman"/>
                <w:szCs w:val="18"/>
                <w:lang w:eastAsia="en-AU"/>
              </w:rPr>
              <w:t xml:space="preserve">Assume 50% </w:t>
            </w:r>
            <w:proofErr w:type="spellStart"/>
            <w:r w:rsidRPr="0048595C">
              <w:rPr>
                <w:rFonts w:eastAsia="Times New Roman" w:cs="Times New Roman"/>
                <w:szCs w:val="18"/>
                <w:lang w:eastAsia="en-AU"/>
              </w:rPr>
              <w:t>cabazitaxel</w:t>
            </w:r>
            <w:proofErr w:type="spellEnd"/>
            <w:r w:rsidRPr="0048595C">
              <w:rPr>
                <w:rFonts w:eastAsia="Times New Roman" w:cs="Times New Roman"/>
                <w:szCs w:val="18"/>
                <w:lang w:eastAsia="en-AU"/>
              </w:rPr>
              <w:t>, 50% BSc</w:t>
            </w:r>
          </w:p>
        </w:tc>
        <w:tc>
          <w:tcPr>
            <w:tcW w:w="631" w:type="pct"/>
            <w:tcBorders>
              <w:top w:val="single" w:sz="4" w:space="0" w:color="auto"/>
              <w:left w:val="single" w:sz="4" w:space="0" w:color="auto"/>
              <w:bottom w:val="single" w:sz="4" w:space="0" w:color="auto"/>
              <w:right w:val="single" w:sz="4" w:space="0" w:color="auto"/>
            </w:tcBorders>
            <w:vAlign w:val="center"/>
            <w:hideMark/>
          </w:tcPr>
          <w:p w14:paraId="5264C447"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$30,827</w:t>
            </w:r>
          </w:p>
        </w:tc>
        <w:tc>
          <w:tcPr>
            <w:tcW w:w="631" w:type="pct"/>
            <w:tcBorders>
              <w:top w:val="single" w:sz="4" w:space="0" w:color="auto"/>
              <w:left w:val="single" w:sz="4" w:space="0" w:color="auto"/>
              <w:bottom w:val="single" w:sz="4" w:space="0" w:color="auto"/>
              <w:right w:val="single" w:sz="4" w:space="0" w:color="auto"/>
            </w:tcBorders>
            <w:vAlign w:val="center"/>
            <w:hideMark/>
          </w:tcPr>
          <w:p w14:paraId="7ECACBC7"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0.359</w:t>
            </w:r>
          </w:p>
        </w:tc>
        <w:tc>
          <w:tcPr>
            <w:tcW w:w="537" w:type="pct"/>
            <w:tcBorders>
              <w:top w:val="single" w:sz="4" w:space="0" w:color="auto"/>
              <w:left w:val="single" w:sz="4" w:space="0" w:color="auto"/>
              <w:bottom w:val="single" w:sz="4" w:space="0" w:color="auto"/>
              <w:right w:val="single" w:sz="4" w:space="0" w:color="auto"/>
            </w:tcBorders>
            <w:vAlign w:val="center"/>
            <w:hideMark/>
          </w:tcPr>
          <w:p w14:paraId="44F89864"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$85,823</w:t>
            </w:r>
          </w:p>
        </w:tc>
        <w:tc>
          <w:tcPr>
            <w:tcW w:w="482" w:type="pct"/>
            <w:tcBorders>
              <w:top w:val="single" w:sz="4" w:space="0" w:color="auto"/>
              <w:left w:val="single" w:sz="4" w:space="0" w:color="auto"/>
              <w:bottom w:val="single" w:sz="4" w:space="0" w:color="auto"/>
              <w:right w:val="single" w:sz="4" w:space="0" w:color="auto"/>
            </w:tcBorders>
            <w:vAlign w:val="center"/>
            <w:hideMark/>
          </w:tcPr>
          <w:p w14:paraId="0FFAFAFD"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+5.1%</w:t>
            </w:r>
          </w:p>
        </w:tc>
      </w:tr>
      <w:tr w:rsidR="00364E19" w:rsidRPr="00364E19" w14:paraId="0BC06F5D" w14:textId="77777777" w:rsidTr="00706748">
        <w:tc>
          <w:tcPr>
            <w:tcW w:w="2720" w:type="pct"/>
            <w:tcBorders>
              <w:top w:val="single" w:sz="4" w:space="0" w:color="auto"/>
              <w:left w:val="single" w:sz="4" w:space="0" w:color="auto"/>
              <w:bottom w:val="single" w:sz="4" w:space="0" w:color="auto"/>
              <w:right w:val="single" w:sz="4" w:space="0" w:color="auto"/>
            </w:tcBorders>
            <w:hideMark/>
          </w:tcPr>
          <w:p w14:paraId="5E1387A0" w14:textId="77777777" w:rsidR="00364E19" w:rsidRPr="0048595C" w:rsidRDefault="00364E19">
            <w:pPr>
              <w:pStyle w:val="TableText"/>
              <w:rPr>
                <w:rFonts w:eastAsia="Times New Roman" w:cs="Times New Roman"/>
                <w:szCs w:val="18"/>
                <w:lang w:eastAsia="en-AU"/>
              </w:rPr>
            </w:pPr>
            <w:r w:rsidRPr="0048595C">
              <w:rPr>
                <w:rFonts w:eastAsia="Times New Roman" w:cs="Times New Roman"/>
                <w:szCs w:val="18"/>
                <w:lang w:eastAsia="en-AU"/>
              </w:rPr>
              <w:t xml:space="preserve">Assume 100% </w:t>
            </w:r>
            <w:proofErr w:type="spellStart"/>
            <w:r w:rsidRPr="0048595C">
              <w:rPr>
                <w:rFonts w:eastAsia="Times New Roman" w:cs="Times New Roman"/>
                <w:szCs w:val="18"/>
                <w:lang w:eastAsia="en-AU"/>
              </w:rPr>
              <w:t>cabazitaxel</w:t>
            </w:r>
            <w:proofErr w:type="spellEnd"/>
            <w:r w:rsidRPr="0048595C">
              <w:rPr>
                <w:rFonts w:eastAsia="Times New Roman" w:cs="Times New Roman"/>
                <w:szCs w:val="18"/>
                <w:lang w:eastAsia="en-AU"/>
              </w:rPr>
              <w:t>, 0% BSc</w:t>
            </w:r>
          </w:p>
        </w:tc>
        <w:tc>
          <w:tcPr>
            <w:tcW w:w="631" w:type="pct"/>
            <w:tcBorders>
              <w:top w:val="single" w:sz="4" w:space="0" w:color="auto"/>
              <w:left w:val="single" w:sz="4" w:space="0" w:color="auto"/>
              <w:bottom w:val="single" w:sz="4" w:space="0" w:color="auto"/>
              <w:right w:val="single" w:sz="4" w:space="0" w:color="auto"/>
            </w:tcBorders>
            <w:vAlign w:val="center"/>
            <w:hideMark/>
          </w:tcPr>
          <w:p w14:paraId="2E46E688"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$26,540</w:t>
            </w:r>
          </w:p>
        </w:tc>
        <w:tc>
          <w:tcPr>
            <w:tcW w:w="631" w:type="pct"/>
            <w:tcBorders>
              <w:top w:val="single" w:sz="4" w:space="0" w:color="auto"/>
              <w:left w:val="single" w:sz="4" w:space="0" w:color="auto"/>
              <w:bottom w:val="single" w:sz="4" w:space="0" w:color="auto"/>
              <w:right w:val="single" w:sz="4" w:space="0" w:color="auto"/>
            </w:tcBorders>
            <w:vAlign w:val="center"/>
            <w:hideMark/>
          </w:tcPr>
          <w:p w14:paraId="7106CE56"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0.344</w:t>
            </w:r>
          </w:p>
        </w:tc>
        <w:tc>
          <w:tcPr>
            <w:tcW w:w="537" w:type="pct"/>
            <w:tcBorders>
              <w:top w:val="single" w:sz="4" w:space="0" w:color="auto"/>
              <w:left w:val="single" w:sz="4" w:space="0" w:color="auto"/>
              <w:bottom w:val="single" w:sz="4" w:space="0" w:color="auto"/>
              <w:right w:val="single" w:sz="4" w:space="0" w:color="auto"/>
            </w:tcBorders>
            <w:vAlign w:val="center"/>
            <w:hideMark/>
          </w:tcPr>
          <w:p w14:paraId="2D26BEC4"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$77,060</w:t>
            </w:r>
          </w:p>
        </w:tc>
        <w:tc>
          <w:tcPr>
            <w:tcW w:w="482" w:type="pct"/>
            <w:tcBorders>
              <w:top w:val="single" w:sz="4" w:space="0" w:color="auto"/>
              <w:left w:val="single" w:sz="4" w:space="0" w:color="auto"/>
              <w:bottom w:val="single" w:sz="4" w:space="0" w:color="auto"/>
              <w:right w:val="single" w:sz="4" w:space="0" w:color="auto"/>
            </w:tcBorders>
            <w:vAlign w:val="center"/>
            <w:hideMark/>
          </w:tcPr>
          <w:p w14:paraId="4271330E"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-5.6%</w:t>
            </w:r>
          </w:p>
        </w:tc>
      </w:tr>
      <w:tr w:rsidR="00364E19" w:rsidRPr="00364E19" w14:paraId="1E62AAB0" w14:textId="77777777" w:rsidTr="00706748">
        <w:tc>
          <w:tcPr>
            <w:tcW w:w="2720" w:type="pct"/>
            <w:tcBorders>
              <w:top w:val="single" w:sz="4" w:space="0" w:color="auto"/>
              <w:left w:val="single" w:sz="4" w:space="0" w:color="auto"/>
              <w:bottom w:val="single" w:sz="4" w:space="0" w:color="auto"/>
              <w:right w:val="single" w:sz="4" w:space="0" w:color="auto"/>
            </w:tcBorders>
            <w:hideMark/>
          </w:tcPr>
          <w:p w14:paraId="707CFD00" w14:textId="77777777" w:rsidR="00364E19" w:rsidRPr="0048595C" w:rsidRDefault="00364E19">
            <w:pPr>
              <w:pStyle w:val="TableText"/>
              <w:rPr>
                <w:rFonts w:eastAsia="Times New Roman" w:cs="Times New Roman"/>
                <w:szCs w:val="18"/>
                <w:lang w:eastAsia="en-AU"/>
              </w:rPr>
            </w:pPr>
            <w:r w:rsidRPr="0048595C">
              <w:rPr>
                <w:rFonts w:eastAsia="Times New Roman" w:cs="Times New Roman"/>
                <w:b/>
                <w:bCs/>
                <w:szCs w:val="18"/>
                <w:lang w:eastAsia="en-AU"/>
              </w:rPr>
              <w:t xml:space="preserve">Lower bound 95% CI for OS HR (from 0.62 to 0.52) for both BSc and </w:t>
            </w:r>
            <w:proofErr w:type="spellStart"/>
            <w:r w:rsidRPr="0048595C">
              <w:rPr>
                <w:rFonts w:eastAsia="Times New Roman" w:cs="Times New Roman"/>
                <w:b/>
                <w:bCs/>
                <w:szCs w:val="18"/>
                <w:lang w:eastAsia="en-AU"/>
              </w:rPr>
              <w:t>cabazitaxel</w:t>
            </w:r>
            <w:proofErr w:type="spellEnd"/>
          </w:p>
        </w:tc>
        <w:tc>
          <w:tcPr>
            <w:tcW w:w="631" w:type="pct"/>
            <w:tcBorders>
              <w:top w:val="single" w:sz="4" w:space="0" w:color="auto"/>
              <w:left w:val="single" w:sz="4" w:space="0" w:color="auto"/>
              <w:bottom w:val="single" w:sz="4" w:space="0" w:color="auto"/>
              <w:right w:val="single" w:sz="4" w:space="0" w:color="auto"/>
            </w:tcBorders>
            <w:vAlign w:val="center"/>
            <w:hideMark/>
          </w:tcPr>
          <w:p w14:paraId="0602EE60" w14:textId="77777777" w:rsidR="00364E19" w:rsidRPr="0048595C" w:rsidRDefault="00364E19" w:rsidP="00364E19">
            <w:pPr>
              <w:pStyle w:val="TableText"/>
              <w:jc w:val="center"/>
              <w:rPr>
                <w:rFonts w:eastAsia="Times New Roman" w:cs="Times New Roman"/>
                <w:b/>
                <w:bCs/>
                <w:szCs w:val="18"/>
                <w:lang w:eastAsia="en-AU"/>
              </w:rPr>
            </w:pPr>
            <w:r w:rsidRPr="0048595C">
              <w:rPr>
                <w:rFonts w:eastAsia="Times New Roman" w:cs="Times New Roman"/>
                <w:b/>
                <w:bCs/>
                <w:szCs w:val="18"/>
                <w:lang w:eastAsia="en-AU"/>
              </w:rPr>
              <w:t>$28,609</w:t>
            </w:r>
          </w:p>
        </w:tc>
        <w:tc>
          <w:tcPr>
            <w:tcW w:w="631" w:type="pct"/>
            <w:tcBorders>
              <w:top w:val="single" w:sz="4" w:space="0" w:color="auto"/>
              <w:left w:val="single" w:sz="4" w:space="0" w:color="auto"/>
              <w:bottom w:val="single" w:sz="4" w:space="0" w:color="auto"/>
              <w:right w:val="single" w:sz="4" w:space="0" w:color="auto"/>
            </w:tcBorders>
            <w:vAlign w:val="center"/>
            <w:hideMark/>
          </w:tcPr>
          <w:p w14:paraId="397F98A4" w14:textId="77777777" w:rsidR="00364E19" w:rsidRPr="0048595C" w:rsidRDefault="00364E19" w:rsidP="00364E19">
            <w:pPr>
              <w:pStyle w:val="TableText"/>
              <w:jc w:val="center"/>
              <w:rPr>
                <w:rFonts w:eastAsia="Times New Roman" w:cs="Times New Roman"/>
                <w:b/>
                <w:bCs/>
                <w:szCs w:val="18"/>
                <w:lang w:eastAsia="en-AU"/>
              </w:rPr>
            </w:pPr>
            <w:r w:rsidRPr="0048595C">
              <w:rPr>
                <w:rFonts w:eastAsia="Times New Roman" w:cs="Times New Roman"/>
                <w:b/>
                <w:bCs/>
                <w:szCs w:val="18"/>
                <w:lang w:eastAsia="en-AU"/>
              </w:rPr>
              <w:t>0.430</w:t>
            </w:r>
          </w:p>
        </w:tc>
        <w:tc>
          <w:tcPr>
            <w:tcW w:w="537" w:type="pct"/>
            <w:tcBorders>
              <w:top w:val="single" w:sz="4" w:space="0" w:color="auto"/>
              <w:left w:val="single" w:sz="4" w:space="0" w:color="auto"/>
              <w:bottom w:val="single" w:sz="4" w:space="0" w:color="auto"/>
              <w:right w:val="single" w:sz="4" w:space="0" w:color="auto"/>
            </w:tcBorders>
            <w:vAlign w:val="center"/>
            <w:hideMark/>
          </w:tcPr>
          <w:p w14:paraId="6F0F9528" w14:textId="77777777" w:rsidR="00364E19" w:rsidRPr="0048595C" w:rsidRDefault="00364E19" w:rsidP="00364E19">
            <w:pPr>
              <w:pStyle w:val="TableText"/>
              <w:jc w:val="center"/>
              <w:rPr>
                <w:rFonts w:eastAsia="Times New Roman" w:cs="Times New Roman"/>
                <w:b/>
                <w:bCs/>
                <w:szCs w:val="18"/>
                <w:lang w:eastAsia="en-AU"/>
              </w:rPr>
            </w:pPr>
            <w:r w:rsidRPr="0048595C">
              <w:rPr>
                <w:rFonts w:eastAsia="Times New Roman" w:cs="Times New Roman"/>
                <w:b/>
                <w:bCs/>
                <w:szCs w:val="18"/>
                <w:lang w:eastAsia="en-AU"/>
              </w:rPr>
              <w:t>$66,525</w:t>
            </w:r>
          </w:p>
        </w:tc>
        <w:tc>
          <w:tcPr>
            <w:tcW w:w="482" w:type="pct"/>
            <w:tcBorders>
              <w:top w:val="single" w:sz="4" w:space="0" w:color="auto"/>
              <w:left w:val="single" w:sz="4" w:space="0" w:color="auto"/>
              <w:bottom w:val="single" w:sz="4" w:space="0" w:color="auto"/>
              <w:right w:val="single" w:sz="4" w:space="0" w:color="auto"/>
            </w:tcBorders>
            <w:vAlign w:val="center"/>
            <w:hideMark/>
          </w:tcPr>
          <w:p w14:paraId="43DA079B" w14:textId="77777777" w:rsidR="00364E19" w:rsidRPr="0048595C" w:rsidRDefault="00364E19" w:rsidP="00364E19">
            <w:pPr>
              <w:pStyle w:val="TableText"/>
              <w:jc w:val="center"/>
              <w:rPr>
                <w:rFonts w:eastAsia="Times New Roman" w:cs="Times New Roman"/>
                <w:b/>
                <w:bCs/>
                <w:szCs w:val="18"/>
                <w:lang w:eastAsia="en-AU"/>
              </w:rPr>
            </w:pPr>
            <w:r w:rsidRPr="0048595C">
              <w:rPr>
                <w:rFonts w:eastAsia="Times New Roman" w:cs="Times New Roman"/>
                <w:b/>
                <w:bCs/>
                <w:szCs w:val="18"/>
                <w:lang w:eastAsia="en-AU"/>
              </w:rPr>
              <w:t>-18.5%</w:t>
            </w:r>
          </w:p>
        </w:tc>
      </w:tr>
      <w:tr w:rsidR="00364E19" w:rsidRPr="00364E19" w14:paraId="45FD0ABE" w14:textId="77777777" w:rsidTr="00706748">
        <w:tc>
          <w:tcPr>
            <w:tcW w:w="2720" w:type="pct"/>
            <w:tcBorders>
              <w:top w:val="single" w:sz="4" w:space="0" w:color="auto"/>
              <w:left w:val="single" w:sz="4" w:space="0" w:color="auto"/>
              <w:bottom w:val="single" w:sz="4" w:space="0" w:color="auto"/>
              <w:right w:val="single" w:sz="4" w:space="0" w:color="auto"/>
            </w:tcBorders>
            <w:hideMark/>
          </w:tcPr>
          <w:p w14:paraId="4A3AF28F" w14:textId="77777777" w:rsidR="00364E19" w:rsidRPr="0048595C" w:rsidRDefault="00364E19">
            <w:pPr>
              <w:pStyle w:val="TableText"/>
              <w:rPr>
                <w:rFonts w:eastAsia="Times New Roman" w:cs="Times New Roman"/>
                <w:szCs w:val="18"/>
                <w:lang w:eastAsia="en-AU"/>
              </w:rPr>
            </w:pPr>
            <w:r w:rsidRPr="0048595C">
              <w:rPr>
                <w:rFonts w:eastAsia="Times New Roman" w:cs="Times New Roman"/>
                <w:b/>
                <w:bCs/>
                <w:szCs w:val="18"/>
                <w:lang w:eastAsia="en-AU"/>
              </w:rPr>
              <w:t xml:space="preserve">Upper bound 95% CI for OS HR (from 0.62 to 0.74) for both BSc and </w:t>
            </w:r>
            <w:proofErr w:type="spellStart"/>
            <w:r w:rsidRPr="0048595C">
              <w:rPr>
                <w:rFonts w:eastAsia="Times New Roman" w:cs="Times New Roman"/>
                <w:b/>
                <w:bCs/>
                <w:szCs w:val="18"/>
                <w:lang w:eastAsia="en-AU"/>
              </w:rPr>
              <w:t>cabazitaxel</w:t>
            </w:r>
            <w:proofErr w:type="spellEnd"/>
          </w:p>
        </w:tc>
        <w:tc>
          <w:tcPr>
            <w:tcW w:w="631" w:type="pct"/>
            <w:tcBorders>
              <w:top w:val="single" w:sz="4" w:space="0" w:color="auto"/>
              <w:left w:val="single" w:sz="4" w:space="0" w:color="auto"/>
              <w:bottom w:val="single" w:sz="4" w:space="0" w:color="auto"/>
              <w:right w:val="single" w:sz="4" w:space="0" w:color="auto"/>
            </w:tcBorders>
            <w:vAlign w:val="center"/>
            <w:hideMark/>
          </w:tcPr>
          <w:p w14:paraId="527842DF" w14:textId="77777777" w:rsidR="00364E19" w:rsidRPr="0048595C" w:rsidRDefault="00364E19" w:rsidP="00364E19">
            <w:pPr>
              <w:pStyle w:val="TableText"/>
              <w:jc w:val="center"/>
              <w:rPr>
                <w:rFonts w:eastAsia="Times New Roman" w:cs="Times New Roman"/>
                <w:b/>
                <w:bCs/>
                <w:szCs w:val="18"/>
                <w:lang w:eastAsia="en-AU"/>
              </w:rPr>
            </w:pPr>
            <w:r w:rsidRPr="0048595C">
              <w:rPr>
                <w:rFonts w:eastAsia="Times New Roman" w:cs="Times New Roman"/>
                <w:b/>
                <w:bCs/>
                <w:szCs w:val="18"/>
                <w:lang w:eastAsia="en-AU"/>
              </w:rPr>
              <w:t>$29,064</w:t>
            </w:r>
          </w:p>
        </w:tc>
        <w:tc>
          <w:tcPr>
            <w:tcW w:w="631" w:type="pct"/>
            <w:tcBorders>
              <w:top w:val="single" w:sz="4" w:space="0" w:color="auto"/>
              <w:left w:val="single" w:sz="4" w:space="0" w:color="auto"/>
              <w:bottom w:val="single" w:sz="4" w:space="0" w:color="auto"/>
              <w:right w:val="single" w:sz="4" w:space="0" w:color="auto"/>
            </w:tcBorders>
            <w:vAlign w:val="center"/>
            <w:hideMark/>
          </w:tcPr>
          <w:p w14:paraId="6AAA4691" w14:textId="77777777" w:rsidR="00364E19" w:rsidRPr="0048595C" w:rsidRDefault="00364E19" w:rsidP="00364E19">
            <w:pPr>
              <w:pStyle w:val="TableText"/>
              <w:jc w:val="center"/>
              <w:rPr>
                <w:rFonts w:eastAsia="Times New Roman" w:cs="Times New Roman"/>
                <w:b/>
                <w:bCs/>
                <w:szCs w:val="18"/>
                <w:lang w:eastAsia="en-AU"/>
              </w:rPr>
            </w:pPr>
            <w:r w:rsidRPr="0048595C">
              <w:rPr>
                <w:rFonts w:eastAsia="Times New Roman" w:cs="Times New Roman"/>
                <w:b/>
                <w:bCs/>
                <w:szCs w:val="18"/>
                <w:lang w:eastAsia="en-AU"/>
              </w:rPr>
              <w:t>0.258</w:t>
            </w:r>
          </w:p>
        </w:tc>
        <w:tc>
          <w:tcPr>
            <w:tcW w:w="537" w:type="pct"/>
            <w:tcBorders>
              <w:top w:val="single" w:sz="4" w:space="0" w:color="auto"/>
              <w:left w:val="single" w:sz="4" w:space="0" w:color="auto"/>
              <w:bottom w:val="single" w:sz="4" w:space="0" w:color="auto"/>
              <w:right w:val="single" w:sz="4" w:space="0" w:color="auto"/>
            </w:tcBorders>
            <w:vAlign w:val="center"/>
            <w:hideMark/>
          </w:tcPr>
          <w:p w14:paraId="2162158C" w14:textId="77777777" w:rsidR="00364E19" w:rsidRPr="0048595C" w:rsidRDefault="00364E19" w:rsidP="00364E19">
            <w:pPr>
              <w:pStyle w:val="TableText"/>
              <w:jc w:val="center"/>
              <w:rPr>
                <w:rFonts w:eastAsia="Times New Roman" w:cs="Times New Roman"/>
                <w:b/>
                <w:bCs/>
                <w:szCs w:val="18"/>
                <w:lang w:eastAsia="en-AU"/>
              </w:rPr>
            </w:pPr>
            <w:r w:rsidRPr="0048595C">
              <w:rPr>
                <w:rFonts w:eastAsia="Times New Roman" w:cs="Times New Roman"/>
                <w:b/>
                <w:bCs/>
                <w:szCs w:val="18"/>
                <w:lang w:eastAsia="en-AU"/>
              </w:rPr>
              <w:t>$112,712</w:t>
            </w:r>
          </w:p>
        </w:tc>
        <w:tc>
          <w:tcPr>
            <w:tcW w:w="482" w:type="pct"/>
            <w:tcBorders>
              <w:top w:val="single" w:sz="4" w:space="0" w:color="auto"/>
              <w:left w:val="single" w:sz="4" w:space="0" w:color="auto"/>
              <w:bottom w:val="single" w:sz="4" w:space="0" w:color="auto"/>
              <w:right w:val="single" w:sz="4" w:space="0" w:color="auto"/>
            </w:tcBorders>
            <w:vAlign w:val="center"/>
            <w:hideMark/>
          </w:tcPr>
          <w:p w14:paraId="4AE172C7" w14:textId="77777777" w:rsidR="00364E19" w:rsidRPr="0048595C" w:rsidRDefault="00364E19" w:rsidP="00364E19">
            <w:pPr>
              <w:pStyle w:val="TableText"/>
              <w:jc w:val="center"/>
              <w:rPr>
                <w:rFonts w:eastAsia="Times New Roman" w:cs="Times New Roman"/>
                <w:b/>
                <w:bCs/>
                <w:szCs w:val="18"/>
                <w:lang w:eastAsia="en-AU"/>
              </w:rPr>
            </w:pPr>
            <w:r w:rsidRPr="0048595C">
              <w:rPr>
                <w:rFonts w:eastAsia="Times New Roman" w:cs="Times New Roman"/>
                <w:b/>
                <w:bCs/>
                <w:szCs w:val="18"/>
                <w:lang w:eastAsia="en-AU"/>
              </w:rPr>
              <w:t>+38.0%</w:t>
            </w:r>
          </w:p>
        </w:tc>
      </w:tr>
      <w:tr w:rsidR="00364E19" w:rsidRPr="00364E19" w14:paraId="26DDBA17" w14:textId="77777777" w:rsidTr="00706748">
        <w:tc>
          <w:tcPr>
            <w:tcW w:w="2720" w:type="pct"/>
            <w:tcBorders>
              <w:top w:val="single" w:sz="4" w:space="0" w:color="auto"/>
              <w:left w:val="single" w:sz="4" w:space="0" w:color="auto"/>
              <w:bottom w:val="single" w:sz="4" w:space="0" w:color="auto"/>
              <w:right w:val="single" w:sz="4" w:space="0" w:color="auto"/>
            </w:tcBorders>
            <w:hideMark/>
          </w:tcPr>
          <w:p w14:paraId="1791FBAF" w14:textId="77777777" w:rsidR="00364E19" w:rsidRPr="0048595C" w:rsidRDefault="00364E19">
            <w:pPr>
              <w:pStyle w:val="TableText"/>
              <w:rPr>
                <w:rFonts w:eastAsia="Times New Roman" w:cs="Times New Roman"/>
                <w:b/>
                <w:bCs/>
                <w:szCs w:val="18"/>
                <w:lang w:eastAsia="en-AU"/>
              </w:rPr>
            </w:pPr>
            <w:r w:rsidRPr="0048595C">
              <w:rPr>
                <w:rFonts w:eastAsia="Times New Roman" w:cs="Times New Roman"/>
                <w:b/>
                <w:bCs/>
                <w:szCs w:val="18"/>
                <w:lang w:eastAsia="en-AU"/>
              </w:rPr>
              <w:t xml:space="preserve">OS HR=0.62 versus BSc and HR=0.52 versus </w:t>
            </w:r>
            <w:proofErr w:type="spellStart"/>
            <w:r w:rsidRPr="0048595C">
              <w:rPr>
                <w:rFonts w:eastAsia="Times New Roman" w:cs="Times New Roman"/>
                <w:b/>
                <w:bCs/>
                <w:szCs w:val="18"/>
                <w:lang w:eastAsia="en-AU"/>
              </w:rPr>
              <w:t>cabazitaxel</w:t>
            </w:r>
            <w:proofErr w:type="spellEnd"/>
          </w:p>
        </w:tc>
        <w:tc>
          <w:tcPr>
            <w:tcW w:w="631" w:type="pct"/>
            <w:tcBorders>
              <w:top w:val="single" w:sz="4" w:space="0" w:color="auto"/>
              <w:left w:val="single" w:sz="4" w:space="0" w:color="auto"/>
              <w:bottom w:val="single" w:sz="4" w:space="0" w:color="auto"/>
              <w:right w:val="single" w:sz="4" w:space="0" w:color="auto"/>
            </w:tcBorders>
            <w:vAlign w:val="center"/>
            <w:hideMark/>
          </w:tcPr>
          <w:p w14:paraId="56712830" w14:textId="77777777" w:rsidR="00364E19" w:rsidRPr="0048595C" w:rsidRDefault="00364E19" w:rsidP="00364E19">
            <w:pPr>
              <w:pStyle w:val="TableText"/>
              <w:jc w:val="center"/>
              <w:rPr>
                <w:rFonts w:eastAsia="Times New Roman" w:cs="Times New Roman"/>
                <w:b/>
                <w:bCs/>
                <w:szCs w:val="18"/>
                <w:lang w:eastAsia="en-AU"/>
              </w:rPr>
            </w:pPr>
            <w:r w:rsidRPr="0048595C">
              <w:rPr>
                <w:rFonts w:eastAsia="Times New Roman" w:cs="Times New Roman"/>
                <w:b/>
                <w:bCs/>
                <w:szCs w:val="18"/>
                <w:lang w:eastAsia="en-AU"/>
              </w:rPr>
              <w:t>$28,649</w:t>
            </w:r>
          </w:p>
        </w:tc>
        <w:tc>
          <w:tcPr>
            <w:tcW w:w="631" w:type="pct"/>
            <w:tcBorders>
              <w:top w:val="single" w:sz="4" w:space="0" w:color="auto"/>
              <w:left w:val="single" w:sz="4" w:space="0" w:color="auto"/>
              <w:bottom w:val="single" w:sz="4" w:space="0" w:color="auto"/>
              <w:right w:val="single" w:sz="4" w:space="0" w:color="auto"/>
            </w:tcBorders>
            <w:vAlign w:val="center"/>
            <w:hideMark/>
          </w:tcPr>
          <w:p w14:paraId="4E1F9B71" w14:textId="77777777" w:rsidR="00364E19" w:rsidRPr="0048595C" w:rsidRDefault="00364E19" w:rsidP="00364E19">
            <w:pPr>
              <w:pStyle w:val="TableText"/>
              <w:jc w:val="center"/>
              <w:rPr>
                <w:rFonts w:eastAsia="Times New Roman" w:cs="Times New Roman"/>
                <w:b/>
                <w:bCs/>
                <w:szCs w:val="18"/>
                <w:lang w:eastAsia="en-AU"/>
              </w:rPr>
            </w:pPr>
            <w:r w:rsidRPr="0048595C">
              <w:rPr>
                <w:rFonts w:eastAsia="Times New Roman" w:cs="Times New Roman"/>
                <w:b/>
                <w:bCs/>
                <w:szCs w:val="18"/>
                <w:lang w:eastAsia="en-AU"/>
              </w:rPr>
              <w:t>0.413</w:t>
            </w:r>
          </w:p>
        </w:tc>
        <w:tc>
          <w:tcPr>
            <w:tcW w:w="537" w:type="pct"/>
            <w:tcBorders>
              <w:top w:val="single" w:sz="4" w:space="0" w:color="auto"/>
              <w:left w:val="single" w:sz="4" w:space="0" w:color="auto"/>
              <w:bottom w:val="single" w:sz="4" w:space="0" w:color="auto"/>
              <w:right w:val="single" w:sz="4" w:space="0" w:color="auto"/>
            </w:tcBorders>
            <w:vAlign w:val="center"/>
            <w:hideMark/>
          </w:tcPr>
          <w:p w14:paraId="2D9B2E5F" w14:textId="77777777" w:rsidR="00364E19" w:rsidRPr="0048595C" w:rsidRDefault="00364E19" w:rsidP="00364E19">
            <w:pPr>
              <w:pStyle w:val="TableText"/>
              <w:jc w:val="center"/>
              <w:rPr>
                <w:rFonts w:eastAsia="Times New Roman" w:cs="Times New Roman"/>
                <w:b/>
                <w:bCs/>
                <w:szCs w:val="18"/>
                <w:lang w:eastAsia="en-AU"/>
              </w:rPr>
            </w:pPr>
            <w:r w:rsidRPr="0048595C">
              <w:rPr>
                <w:rFonts w:eastAsia="Times New Roman" w:cs="Times New Roman"/>
                <w:b/>
                <w:bCs/>
                <w:szCs w:val="18"/>
                <w:lang w:eastAsia="en-AU"/>
              </w:rPr>
              <w:t>$69,320</w:t>
            </w:r>
          </w:p>
        </w:tc>
        <w:tc>
          <w:tcPr>
            <w:tcW w:w="482" w:type="pct"/>
            <w:tcBorders>
              <w:top w:val="single" w:sz="4" w:space="0" w:color="auto"/>
              <w:left w:val="single" w:sz="4" w:space="0" w:color="auto"/>
              <w:bottom w:val="single" w:sz="4" w:space="0" w:color="auto"/>
              <w:right w:val="single" w:sz="4" w:space="0" w:color="auto"/>
            </w:tcBorders>
            <w:vAlign w:val="center"/>
            <w:hideMark/>
          </w:tcPr>
          <w:p w14:paraId="354EB0B4" w14:textId="77777777" w:rsidR="00364E19" w:rsidRPr="0048595C" w:rsidRDefault="00364E19" w:rsidP="00364E19">
            <w:pPr>
              <w:pStyle w:val="TableText"/>
              <w:jc w:val="center"/>
              <w:rPr>
                <w:rFonts w:eastAsia="Times New Roman" w:cs="Times New Roman"/>
                <w:b/>
                <w:bCs/>
                <w:szCs w:val="18"/>
                <w:lang w:eastAsia="en-AU"/>
              </w:rPr>
            </w:pPr>
            <w:r w:rsidRPr="0048595C">
              <w:rPr>
                <w:rFonts w:eastAsia="Times New Roman" w:cs="Times New Roman"/>
                <w:b/>
                <w:bCs/>
                <w:szCs w:val="18"/>
                <w:lang w:eastAsia="en-AU"/>
              </w:rPr>
              <w:t>-15.1%</w:t>
            </w:r>
          </w:p>
        </w:tc>
      </w:tr>
      <w:tr w:rsidR="00364E19" w:rsidRPr="00364E19" w14:paraId="6FE1561B" w14:textId="77777777" w:rsidTr="00706748">
        <w:tc>
          <w:tcPr>
            <w:tcW w:w="2720" w:type="pct"/>
            <w:tcBorders>
              <w:top w:val="single" w:sz="4" w:space="0" w:color="auto"/>
              <w:left w:val="single" w:sz="4" w:space="0" w:color="auto"/>
              <w:bottom w:val="single" w:sz="4" w:space="0" w:color="auto"/>
              <w:right w:val="single" w:sz="4" w:space="0" w:color="auto"/>
            </w:tcBorders>
            <w:hideMark/>
          </w:tcPr>
          <w:p w14:paraId="2338CFE3" w14:textId="77777777" w:rsidR="00364E19" w:rsidRPr="0048595C" w:rsidRDefault="00364E19">
            <w:pPr>
              <w:pStyle w:val="TableText"/>
              <w:rPr>
                <w:rFonts w:eastAsia="Times New Roman" w:cs="Times New Roman"/>
                <w:b/>
                <w:bCs/>
                <w:szCs w:val="18"/>
                <w:lang w:eastAsia="en-AU"/>
              </w:rPr>
            </w:pPr>
            <w:r w:rsidRPr="0048595C">
              <w:rPr>
                <w:rFonts w:eastAsia="Times New Roman" w:cs="Times New Roman"/>
                <w:b/>
                <w:bCs/>
                <w:szCs w:val="18"/>
                <w:lang w:eastAsia="en-AU"/>
              </w:rPr>
              <w:t xml:space="preserve">OS HR=0.62 versus BSc and HR=0.74 versus </w:t>
            </w:r>
            <w:proofErr w:type="spellStart"/>
            <w:r w:rsidRPr="0048595C">
              <w:rPr>
                <w:rFonts w:eastAsia="Times New Roman" w:cs="Times New Roman"/>
                <w:b/>
                <w:bCs/>
                <w:szCs w:val="18"/>
                <w:lang w:eastAsia="en-AU"/>
              </w:rPr>
              <w:t>cabazitaxel</w:t>
            </w:r>
            <w:proofErr w:type="spellEnd"/>
          </w:p>
        </w:tc>
        <w:tc>
          <w:tcPr>
            <w:tcW w:w="631" w:type="pct"/>
            <w:tcBorders>
              <w:top w:val="single" w:sz="4" w:space="0" w:color="auto"/>
              <w:left w:val="single" w:sz="4" w:space="0" w:color="auto"/>
              <w:bottom w:val="single" w:sz="4" w:space="0" w:color="auto"/>
              <w:right w:val="single" w:sz="4" w:space="0" w:color="auto"/>
            </w:tcBorders>
            <w:vAlign w:val="center"/>
            <w:hideMark/>
          </w:tcPr>
          <w:p w14:paraId="558BEE89" w14:textId="77777777" w:rsidR="00364E19" w:rsidRPr="0048595C" w:rsidRDefault="00364E19" w:rsidP="00364E19">
            <w:pPr>
              <w:pStyle w:val="TableText"/>
              <w:jc w:val="center"/>
              <w:rPr>
                <w:rFonts w:eastAsia="Times New Roman" w:cs="Times New Roman"/>
                <w:b/>
                <w:bCs/>
                <w:szCs w:val="18"/>
                <w:lang w:eastAsia="en-AU"/>
              </w:rPr>
            </w:pPr>
            <w:r w:rsidRPr="0048595C">
              <w:rPr>
                <w:rFonts w:eastAsia="Times New Roman" w:cs="Times New Roman"/>
                <w:b/>
                <w:bCs/>
                <w:szCs w:val="18"/>
                <w:lang w:eastAsia="en-AU"/>
              </w:rPr>
              <w:t>$28,984</w:t>
            </w:r>
          </w:p>
        </w:tc>
        <w:tc>
          <w:tcPr>
            <w:tcW w:w="631" w:type="pct"/>
            <w:tcBorders>
              <w:top w:val="single" w:sz="4" w:space="0" w:color="auto"/>
              <w:left w:val="single" w:sz="4" w:space="0" w:color="auto"/>
              <w:bottom w:val="single" w:sz="4" w:space="0" w:color="auto"/>
              <w:right w:val="single" w:sz="4" w:space="0" w:color="auto"/>
            </w:tcBorders>
            <w:vAlign w:val="center"/>
            <w:hideMark/>
          </w:tcPr>
          <w:p w14:paraId="744AEB03" w14:textId="77777777" w:rsidR="00364E19" w:rsidRPr="0048595C" w:rsidRDefault="00364E19" w:rsidP="00364E19">
            <w:pPr>
              <w:pStyle w:val="TableText"/>
              <w:jc w:val="center"/>
              <w:rPr>
                <w:rFonts w:eastAsia="Times New Roman" w:cs="Times New Roman"/>
                <w:b/>
                <w:bCs/>
                <w:szCs w:val="18"/>
                <w:lang w:eastAsia="en-AU"/>
              </w:rPr>
            </w:pPr>
            <w:r w:rsidRPr="0048595C">
              <w:rPr>
                <w:rFonts w:eastAsia="Times New Roman" w:cs="Times New Roman"/>
                <w:b/>
                <w:bCs/>
                <w:szCs w:val="18"/>
                <w:lang w:eastAsia="en-AU"/>
              </w:rPr>
              <w:t>0.285</w:t>
            </w:r>
          </w:p>
        </w:tc>
        <w:tc>
          <w:tcPr>
            <w:tcW w:w="537" w:type="pct"/>
            <w:tcBorders>
              <w:top w:val="single" w:sz="4" w:space="0" w:color="auto"/>
              <w:left w:val="single" w:sz="4" w:space="0" w:color="auto"/>
              <w:bottom w:val="single" w:sz="4" w:space="0" w:color="auto"/>
              <w:right w:val="single" w:sz="4" w:space="0" w:color="auto"/>
            </w:tcBorders>
            <w:vAlign w:val="center"/>
            <w:hideMark/>
          </w:tcPr>
          <w:p w14:paraId="7926CBD8" w14:textId="77777777" w:rsidR="00364E19" w:rsidRPr="0048595C" w:rsidRDefault="00364E19" w:rsidP="00364E19">
            <w:pPr>
              <w:pStyle w:val="TableText"/>
              <w:jc w:val="center"/>
              <w:rPr>
                <w:rFonts w:eastAsia="Times New Roman" w:cs="Times New Roman"/>
                <w:b/>
                <w:bCs/>
                <w:szCs w:val="18"/>
                <w:lang w:eastAsia="en-AU"/>
              </w:rPr>
            </w:pPr>
            <w:r w:rsidRPr="0048595C">
              <w:rPr>
                <w:rFonts w:eastAsia="Times New Roman" w:cs="Times New Roman"/>
                <w:b/>
                <w:bCs/>
                <w:szCs w:val="18"/>
                <w:lang w:eastAsia="en-AU"/>
              </w:rPr>
              <w:t>$101,678</w:t>
            </w:r>
          </w:p>
        </w:tc>
        <w:tc>
          <w:tcPr>
            <w:tcW w:w="482" w:type="pct"/>
            <w:tcBorders>
              <w:top w:val="single" w:sz="4" w:space="0" w:color="auto"/>
              <w:left w:val="single" w:sz="4" w:space="0" w:color="auto"/>
              <w:bottom w:val="single" w:sz="4" w:space="0" w:color="auto"/>
              <w:right w:val="single" w:sz="4" w:space="0" w:color="auto"/>
            </w:tcBorders>
            <w:vAlign w:val="center"/>
            <w:hideMark/>
          </w:tcPr>
          <w:p w14:paraId="6067241D" w14:textId="77777777" w:rsidR="00364E19" w:rsidRPr="0048595C" w:rsidRDefault="00364E19" w:rsidP="00364E19">
            <w:pPr>
              <w:pStyle w:val="TableText"/>
              <w:jc w:val="center"/>
              <w:rPr>
                <w:rFonts w:eastAsia="Times New Roman" w:cs="Times New Roman"/>
                <w:b/>
                <w:bCs/>
                <w:szCs w:val="18"/>
                <w:lang w:eastAsia="en-AU"/>
              </w:rPr>
            </w:pPr>
            <w:r w:rsidRPr="0048595C">
              <w:rPr>
                <w:rFonts w:eastAsia="Times New Roman" w:cs="Times New Roman"/>
                <w:b/>
                <w:bCs/>
                <w:szCs w:val="18"/>
                <w:lang w:eastAsia="en-AU"/>
              </w:rPr>
              <w:t>+24.5%</w:t>
            </w:r>
          </w:p>
        </w:tc>
      </w:tr>
      <w:tr w:rsidR="00364E19" w:rsidRPr="00364E19" w14:paraId="28E6880F" w14:textId="77777777" w:rsidTr="00706748">
        <w:tc>
          <w:tcPr>
            <w:tcW w:w="2720" w:type="pct"/>
            <w:tcBorders>
              <w:top w:val="single" w:sz="4" w:space="0" w:color="auto"/>
              <w:left w:val="single" w:sz="4" w:space="0" w:color="auto"/>
              <w:bottom w:val="single" w:sz="4" w:space="0" w:color="auto"/>
              <w:right w:val="single" w:sz="4" w:space="0" w:color="auto"/>
            </w:tcBorders>
            <w:hideMark/>
          </w:tcPr>
          <w:p w14:paraId="32B14764" w14:textId="77777777" w:rsidR="00364E19" w:rsidRPr="0048595C" w:rsidRDefault="00364E19">
            <w:pPr>
              <w:pStyle w:val="TableText"/>
              <w:rPr>
                <w:rFonts w:eastAsia="Times New Roman" w:cs="Times New Roman"/>
                <w:b/>
                <w:bCs/>
                <w:szCs w:val="18"/>
                <w:lang w:eastAsia="en-AU"/>
              </w:rPr>
            </w:pPr>
            <w:r w:rsidRPr="0048595C">
              <w:rPr>
                <w:rFonts w:eastAsia="Times New Roman" w:cs="Times New Roman"/>
                <w:b/>
                <w:bCs/>
                <w:szCs w:val="18"/>
                <w:lang w:eastAsia="en-AU"/>
              </w:rPr>
              <w:t xml:space="preserve">OS HR=0.62 versus BSc and HR=0.89 (0.62*(1/0.70)) versus </w:t>
            </w:r>
            <w:proofErr w:type="spellStart"/>
            <w:r w:rsidRPr="0048595C">
              <w:rPr>
                <w:rFonts w:eastAsia="Times New Roman" w:cs="Times New Roman"/>
                <w:b/>
                <w:bCs/>
                <w:szCs w:val="18"/>
                <w:lang w:eastAsia="en-AU"/>
              </w:rPr>
              <w:t>cabazitaxel</w:t>
            </w:r>
            <w:proofErr w:type="spellEnd"/>
          </w:p>
        </w:tc>
        <w:tc>
          <w:tcPr>
            <w:tcW w:w="631" w:type="pct"/>
            <w:tcBorders>
              <w:top w:val="single" w:sz="4" w:space="0" w:color="auto"/>
              <w:left w:val="single" w:sz="4" w:space="0" w:color="auto"/>
              <w:bottom w:val="single" w:sz="4" w:space="0" w:color="auto"/>
              <w:right w:val="single" w:sz="4" w:space="0" w:color="auto"/>
            </w:tcBorders>
            <w:vAlign w:val="center"/>
            <w:hideMark/>
          </w:tcPr>
          <w:p w14:paraId="560C8B49" w14:textId="77777777" w:rsidR="00364E19" w:rsidRPr="0048595C" w:rsidRDefault="00364E19" w:rsidP="00364E19">
            <w:pPr>
              <w:pStyle w:val="TableText"/>
              <w:jc w:val="center"/>
              <w:rPr>
                <w:rFonts w:eastAsia="Times New Roman" w:cs="Times New Roman"/>
                <w:b/>
                <w:bCs/>
                <w:szCs w:val="18"/>
                <w:lang w:eastAsia="en-AU"/>
              </w:rPr>
            </w:pPr>
            <w:r w:rsidRPr="0048595C">
              <w:rPr>
                <w:rFonts w:eastAsia="Times New Roman" w:cs="Times New Roman"/>
                <w:b/>
                <w:bCs/>
                <w:szCs w:val="18"/>
                <w:lang w:eastAsia="en-AU"/>
              </w:rPr>
              <w:t>$29,221</w:t>
            </w:r>
          </w:p>
        </w:tc>
        <w:tc>
          <w:tcPr>
            <w:tcW w:w="631" w:type="pct"/>
            <w:tcBorders>
              <w:top w:val="single" w:sz="4" w:space="0" w:color="auto"/>
              <w:left w:val="single" w:sz="4" w:space="0" w:color="auto"/>
              <w:bottom w:val="single" w:sz="4" w:space="0" w:color="auto"/>
              <w:right w:val="single" w:sz="4" w:space="0" w:color="auto"/>
            </w:tcBorders>
            <w:vAlign w:val="center"/>
            <w:hideMark/>
          </w:tcPr>
          <w:p w14:paraId="3A48660F" w14:textId="77777777" w:rsidR="00364E19" w:rsidRPr="0048595C" w:rsidRDefault="00364E19" w:rsidP="00364E19">
            <w:pPr>
              <w:pStyle w:val="TableText"/>
              <w:jc w:val="center"/>
              <w:rPr>
                <w:rFonts w:eastAsia="Times New Roman" w:cs="Times New Roman"/>
                <w:b/>
                <w:bCs/>
                <w:szCs w:val="18"/>
                <w:lang w:eastAsia="en-AU"/>
              </w:rPr>
            </w:pPr>
            <w:r w:rsidRPr="0048595C">
              <w:rPr>
                <w:rFonts w:eastAsia="Times New Roman" w:cs="Times New Roman"/>
                <w:b/>
                <w:bCs/>
                <w:szCs w:val="18"/>
                <w:lang w:eastAsia="en-AU"/>
              </w:rPr>
              <w:t>0.208</w:t>
            </w:r>
          </w:p>
        </w:tc>
        <w:tc>
          <w:tcPr>
            <w:tcW w:w="537" w:type="pct"/>
            <w:tcBorders>
              <w:top w:val="single" w:sz="4" w:space="0" w:color="auto"/>
              <w:left w:val="single" w:sz="4" w:space="0" w:color="auto"/>
              <w:bottom w:val="single" w:sz="4" w:space="0" w:color="auto"/>
              <w:right w:val="single" w:sz="4" w:space="0" w:color="auto"/>
            </w:tcBorders>
            <w:vAlign w:val="center"/>
            <w:hideMark/>
          </w:tcPr>
          <w:p w14:paraId="06800E91" w14:textId="77777777" w:rsidR="00364E19" w:rsidRPr="0048595C" w:rsidRDefault="00364E19" w:rsidP="00364E19">
            <w:pPr>
              <w:pStyle w:val="TableText"/>
              <w:jc w:val="center"/>
              <w:rPr>
                <w:rFonts w:eastAsia="Times New Roman" w:cs="Times New Roman"/>
                <w:b/>
                <w:bCs/>
                <w:szCs w:val="18"/>
                <w:lang w:eastAsia="en-AU"/>
              </w:rPr>
            </w:pPr>
            <w:r w:rsidRPr="0048595C">
              <w:rPr>
                <w:rFonts w:eastAsia="Times New Roman" w:cs="Times New Roman"/>
                <w:b/>
                <w:bCs/>
                <w:szCs w:val="18"/>
                <w:lang w:eastAsia="en-AU"/>
              </w:rPr>
              <w:t>$140,706</w:t>
            </w:r>
          </w:p>
        </w:tc>
        <w:tc>
          <w:tcPr>
            <w:tcW w:w="482" w:type="pct"/>
            <w:tcBorders>
              <w:top w:val="single" w:sz="4" w:space="0" w:color="auto"/>
              <w:left w:val="single" w:sz="4" w:space="0" w:color="auto"/>
              <w:bottom w:val="single" w:sz="4" w:space="0" w:color="auto"/>
              <w:right w:val="single" w:sz="4" w:space="0" w:color="auto"/>
            </w:tcBorders>
            <w:vAlign w:val="center"/>
            <w:hideMark/>
          </w:tcPr>
          <w:p w14:paraId="79BB7E3B" w14:textId="77777777" w:rsidR="00364E19" w:rsidRPr="0048595C" w:rsidRDefault="00364E19" w:rsidP="00364E19">
            <w:pPr>
              <w:pStyle w:val="TableText"/>
              <w:jc w:val="center"/>
              <w:rPr>
                <w:rFonts w:eastAsia="Times New Roman" w:cs="Times New Roman"/>
                <w:b/>
                <w:bCs/>
                <w:szCs w:val="18"/>
                <w:lang w:eastAsia="en-AU"/>
              </w:rPr>
            </w:pPr>
            <w:r w:rsidRPr="0048595C">
              <w:rPr>
                <w:rFonts w:eastAsia="Times New Roman" w:cs="Times New Roman"/>
                <w:b/>
                <w:bCs/>
                <w:szCs w:val="18"/>
                <w:lang w:eastAsia="en-AU"/>
              </w:rPr>
              <w:t>+72.3%</w:t>
            </w:r>
          </w:p>
        </w:tc>
      </w:tr>
      <w:tr w:rsidR="00364E19" w:rsidRPr="00364E19" w14:paraId="13705D7B" w14:textId="77777777" w:rsidTr="00706748">
        <w:tc>
          <w:tcPr>
            <w:tcW w:w="2720" w:type="pct"/>
            <w:tcBorders>
              <w:top w:val="single" w:sz="4" w:space="0" w:color="auto"/>
              <w:left w:val="single" w:sz="4" w:space="0" w:color="auto"/>
              <w:bottom w:val="single" w:sz="4" w:space="0" w:color="auto"/>
              <w:right w:val="single" w:sz="4" w:space="0" w:color="auto"/>
            </w:tcBorders>
            <w:hideMark/>
          </w:tcPr>
          <w:p w14:paraId="2EFE6D35" w14:textId="77777777" w:rsidR="00364E19" w:rsidRPr="0048595C" w:rsidRDefault="00364E19">
            <w:pPr>
              <w:pStyle w:val="TableText"/>
              <w:rPr>
                <w:rFonts w:eastAsia="Times New Roman" w:cs="Times New Roman"/>
                <w:b/>
                <w:bCs/>
                <w:szCs w:val="18"/>
                <w:lang w:eastAsia="en-AU"/>
              </w:rPr>
            </w:pPr>
            <w:r w:rsidRPr="0048595C">
              <w:rPr>
                <w:rFonts w:eastAsia="Times New Roman" w:cs="Times New Roman"/>
                <w:b/>
                <w:bCs/>
                <w:szCs w:val="18"/>
                <w:lang w:eastAsia="en-AU"/>
              </w:rPr>
              <w:t xml:space="preserve">OS HR=0.62 versus BSc and HR=1 versus </w:t>
            </w:r>
            <w:proofErr w:type="spellStart"/>
            <w:r w:rsidRPr="0048595C">
              <w:rPr>
                <w:rFonts w:eastAsia="Times New Roman" w:cs="Times New Roman"/>
                <w:b/>
                <w:bCs/>
                <w:szCs w:val="18"/>
                <w:lang w:eastAsia="en-AU"/>
              </w:rPr>
              <w:t>cabazitaxel</w:t>
            </w:r>
            <w:proofErr w:type="spellEnd"/>
          </w:p>
        </w:tc>
        <w:tc>
          <w:tcPr>
            <w:tcW w:w="631" w:type="pct"/>
            <w:tcBorders>
              <w:top w:val="single" w:sz="4" w:space="0" w:color="auto"/>
              <w:left w:val="single" w:sz="4" w:space="0" w:color="auto"/>
              <w:bottom w:val="single" w:sz="4" w:space="0" w:color="auto"/>
              <w:right w:val="single" w:sz="4" w:space="0" w:color="auto"/>
            </w:tcBorders>
            <w:vAlign w:val="center"/>
            <w:hideMark/>
          </w:tcPr>
          <w:p w14:paraId="71B06836" w14:textId="77777777" w:rsidR="00364E19" w:rsidRPr="0048595C" w:rsidRDefault="00364E19" w:rsidP="00364E19">
            <w:pPr>
              <w:pStyle w:val="TableText"/>
              <w:jc w:val="center"/>
              <w:rPr>
                <w:rFonts w:eastAsia="Times New Roman" w:cs="Times New Roman"/>
                <w:b/>
                <w:bCs/>
                <w:szCs w:val="18"/>
                <w:lang w:eastAsia="en-AU"/>
              </w:rPr>
            </w:pPr>
            <w:r w:rsidRPr="0048595C">
              <w:rPr>
                <w:rFonts w:eastAsia="Times New Roman" w:cs="Times New Roman"/>
                <w:b/>
                <w:bCs/>
                <w:szCs w:val="18"/>
                <w:lang w:eastAsia="en-AU"/>
              </w:rPr>
              <w:t>$29,396</w:t>
            </w:r>
          </w:p>
        </w:tc>
        <w:tc>
          <w:tcPr>
            <w:tcW w:w="631" w:type="pct"/>
            <w:tcBorders>
              <w:top w:val="single" w:sz="4" w:space="0" w:color="auto"/>
              <w:left w:val="single" w:sz="4" w:space="0" w:color="auto"/>
              <w:bottom w:val="single" w:sz="4" w:space="0" w:color="auto"/>
              <w:right w:val="single" w:sz="4" w:space="0" w:color="auto"/>
            </w:tcBorders>
            <w:vAlign w:val="center"/>
            <w:hideMark/>
          </w:tcPr>
          <w:p w14:paraId="179AD748" w14:textId="77777777" w:rsidR="00364E19" w:rsidRPr="0048595C" w:rsidRDefault="00364E19" w:rsidP="00364E19">
            <w:pPr>
              <w:pStyle w:val="TableText"/>
              <w:jc w:val="center"/>
              <w:rPr>
                <w:rFonts w:eastAsia="Times New Roman" w:cs="Times New Roman"/>
                <w:b/>
                <w:bCs/>
                <w:szCs w:val="18"/>
                <w:lang w:eastAsia="en-AU"/>
              </w:rPr>
            </w:pPr>
            <w:r w:rsidRPr="0048595C">
              <w:rPr>
                <w:rFonts w:eastAsia="Times New Roman" w:cs="Times New Roman"/>
                <w:b/>
                <w:bCs/>
                <w:szCs w:val="18"/>
                <w:lang w:eastAsia="en-AU"/>
              </w:rPr>
              <w:t>0.156</w:t>
            </w:r>
          </w:p>
        </w:tc>
        <w:tc>
          <w:tcPr>
            <w:tcW w:w="537" w:type="pct"/>
            <w:tcBorders>
              <w:top w:val="single" w:sz="4" w:space="0" w:color="auto"/>
              <w:left w:val="single" w:sz="4" w:space="0" w:color="auto"/>
              <w:bottom w:val="single" w:sz="4" w:space="0" w:color="auto"/>
              <w:right w:val="single" w:sz="4" w:space="0" w:color="auto"/>
            </w:tcBorders>
            <w:vAlign w:val="center"/>
            <w:hideMark/>
          </w:tcPr>
          <w:p w14:paraId="2A419BC8" w14:textId="77777777" w:rsidR="00364E19" w:rsidRPr="0048595C" w:rsidRDefault="00364E19" w:rsidP="00364E19">
            <w:pPr>
              <w:pStyle w:val="TableText"/>
              <w:jc w:val="center"/>
              <w:rPr>
                <w:rFonts w:eastAsia="Times New Roman" w:cs="Times New Roman"/>
                <w:b/>
                <w:bCs/>
                <w:szCs w:val="18"/>
                <w:lang w:eastAsia="en-AU"/>
              </w:rPr>
            </w:pPr>
            <w:r w:rsidRPr="0048595C">
              <w:rPr>
                <w:rFonts w:eastAsia="Times New Roman" w:cs="Times New Roman"/>
                <w:b/>
                <w:bCs/>
                <w:szCs w:val="18"/>
                <w:lang w:eastAsia="en-AU"/>
              </w:rPr>
              <w:t>$188,854</w:t>
            </w:r>
          </w:p>
        </w:tc>
        <w:tc>
          <w:tcPr>
            <w:tcW w:w="482" w:type="pct"/>
            <w:tcBorders>
              <w:top w:val="single" w:sz="4" w:space="0" w:color="auto"/>
              <w:left w:val="single" w:sz="4" w:space="0" w:color="auto"/>
              <w:bottom w:val="single" w:sz="4" w:space="0" w:color="auto"/>
              <w:right w:val="single" w:sz="4" w:space="0" w:color="auto"/>
            </w:tcBorders>
            <w:vAlign w:val="center"/>
            <w:hideMark/>
          </w:tcPr>
          <w:p w14:paraId="32020B18" w14:textId="77777777" w:rsidR="00364E19" w:rsidRPr="0048595C" w:rsidRDefault="00364E19" w:rsidP="00364E19">
            <w:pPr>
              <w:pStyle w:val="TableText"/>
              <w:jc w:val="center"/>
              <w:rPr>
                <w:rFonts w:eastAsia="Times New Roman" w:cs="Times New Roman"/>
                <w:b/>
                <w:bCs/>
                <w:szCs w:val="18"/>
                <w:lang w:eastAsia="en-AU"/>
              </w:rPr>
            </w:pPr>
            <w:r w:rsidRPr="0048595C">
              <w:rPr>
                <w:rFonts w:eastAsia="Times New Roman" w:cs="Times New Roman"/>
                <w:b/>
                <w:bCs/>
                <w:szCs w:val="18"/>
                <w:lang w:eastAsia="en-AU"/>
              </w:rPr>
              <w:t>+131.3%</w:t>
            </w:r>
          </w:p>
        </w:tc>
      </w:tr>
      <w:tr w:rsidR="00364E19" w:rsidRPr="00364E19" w14:paraId="07A425D2" w14:textId="77777777" w:rsidTr="00706748">
        <w:tc>
          <w:tcPr>
            <w:tcW w:w="2720" w:type="pct"/>
            <w:tcBorders>
              <w:top w:val="single" w:sz="4" w:space="0" w:color="auto"/>
              <w:left w:val="single" w:sz="4" w:space="0" w:color="auto"/>
              <w:bottom w:val="single" w:sz="4" w:space="0" w:color="auto"/>
              <w:right w:val="single" w:sz="4" w:space="0" w:color="auto"/>
            </w:tcBorders>
            <w:hideMark/>
          </w:tcPr>
          <w:p w14:paraId="58BEEF47" w14:textId="77777777" w:rsidR="00364E19" w:rsidRPr="0048595C" w:rsidRDefault="00364E19">
            <w:pPr>
              <w:pStyle w:val="TableText"/>
              <w:rPr>
                <w:rFonts w:eastAsia="Times New Roman" w:cs="Times New Roman"/>
                <w:szCs w:val="18"/>
                <w:lang w:eastAsia="en-AU"/>
              </w:rPr>
            </w:pPr>
            <w:r w:rsidRPr="0048595C">
              <w:rPr>
                <w:rFonts w:eastAsia="Times New Roman" w:cs="Times New Roman"/>
                <w:szCs w:val="18"/>
                <w:lang w:eastAsia="en-AU"/>
              </w:rPr>
              <w:t xml:space="preserve">Lower bound 95% CI for PFS HR vs </w:t>
            </w:r>
            <w:proofErr w:type="spellStart"/>
            <w:r w:rsidRPr="0048595C">
              <w:rPr>
                <w:rFonts w:eastAsia="Times New Roman" w:cs="Times New Roman"/>
                <w:szCs w:val="18"/>
                <w:lang w:eastAsia="en-AU"/>
              </w:rPr>
              <w:t>cabazitaxel</w:t>
            </w:r>
            <w:proofErr w:type="spellEnd"/>
            <w:r w:rsidRPr="0048595C">
              <w:rPr>
                <w:rFonts w:eastAsia="Times New Roman" w:cs="Times New Roman"/>
                <w:szCs w:val="18"/>
                <w:lang w:eastAsia="en-AU"/>
              </w:rPr>
              <w:t xml:space="preserve"> (from 0.63 to 0.46)</w:t>
            </w:r>
          </w:p>
        </w:tc>
        <w:tc>
          <w:tcPr>
            <w:tcW w:w="631" w:type="pct"/>
            <w:tcBorders>
              <w:top w:val="single" w:sz="4" w:space="0" w:color="auto"/>
              <w:left w:val="single" w:sz="4" w:space="0" w:color="auto"/>
              <w:bottom w:val="single" w:sz="4" w:space="0" w:color="auto"/>
              <w:right w:val="single" w:sz="4" w:space="0" w:color="auto"/>
            </w:tcBorders>
            <w:vAlign w:val="center"/>
            <w:hideMark/>
          </w:tcPr>
          <w:p w14:paraId="2FEE6E74"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$29,533</w:t>
            </w:r>
          </w:p>
        </w:tc>
        <w:tc>
          <w:tcPr>
            <w:tcW w:w="631" w:type="pct"/>
            <w:tcBorders>
              <w:top w:val="single" w:sz="4" w:space="0" w:color="auto"/>
              <w:left w:val="single" w:sz="4" w:space="0" w:color="auto"/>
              <w:bottom w:val="single" w:sz="4" w:space="0" w:color="auto"/>
              <w:right w:val="single" w:sz="4" w:space="0" w:color="auto"/>
            </w:tcBorders>
            <w:vAlign w:val="center"/>
            <w:hideMark/>
          </w:tcPr>
          <w:p w14:paraId="6910350D"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0.364</w:t>
            </w:r>
          </w:p>
        </w:tc>
        <w:tc>
          <w:tcPr>
            <w:tcW w:w="537" w:type="pct"/>
            <w:tcBorders>
              <w:top w:val="single" w:sz="4" w:space="0" w:color="auto"/>
              <w:left w:val="single" w:sz="4" w:space="0" w:color="auto"/>
              <w:bottom w:val="single" w:sz="4" w:space="0" w:color="auto"/>
              <w:right w:val="single" w:sz="4" w:space="0" w:color="auto"/>
            </w:tcBorders>
            <w:vAlign w:val="center"/>
            <w:hideMark/>
          </w:tcPr>
          <w:p w14:paraId="2DD0168E"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$81,023</w:t>
            </w:r>
          </w:p>
        </w:tc>
        <w:tc>
          <w:tcPr>
            <w:tcW w:w="482" w:type="pct"/>
            <w:tcBorders>
              <w:top w:val="single" w:sz="4" w:space="0" w:color="auto"/>
              <w:left w:val="single" w:sz="4" w:space="0" w:color="auto"/>
              <w:bottom w:val="single" w:sz="4" w:space="0" w:color="auto"/>
              <w:right w:val="single" w:sz="4" w:space="0" w:color="auto"/>
            </w:tcBorders>
            <w:vAlign w:val="center"/>
            <w:hideMark/>
          </w:tcPr>
          <w:p w14:paraId="22FE0F78"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-0.8%</w:t>
            </w:r>
          </w:p>
        </w:tc>
      </w:tr>
      <w:tr w:rsidR="00364E19" w:rsidRPr="00364E19" w14:paraId="5BF083BA" w14:textId="77777777" w:rsidTr="00706748">
        <w:tc>
          <w:tcPr>
            <w:tcW w:w="2720" w:type="pct"/>
            <w:tcBorders>
              <w:top w:val="single" w:sz="4" w:space="0" w:color="auto"/>
              <w:left w:val="single" w:sz="4" w:space="0" w:color="auto"/>
              <w:bottom w:val="single" w:sz="4" w:space="0" w:color="auto"/>
              <w:right w:val="single" w:sz="4" w:space="0" w:color="auto"/>
            </w:tcBorders>
            <w:hideMark/>
          </w:tcPr>
          <w:p w14:paraId="3F4B97BF" w14:textId="77777777" w:rsidR="00364E19" w:rsidRPr="0048595C" w:rsidRDefault="00364E19">
            <w:pPr>
              <w:pStyle w:val="TableText"/>
              <w:rPr>
                <w:rFonts w:eastAsia="Times New Roman" w:cs="Times New Roman"/>
                <w:szCs w:val="18"/>
                <w:lang w:eastAsia="en-AU"/>
              </w:rPr>
            </w:pPr>
            <w:r w:rsidRPr="0048595C">
              <w:rPr>
                <w:rFonts w:eastAsia="Times New Roman" w:cs="Times New Roman"/>
                <w:szCs w:val="18"/>
                <w:lang w:eastAsia="en-AU"/>
              </w:rPr>
              <w:t xml:space="preserve">Upper bound 95% CI for PFS HR vs </w:t>
            </w:r>
            <w:proofErr w:type="spellStart"/>
            <w:r w:rsidRPr="0048595C">
              <w:rPr>
                <w:rFonts w:eastAsia="Times New Roman" w:cs="Times New Roman"/>
                <w:szCs w:val="18"/>
                <w:lang w:eastAsia="en-AU"/>
              </w:rPr>
              <w:t>cabazitaxel</w:t>
            </w:r>
            <w:proofErr w:type="spellEnd"/>
            <w:r w:rsidRPr="0048595C">
              <w:rPr>
                <w:rFonts w:eastAsia="Times New Roman" w:cs="Times New Roman"/>
                <w:szCs w:val="18"/>
                <w:lang w:eastAsia="en-AU"/>
              </w:rPr>
              <w:t xml:space="preserve"> (from 0.63 to 0.86)</w:t>
            </w:r>
          </w:p>
        </w:tc>
        <w:tc>
          <w:tcPr>
            <w:tcW w:w="631" w:type="pct"/>
            <w:tcBorders>
              <w:top w:val="single" w:sz="4" w:space="0" w:color="auto"/>
              <w:left w:val="single" w:sz="4" w:space="0" w:color="auto"/>
              <w:bottom w:val="single" w:sz="4" w:space="0" w:color="auto"/>
              <w:right w:val="single" w:sz="4" w:space="0" w:color="auto"/>
            </w:tcBorders>
            <w:vAlign w:val="center"/>
            <w:hideMark/>
          </w:tcPr>
          <w:p w14:paraId="5209458A"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$28,083</w:t>
            </w:r>
          </w:p>
        </w:tc>
        <w:tc>
          <w:tcPr>
            <w:tcW w:w="631" w:type="pct"/>
            <w:tcBorders>
              <w:top w:val="single" w:sz="4" w:space="0" w:color="auto"/>
              <w:left w:val="single" w:sz="4" w:space="0" w:color="auto"/>
              <w:bottom w:val="single" w:sz="4" w:space="0" w:color="auto"/>
              <w:right w:val="single" w:sz="4" w:space="0" w:color="auto"/>
            </w:tcBorders>
            <w:vAlign w:val="center"/>
            <w:hideMark/>
          </w:tcPr>
          <w:p w14:paraId="48BDA017"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0.340</w:t>
            </w:r>
          </w:p>
        </w:tc>
        <w:tc>
          <w:tcPr>
            <w:tcW w:w="537" w:type="pct"/>
            <w:tcBorders>
              <w:top w:val="single" w:sz="4" w:space="0" w:color="auto"/>
              <w:left w:val="single" w:sz="4" w:space="0" w:color="auto"/>
              <w:bottom w:val="single" w:sz="4" w:space="0" w:color="auto"/>
              <w:right w:val="single" w:sz="4" w:space="0" w:color="auto"/>
            </w:tcBorders>
            <w:vAlign w:val="center"/>
            <w:hideMark/>
          </w:tcPr>
          <w:p w14:paraId="2DB36DD8"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$82,567</w:t>
            </w:r>
          </w:p>
        </w:tc>
        <w:tc>
          <w:tcPr>
            <w:tcW w:w="482" w:type="pct"/>
            <w:tcBorders>
              <w:top w:val="single" w:sz="4" w:space="0" w:color="auto"/>
              <w:left w:val="single" w:sz="4" w:space="0" w:color="auto"/>
              <w:bottom w:val="single" w:sz="4" w:space="0" w:color="auto"/>
              <w:right w:val="single" w:sz="4" w:space="0" w:color="auto"/>
            </w:tcBorders>
            <w:vAlign w:val="center"/>
            <w:hideMark/>
          </w:tcPr>
          <w:p w14:paraId="5789C8FD"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+1.1%</w:t>
            </w:r>
          </w:p>
        </w:tc>
      </w:tr>
      <w:tr w:rsidR="00364E19" w:rsidRPr="00364E19" w14:paraId="54418BA2" w14:textId="77777777" w:rsidTr="00706748">
        <w:tc>
          <w:tcPr>
            <w:tcW w:w="2720" w:type="pct"/>
            <w:tcBorders>
              <w:top w:val="single" w:sz="4" w:space="0" w:color="auto"/>
              <w:left w:val="single" w:sz="4" w:space="0" w:color="auto"/>
              <w:bottom w:val="single" w:sz="4" w:space="0" w:color="auto"/>
              <w:right w:val="single" w:sz="4" w:space="0" w:color="auto"/>
            </w:tcBorders>
            <w:hideMark/>
          </w:tcPr>
          <w:p w14:paraId="34FA4D0A" w14:textId="77777777" w:rsidR="00364E19" w:rsidRPr="0048595C" w:rsidRDefault="00364E19">
            <w:pPr>
              <w:pStyle w:val="TableText"/>
              <w:rPr>
                <w:rFonts w:eastAsia="Times New Roman" w:cs="Times New Roman"/>
                <w:szCs w:val="18"/>
                <w:lang w:eastAsia="en-AU"/>
              </w:rPr>
            </w:pPr>
            <w:r w:rsidRPr="0048595C">
              <w:rPr>
                <w:rFonts w:eastAsia="Times New Roman" w:cs="Times New Roman"/>
                <w:szCs w:val="18"/>
                <w:lang w:eastAsia="en-AU"/>
              </w:rPr>
              <w:t>Lower bound 99.2% CI for PFS HR vs BSc (from 0.40 to 0.29)</w:t>
            </w:r>
          </w:p>
        </w:tc>
        <w:tc>
          <w:tcPr>
            <w:tcW w:w="631" w:type="pct"/>
            <w:tcBorders>
              <w:top w:val="single" w:sz="4" w:space="0" w:color="auto"/>
              <w:left w:val="single" w:sz="4" w:space="0" w:color="auto"/>
              <w:bottom w:val="single" w:sz="4" w:space="0" w:color="auto"/>
              <w:right w:val="single" w:sz="4" w:space="0" w:color="auto"/>
            </w:tcBorders>
            <w:vAlign w:val="center"/>
            <w:hideMark/>
          </w:tcPr>
          <w:p w14:paraId="016A43A4"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$29,222</w:t>
            </w:r>
          </w:p>
        </w:tc>
        <w:tc>
          <w:tcPr>
            <w:tcW w:w="631" w:type="pct"/>
            <w:tcBorders>
              <w:top w:val="single" w:sz="4" w:space="0" w:color="auto"/>
              <w:left w:val="single" w:sz="4" w:space="0" w:color="auto"/>
              <w:bottom w:val="single" w:sz="4" w:space="0" w:color="auto"/>
              <w:right w:val="single" w:sz="4" w:space="0" w:color="auto"/>
            </w:tcBorders>
            <w:vAlign w:val="center"/>
            <w:hideMark/>
          </w:tcPr>
          <w:p w14:paraId="64B1973C"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0.360</w:t>
            </w:r>
          </w:p>
        </w:tc>
        <w:tc>
          <w:tcPr>
            <w:tcW w:w="537" w:type="pct"/>
            <w:tcBorders>
              <w:top w:val="single" w:sz="4" w:space="0" w:color="auto"/>
              <w:left w:val="single" w:sz="4" w:space="0" w:color="auto"/>
              <w:bottom w:val="single" w:sz="4" w:space="0" w:color="auto"/>
              <w:right w:val="single" w:sz="4" w:space="0" w:color="auto"/>
            </w:tcBorders>
            <w:vAlign w:val="center"/>
            <w:hideMark/>
          </w:tcPr>
          <w:p w14:paraId="0C03BC88"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$81,254</w:t>
            </w:r>
          </w:p>
        </w:tc>
        <w:tc>
          <w:tcPr>
            <w:tcW w:w="482" w:type="pct"/>
            <w:tcBorders>
              <w:top w:val="single" w:sz="4" w:space="0" w:color="auto"/>
              <w:left w:val="single" w:sz="4" w:space="0" w:color="auto"/>
              <w:bottom w:val="single" w:sz="4" w:space="0" w:color="auto"/>
              <w:right w:val="single" w:sz="4" w:space="0" w:color="auto"/>
            </w:tcBorders>
            <w:vAlign w:val="center"/>
            <w:hideMark/>
          </w:tcPr>
          <w:p w14:paraId="06646349"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-0.5%</w:t>
            </w:r>
          </w:p>
        </w:tc>
      </w:tr>
      <w:tr w:rsidR="00364E19" w:rsidRPr="00364E19" w14:paraId="5F077B7C" w14:textId="77777777" w:rsidTr="00706748">
        <w:tc>
          <w:tcPr>
            <w:tcW w:w="2720" w:type="pct"/>
            <w:tcBorders>
              <w:top w:val="single" w:sz="4" w:space="0" w:color="auto"/>
              <w:left w:val="single" w:sz="4" w:space="0" w:color="auto"/>
              <w:bottom w:val="single" w:sz="4" w:space="0" w:color="auto"/>
              <w:right w:val="single" w:sz="4" w:space="0" w:color="auto"/>
            </w:tcBorders>
            <w:hideMark/>
          </w:tcPr>
          <w:p w14:paraId="7196B4D1" w14:textId="77777777" w:rsidR="00364E19" w:rsidRPr="0048595C" w:rsidRDefault="00364E19">
            <w:pPr>
              <w:pStyle w:val="TableText"/>
              <w:rPr>
                <w:rFonts w:eastAsia="Times New Roman" w:cs="Times New Roman"/>
                <w:szCs w:val="18"/>
                <w:lang w:eastAsia="en-AU"/>
              </w:rPr>
            </w:pPr>
            <w:r w:rsidRPr="0048595C">
              <w:rPr>
                <w:rFonts w:eastAsia="Times New Roman" w:cs="Times New Roman"/>
                <w:szCs w:val="18"/>
                <w:lang w:eastAsia="en-AU"/>
              </w:rPr>
              <w:t xml:space="preserve">Upper bound 99.2% CI for PFS HR vs </w:t>
            </w:r>
            <w:proofErr w:type="gramStart"/>
            <w:r w:rsidRPr="0048595C">
              <w:rPr>
                <w:rFonts w:eastAsia="Times New Roman" w:cs="Times New Roman"/>
                <w:szCs w:val="18"/>
                <w:lang w:eastAsia="en-AU"/>
              </w:rPr>
              <w:t>BSc(</w:t>
            </w:r>
            <w:proofErr w:type="gramEnd"/>
            <w:r w:rsidRPr="0048595C">
              <w:rPr>
                <w:rFonts w:eastAsia="Times New Roman" w:cs="Times New Roman"/>
                <w:szCs w:val="18"/>
                <w:lang w:eastAsia="en-AU"/>
              </w:rPr>
              <w:t>from 0.40 to 0.57)</w:t>
            </w:r>
          </w:p>
        </w:tc>
        <w:tc>
          <w:tcPr>
            <w:tcW w:w="631" w:type="pct"/>
            <w:tcBorders>
              <w:top w:val="single" w:sz="4" w:space="0" w:color="auto"/>
              <w:left w:val="single" w:sz="4" w:space="0" w:color="auto"/>
              <w:bottom w:val="single" w:sz="4" w:space="0" w:color="auto"/>
              <w:right w:val="single" w:sz="4" w:space="0" w:color="auto"/>
            </w:tcBorders>
            <w:vAlign w:val="center"/>
            <w:hideMark/>
          </w:tcPr>
          <w:p w14:paraId="3DA3B681"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$28,406</w:t>
            </w:r>
          </w:p>
        </w:tc>
        <w:tc>
          <w:tcPr>
            <w:tcW w:w="631" w:type="pct"/>
            <w:tcBorders>
              <w:top w:val="single" w:sz="4" w:space="0" w:color="auto"/>
              <w:left w:val="single" w:sz="4" w:space="0" w:color="auto"/>
              <w:bottom w:val="single" w:sz="4" w:space="0" w:color="auto"/>
              <w:right w:val="single" w:sz="4" w:space="0" w:color="auto"/>
            </w:tcBorders>
            <w:vAlign w:val="center"/>
            <w:hideMark/>
          </w:tcPr>
          <w:p w14:paraId="4C9D4103"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0.346</w:t>
            </w:r>
          </w:p>
        </w:tc>
        <w:tc>
          <w:tcPr>
            <w:tcW w:w="537" w:type="pct"/>
            <w:tcBorders>
              <w:top w:val="single" w:sz="4" w:space="0" w:color="auto"/>
              <w:left w:val="single" w:sz="4" w:space="0" w:color="auto"/>
              <w:bottom w:val="single" w:sz="4" w:space="0" w:color="auto"/>
              <w:right w:val="single" w:sz="4" w:space="0" w:color="auto"/>
            </w:tcBorders>
            <w:vAlign w:val="center"/>
            <w:hideMark/>
          </w:tcPr>
          <w:p w14:paraId="47D3FB3D"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$82,117</w:t>
            </w:r>
          </w:p>
        </w:tc>
        <w:tc>
          <w:tcPr>
            <w:tcW w:w="482" w:type="pct"/>
            <w:tcBorders>
              <w:top w:val="single" w:sz="4" w:space="0" w:color="auto"/>
              <w:left w:val="single" w:sz="4" w:space="0" w:color="auto"/>
              <w:bottom w:val="single" w:sz="4" w:space="0" w:color="auto"/>
              <w:right w:val="single" w:sz="4" w:space="0" w:color="auto"/>
            </w:tcBorders>
            <w:vAlign w:val="center"/>
            <w:hideMark/>
          </w:tcPr>
          <w:p w14:paraId="2A5A2343"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+0.6%</w:t>
            </w:r>
          </w:p>
        </w:tc>
      </w:tr>
      <w:tr w:rsidR="00364E19" w:rsidRPr="00364E19" w14:paraId="09430E68" w14:textId="77777777" w:rsidTr="00706748">
        <w:tc>
          <w:tcPr>
            <w:tcW w:w="2720" w:type="pct"/>
            <w:tcBorders>
              <w:top w:val="single" w:sz="4" w:space="0" w:color="auto"/>
              <w:left w:val="single" w:sz="4" w:space="0" w:color="auto"/>
              <w:bottom w:val="single" w:sz="4" w:space="0" w:color="auto"/>
              <w:right w:val="nil"/>
            </w:tcBorders>
            <w:hideMark/>
          </w:tcPr>
          <w:p w14:paraId="3D191C17" w14:textId="77777777" w:rsidR="00364E19" w:rsidRPr="0048595C" w:rsidRDefault="00364E19">
            <w:pPr>
              <w:pStyle w:val="TableText"/>
              <w:rPr>
                <w:rFonts w:eastAsia="Times New Roman" w:cs="Times New Roman"/>
                <w:b/>
                <w:bCs/>
                <w:szCs w:val="18"/>
                <w:lang w:eastAsia="en-AU"/>
              </w:rPr>
            </w:pPr>
            <w:r w:rsidRPr="0048595C">
              <w:rPr>
                <w:rFonts w:eastAsia="Times New Roman" w:cs="Times New Roman"/>
                <w:b/>
                <w:bCs/>
                <w:szCs w:val="18"/>
                <w:lang w:eastAsia="en-AU"/>
              </w:rPr>
              <w:t>Utilities</w:t>
            </w:r>
          </w:p>
        </w:tc>
        <w:tc>
          <w:tcPr>
            <w:tcW w:w="631" w:type="pct"/>
            <w:tcBorders>
              <w:top w:val="single" w:sz="4" w:space="0" w:color="auto"/>
              <w:left w:val="nil"/>
              <w:bottom w:val="single" w:sz="4" w:space="0" w:color="auto"/>
              <w:right w:val="nil"/>
            </w:tcBorders>
            <w:vAlign w:val="center"/>
          </w:tcPr>
          <w:p w14:paraId="0757623F" w14:textId="77777777" w:rsidR="00364E19" w:rsidRPr="0048595C" w:rsidRDefault="00364E19" w:rsidP="00364E19">
            <w:pPr>
              <w:pStyle w:val="TableText"/>
              <w:jc w:val="center"/>
              <w:rPr>
                <w:rFonts w:eastAsia="Times New Roman" w:cs="Times New Roman"/>
                <w:szCs w:val="18"/>
                <w:lang w:eastAsia="en-AU"/>
              </w:rPr>
            </w:pPr>
          </w:p>
        </w:tc>
        <w:tc>
          <w:tcPr>
            <w:tcW w:w="631" w:type="pct"/>
            <w:tcBorders>
              <w:top w:val="single" w:sz="4" w:space="0" w:color="auto"/>
              <w:left w:val="nil"/>
              <w:bottom w:val="single" w:sz="4" w:space="0" w:color="auto"/>
              <w:right w:val="nil"/>
            </w:tcBorders>
            <w:vAlign w:val="center"/>
          </w:tcPr>
          <w:p w14:paraId="3E60ADBB" w14:textId="77777777" w:rsidR="00364E19" w:rsidRPr="0048595C" w:rsidRDefault="00364E19" w:rsidP="00364E19">
            <w:pPr>
              <w:pStyle w:val="TableText"/>
              <w:jc w:val="center"/>
              <w:rPr>
                <w:rFonts w:eastAsia="Times New Roman" w:cs="Times New Roman"/>
                <w:szCs w:val="18"/>
                <w:lang w:eastAsia="en-AU"/>
              </w:rPr>
            </w:pPr>
          </w:p>
        </w:tc>
        <w:tc>
          <w:tcPr>
            <w:tcW w:w="537" w:type="pct"/>
            <w:tcBorders>
              <w:top w:val="single" w:sz="4" w:space="0" w:color="auto"/>
              <w:left w:val="nil"/>
              <w:bottom w:val="single" w:sz="4" w:space="0" w:color="auto"/>
              <w:right w:val="nil"/>
            </w:tcBorders>
            <w:vAlign w:val="center"/>
          </w:tcPr>
          <w:p w14:paraId="1DF5A42B" w14:textId="77777777" w:rsidR="00364E19" w:rsidRPr="0048595C" w:rsidRDefault="00364E19" w:rsidP="00364E19">
            <w:pPr>
              <w:pStyle w:val="TableText"/>
              <w:jc w:val="center"/>
              <w:rPr>
                <w:rFonts w:eastAsia="Times New Roman" w:cs="Times New Roman"/>
                <w:szCs w:val="18"/>
                <w:lang w:eastAsia="en-AU"/>
              </w:rPr>
            </w:pPr>
          </w:p>
        </w:tc>
        <w:tc>
          <w:tcPr>
            <w:tcW w:w="482" w:type="pct"/>
            <w:tcBorders>
              <w:top w:val="single" w:sz="4" w:space="0" w:color="auto"/>
              <w:left w:val="nil"/>
              <w:bottom w:val="single" w:sz="4" w:space="0" w:color="auto"/>
              <w:right w:val="single" w:sz="4" w:space="0" w:color="auto"/>
            </w:tcBorders>
            <w:vAlign w:val="center"/>
          </w:tcPr>
          <w:p w14:paraId="73A7D92A" w14:textId="77777777" w:rsidR="00364E19" w:rsidRPr="0048595C" w:rsidRDefault="00364E19" w:rsidP="00364E19">
            <w:pPr>
              <w:pStyle w:val="TableText"/>
              <w:jc w:val="center"/>
              <w:rPr>
                <w:rFonts w:eastAsia="Times New Roman" w:cs="Times New Roman"/>
                <w:szCs w:val="18"/>
                <w:lang w:eastAsia="en-AU"/>
              </w:rPr>
            </w:pPr>
          </w:p>
        </w:tc>
      </w:tr>
      <w:tr w:rsidR="00364E19" w:rsidRPr="00364E19" w14:paraId="3BEB603A" w14:textId="77777777" w:rsidTr="00706748">
        <w:tc>
          <w:tcPr>
            <w:tcW w:w="2720" w:type="pct"/>
            <w:tcBorders>
              <w:top w:val="single" w:sz="4" w:space="0" w:color="auto"/>
              <w:left w:val="single" w:sz="4" w:space="0" w:color="auto"/>
              <w:bottom w:val="single" w:sz="4" w:space="0" w:color="auto"/>
              <w:right w:val="single" w:sz="4" w:space="0" w:color="auto"/>
            </w:tcBorders>
            <w:hideMark/>
          </w:tcPr>
          <w:p w14:paraId="6C8C5FDB" w14:textId="77777777" w:rsidR="00364E19" w:rsidRPr="0048595C" w:rsidRDefault="00364E19">
            <w:pPr>
              <w:pStyle w:val="TableText"/>
              <w:rPr>
                <w:rFonts w:eastAsia="Times New Roman" w:cs="Times New Roman"/>
                <w:szCs w:val="18"/>
                <w:lang w:eastAsia="en-AU"/>
              </w:rPr>
            </w:pPr>
            <w:r w:rsidRPr="0048595C">
              <w:rPr>
                <w:rFonts w:eastAsia="Times New Roman" w:cs="Times New Roman"/>
                <w:szCs w:val="18"/>
                <w:lang w:eastAsia="en-AU"/>
              </w:rPr>
              <w:t>15D utility values from Torvinen et al. (2013) (PFS: 0.80, PD: 0.67)</w:t>
            </w:r>
          </w:p>
        </w:tc>
        <w:tc>
          <w:tcPr>
            <w:tcW w:w="631" w:type="pct"/>
            <w:tcBorders>
              <w:top w:val="single" w:sz="4" w:space="0" w:color="auto"/>
              <w:left w:val="single" w:sz="4" w:space="0" w:color="auto"/>
              <w:bottom w:val="single" w:sz="4" w:space="0" w:color="auto"/>
              <w:right w:val="single" w:sz="4" w:space="0" w:color="auto"/>
            </w:tcBorders>
            <w:vAlign w:val="center"/>
            <w:hideMark/>
          </w:tcPr>
          <w:p w14:paraId="6046379D"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$28,799</w:t>
            </w:r>
          </w:p>
        </w:tc>
        <w:tc>
          <w:tcPr>
            <w:tcW w:w="631" w:type="pct"/>
            <w:tcBorders>
              <w:top w:val="single" w:sz="4" w:space="0" w:color="auto"/>
              <w:left w:val="single" w:sz="4" w:space="0" w:color="auto"/>
              <w:bottom w:val="single" w:sz="4" w:space="0" w:color="auto"/>
              <w:right w:val="single" w:sz="4" w:space="0" w:color="auto"/>
            </w:tcBorders>
            <w:vAlign w:val="center"/>
            <w:hideMark/>
          </w:tcPr>
          <w:p w14:paraId="00D060F9"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0.387</w:t>
            </w:r>
          </w:p>
        </w:tc>
        <w:tc>
          <w:tcPr>
            <w:tcW w:w="537" w:type="pct"/>
            <w:tcBorders>
              <w:top w:val="single" w:sz="4" w:space="0" w:color="auto"/>
              <w:left w:val="single" w:sz="4" w:space="0" w:color="auto"/>
              <w:bottom w:val="single" w:sz="4" w:space="0" w:color="auto"/>
              <w:right w:val="single" w:sz="4" w:space="0" w:color="auto"/>
            </w:tcBorders>
            <w:vAlign w:val="center"/>
            <w:hideMark/>
          </w:tcPr>
          <w:p w14:paraId="5524E940"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$74,332</w:t>
            </w:r>
          </w:p>
        </w:tc>
        <w:tc>
          <w:tcPr>
            <w:tcW w:w="482" w:type="pct"/>
            <w:tcBorders>
              <w:top w:val="single" w:sz="4" w:space="0" w:color="auto"/>
              <w:left w:val="single" w:sz="4" w:space="0" w:color="auto"/>
              <w:bottom w:val="single" w:sz="4" w:space="0" w:color="auto"/>
              <w:right w:val="single" w:sz="4" w:space="0" w:color="auto"/>
            </w:tcBorders>
            <w:vAlign w:val="center"/>
            <w:hideMark/>
          </w:tcPr>
          <w:p w14:paraId="04153052"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-9.0%</w:t>
            </w:r>
          </w:p>
        </w:tc>
      </w:tr>
      <w:tr w:rsidR="00364E19" w:rsidRPr="00364E19" w14:paraId="1AD438F5" w14:textId="77777777" w:rsidTr="00706748">
        <w:tc>
          <w:tcPr>
            <w:tcW w:w="2720" w:type="pct"/>
            <w:tcBorders>
              <w:top w:val="single" w:sz="4" w:space="0" w:color="auto"/>
              <w:left w:val="single" w:sz="4" w:space="0" w:color="auto"/>
              <w:bottom w:val="single" w:sz="4" w:space="0" w:color="auto"/>
              <w:right w:val="single" w:sz="4" w:space="0" w:color="auto"/>
            </w:tcBorders>
            <w:hideMark/>
          </w:tcPr>
          <w:p w14:paraId="4FD771E1" w14:textId="77777777" w:rsidR="00364E19" w:rsidRPr="0048595C" w:rsidRDefault="00364E19">
            <w:pPr>
              <w:pStyle w:val="TableText"/>
              <w:rPr>
                <w:rFonts w:eastAsia="Times New Roman" w:cs="Times New Roman"/>
                <w:szCs w:val="18"/>
                <w:lang w:eastAsia="en-AU"/>
              </w:rPr>
            </w:pPr>
            <w:r w:rsidRPr="0048595C">
              <w:rPr>
                <w:rFonts w:eastAsia="Times New Roman" w:cs="Times New Roman"/>
                <w:szCs w:val="18"/>
                <w:lang w:eastAsia="en-AU"/>
              </w:rPr>
              <w:t xml:space="preserve">PFS: 0.86 </w:t>
            </w:r>
            <w:r w:rsidRPr="0048595C">
              <w:rPr>
                <w:rFonts w:eastAsia="Times New Roman" w:cs="Times New Roman"/>
                <w:szCs w:val="18"/>
                <w:lang w:eastAsia="en-AU"/>
              </w:rPr>
              <w:fldChar w:fldCharType="begin"/>
            </w:r>
            <w:r w:rsidRPr="0048595C">
              <w:rPr>
                <w:rFonts w:eastAsia="Times New Roman" w:cs="Times New Roman"/>
                <w:szCs w:val="18"/>
                <w:lang w:eastAsia="en-AU"/>
              </w:rPr>
              <w:instrText xml:space="preserve"> ADDIN EN.CITE &lt;EndNote&gt;&lt;Cite&gt;&lt;Author&gt;Krahn&lt;/Author&gt;&lt;Year&gt;2007&lt;/Year&gt;&lt;RecNum&gt;40&lt;/RecNum&gt;&lt;DisplayText&gt;(Krahn et al., 2007)&lt;/DisplayText&gt;&lt;record&gt;&lt;rec-number&gt;40&lt;/rec-number&gt;&lt;foreign-keys&gt;&lt;key app="EN" db-id="fpzesst98x95suetv2hxppzt995wtxas9fet" timestamp="1643345208"&gt;40&lt;/key&gt;&lt;/foreign-keys&gt;&lt;ref-type name="Journal Article"&gt;17&lt;/ref-type&gt;&lt;contributors&gt;&lt;authors&gt;&lt;author&gt;Krahn, M.&lt;/author&gt;&lt;author&gt;Bremner, K. E.&lt;/author&gt;&lt;author&gt;Tomlinson, G.&lt;/author&gt;&lt;author&gt;Ritvo, P.&lt;/author&gt;&lt;author&gt;Irvine, J.&lt;/author&gt;&lt;author&gt;Naglie, G.&lt;/author&gt;&lt;/authors&gt;&lt;/contributors&gt;&lt;auth-address&gt;Department of Medicine, University of Toronto, Toronto, Ontario, Canada. murray.krahn@uhn.on.ca&lt;/auth-address&gt;&lt;titles&gt;&lt;title&gt;Responsiveness of disease-specific and generic utility instruments in prostate cancer patients&lt;/title&gt;&lt;secondary-title&gt;Qual Life Res&lt;/secondary-title&gt;&lt;/titles&gt;&lt;periodical&gt;&lt;full-title&gt;Qual Life Res&lt;/full-title&gt;&lt;/periodical&gt;&lt;pages&gt;509-22&lt;/pages&gt;&lt;volume&gt;16&lt;/volume&gt;&lt;number&gt;3&lt;/number&gt;&lt;edition&gt;2006/11/09&lt;/edition&gt;&lt;keywords&gt;&lt;keyword&gt;Aged&lt;/keyword&gt;&lt;keyword&gt;Aged, 80 and over&lt;/keyword&gt;&lt;keyword&gt;Attitude to Health&lt;/keyword&gt;&lt;keyword&gt;Humans&lt;/keyword&gt;&lt;keyword&gt;Male&lt;/keyword&gt;&lt;keyword&gt;Mental Health&lt;/keyword&gt;&lt;keyword&gt;Middle Aged&lt;/keyword&gt;&lt;keyword&gt;Ontario&lt;/keyword&gt;&lt;keyword&gt;Prospective Studies&lt;/keyword&gt;&lt;keyword&gt;Prostatic Neoplasms/economics/*psychology/therapy&lt;/keyword&gt;&lt;keyword&gt;Psychometrics/*instrumentation&lt;/keyword&gt;&lt;keyword&gt;Quality of Life/*psychology&lt;/keyword&gt;&lt;keyword&gt;Sensitivity and Specificity&lt;/keyword&gt;&lt;keyword&gt;*Sickness Impact Profile&lt;/keyword&gt;&lt;keyword&gt;Surveys and Questionnaires&lt;/keyword&gt;&lt;keyword&gt;*Treatment Outcome&lt;/keyword&gt;&lt;/keywords&gt;&lt;dates&gt;&lt;year&gt;2007&lt;/year&gt;&lt;pub-dates&gt;&lt;date&gt;Apr&lt;/date&gt;&lt;/pub-dates&gt;&lt;/dates&gt;&lt;isbn&gt;0962-9343 (Print)&amp;#xD;0962-9343&lt;/isbn&gt;&lt;accession-num&gt;17091359&lt;/accession-num&gt;&lt;urls&gt;&lt;/urls&gt;&lt;electronic-resource-num&gt;10.1007/s11136-006-9132-x&lt;/electronic-resource-num&gt;&lt;remote-database-provider&gt;NLM&lt;/remote-database-provider&gt;&lt;language&gt;eng&lt;/language&gt;&lt;/record&gt;&lt;/Cite&gt;&lt;/EndNote&gt;</w:instrText>
            </w:r>
            <w:r w:rsidRPr="0048595C">
              <w:rPr>
                <w:rFonts w:eastAsia="Times New Roman" w:cs="Times New Roman"/>
                <w:szCs w:val="18"/>
                <w:lang w:eastAsia="en-AU"/>
              </w:rPr>
              <w:fldChar w:fldCharType="separate"/>
            </w:r>
            <w:r w:rsidRPr="0048595C">
              <w:rPr>
                <w:rFonts w:eastAsia="Times New Roman" w:cs="Times New Roman"/>
                <w:noProof/>
                <w:szCs w:val="18"/>
                <w:lang w:eastAsia="en-AU"/>
              </w:rPr>
              <w:t>(Krahn et al., 2007)</w:t>
            </w:r>
            <w:r w:rsidRPr="0048595C">
              <w:rPr>
                <w:rFonts w:eastAsia="Times New Roman" w:cs="Times New Roman"/>
                <w:szCs w:val="18"/>
                <w:lang w:eastAsia="en-AU"/>
              </w:rPr>
              <w:fldChar w:fldCharType="end"/>
            </w:r>
            <w:r w:rsidRPr="0048595C">
              <w:rPr>
                <w:rFonts w:eastAsia="Times New Roman" w:cs="Times New Roman"/>
                <w:szCs w:val="18"/>
                <w:lang w:eastAsia="en-AU"/>
              </w:rPr>
              <w:t xml:space="preserve">, PD: 0.635 </w:t>
            </w:r>
            <w:r w:rsidRPr="0048595C">
              <w:rPr>
                <w:rFonts w:eastAsia="Times New Roman" w:cs="Times New Roman"/>
                <w:szCs w:val="18"/>
                <w:lang w:eastAsia="en-AU"/>
              </w:rPr>
              <w:fldChar w:fldCharType="begin"/>
            </w:r>
            <w:r w:rsidRPr="0048595C">
              <w:rPr>
                <w:rFonts w:eastAsia="Times New Roman" w:cs="Times New Roman"/>
                <w:szCs w:val="18"/>
                <w:lang w:eastAsia="en-AU"/>
              </w:rPr>
              <w:instrText xml:space="preserve"> ADDIN EN.CITE &lt;EndNote&gt;&lt;Cite&gt;&lt;Author&gt;Wu&lt;/Author&gt;&lt;Year&gt;2007&lt;/Year&gt;&lt;RecNum&gt;41&lt;/RecNum&gt;&lt;DisplayText&gt;(Wu et al., 2007)&lt;/DisplayText&gt;&lt;record&gt;&lt;rec-number&gt;41&lt;/rec-number&gt;&lt;foreign-keys&gt;&lt;key app="EN" db-id="fpzesst98x95suetv2hxppzt995wtxas9fet" timestamp="1643345339"&gt;41&lt;/key&gt;&lt;/foreign-keys&gt;&lt;ref-type name="Journal Article"&gt;17&lt;/ref-type&gt;&lt;contributors&gt;&lt;authors&gt;&lt;author&gt;Wu, Eric Q.&lt;/author&gt;&lt;author&gt;Mulani, Parvez&lt;/author&gt;&lt;author&gt;Farrell, Max H.&lt;/author&gt;&lt;author&gt;Sleep, Darryl&lt;/author&gt;&lt;/authors&gt;&lt;/contributors&gt;&lt;titles&gt;&lt;title&gt;Mapping FACT-P and EORTC QLQ-C30 to Patient Health Status Measured by EQ-5D in Metastatic Hormone-Refractory Prostate Cancer Patients&lt;/title&gt;&lt;secondary-title&gt;Value in Health&lt;/secondary-title&gt;&lt;/titles&gt;&lt;periodical&gt;&lt;full-title&gt;Value in Health&lt;/full-title&gt;&lt;/periodical&gt;&lt;pages&gt;408-414&lt;/pages&gt;&lt;volume&gt;10&lt;/volume&gt;&lt;number&gt;5&lt;/number&gt;&lt;keywords&gt;&lt;keyword&gt;EORTC QLQ-C30&lt;/keyword&gt;&lt;keyword&gt;EQ-5D&lt;/keyword&gt;&lt;keyword&gt;FACT-P&lt;/keyword&gt;&lt;keyword&gt;preference-adjusted health status&lt;/keyword&gt;&lt;keyword&gt;quality of life&lt;/keyword&gt;&lt;/keywords&gt;&lt;dates&gt;&lt;year&gt;2007&lt;/year&gt;&lt;pub-dates&gt;&lt;date&gt;2007/09/01&lt;/date&gt;&lt;/pub-dates&gt;&lt;/dates&gt;&lt;publisher&gt;John Wiley &amp;amp; Sons, Ltd&lt;/publisher&gt;&lt;isbn&gt;1098-3015&lt;/isbn&gt;&lt;work-type&gt;https://doi.org/10.1111/j.1524-4733.2007.00195.x&lt;/work-type&gt;&lt;urls&gt;&lt;related-urls&gt;&lt;url&gt;https://doi.org/10.1111/j.1524-4733.2007.00195.x&lt;/url&gt;&lt;/related-urls&gt;&lt;/urls&gt;&lt;electronic-resource-num&gt;https://doi.org/10.1111/j.1524-4733.2007.00195.x&lt;/electronic-resource-num&gt;&lt;access-date&gt;2022/01/27&lt;/access-date&gt;&lt;/record&gt;&lt;/Cite&gt;&lt;/EndNote&gt;</w:instrText>
            </w:r>
            <w:r w:rsidRPr="0048595C">
              <w:rPr>
                <w:rFonts w:eastAsia="Times New Roman" w:cs="Times New Roman"/>
                <w:szCs w:val="18"/>
                <w:lang w:eastAsia="en-AU"/>
              </w:rPr>
              <w:fldChar w:fldCharType="separate"/>
            </w:r>
            <w:r w:rsidRPr="0048595C">
              <w:rPr>
                <w:rFonts w:eastAsia="Times New Roman" w:cs="Times New Roman"/>
                <w:noProof/>
                <w:szCs w:val="18"/>
                <w:lang w:eastAsia="en-AU"/>
              </w:rPr>
              <w:t>(Wu et al., 2007)</w:t>
            </w:r>
            <w:r w:rsidRPr="0048595C">
              <w:rPr>
                <w:rFonts w:eastAsia="Times New Roman" w:cs="Times New Roman"/>
                <w:szCs w:val="18"/>
                <w:lang w:eastAsia="en-AU"/>
              </w:rPr>
              <w:fldChar w:fldCharType="end"/>
            </w:r>
            <w:r w:rsidRPr="0048595C">
              <w:rPr>
                <w:rFonts w:eastAsia="Times New Roman" w:cs="Times New Roman"/>
                <w:szCs w:val="18"/>
                <w:lang w:eastAsia="en-AU"/>
              </w:rPr>
              <w:t xml:space="preserve"> both sourced from Magnus et al. (2019)</w:t>
            </w:r>
          </w:p>
        </w:tc>
        <w:tc>
          <w:tcPr>
            <w:tcW w:w="631" w:type="pct"/>
            <w:tcBorders>
              <w:top w:val="single" w:sz="4" w:space="0" w:color="auto"/>
              <w:left w:val="single" w:sz="4" w:space="0" w:color="auto"/>
              <w:bottom w:val="single" w:sz="4" w:space="0" w:color="auto"/>
              <w:right w:val="single" w:sz="4" w:space="0" w:color="auto"/>
            </w:tcBorders>
            <w:vAlign w:val="center"/>
            <w:hideMark/>
          </w:tcPr>
          <w:p w14:paraId="1738924B"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$28,799</w:t>
            </w:r>
          </w:p>
        </w:tc>
        <w:tc>
          <w:tcPr>
            <w:tcW w:w="631" w:type="pct"/>
            <w:tcBorders>
              <w:top w:val="single" w:sz="4" w:space="0" w:color="auto"/>
              <w:left w:val="single" w:sz="4" w:space="0" w:color="auto"/>
              <w:bottom w:val="single" w:sz="4" w:space="0" w:color="auto"/>
              <w:right w:val="single" w:sz="4" w:space="0" w:color="auto"/>
            </w:tcBorders>
            <w:vAlign w:val="center"/>
            <w:hideMark/>
          </w:tcPr>
          <w:p w14:paraId="7050FAA5"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0.400</w:t>
            </w:r>
          </w:p>
        </w:tc>
        <w:tc>
          <w:tcPr>
            <w:tcW w:w="537" w:type="pct"/>
            <w:tcBorders>
              <w:top w:val="single" w:sz="4" w:space="0" w:color="auto"/>
              <w:left w:val="single" w:sz="4" w:space="0" w:color="auto"/>
              <w:bottom w:val="single" w:sz="4" w:space="0" w:color="auto"/>
              <w:right w:val="single" w:sz="4" w:space="0" w:color="auto"/>
            </w:tcBorders>
            <w:vAlign w:val="center"/>
            <w:hideMark/>
          </w:tcPr>
          <w:p w14:paraId="6DAC7D01"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$71,922</w:t>
            </w:r>
          </w:p>
        </w:tc>
        <w:tc>
          <w:tcPr>
            <w:tcW w:w="482" w:type="pct"/>
            <w:tcBorders>
              <w:top w:val="single" w:sz="4" w:space="0" w:color="auto"/>
              <w:left w:val="single" w:sz="4" w:space="0" w:color="auto"/>
              <w:bottom w:val="single" w:sz="4" w:space="0" w:color="auto"/>
              <w:right w:val="single" w:sz="4" w:space="0" w:color="auto"/>
            </w:tcBorders>
            <w:vAlign w:val="center"/>
            <w:hideMark/>
          </w:tcPr>
          <w:p w14:paraId="0D449351"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-11.9%</w:t>
            </w:r>
          </w:p>
        </w:tc>
      </w:tr>
      <w:tr w:rsidR="00364E19" w:rsidRPr="00364E19" w14:paraId="3E82399C" w14:textId="77777777" w:rsidTr="00706748">
        <w:tc>
          <w:tcPr>
            <w:tcW w:w="2720" w:type="pct"/>
            <w:tcBorders>
              <w:top w:val="single" w:sz="4" w:space="0" w:color="auto"/>
              <w:left w:val="single" w:sz="4" w:space="0" w:color="auto"/>
              <w:bottom w:val="single" w:sz="4" w:space="0" w:color="auto"/>
              <w:right w:val="nil"/>
            </w:tcBorders>
            <w:hideMark/>
          </w:tcPr>
          <w:p w14:paraId="5A99E120" w14:textId="77777777" w:rsidR="00364E19" w:rsidRPr="0048595C" w:rsidRDefault="00364E19">
            <w:pPr>
              <w:pStyle w:val="TableText"/>
              <w:rPr>
                <w:rFonts w:eastAsia="Times New Roman" w:cs="Times New Roman"/>
                <w:b/>
                <w:bCs/>
                <w:szCs w:val="18"/>
                <w:lang w:eastAsia="en-AU"/>
              </w:rPr>
            </w:pPr>
            <w:r w:rsidRPr="0048595C">
              <w:rPr>
                <w:rFonts w:eastAsia="Times New Roman" w:cs="Times New Roman"/>
                <w:b/>
                <w:bCs/>
                <w:szCs w:val="18"/>
                <w:lang w:eastAsia="en-AU"/>
              </w:rPr>
              <w:t>Costs</w:t>
            </w:r>
          </w:p>
        </w:tc>
        <w:tc>
          <w:tcPr>
            <w:tcW w:w="631" w:type="pct"/>
            <w:tcBorders>
              <w:top w:val="single" w:sz="4" w:space="0" w:color="auto"/>
              <w:left w:val="nil"/>
              <w:bottom w:val="single" w:sz="4" w:space="0" w:color="auto"/>
              <w:right w:val="nil"/>
            </w:tcBorders>
            <w:vAlign w:val="center"/>
          </w:tcPr>
          <w:p w14:paraId="5C5E6576" w14:textId="77777777" w:rsidR="00364E19" w:rsidRPr="0048595C" w:rsidRDefault="00364E19" w:rsidP="00364E19">
            <w:pPr>
              <w:pStyle w:val="TableText"/>
              <w:jc w:val="center"/>
              <w:rPr>
                <w:rFonts w:eastAsia="Times New Roman" w:cs="Times New Roman"/>
                <w:szCs w:val="18"/>
                <w:lang w:eastAsia="en-AU"/>
              </w:rPr>
            </w:pPr>
          </w:p>
        </w:tc>
        <w:tc>
          <w:tcPr>
            <w:tcW w:w="631" w:type="pct"/>
            <w:tcBorders>
              <w:top w:val="single" w:sz="4" w:space="0" w:color="auto"/>
              <w:left w:val="nil"/>
              <w:bottom w:val="single" w:sz="4" w:space="0" w:color="auto"/>
              <w:right w:val="nil"/>
            </w:tcBorders>
            <w:vAlign w:val="center"/>
          </w:tcPr>
          <w:p w14:paraId="2C673BBB" w14:textId="77777777" w:rsidR="00364E19" w:rsidRPr="0048595C" w:rsidRDefault="00364E19" w:rsidP="00364E19">
            <w:pPr>
              <w:pStyle w:val="TableText"/>
              <w:jc w:val="center"/>
              <w:rPr>
                <w:rFonts w:eastAsia="Times New Roman" w:cs="Times New Roman"/>
                <w:szCs w:val="18"/>
                <w:lang w:eastAsia="en-AU"/>
              </w:rPr>
            </w:pPr>
          </w:p>
        </w:tc>
        <w:tc>
          <w:tcPr>
            <w:tcW w:w="537" w:type="pct"/>
            <w:tcBorders>
              <w:top w:val="single" w:sz="4" w:space="0" w:color="auto"/>
              <w:left w:val="nil"/>
              <w:bottom w:val="single" w:sz="4" w:space="0" w:color="auto"/>
              <w:right w:val="nil"/>
            </w:tcBorders>
            <w:vAlign w:val="center"/>
          </w:tcPr>
          <w:p w14:paraId="0F6B42F0" w14:textId="77777777" w:rsidR="00364E19" w:rsidRPr="0048595C" w:rsidRDefault="00364E19" w:rsidP="00364E19">
            <w:pPr>
              <w:pStyle w:val="TableText"/>
              <w:jc w:val="center"/>
              <w:rPr>
                <w:rFonts w:eastAsia="Times New Roman" w:cs="Times New Roman"/>
                <w:szCs w:val="18"/>
                <w:lang w:eastAsia="en-AU"/>
              </w:rPr>
            </w:pPr>
          </w:p>
        </w:tc>
        <w:tc>
          <w:tcPr>
            <w:tcW w:w="482" w:type="pct"/>
            <w:tcBorders>
              <w:top w:val="single" w:sz="4" w:space="0" w:color="auto"/>
              <w:left w:val="nil"/>
              <w:bottom w:val="single" w:sz="4" w:space="0" w:color="auto"/>
              <w:right w:val="single" w:sz="4" w:space="0" w:color="auto"/>
            </w:tcBorders>
            <w:vAlign w:val="center"/>
          </w:tcPr>
          <w:p w14:paraId="20F3A80A" w14:textId="77777777" w:rsidR="00364E19" w:rsidRPr="0048595C" w:rsidRDefault="00364E19" w:rsidP="00364E19">
            <w:pPr>
              <w:pStyle w:val="TableText"/>
              <w:jc w:val="center"/>
              <w:rPr>
                <w:rFonts w:eastAsia="Times New Roman" w:cs="Times New Roman"/>
                <w:szCs w:val="18"/>
                <w:lang w:eastAsia="en-AU"/>
              </w:rPr>
            </w:pPr>
          </w:p>
        </w:tc>
      </w:tr>
      <w:tr w:rsidR="00364E19" w:rsidRPr="00364E19" w14:paraId="7E7E8AE3" w14:textId="77777777" w:rsidTr="00706748">
        <w:tc>
          <w:tcPr>
            <w:tcW w:w="2720" w:type="pct"/>
            <w:tcBorders>
              <w:top w:val="single" w:sz="4" w:space="0" w:color="auto"/>
              <w:left w:val="single" w:sz="4" w:space="0" w:color="auto"/>
              <w:bottom w:val="single" w:sz="4" w:space="0" w:color="auto"/>
              <w:right w:val="single" w:sz="4" w:space="0" w:color="auto"/>
            </w:tcBorders>
            <w:hideMark/>
          </w:tcPr>
          <w:p w14:paraId="24E8F56F" w14:textId="77777777" w:rsidR="00364E19" w:rsidRPr="0048595C" w:rsidRDefault="00364E19">
            <w:pPr>
              <w:pStyle w:val="TableText"/>
              <w:rPr>
                <w:rFonts w:eastAsia="Times New Roman" w:cs="Times New Roman"/>
                <w:b/>
                <w:bCs/>
                <w:szCs w:val="18"/>
                <w:lang w:eastAsia="en-AU"/>
              </w:rPr>
            </w:pPr>
            <w:r w:rsidRPr="0048595C">
              <w:rPr>
                <w:rFonts w:eastAsia="Times New Roman" w:cs="Times New Roman"/>
                <w:szCs w:val="18"/>
                <w:lang w:eastAsia="en-AU"/>
              </w:rPr>
              <w:t>Allow vial sharing</w:t>
            </w:r>
          </w:p>
        </w:tc>
        <w:tc>
          <w:tcPr>
            <w:tcW w:w="631" w:type="pct"/>
            <w:tcBorders>
              <w:top w:val="single" w:sz="4" w:space="0" w:color="auto"/>
              <w:left w:val="single" w:sz="4" w:space="0" w:color="auto"/>
              <w:bottom w:val="single" w:sz="4" w:space="0" w:color="auto"/>
              <w:right w:val="single" w:sz="4" w:space="0" w:color="auto"/>
            </w:tcBorders>
            <w:vAlign w:val="center"/>
            <w:hideMark/>
          </w:tcPr>
          <w:p w14:paraId="181C5C0C"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$29,814</w:t>
            </w:r>
          </w:p>
        </w:tc>
        <w:tc>
          <w:tcPr>
            <w:tcW w:w="631" w:type="pct"/>
            <w:tcBorders>
              <w:top w:val="single" w:sz="4" w:space="0" w:color="auto"/>
              <w:left w:val="single" w:sz="4" w:space="0" w:color="auto"/>
              <w:bottom w:val="single" w:sz="4" w:space="0" w:color="auto"/>
              <w:right w:val="single" w:sz="4" w:space="0" w:color="auto"/>
            </w:tcBorders>
            <w:vAlign w:val="center"/>
            <w:hideMark/>
          </w:tcPr>
          <w:p w14:paraId="1303FF18"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0.353</w:t>
            </w:r>
          </w:p>
        </w:tc>
        <w:tc>
          <w:tcPr>
            <w:tcW w:w="537" w:type="pct"/>
            <w:tcBorders>
              <w:top w:val="single" w:sz="4" w:space="0" w:color="auto"/>
              <w:left w:val="single" w:sz="4" w:space="0" w:color="auto"/>
              <w:bottom w:val="single" w:sz="4" w:space="0" w:color="auto"/>
              <w:right w:val="single" w:sz="4" w:space="0" w:color="auto"/>
            </w:tcBorders>
            <w:vAlign w:val="center"/>
            <w:hideMark/>
          </w:tcPr>
          <w:p w14:paraId="1B5E012E"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$84,530</w:t>
            </w:r>
          </w:p>
        </w:tc>
        <w:tc>
          <w:tcPr>
            <w:tcW w:w="482" w:type="pct"/>
            <w:tcBorders>
              <w:top w:val="single" w:sz="4" w:space="0" w:color="auto"/>
              <w:left w:val="single" w:sz="4" w:space="0" w:color="auto"/>
              <w:bottom w:val="single" w:sz="4" w:space="0" w:color="auto"/>
              <w:right w:val="single" w:sz="4" w:space="0" w:color="auto"/>
            </w:tcBorders>
            <w:vAlign w:val="center"/>
            <w:hideMark/>
          </w:tcPr>
          <w:p w14:paraId="006003CD" w14:textId="77777777" w:rsidR="00364E19" w:rsidRPr="0048595C" w:rsidRDefault="00364E19" w:rsidP="00364E19">
            <w:pPr>
              <w:pStyle w:val="TableText"/>
              <w:jc w:val="center"/>
              <w:rPr>
                <w:rFonts w:eastAsia="Times New Roman" w:cs="Times New Roman"/>
                <w:szCs w:val="18"/>
                <w:lang w:eastAsia="en-AU"/>
              </w:rPr>
            </w:pPr>
            <w:r w:rsidRPr="0048595C">
              <w:rPr>
                <w:rFonts w:eastAsia="Times New Roman" w:cs="Times New Roman"/>
                <w:szCs w:val="18"/>
                <w:lang w:eastAsia="en-AU"/>
              </w:rPr>
              <w:t>+3.5%</w:t>
            </w:r>
          </w:p>
        </w:tc>
      </w:tr>
    </w:tbl>
    <w:p w14:paraId="17CC69CB" w14:textId="38D795E6" w:rsidR="00E12710" w:rsidRPr="00E12710" w:rsidRDefault="0048595C" w:rsidP="008D7B5C">
      <w:pPr>
        <w:pStyle w:val="TableFigureFooter"/>
        <w:spacing w:after="160"/>
      </w:pPr>
      <w:r>
        <w:t>Abbreviations: BSc, best supportive care;</w:t>
      </w:r>
      <w:r w:rsidR="008D7B5C">
        <w:t xml:space="preserve"> CI = confidence interval;</w:t>
      </w:r>
      <w:r>
        <w:t xml:space="preserve"> </w:t>
      </w:r>
      <w:r w:rsidR="008D7B5C">
        <w:t xml:space="preserve">HR = hazard ratio; </w:t>
      </w:r>
      <w:r w:rsidR="00E12710" w:rsidRPr="00E12710">
        <w:t>ICER = incremental cost-effectiveness ratio;</w:t>
      </w:r>
      <w:r w:rsidR="008D7B5C">
        <w:t xml:space="preserve"> </w:t>
      </w:r>
      <w:r w:rsidR="008D7B5C" w:rsidRPr="00983D23">
        <w:rPr>
          <w:bCs/>
          <w:iCs/>
          <w:vertAlign w:val="superscript"/>
        </w:rPr>
        <w:t>177</w:t>
      </w:r>
      <w:r w:rsidR="008D7B5C" w:rsidRPr="00983D23">
        <w:rPr>
          <w:bCs/>
          <w:iCs/>
        </w:rPr>
        <w:t>Lu</w:t>
      </w:r>
      <w:r w:rsidR="008D7B5C">
        <w:rPr>
          <w:bCs/>
          <w:iCs/>
        </w:rPr>
        <w:t xml:space="preserve"> =</w:t>
      </w:r>
      <w:r w:rsidR="008D7B5C" w:rsidRPr="00983D23">
        <w:rPr>
          <w:bCs/>
          <w:iCs/>
        </w:rPr>
        <w:t xml:space="preserve"> lutetium-177; </w:t>
      </w:r>
      <w:r w:rsidR="008D7B5C">
        <w:t>OS = overall survival;</w:t>
      </w:r>
      <w:r w:rsidR="00E12710" w:rsidRPr="00E12710">
        <w:t xml:space="preserve"> </w:t>
      </w:r>
      <w:r w:rsidR="008D7B5C" w:rsidRPr="00983D23">
        <w:rPr>
          <w:bCs/>
          <w:iCs/>
        </w:rPr>
        <w:t>PSMA</w:t>
      </w:r>
      <w:r w:rsidR="008D7B5C">
        <w:rPr>
          <w:bCs/>
          <w:iCs/>
        </w:rPr>
        <w:t xml:space="preserve"> =</w:t>
      </w:r>
      <w:r w:rsidR="008D7B5C" w:rsidRPr="00983D23">
        <w:rPr>
          <w:bCs/>
          <w:iCs/>
        </w:rPr>
        <w:t xml:space="preserve"> prostate-specific membrane antigen; </w:t>
      </w:r>
      <w:r w:rsidR="00E12710" w:rsidRPr="00E12710">
        <w:t>QALY</w:t>
      </w:r>
      <w:r w:rsidR="00E12710">
        <w:t>s</w:t>
      </w:r>
      <w:r w:rsidR="00E12710" w:rsidRPr="00E12710">
        <w:t xml:space="preserve"> = quality-adjusted life year</w:t>
      </w:r>
      <w:r w:rsidR="00E12710">
        <w:t>s</w:t>
      </w:r>
      <w:r w:rsidR="008D7B5C">
        <w:t>; PFS = progression-free survival</w:t>
      </w:r>
    </w:p>
    <w:p w14:paraId="11AB8F18" w14:textId="09900262" w:rsidR="00761E17" w:rsidRPr="00E12710" w:rsidRDefault="00761E17" w:rsidP="00761E17">
      <w:pPr>
        <w:rPr>
          <w:rFonts w:asciiTheme="minorHAnsi" w:hAnsiTheme="minorHAnsi"/>
        </w:rPr>
      </w:pPr>
      <w:r w:rsidRPr="00E12710">
        <w:t xml:space="preserve">The </w:t>
      </w:r>
      <w:r w:rsidR="00A07816">
        <w:t xml:space="preserve">commentary considered that the </w:t>
      </w:r>
      <w:r w:rsidRPr="00E12710">
        <w:t>model was most sensitive to:</w:t>
      </w:r>
    </w:p>
    <w:p w14:paraId="7D9D3FDE" w14:textId="3BAB198C" w:rsidR="00761E17" w:rsidRPr="00E12710" w:rsidRDefault="008D7B5C" w:rsidP="002004CD">
      <w:pPr>
        <w:pStyle w:val="ListParagraph"/>
        <w:numPr>
          <w:ilvl w:val="0"/>
          <w:numId w:val="29"/>
        </w:numPr>
        <w:spacing w:line="256" w:lineRule="auto"/>
        <w:ind w:left="284" w:hanging="284"/>
      </w:pPr>
      <w:r>
        <w:t>t</w:t>
      </w:r>
      <w:r w:rsidR="00761E17" w:rsidRPr="00E12710">
        <w:t xml:space="preserve">he assumed effectiveness in terms of OS of </w:t>
      </w:r>
      <w:proofErr w:type="spellStart"/>
      <w:proofErr w:type="gramStart"/>
      <w:r w:rsidR="00761E17" w:rsidRPr="00E12710">
        <w:t>cabazitaxel</w:t>
      </w:r>
      <w:proofErr w:type="spellEnd"/>
      <w:r w:rsidR="00761E17" w:rsidRPr="00E12710">
        <w:t>;</w:t>
      </w:r>
      <w:proofErr w:type="gramEnd"/>
    </w:p>
    <w:p w14:paraId="14A811AD" w14:textId="4C341B07" w:rsidR="00761E17" w:rsidRPr="00E12710" w:rsidRDefault="008D7B5C" w:rsidP="002004CD">
      <w:pPr>
        <w:pStyle w:val="ListParagraph"/>
        <w:numPr>
          <w:ilvl w:val="0"/>
          <w:numId w:val="29"/>
        </w:numPr>
        <w:spacing w:line="256" w:lineRule="auto"/>
        <w:ind w:left="284" w:hanging="284"/>
      </w:pPr>
      <w:r>
        <w:t>t</w:t>
      </w:r>
      <w:r w:rsidR="00761E17" w:rsidRPr="00E12710">
        <w:t>he extrapolation functions used (predicting something we don’t know); and</w:t>
      </w:r>
    </w:p>
    <w:p w14:paraId="0EBACE3A" w14:textId="7357A8EC" w:rsidR="00761E17" w:rsidRDefault="008D7B5C" w:rsidP="002004CD">
      <w:pPr>
        <w:pStyle w:val="ListParagraph"/>
        <w:numPr>
          <w:ilvl w:val="0"/>
          <w:numId w:val="29"/>
        </w:numPr>
        <w:spacing w:line="256" w:lineRule="auto"/>
        <w:ind w:left="284" w:hanging="284"/>
      </w:pPr>
      <w:r>
        <w:t>t</w:t>
      </w:r>
      <w:r w:rsidR="00761E17" w:rsidRPr="00E12710">
        <w:t>he time horizon (questionable based on previous PBAC decisions).</w:t>
      </w:r>
    </w:p>
    <w:p w14:paraId="64E5B493" w14:textId="73F40E86" w:rsidR="000E1FF2" w:rsidRPr="00983D23" w:rsidRDefault="000E1FF2" w:rsidP="00983D23">
      <w:pPr>
        <w:keepNext/>
        <w:tabs>
          <w:tab w:val="left" w:pos="720"/>
          <w:tab w:val="left" w:pos="1140"/>
        </w:tabs>
        <w:spacing w:before="240" w:after="120"/>
        <w:rPr>
          <w:u w:val="single"/>
        </w:rPr>
      </w:pPr>
      <w:r w:rsidRPr="00983D23">
        <w:rPr>
          <w:u w:val="single"/>
        </w:rPr>
        <w:lastRenderedPageBreak/>
        <w:t xml:space="preserve">Updated </w:t>
      </w:r>
      <w:r>
        <w:rPr>
          <w:u w:val="single"/>
        </w:rPr>
        <w:t xml:space="preserve">3-year </w:t>
      </w:r>
      <w:r w:rsidRPr="00983D23">
        <w:rPr>
          <w:u w:val="single"/>
        </w:rPr>
        <w:t xml:space="preserve">results from </w:t>
      </w:r>
      <w:proofErr w:type="spellStart"/>
      <w:r w:rsidRPr="00983D23">
        <w:rPr>
          <w:u w:val="single"/>
        </w:rPr>
        <w:t>TheraP</w:t>
      </w:r>
      <w:proofErr w:type="spellEnd"/>
      <w:r w:rsidRPr="00983D23">
        <w:rPr>
          <w:u w:val="single"/>
        </w:rPr>
        <w:t xml:space="preserve"> trial</w:t>
      </w:r>
    </w:p>
    <w:p w14:paraId="5BC41F9F" w14:textId="20A27A15" w:rsidR="000E1FF2" w:rsidRDefault="000E1FF2" w:rsidP="0078536C">
      <w:pPr>
        <w:spacing w:line="256" w:lineRule="auto"/>
      </w:pPr>
      <w:r>
        <w:t xml:space="preserve">As requested by ESC, the pre-MSAC response provided multivariate </w:t>
      </w:r>
      <w:r w:rsidRPr="000E1FF2">
        <w:t>sensitivity analyses</w:t>
      </w:r>
      <w:r w:rsidR="000B4435">
        <w:t xml:space="preserve"> which were not evaluated. This analysis </w:t>
      </w:r>
      <w:r w:rsidRPr="000E1FF2">
        <w:t>respecif</w:t>
      </w:r>
      <w:r w:rsidR="000B4435">
        <w:t>i</w:t>
      </w:r>
      <w:r>
        <w:t>ed</w:t>
      </w:r>
      <w:r w:rsidRPr="000E1FF2">
        <w:t xml:space="preserve"> the modelled time horizon and OS benefit vs</w:t>
      </w:r>
      <w:r w:rsidR="000B4435">
        <w:t>.</w:t>
      </w:r>
      <w:r w:rsidRPr="000E1FF2">
        <w:t xml:space="preserve"> </w:t>
      </w:r>
      <w:proofErr w:type="spellStart"/>
      <w:r w:rsidRPr="000E1FF2">
        <w:t>cabazitaxel</w:t>
      </w:r>
      <w:proofErr w:type="spellEnd"/>
      <w:r w:rsidRPr="000E1FF2">
        <w:t xml:space="preserve"> (</w:t>
      </w:r>
      <w:proofErr w:type="gramStart"/>
      <w:r w:rsidRPr="000E1FF2">
        <w:t>i.e.</w:t>
      </w:r>
      <w:proofErr w:type="gramEnd"/>
      <w:r w:rsidRPr="000E1FF2">
        <w:t xml:space="preserve"> comparator OS).</w:t>
      </w:r>
      <w:r>
        <w:t xml:space="preserve"> In addition</w:t>
      </w:r>
      <w:r w:rsidRPr="000E1FF2">
        <w:t>, an alternative scenario is also presented varying the comparator weighting</w:t>
      </w:r>
      <w:r>
        <w:t xml:space="preserve"> (Table </w:t>
      </w:r>
      <w:r w:rsidR="0078536C">
        <w:t>13)</w:t>
      </w:r>
      <w:r w:rsidR="000B4435">
        <w:t>.</w:t>
      </w:r>
    </w:p>
    <w:p w14:paraId="1E3A25EB" w14:textId="2612C1D7" w:rsidR="0078536C" w:rsidRDefault="0078536C" w:rsidP="00983D23">
      <w:pPr>
        <w:pStyle w:val="Caption"/>
        <w:spacing w:before="0"/>
      </w:pPr>
      <w:bookmarkStart w:id="45" w:name="_Ref108435736"/>
      <w:bookmarkStart w:id="46" w:name="_Ref108447468"/>
      <w:r>
        <w:t>Table</w:t>
      </w:r>
      <w:bookmarkEnd w:id="45"/>
      <w:bookmarkEnd w:id="46"/>
      <w:r>
        <w:t xml:space="preserve"> 13</w:t>
      </w:r>
      <w:r>
        <w:tab/>
        <w:t>Results</w:t>
      </w:r>
      <w:r w:rsidRPr="00685B7F">
        <w:t xml:space="preserve"> of </w:t>
      </w:r>
      <w:r>
        <w:t xml:space="preserve">scenario and </w:t>
      </w:r>
      <w:r w:rsidRPr="00685B7F">
        <w:t>sensitivity analyses</w:t>
      </w:r>
    </w:p>
    <w:tbl>
      <w:tblPr>
        <w:tblStyle w:val="TableGrid"/>
        <w:tblW w:w="5000" w:type="pct"/>
        <w:tblLook w:val="04A0" w:firstRow="1" w:lastRow="0" w:firstColumn="1" w:lastColumn="0" w:noHBand="0" w:noVBand="1"/>
      </w:tblPr>
      <w:tblGrid>
        <w:gridCol w:w="4904"/>
        <w:gridCol w:w="1137"/>
        <w:gridCol w:w="1138"/>
        <w:gridCol w:w="968"/>
        <w:gridCol w:w="869"/>
      </w:tblGrid>
      <w:tr w:rsidR="001E2488" w:rsidRPr="0048595C" w14:paraId="208C5B36" w14:textId="77777777" w:rsidTr="001E2488">
        <w:trPr>
          <w:tblHeader/>
        </w:trPr>
        <w:tc>
          <w:tcPr>
            <w:tcW w:w="2720" w:type="pct"/>
            <w:tcBorders>
              <w:top w:val="single" w:sz="4" w:space="0" w:color="auto"/>
              <w:left w:val="single" w:sz="4" w:space="0" w:color="auto"/>
              <w:bottom w:val="single" w:sz="4" w:space="0" w:color="auto"/>
              <w:right w:val="single" w:sz="4" w:space="0" w:color="auto"/>
            </w:tcBorders>
          </w:tcPr>
          <w:p w14:paraId="0DC152CA" w14:textId="77777777" w:rsidR="001E2488" w:rsidRPr="0048595C" w:rsidRDefault="001E2488" w:rsidP="009E5866">
            <w:pPr>
              <w:pStyle w:val="TableText"/>
              <w:keepNext/>
              <w:rPr>
                <w:rFonts w:eastAsia="Times New Roman" w:cs="Times New Roman"/>
                <w:b/>
                <w:bCs/>
                <w:szCs w:val="18"/>
                <w:lang w:eastAsia="en-AU"/>
              </w:rPr>
            </w:pPr>
          </w:p>
        </w:tc>
        <w:tc>
          <w:tcPr>
            <w:tcW w:w="631" w:type="pct"/>
            <w:tcBorders>
              <w:top w:val="single" w:sz="4" w:space="0" w:color="auto"/>
              <w:left w:val="single" w:sz="4" w:space="0" w:color="auto"/>
              <w:bottom w:val="single" w:sz="4" w:space="0" w:color="auto"/>
              <w:right w:val="single" w:sz="4" w:space="0" w:color="auto"/>
            </w:tcBorders>
            <w:vAlign w:val="center"/>
            <w:hideMark/>
          </w:tcPr>
          <w:p w14:paraId="4C91D85D" w14:textId="77777777" w:rsidR="001E2488" w:rsidRPr="0048595C" w:rsidRDefault="001E2488" w:rsidP="001E2488">
            <w:pPr>
              <w:pStyle w:val="TableText"/>
              <w:jc w:val="center"/>
              <w:rPr>
                <w:rFonts w:eastAsia="Times New Roman" w:cs="Times New Roman"/>
                <w:b/>
                <w:szCs w:val="18"/>
                <w:lang w:eastAsia="en-AU"/>
              </w:rPr>
            </w:pPr>
            <w:r w:rsidRPr="0048595C">
              <w:rPr>
                <w:rFonts w:eastAsia="Times New Roman" w:cs="Times New Roman"/>
                <w:b/>
                <w:szCs w:val="18"/>
                <w:lang w:eastAsia="en-AU"/>
              </w:rPr>
              <w:t>Incremental cost</w:t>
            </w:r>
          </w:p>
        </w:tc>
        <w:tc>
          <w:tcPr>
            <w:tcW w:w="631" w:type="pct"/>
            <w:tcBorders>
              <w:top w:val="single" w:sz="4" w:space="0" w:color="auto"/>
              <w:left w:val="single" w:sz="4" w:space="0" w:color="auto"/>
              <w:bottom w:val="single" w:sz="4" w:space="0" w:color="auto"/>
              <w:right w:val="single" w:sz="4" w:space="0" w:color="auto"/>
            </w:tcBorders>
            <w:vAlign w:val="center"/>
            <w:hideMark/>
          </w:tcPr>
          <w:p w14:paraId="12263E7B" w14:textId="77777777" w:rsidR="001E2488" w:rsidRPr="0048595C" w:rsidRDefault="001E2488" w:rsidP="001E2488">
            <w:pPr>
              <w:pStyle w:val="TableText"/>
              <w:jc w:val="center"/>
              <w:rPr>
                <w:rFonts w:eastAsia="Times New Roman" w:cs="Times New Roman"/>
                <w:b/>
                <w:szCs w:val="18"/>
                <w:lang w:eastAsia="en-AU"/>
              </w:rPr>
            </w:pPr>
            <w:r w:rsidRPr="0048595C">
              <w:rPr>
                <w:rFonts w:eastAsia="Times New Roman" w:cs="Times New Roman"/>
                <w:b/>
                <w:szCs w:val="18"/>
                <w:lang w:eastAsia="en-AU"/>
              </w:rPr>
              <w:t>Incremental QALYs</w:t>
            </w:r>
          </w:p>
        </w:tc>
        <w:tc>
          <w:tcPr>
            <w:tcW w:w="537" w:type="pct"/>
            <w:tcBorders>
              <w:top w:val="single" w:sz="4" w:space="0" w:color="auto"/>
              <w:left w:val="single" w:sz="4" w:space="0" w:color="auto"/>
              <w:bottom w:val="single" w:sz="4" w:space="0" w:color="auto"/>
              <w:right w:val="single" w:sz="4" w:space="0" w:color="auto"/>
            </w:tcBorders>
            <w:vAlign w:val="center"/>
            <w:hideMark/>
          </w:tcPr>
          <w:p w14:paraId="6037AE3A" w14:textId="77777777" w:rsidR="001E2488" w:rsidRPr="0048595C" w:rsidRDefault="001E2488" w:rsidP="001E2488">
            <w:pPr>
              <w:pStyle w:val="TableText"/>
              <w:jc w:val="center"/>
              <w:rPr>
                <w:rFonts w:eastAsia="Times New Roman" w:cs="Times New Roman"/>
                <w:b/>
                <w:szCs w:val="18"/>
                <w:lang w:eastAsia="en-AU"/>
              </w:rPr>
            </w:pPr>
            <w:r w:rsidRPr="0048595C">
              <w:rPr>
                <w:rFonts w:eastAsia="Times New Roman" w:cs="Times New Roman"/>
                <w:b/>
                <w:szCs w:val="18"/>
                <w:lang w:eastAsia="en-AU"/>
              </w:rPr>
              <w:t>ICER</w:t>
            </w:r>
          </w:p>
        </w:tc>
        <w:tc>
          <w:tcPr>
            <w:tcW w:w="481" w:type="pct"/>
            <w:tcBorders>
              <w:top w:val="single" w:sz="4" w:space="0" w:color="auto"/>
              <w:left w:val="single" w:sz="4" w:space="0" w:color="auto"/>
              <w:bottom w:val="single" w:sz="4" w:space="0" w:color="auto"/>
              <w:right w:val="single" w:sz="4" w:space="0" w:color="auto"/>
            </w:tcBorders>
            <w:vAlign w:val="center"/>
            <w:hideMark/>
          </w:tcPr>
          <w:p w14:paraId="5323D417" w14:textId="40E44EEB" w:rsidR="001E2488" w:rsidRPr="0048595C" w:rsidRDefault="001E2488" w:rsidP="001E2488">
            <w:pPr>
              <w:pStyle w:val="TableText"/>
              <w:jc w:val="center"/>
              <w:rPr>
                <w:rFonts w:eastAsia="Times New Roman" w:cs="Times New Roman"/>
                <w:b/>
                <w:szCs w:val="18"/>
                <w:lang w:eastAsia="en-AU"/>
              </w:rPr>
            </w:pPr>
            <w:r w:rsidRPr="0048595C">
              <w:rPr>
                <w:rFonts w:eastAsia="Times New Roman" w:cs="Times New Roman"/>
                <w:b/>
                <w:szCs w:val="18"/>
                <w:lang w:eastAsia="en-AU"/>
              </w:rPr>
              <w:t>Impact</w:t>
            </w:r>
            <w:r w:rsidRPr="001E2488">
              <w:rPr>
                <w:rFonts w:eastAsia="Times New Roman" w:cs="Times New Roman"/>
                <w:b/>
                <w:szCs w:val="18"/>
                <w:vertAlign w:val="superscript"/>
                <w:lang w:eastAsia="en-AU"/>
              </w:rPr>
              <w:t>2</w:t>
            </w:r>
          </w:p>
        </w:tc>
      </w:tr>
      <w:tr w:rsidR="001E2488" w:rsidRPr="0048595C" w14:paraId="09999394" w14:textId="77777777" w:rsidTr="001E2488">
        <w:tc>
          <w:tcPr>
            <w:tcW w:w="2720" w:type="pct"/>
            <w:tcBorders>
              <w:top w:val="single" w:sz="4" w:space="0" w:color="auto"/>
              <w:left w:val="single" w:sz="4" w:space="0" w:color="auto"/>
              <w:bottom w:val="single" w:sz="4" w:space="0" w:color="auto"/>
              <w:right w:val="single" w:sz="4" w:space="0" w:color="auto"/>
            </w:tcBorders>
            <w:hideMark/>
          </w:tcPr>
          <w:p w14:paraId="4393ECD3" w14:textId="5AAE228A" w:rsidR="001E2488" w:rsidRPr="0048595C" w:rsidRDefault="001E2488" w:rsidP="009E5866">
            <w:pPr>
              <w:pStyle w:val="TableText"/>
              <w:keepNext/>
              <w:rPr>
                <w:rFonts w:eastAsia="Times New Roman" w:cs="Times New Roman"/>
                <w:b/>
                <w:szCs w:val="18"/>
                <w:lang w:eastAsia="en-AU"/>
              </w:rPr>
            </w:pPr>
            <w:r w:rsidRPr="0016607F">
              <w:t>Base-case presented in the PSCR</w:t>
            </w:r>
            <w:r w:rsidRPr="009E5866">
              <w:rPr>
                <w:vertAlign w:val="superscript"/>
              </w:rPr>
              <w:t>1</w:t>
            </w:r>
          </w:p>
        </w:tc>
        <w:tc>
          <w:tcPr>
            <w:tcW w:w="631" w:type="pct"/>
            <w:tcBorders>
              <w:top w:val="single" w:sz="4" w:space="0" w:color="auto"/>
              <w:left w:val="single" w:sz="4" w:space="0" w:color="auto"/>
              <w:bottom w:val="single" w:sz="4" w:space="0" w:color="auto"/>
              <w:right w:val="single" w:sz="4" w:space="0" w:color="auto"/>
            </w:tcBorders>
            <w:hideMark/>
          </w:tcPr>
          <w:p w14:paraId="1CF13C10" w14:textId="13985877" w:rsidR="001E2488" w:rsidRPr="0048595C" w:rsidRDefault="001E2488" w:rsidP="001E2488">
            <w:pPr>
              <w:pStyle w:val="TableText"/>
              <w:jc w:val="center"/>
              <w:rPr>
                <w:rFonts w:eastAsia="Times New Roman" w:cs="Times New Roman"/>
                <w:szCs w:val="18"/>
                <w:lang w:eastAsia="en-AU"/>
              </w:rPr>
            </w:pPr>
            <w:r w:rsidRPr="0016607F">
              <w:t>$28,798</w:t>
            </w:r>
          </w:p>
        </w:tc>
        <w:tc>
          <w:tcPr>
            <w:tcW w:w="631" w:type="pct"/>
            <w:tcBorders>
              <w:top w:val="single" w:sz="4" w:space="0" w:color="auto"/>
              <w:left w:val="single" w:sz="4" w:space="0" w:color="auto"/>
              <w:bottom w:val="single" w:sz="4" w:space="0" w:color="auto"/>
              <w:right w:val="single" w:sz="4" w:space="0" w:color="auto"/>
            </w:tcBorders>
            <w:hideMark/>
          </w:tcPr>
          <w:p w14:paraId="6D99EA62" w14:textId="0043DA18" w:rsidR="001E2488" w:rsidRPr="0048595C" w:rsidRDefault="001E2488" w:rsidP="001E2488">
            <w:pPr>
              <w:pStyle w:val="TableText"/>
              <w:jc w:val="center"/>
              <w:rPr>
                <w:rFonts w:eastAsia="Times New Roman" w:cs="Times New Roman"/>
                <w:szCs w:val="18"/>
                <w:lang w:eastAsia="en-AU"/>
              </w:rPr>
            </w:pPr>
            <w:r w:rsidRPr="0016607F">
              <w:t>0.353</w:t>
            </w:r>
          </w:p>
        </w:tc>
        <w:tc>
          <w:tcPr>
            <w:tcW w:w="537" w:type="pct"/>
            <w:tcBorders>
              <w:top w:val="single" w:sz="4" w:space="0" w:color="auto"/>
              <w:left w:val="single" w:sz="4" w:space="0" w:color="auto"/>
              <w:bottom w:val="single" w:sz="4" w:space="0" w:color="auto"/>
              <w:right w:val="single" w:sz="4" w:space="0" w:color="auto"/>
            </w:tcBorders>
            <w:hideMark/>
          </w:tcPr>
          <w:p w14:paraId="44C190C3" w14:textId="4F91298D" w:rsidR="001E2488" w:rsidRPr="0048595C" w:rsidRDefault="001E2488" w:rsidP="001E2488">
            <w:pPr>
              <w:pStyle w:val="TableText"/>
              <w:jc w:val="center"/>
              <w:rPr>
                <w:rFonts w:eastAsia="Times New Roman" w:cs="Times New Roman"/>
                <w:szCs w:val="18"/>
                <w:lang w:eastAsia="en-AU"/>
              </w:rPr>
            </w:pPr>
            <w:r w:rsidRPr="0016607F">
              <w:t>$81,650</w:t>
            </w:r>
          </w:p>
        </w:tc>
        <w:tc>
          <w:tcPr>
            <w:tcW w:w="481" w:type="pct"/>
            <w:tcBorders>
              <w:top w:val="single" w:sz="4" w:space="0" w:color="auto"/>
              <w:left w:val="single" w:sz="4" w:space="0" w:color="auto"/>
              <w:bottom w:val="single" w:sz="4" w:space="0" w:color="auto"/>
              <w:right w:val="single" w:sz="4" w:space="0" w:color="auto"/>
            </w:tcBorders>
            <w:hideMark/>
          </w:tcPr>
          <w:p w14:paraId="50DB56B1" w14:textId="3DD06D02" w:rsidR="001E2488" w:rsidRPr="0048595C" w:rsidRDefault="001E2488" w:rsidP="001E2488">
            <w:pPr>
              <w:pStyle w:val="TableText"/>
              <w:jc w:val="center"/>
              <w:rPr>
                <w:rFonts w:eastAsia="Times New Roman" w:cs="Times New Roman"/>
                <w:szCs w:val="18"/>
                <w:lang w:eastAsia="en-AU"/>
              </w:rPr>
            </w:pPr>
            <w:r w:rsidRPr="0016607F">
              <w:t>N/a</w:t>
            </w:r>
          </w:p>
        </w:tc>
      </w:tr>
      <w:tr w:rsidR="001E2488" w:rsidRPr="0048595C" w14:paraId="7A96E3FB" w14:textId="77777777" w:rsidTr="001E2488">
        <w:tc>
          <w:tcPr>
            <w:tcW w:w="2720" w:type="pct"/>
            <w:tcBorders>
              <w:top w:val="single" w:sz="4" w:space="0" w:color="auto"/>
              <w:left w:val="single" w:sz="4" w:space="0" w:color="auto"/>
              <w:bottom w:val="single" w:sz="4" w:space="0" w:color="auto"/>
              <w:right w:val="single" w:sz="4" w:space="0" w:color="auto"/>
            </w:tcBorders>
            <w:hideMark/>
          </w:tcPr>
          <w:p w14:paraId="63BF4EFC" w14:textId="20527C57" w:rsidR="001E2488" w:rsidRPr="0048595C" w:rsidRDefault="001E2488" w:rsidP="009E5866">
            <w:pPr>
              <w:pStyle w:val="TableText"/>
              <w:keepNext/>
              <w:rPr>
                <w:rFonts w:eastAsia="Times New Roman" w:cs="Times New Roman"/>
                <w:bCs/>
                <w:szCs w:val="18"/>
                <w:lang w:eastAsia="en-AU"/>
              </w:rPr>
            </w:pPr>
            <w:r w:rsidRPr="0016607F">
              <w:t xml:space="preserve">As per base-case presented in PSCR + 7-year time horizon + incorporation of latest </w:t>
            </w:r>
            <w:proofErr w:type="spellStart"/>
            <w:r w:rsidRPr="0016607F">
              <w:t>TheraP</w:t>
            </w:r>
            <w:proofErr w:type="spellEnd"/>
            <w:r w:rsidRPr="0016607F">
              <w:t xml:space="preserve"> data</w:t>
            </w:r>
            <w:r w:rsidRPr="009E5866">
              <w:rPr>
                <w:vertAlign w:val="superscript"/>
              </w:rPr>
              <w:t>3</w:t>
            </w:r>
            <w:r w:rsidRPr="0016607F">
              <w:t xml:space="preserve"> (MVS)</w:t>
            </w:r>
          </w:p>
        </w:tc>
        <w:tc>
          <w:tcPr>
            <w:tcW w:w="631" w:type="pct"/>
            <w:tcBorders>
              <w:top w:val="single" w:sz="4" w:space="0" w:color="auto"/>
              <w:left w:val="single" w:sz="4" w:space="0" w:color="auto"/>
              <w:bottom w:val="single" w:sz="4" w:space="0" w:color="auto"/>
              <w:right w:val="single" w:sz="4" w:space="0" w:color="auto"/>
            </w:tcBorders>
            <w:hideMark/>
          </w:tcPr>
          <w:p w14:paraId="3D45F88E" w14:textId="10EC2F1D" w:rsidR="001E2488" w:rsidRPr="0048595C" w:rsidRDefault="001E2488" w:rsidP="001E2488">
            <w:pPr>
              <w:pStyle w:val="TableText"/>
              <w:jc w:val="center"/>
              <w:rPr>
                <w:rFonts w:eastAsia="Times New Roman" w:cs="Times New Roman"/>
                <w:szCs w:val="18"/>
                <w:lang w:eastAsia="en-AU"/>
              </w:rPr>
            </w:pPr>
            <w:r w:rsidRPr="0016607F">
              <w:t>$29,276</w:t>
            </w:r>
          </w:p>
        </w:tc>
        <w:tc>
          <w:tcPr>
            <w:tcW w:w="631" w:type="pct"/>
            <w:tcBorders>
              <w:top w:val="single" w:sz="4" w:space="0" w:color="auto"/>
              <w:left w:val="single" w:sz="4" w:space="0" w:color="auto"/>
              <w:bottom w:val="single" w:sz="4" w:space="0" w:color="auto"/>
              <w:right w:val="single" w:sz="4" w:space="0" w:color="auto"/>
            </w:tcBorders>
            <w:hideMark/>
          </w:tcPr>
          <w:p w14:paraId="405D45B7" w14:textId="315885B2" w:rsidR="001E2488" w:rsidRPr="0048595C" w:rsidRDefault="001E2488" w:rsidP="001E2488">
            <w:pPr>
              <w:pStyle w:val="TableText"/>
              <w:jc w:val="center"/>
              <w:rPr>
                <w:rFonts w:eastAsia="Times New Roman" w:cs="Times New Roman"/>
                <w:szCs w:val="18"/>
                <w:lang w:eastAsia="en-AU"/>
              </w:rPr>
            </w:pPr>
            <w:r w:rsidRPr="0016607F">
              <w:t>0.144</w:t>
            </w:r>
          </w:p>
        </w:tc>
        <w:tc>
          <w:tcPr>
            <w:tcW w:w="537" w:type="pct"/>
            <w:tcBorders>
              <w:top w:val="single" w:sz="4" w:space="0" w:color="auto"/>
              <w:left w:val="single" w:sz="4" w:space="0" w:color="auto"/>
              <w:bottom w:val="single" w:sz="4" w:space="0" w:color="auto"/>
              <w:right w:val="single" w:sz="4" w:space="0" w:color="auto"/>
            </w:tcBorders>
            <w:hideMark/>
          </w:tcPr>
          <w:p w14:paraId="5548470F" w14:textId="25DE31E8" w:rsidR="001E2488" w:rsidRPr="0048595C" w:rsidRDefault="001E2488" w:rsidP="001E2488">
            <w:pPr>
              <w:pStyle w:val="TableText"/>
              <w:jc w:val="center"/>
              <w:rPr>
                <w:rFonts w:eastAsia="Times New Roman" w:cs="Times New Roman"/>
                <w:szCs w:val="18"/>
                <w:lang w:eastAsia="en-AU"/>
              </w:rPr>
            </w:pPr>
            <w:r w:rsidRPr="0016607F">
              <w:t>$202,659</w:t>
            </w:r>
          </w:p>
        </w:tc>
        <w:tc>
          <w:tcPr>
            <w:tcW w:w="481" w:type="pct"/>
            <w:tcBorders>
              <w:top w:val="single" w:sz="4" w:space="0" w:color="auto"/>
              <w:left w:val="single" w:sz="4" w:space="0" w:color="auto"/>
              <w:bottom w:val="single" w:sz="4" w:space="0" w:color="auto"/>
              <w:right w:val="single" w:sz="4" w:space="0" w:color="auto"/>
            </w:tcBorders>
            <w:hideMark/>
          </w:tcPr>
          <w:p w14:paraId="50DAF286" w14:textId="5CA50D49" w:rsidR="001E2488" w:rsidRPr="0048595C" w:rsidRDefault="001E2488" w:rsidP="001E2488">
            <w:pPr>
              <w:pStyle w:val="TableText"/>
              <w:jc w:val="center"/>
              <w:rPr>
                <w:rFonts w:eastAsia="Times New Roman" w:cs="Times New Roman"/>
                <w:szCs w:val="18"/>
                <w:lang w:eastAsia="en-AU"/>
              </w:rPr>
            </w:pPr>
            <w:r w:rsidRPr="0016607F">
              <w:t>+148.2%</w:t>
            </w:r>
          </w:p>
        </w:tc>
      </w:tr>
      <w:tr w:rsidR="001E2488" w:rsidRPr="0048595C" w14:paraId="4552B873" w14:textId="77777777" w:rsidTr="001E2488">
        <w:tc>
          <w:tcPr>
            <w:tcW w:w="2720" w:type="pct"/>
            <w:tcBorders>
              <w:top w:val="single" w:sz="4" w:space="0" w:color="auto"/>
              <w:left w:val="single" w:sz="4" w:space="0" w:color="auto"/>
              <w:bottom w:val="single" w:sz="4" w:space="0" w:color="auto"/>
              <w:right w:val="single" w:sz="4" w:space="0" w:color="auto"/>
            </w:tcBorders>
            <w:hideMark/>
          </w:tcPr>
          <w:p w14:paraId="09B50434" w14:textId="45B7746C" w:rsidR="001E2488" w:rsidRPr="0048595C" w:rsidRDefault="001E2488" w:rsidP="009E5866">
            <w:pPr>
              <w:pStyle w:val="TableText"/>
              <w:keepNext/>
              <w:rPr>
                <w:rFonts w:eastAsia="Times New Roman" w:cs="Times New Roman"/>
                <w:bCs/>
                <w:szCs w:val="18"/>
                <w:lang w:eastAsia="en-AU"/>
              </w:rPr>
            </w:pPr>
            <w:r w:rsidRPr="0016607F">
              <w:t xml:space="preserve">As per MVS + comparator split of 75% BSc: 25% </w:t>
            </w:r>
            <w:proofErr w:type="spellStart"/>
            <w:r w:rsidRPr="0016607F">
              <w:t>cabazitaxel</w:t>
            </w:r>
            <w:proofErr w:type="spellEnd"/>
          </w:p>
        </w:tc>
        <w:tc>
          <w:tcPr>
            <w:tcW w:w="631" w:type="pct"/>
            <w:tcBorders>
              <w:top w:val="single" w:sz="4" w:space="0" w:color="auto"/>
              <w:left w:val="single" w:sz="4" w:space="0" w:color="auto"/>
              <w:bottom w:val="single" w:sz="4" w:space="0" w:color="auto"/>
              <w:right w:val="single" w:sz="4" w:space="0" w:color="auto"/>
            </w:tcBorders>
            <w:hideMark/>
          </w:tcPr>
          <w:p w14:paraId="006F07A6" w14:textId="7D2D08BE" w:rsidR="001E2488" w:rsidRPr="0048595C" w:rsidRDefault="001E2488" w:rsidP="001E2488">
            <w:pPr>
              <w:pStyle w:val="TableText"/>
              <w:jc w:val="center"/>
              <w:rPr>
                <w:rFonts w:eastAsia="Times New Roman" w:cs="Times New Roman"/>
                <w:szCs w:val="18"/>
                <w:lang w:eastAsia="en-AU"/>
              </w:rPr>
            </w:pPr>
            <w:r w:rsidRPr="0016607F">
              <w:t>$32,493</w:t>
            </w:r>
          </w:p>
        </w:tc>
        <w:tc>
          <w:tcPr>
            <w:tcW w:w="631" w:type="pct"/>
            <w:tcBorders>
              <w:top w:val="single" w:sz="4" w:space="0" w:color="auto"/>
              <w:left w:val="single" w:sz="4" w:space="0" w:color="auto"/>
              <w:bottom w:val="single" w:sz="4" w:space="0" w:color="auto"/>
              <w:right w:val="single" w:sz="4" w:space="0" w:color="auto"/>
            </w:tcBorders>
            <w:hideMark/>
          </w:tcPr>
          <w:p w14:paraId="3E852D18" w14:textId="22036CF0" w:rsidR="001E2488" w:rsidRPr="0048595C" w:rsidRDefault="001E2488" w:rsidP="001E2488">
            <w:pPr>
              <w:pStyle w:val="TableText"/>
              <w:jc w:val="center"/>
              <w:rPr>
                <w:rFonts w:eastAsia="Times New Roman" w:cs="Times New Roman"/>
                <w:szCs w:val="18"/>
                <w:lang w:eastAsia="en-AU"/>
              </w:rPr>
            </w:pPr>
            <w:r w:rsidRPr="0016607F">
              <w:t>0.292</w:t>
            </w:r>
          </w:p>
        </w:tc>
        <w:tc>
          <w:tcPr>
            <w:tcW w:w="537" w:type="pct"/>
            <w:tcBorders>
              <w:top w:val="single" w:sz="4" w:space="0" w:color="auto"/>
              <w:left w:val="single" w:sz="4" w:space="0" w:color="auto"/>
              <w:bottom w:val="single" w:sz="4" w:space="0" w:color="auto"/>
              <w:right w:val="single" w:sz="4" w:space="0" w:color="auto"/>
            </w:tcBorders>
            <w:hideMark/>
          </w:tcPr>
          <w:p w14:paraId="161FB7A2" w14:textId="0747993B" w:rsidR="001E2488" w:rsidRPr="0048595C" w:rsidRDefault="001E2488" w:rsidP="001E2488">
            <w:pPr>
              <w:pStyle w:val="TableText"/>
              <w:jc w:val="center"/>
              <w:rPr>
                <w:rFonts w:eastAsia="Times New Roman" w:cs="Times New Roman"/>
                <w:szCs w:val="18"/>
                <w:lang w:eastAsia="en-AU"/>
              </w:rPr>
            </w:pPr>
            <w:r w:rsidRPr="0016607F">
              <w:t>$111,405</w:t>
            </w:r>
          </w:p>
        </w:tc>
        <w:tc>
          <w:tcPr>
            <w:tcW w:w="481" w:type="pct"/>
            <w:tcBorders>
              <w:top w:val="single" w:sz="4" w:space="0" w:color="auto"/>
              <w:left w:val="single" w:sz="4" w:space="0" w:color="auto"/>
              <w:bottom w:val="single" w:sz="4" w:space="0" w:color="auto"/>
              <w:right w:val="single" w:sz="4" w:space="0" w:color="auto"/>
            </w:tcBorders>
            <w:hideMark/>
          </w:tcPr>
          <w:p w14:paraId="59D46C7C" w14:textId="600F6F47" w:rsidR="001E2488" w:rsidRPr="0048595C" w:rsidRDefault="001E2488" w:rsidP="001E2488">
            <w:pPr>
              <w:pStyle w:val="TableText"/>
              <w:jc w:val="center"/>
              <w:rPr>
                <w:rFonts w:eastAsia="Times New Roman" w:cs="Times New Roman"/>
                <w:szCs w:val="18"/>
                <w:lang w:eastAsia="en-AU"/>
              </w:rPr>
            </w:pPr>
            <w:r w:rsidRPr="0016607F">
              <w:t>+36.4%</w:t>
            </w:r>
          </w:p>
        </w:tc>
      </w:tr>
      <w:tr w:rsidR="001E2488" w:rsidRPr="0048595C" w14:paraId="4D59045F" w14:textId="77777777" w:rsidTr="001E2488">
        <w:tc>
          <w:tcPr>
            <w:tcW w:w="2720" w:type="pct"/>
            <w:tcBorders>
              <w:top w:val="single" w:sz="4" w:space="0" w:color="auto"/>
              <w:left w:val="single" w:sz="4" w:space="0" w:color="auto"/>
              <w:bottom w:val="single" w:sz="4" w:space="0" w:color="auto"/>
              <w:right w:val="single" w:sz="4" w:space="0" w:color="auto"/>
            </w:tcBorders>
            <w:hideMark/>
          </w:tcPr>
          <w:p w14:paraId="117AE0BB" w14:textId="1523BC4C" w:rsidR="001E2488" w:rsidRPr="0048595C" w:rsidRDefault="001E2488" w:rsidP="009E5866">
            <w:pPr>
              <w:pStyle w:val="TableText"/>
              <w:keepNext/>
              <w:rPr>
                <w:rFonts w:eastAsia="Times New Roman" w:cs="Times New Roman"/>
                <w:szCs w:val="18"/>
                <w:lang w:eastAsia="en-AU"/>
              </w:rPr>
            </w:pPr>
            <w:r w:rsidRPr="0016607F">
              <w:t>As per MVS + comparator split of 100% BSc</w:t>
            </w:r>
          </w:p>
        </w:tc>
        <w:tc>
          <w:tcPr>
            <w:tcW w:w="631" w:type="pct"/>
            <w:tcBorders>
              <w:top w:val="single" w:sz="4" w:space="0" w:color="auto"/>
              <w:left w:val="single" w:sz="4" w:space="0" w:color="auto"/>
              <w:bottom w:val="single" w:sz="4" w:space="0" w:color="auto"/>
              <w:right w:val="single" w:sz="4" w:space="0" w:color="auto"/>
            </w:tcBorders>
            <w:hideMark/>
          </w:tcPr>
          <w:p w14:paraId="320C2E51" w14:textId="4685041C" w:rsidR="001E2488" w:rsidRPr="0048595C" w:rsidRDefault="001E2488" w:rsidP="001E2488">
            <w:pPr>
              <w:pStyle w:val="TableText"/>
              <w:jc w:val="center"/>
              <w:rPr>
                <w:rFonts w:eastAsia="Times New Roman" w:cs="Times New Roman"/>
                <w:szCs w:val="18"/>
                <w:lang w:eastAsia="en-AU"/>
              </w:rPr>
            </w:pPr>
            <w:r w:rsidRPr="0016607F">
              <w:t>$34,000</w:t>
            </w:r>
          </w:p>
        </w:tc>
        <w:tc>
          <w:tcPr>
            <w:tcW w:w="631" w:type="pct"/>
            <w:tcBorders>
              <w:top w:val="single" w:sz="4" w:space="0" w:color="auto"/>
              <w:left w:val="single" w:sz="4" w:space="0" w:color="auto"/>
              <w:bottom w:val="single" w:sz="4" w:space="0" w:color="auto"/>
              <w:right w:val="single" w:sz="4" w:space="0" w:color="auto"/>
            </w:tcBorders>
            <w:hideMark/>
          </w:tcPr>
          <w:p w14:paraId="18599EBD" w14:textId="07C974FD" w:rsidR="001E2488" w:rsidRPr="0048595C" w:rsidRDefault="001E2488" w:rsidP="001E2488">
            <w:pPr>
              <w:pStyle w:val="TableText"/>
              <w:jc w:val="center"/>
              <w:rPr>
                <w:rFonts w:eastAsia="Times New Roman" w:cs="Times New Roman"/>
                <w:szCs w:val="18"/>
                <w:lang w:eastAsia="en-AU"/>
              </w:rPr>
            </w:pPr>
            <w:r w:rsidRPr="0016607F">
              <w:t>0.345</w:t>
            </w:r>
          </w:p>
        </w:tc>
        <w:tc>
          <w:tcPr>
            <w:tcW w:w="537" w:type="pct"/>
            <w:tcBorders>
              <w:top w:val="single" w:sz="4" w:space="0" w:color="auto"/>
              <w:left w:val="single" w:sz="4" w:space="0" w:color="auto"/>
              <w:bottom w:val="single" w:sz="4" w:space="0" w:color="auto"/>
              <w:right w:val="single" w:sz="4" w:space="0" w:color="auto"/>
            </w:tcBorders>
            <w:hideMark/>
          </w:tcPr>
          <w:p w14:paraId="412B6CCF" w14:textId="62F04C65" w:rsidR="001E2488" w:rsidRPr="0048595C" w:rsidRDefault="001E2488" w:rsidP="001E2488">
            <w:pPr>
              <w:pStyle w:val="TableText"/>
              <w:jc w:val="center"/>
              <w:rPr>
                <w:rFonts w:eastAsia="Times New Roman" w:cs="Times New Roman"/>
                <w:szCs w:val="18"/>
                <w:lang w:eastAsia="en-AU"/>
              </w:rPr>
            </w:pPr>
            <w:r w:rsidRPr="0016607F">
              <w:t>$98,551</w:t>
            </w:r>
          </w:p>
        </w:tc>
        <w:tc>
          <w:tcPr>
            <w:tcW w:w="481" w:type="pct"/>
            <w:tcBorders>
              <w:top w:val="single" w:sz="4" w:space="0" w:color="auto"/>
              <w:left w:val="single" w:sz="4" w:space="0" w:color="auto"/>
              <w:bottom w:val="single" w:sz="4" w:space="0" w:color="auto"/>
              <w:right w:val="single" w:sz="4" w:space="0" w:color="auto"/>
            </w:tcBorders>
            <w:hideMark/>
          </w:tcPr>
          <w:p w14:paraId="39FA2B39" w14:textId="68F98E5E" w:rsidR="001E2488" w:rsidRPr="0048595C" w:rsidRDefault="001E2488" w:rsidP="001E2488">
            <w:pPr>
              <w:pStyle w:val="TableText"/>
              <w:jc w:val="center"/>
              <w:rPr>
                <w:rFonts w:eastAsia="Times New Roman" w:cs="Times New Roman"/>
                <w:szCs w:val="18"/>
                <w:lang w:eastAsia="en-AU"/>
              </w:rPr>
            </w:pPr>
            <w:r w:rsidRPr="0016607F">
              <w:t>+20.7%</w:t>
            </w:r>
          </w:p>
        </w:tc>
      </w:tr>
      <w:tr w:rsidR="001E2488" w:rsidRPr="0048595C" w14:paraId="3E06629E" w14:textId="77777777" w:rsidTr="001E2488">
        <w:tc>
          <w:tcPr>
            <w:tcW w:w="2720" w:type="pct"/>
            <w:tcBorders>
              <w:top w:val="single" w:sz="4" w:space="0" w:color="auto"/>
              <w:left w:val="single" w:sz="4" w:space="0" w:color="auto"/>
              <w:bottom w:val="single" w:sz="4" w:space="0" w:color="auto"/>
              <w:right w:val="single" w:sz="4" w:space="0" w:color="auto"/>
            </w:tcBorders>
            <w:hideMark/>
          </w:tcPr>
          <w:p w14:paraId="6B09821B" w14:textId="7F8F1DBD" w:rsidR="001E2488" w:rsidRPr="0048595C" w:rsidRDefault="001E2488" w:rsidP="009E5866">
            <w:pPr>
              <w:pStyle w:val="TableText"/>
              <w:keepNext/>
              <w:rPr>
                <w:rFonts w:eastAsia="Times New Roman" w:cs="Times New Roman"/>
                <w:b/>
                <w:bCs/>
                <w:szCs w:val="18"/>
                <w:lang w:eastAsia="en-AU"/>
              </w:rPr>
            </w:pPr>
            <w:r w:rsidRPr="0016607F">
              <w:t xml:space="preserve">As per MVS + assuming the average patient receives 3 </w:t>
            </w:r>
            <w:r w:rsidRPr="008D7B5C">
              <w:rPr>
                <w:vertAlign w:val="superscript"/>
              </w:rPr>
              <w:t>177</w:t>
            </w:r>
            <w:r w:rsidRPr="0016607F">
              <w:t>Lu</w:t>
            </w:r>
            <w:r w:rsidR="008D7B5C">
              <w:t> </w:t>
            </w:r>
            <w:r w:rsidRPr="0016607F">
              <w:t>PSMA</w:t>
            </w:r>
            <w:r w:rsidR="00F37E00">
              <w:t> </w:t>
            </w:r>
            <w:proofErr w:type="spellStart"/>
            <w:r w:rsidR="00F37E00">
              <w:t>i&amp;t</w:t>
            </w:r>
            <w:proofErr w:type="spellEnd"/>
            <w:r w:rsidRPr="0016607F">
              <w:t xml:space="preserve"> cycles</w:t>
            </w:r>
            <w:r w:rsidRPr="009E5866">
              <w:rPr>
                <w:vertAlign w:val="superscript"/>
              </w:rPr>
              <w:t>4</w:t>
            </w:r>
          </w:p>
        </w:tc>
        <w:tc>
          <w:tcPr>
            <w:tcW w:w="631" w:type="pct"/>
            <w:tcBorders>
              <w:top w:val="single" w:sz="4" w:space="0" w:color="auto"/>
              <w:left w:val="single" w:sz="4" w:space="0" w:color="auto"/>
              <w:bottom w:val="single" w:sz="4" w:space="0" w:color="auto"/>
              <w:right w:val="single" w:sz="4" w:space="0" w:color="auto"/>
            </w:tcBorders>
            <w:hideMark/>
          </w:tcPr>
          <w:p w14:paraId="66D13E97" w14:textId="5C0E1024" w:rsidR="001E2488" w:rsidRPr="0048595C" w:rsidRDefault="001E2488" w:rsidP="001E2488">
            <w:pPr>
              <w:pStyle w:val="TableText"/>
              <w:jc w:val="center"/>
              <w:rPr>
                <w:rFonts w:eastAsia="Times New Roman" w:cs="Times New Roman"/>
                <w:b/>
                <w:bCs/>
                <w:szCs w:val="18"/>
                <w:lang w:eastAsia="en-AU"/>
              </w:rPr>
            </w:pPr>
            <w:r w:rsidRPr="0016607F">
              <w:t>$16,994</w:t>
            </w:r>
          </w:p>
        </w:tc>
        <w:tc>
          <w:tcPr>
            <w:tcW w:w="631" w:type="pct"/>
            <w:tcBorders>
              <w:top w:val="single" w:sz="4" w:space="0" w:color="auto"/>
              <w:left w:val="single" w:sz="4" w:space="0" w:color="auto"/>
              <w:bottom w:val="single" w:sz="4" w:space="0" w:color="auto"/>
              <w:right w:val="single" w:sz="4" w:space="0" w:color="auto"/>
            </w:tcBorders>
            <w:hideMark/>
          </w:tcPr>
          <w:p w14:paraId="045B1F92" w14:textId="3F019D7E" w:rsidR="001E2488" w:rsidRPr="0048595C" w:rsidRDefault="001E2488" w:rsidP="001E2488">
            <w:pPr>
              <w:pStyle w:val="TableText"/>
              <w:jc w:val="center"/>
              <w:rPr>
                <w:rFonts w:eastAsia="Times New Roman" w:cs="Times New Roman"/>
                <w:b/>
                <w:bCs/>
                <w:szCs w:val="18"/>
                <w:lang w:eastAsia="en-AU"/>
              </w:rPr>
            </w:pPr>
            <w:r w:rsidRPr="0016607F">
              <w:t>0.144</w:t>
            </w:r>
          </w:p>
        </w:tc>
        <w:tc>
          <w:tcPr>
            <w:tcW w:w="537" w:type="pct"/>
            <w:tcBorders>
              <w:top w:val="single" w:sz="4" w:space="0" w:color="auto"/>
              <w:left w:val="single" w:sz="4" w:space="0" w:color="auto"/>
              <w:bottom w:val="single" w:sz="4" w:space="0" w:color="auto"/>
              <w:right w:val="single" w:sz="4" w:space="0" w:color="auto"/>
            </w:tcBorders>
            <w:hideMark/>
          </w:tcPr>
          <w:p w14:paraId="36D6C90E" w14:textId="75DFE09F" w:rsidR="001E2488" w:rsidRPr="0048595C" w:rsidRDefault="001E2488" w:rsidP="001E2488">
            <w:pPr>
              <w:pStyle w:val="TableText"/>
              <w:jc w:val="center"/>
              <w:rPr>
                <w:rFonts w:eastAsia="Times New Roman" w:cs="Times New Roman"/>
                <w:b/>
                <w:bCs/>
                <w:szCs w:val="18"/>
                <w:lang w:eastAsia="en-AU"/>
              </w:rPr>
            </w:pPr>
            <w:r w:rsidRPr="0016607F">
              <w:t>$117,640</w:t>
            </w:r>
          </w:p>
        </w:tc>
        <w:tc>
          <w:tcPr>
            <w:tcW w:w="481" w:type="pct"/>
            <w:tcBorders>
              <w:top w:val="single" w:sz="4" w:space="0" w:color="auto"/>
              <w:left w:val="single" w:sz="4" w:space="0" w:color="auto"/>
              <w:bottom w:val="single" w:sz="4" w:space="0" w:color="auto"/>
              <w:right w:val="single" w:sz="4" w:space="0" w:color="auto"/>
            </w:tcBorders>
            <w:hideMark/>
          </w:tcPr>
          <w:p w14:paraId="68EBED95" w14:textId="61597B84" w:rsidR="001E2488" w:rsidRPr="0048595C" w:rsidRDefault="001E2488" w:rsidP="001E2488">
            <w:pPr>
              <w:pStyle w:val="TableText"/>
              <w:jc w:val="center"/>
              <w:rPr>
                <w:rFonts w:eastAsia="Times New Roman" w:cs="Times New Roman"/>
                <w:b/>
                <w:bCs/>
                <w:szCs w:val="18"/>
                <w:lang w:eastAsia="en-AU"/>
              </w:rPr>
            </w:pPr>
            <w:r w:rsidRPr="0016607F">
              <w:t>+44.1%</w:t>
            </w:r>
          </w:p>
        </w:tc>
      </w:tr>
    </w:tbl>
    <w:p w14:paraId="5625D279" w14:textId="3E1BCC8A" w:rsidR="0078536C" w:rsidRPr="00983D23" w:rsidRDefault="0078536C" w:rsidP="001E2488">
      <w:pPr>
        <w:pStyle w:val="TableFigNotes18"/>
        <w:keepNext/>
        <w:ind w:left="0" w:firstLine="0"/>
        <w:rPr>
          <w:rFonts w:ascii="Arial Narrow" w:hAnsi="Arial Narrow"/>
          <w:sz w:val="18"/>
          <w:szCs w:val="22"/>
        </w:rPr>
      </w:pPr>
      <w:r w:rsidRPr="00983D23">
        <w:rPr>
          <w:rFonts w:ascii="Arial Narrow" w:hAnsi="Arial Narrow"/>
          <w:sz w:val="18"/>
          <w:szCs w:val="22"/>
          <w:vertAlign w:val="superscript"/>
        </w:rPr>
        <w:t>1</w:t>
      </w:r>
      <w:r w:rsidRPr="00983D23">
        <w:rPr>
          <w:rFonts w:ascii="Arial Narrow" w:hAnsi="Arial Narrow"/>
          <w:sz w:val="18"/>
          <w:szCs w:val="22"/>
        </w:rPr>
        <w:t xml:space="preserve"> Base-case reflecting price reduction of </w:t>
      </w:r>
      <w:proofErr w:type="spellStart"/>
      <w:r w:rsidRPr="00983D23">
        <w:rPr>
          <w:rFonts w:ascii="Arial Narrow" w:hAnsi="Arial Narrow"/>
          <w:sz w:val="18"/>
          <w:szCs w:val="22"/>
        </w:rPr>
        <w:t>cabazitaxel</w:t>
      </w:r>
      <w:proofErr w:type="spellEnd"/>
      <w:r w:rsidRPr="00983D23">
        <w:rPr>
          <w:rFonts w:ascii="Arial Narrow" w:hAnsi="Arial Narrow"/>
          <w:sz w:val="18"/>
          <w:szCs w:val="22"/>
        </w:rPr>
        <w:t xml:space="preserve"> which came into effect on 1 April 2022. This was generated by changing the </w:t>
      </w:r>
      <w:proofErr w:type="spellStart"/>
      <w:r w:rsidRPr="00983D23">
        <w:rPr>
          <w:rFonts w:ascii="Arial Narrow" w:hAnsi="Arial Narrow"/>
          <w:sz w:val="18"/>
          <w:szCs w:val="22"/>
        </w:rPr>
        <w:t>cabazitaxel</w:t>
      </w:r>
      <w:proofErr w:type="spellEnd"/>
      <w:r w:rsidRPr="00983D23">
        <w:rPr>
          <w:rFonts w:ascii="Arial Narrow" w:hAnsi="Arial Narrow"/>
          <w:sz w:val="18"/>
          <w:szCs w:val="22"/>
        </w:rPr>
        <w:t xml:space="preserve"> AEMP in the CUA to $946.16 to $595.32. </w:t>
      </w:r>
      <w:r w:rsidR="001E2488">
        <w:rPr>
          <w:rFonts w:ascii="Arial Narrow" w:hAnsi="Arial Narrow"/>
          <w:sz w:val="18"/>
          <w:szCs w:val="22"/>
        </w:rPr>
        <w:t>(</w:t>
      </w:r>
      <w:r w:rsidRPr="00983D23">
        <w:rPr>
          <w:rFonts w:ascii="Arial Narrow" w:hAnsi="Arial Narrow"/>
          <w:sz w:val="18"/>
          <w:szCs w:val="22"/>
        </w:rPr>
        <w:t>It is unclear why th</w:t>
      </w:r>
      <w:r w:rsidR="001E2488">
        <w:rPr>
          <w:rFonts w:ascii="Arial Narrow" w:hAnsi="Arial Narrow"/>
          <w:sz w:val="18"/>
          <w:szCs w:val="22"/>
        </w:rPr>
        <w:t>es</w:t>
      </w:r>
      <w:r w:rsidRPr="00983D23">
        <w:rPr>
          <w:rFonts w:ascii="Arial Narrow" w:hAnsi="Arial Narrow"/>
          <w:sz w:val="18"/>
          <w:szCs w:val="22"/>
        </w:rPr>
        <w:t xml:space="preserve">e results are </w:t>
      </w:r>
      <w:r w:rsidR="001E2488">
        <w:rPr>
          <w:rFonts w:ascii="Arial Narrow" w:hAnsi="Arial Narrow"/>
          <w:sz w:val="18"/>
          <w:szCs w:val="22"/>
        </w:rPr>
        <w:t xml:space="preserve">slightly </w:t>
      </w:r>
      <w:r w:rsidRPr="00983D23">
        <w:rPr>
          <w:rFonts w:ascii="Arial Narrow" w:hAnsi="Arial Narrow"/>
          <w:sz w:val="18"/>
          <w:szCs w:val="22"/>
        </w:rPr>
        <w:t>different to th</w:t>
      </w:r>
      <w:r w:rsidR="001E2488">
        <w:rPr>
          <w:rFonts w:ascii="Arial Narrow" w:hAnsi="Arial Narrow"/>
          <w:sz w:val="18"/>
          <w:szCs w:val="22"/>
        </w:rPr>
        <w:t>ose</w:t>
      </w:r>
      <w:r w:rsidRPr="00983D23">
        <w:rPr>
          <w:rFonts w:ascii="Arial Narrow" w:hAnsi="Arial Narrow"/>
          <w:sz w:val="18"/>
          <w:szCs w:val="22"/>
        </w:rPr>
        <w:t xml:space="preserve"> presented in Table </w:t>
      </w:r>
      <w:r w:rsidR="001E2488">
        <w:rPr>
          <w:rFonts w:ascii="Arial Narrow" w:hAnsi="Arial Narrow"/>
          <w:sz w:val="18"/>
          <w:szCs w:val="22"/>
        </w:rPr>
        <w:t>12</w:t>
      </w:r>
      <w:r w:rsidRPr="00983D23">
        <w:rPr>
          <w:rFonts w:ascii="Arial Narrow" w:hAnsi="Arial Narrow"/>
          <w:sz w:val="18"/>
          <w:szCs w:val="22"/>
        </w:rPr>
        <w:t>.</w:t>
      </w:r>
      <w:r w:rsidR="001E2488">
        <w:rPr>
          <w:rFonts w:ascii="Arial Narrow" w:hAnsi="Arial Narrow"/>
          <w:sz w:val="18"/>
          <w:szCs w:val="22"/>
        </w:rPr>
        <w:t>)</w:t>
      </w:r>
    </w:p>
    <w:p w14:paraId="040848CC" w14:textId="57D4AF7C" w:rsidR="0078536C" w:rsidRPr="00983D23" w:rsidRDefault="0078536C" w:rsidP="00066DBF">
      <w:pPr>
        <w:pStyle w:val="TableFigNotes18"/>
        <w:keepNext/>
        <w:rPr>
          <w:rFonts w:ascii="Arial Narrow" w:hAnsi="Arial Narrow"/>
          <w:sz w:val="18"/>
          <w:szCs w:val="22"/>
        </w:rPr>
      </w:pPr>
      <w:r w:rsidRPr="00983D23">
        <w:rPr>
          <w:rFonts w:ascii="Arial Narrow" w:hAnsi="Arial Narrow"/>
          <w:sz w:val="18"/>
          <w:szCs w:val="22"/>
          <w:vertAlign w:val="superscript"/>
        </w:rPr>
        <w:t>2</w:t>
      </w:r>
      <w:r w:rsidRPr="00983D23">
        <w:rPr>
          <w:rFonts w:ascii="Arial Narrow" w:hAnsi="Arial Narrow"/>
          <w:sz w:val="18"/>
          <w:szCs w:val="22"/>
        </w:rPr>
        <w:t xml:space="preserve"> Relative to the amended base</w:t>
      </w:r>
      <w:r w:rsidR="00983D23">
        <w:rPr>
          <w:rFonts w:ascii="Arial Narrow" w:hAnsi="Arial Narrow"/>
          <w:sz w:val="18"/>
          <w:szCs w:val="22"/>
        </w:rPr>
        <w:t xml:space="preserve"> </w:t>
      </w:r>
      <w:r w:rsidRPr="00983D23">
        <w:rPr>
          <w:rFonts w:ascii="Arial Narrow" w:hAnsi="Arial Narrow"/>
          <w:sz w:val="18"/>
          <w:szCs w:val="22"/>
        </w:rPr>
        <w:t>case.</w:t>
      </w:r>
    </w:p>
    <w:p w14:paraId="4CDD6F9C" w14:textId="3E8D706C" w:rsidR="0078536C" w:rsidRPr="00983D23" w:rsidRDefault="0078536C" w:rsidP="00066DBF">
      <w:pPr>
        <w:pStyle w:val="TableFigNotes18"/>
        <w:keepNext/>
        <w:rPr>
          <w:rFonts w:ascii="Arial Narrow" w:hAnsi="Arial Narrow"/>
          <w:sz w:val="18"/>
          <w:szCs w:val="22"/>
        </w:rPr>
      </w:pPr>
      <w:r w:rsidRPr="00983D23">
        <w:rPr>
          <w:rFonts w:ascii="Arial Narrow" w:hAnsi="Arial Narrow"/>
          <w:sz w:val="18"/>
          <w:szCs w:val="22"/>
          <w:vertAlign w:val="superscript"/>
        </w:rPr>
        <w:t>3</w:t>
      </w:r>
      <w:r w:rsidRPr="00983D23">
        <w:rPr>
          <w:rFonts w:ascii="Arial Narrow" w:hAnsi="Arial Narrow"/>
          <w:sz w:val="18"/>
          <w:szCs w:val="22"/>
        </w:rPr>
        <w:t xml:space="preserve"> Amending </w:t>
      </w:r>
      <w:r w:rsidRPr="00983D23">
        <w:rPr>
          <w:rFonts w:ascii="Arial Narrow" w:hAnsi="Arial Narrow"/>
          <w:sz w:val="18"/>
          <w:szCs w:val="22"/>
          <w:vertAlign w:val="superscript"/>
        </w:rPr>
        <w:t>177</w:t>
      </w:r>
      <w:r w:rsidRPr="00983D23">
        <w:rPr>
          <w:rFonts w:ascii="Arial Narrow" w:hAnsi="Arial Narrow"/>
          <w:sz w:val="18"/>
          <w:szCs w:val="22"/>
        </w:rPr>
        <w:t>Lu</w:t>
      </w:r>
      <w:r w:rsidR="00983D23">
        <w:rPr>
          <w:rFonts w:ascii="Arial Narrow" w:hAnsi="Arial Narrow"/>
          <w:sz w:val="18"/>
          <w:szCs w:val="22"/>
        </w:rPr>
        <w:t> </w:t>
      </w:r>
      <w:r w:rsidRPr="00983D23">
        <w:rPr>
          <w:rFonts w:ascii="Arial Narrow" w:hAnsi="Arial Narrow"/>
          <w:sz w:val="18"/>
          <w:szCs w:val="22"/>
        </w:rPr>
        <w:t>PSMA</w:t>
      </w:r>
      <w:r w:rsidR="00F37E00">
        <w:rPr>
          <w:rFonts w:ascii="Arial Narrow" w:hAnsi="Arial Narrow"/>
          <w:sz w:val="18"/>
          <w:szCs w:val="22"/>
        </w:rPr>
        <w:t> </w:t>
      </w:r>
      <w:proofErr w:type="spellStart"/>
      <w:r w:rsidR="00F37E00" w:rsidRPr="00F37E00">
        <w:rPr>
          <w:rFonts w:ascii="Arial Narrow" w:hAnsi="Arial Narrow"/>
          <w:sz w:val="18"/>
          <w:szCs w:val="22"/>
        </w:rPr>
        <w:t>i&amp;t</w:t>
      </w:r>
      <w:proofErr w:type="spellEnd"/>
      <w:r w:rsidRPr="00983D23">
        <w:rPr>
          <w:rFonts w:ascii="Arial Narrow" w:hAnsi="Arial Narrow"/>
          <w:sz w:val="18"/>
          <w:szCs w:val="22"/>
        </w:rPr>
        <w:t xml:space="preserve">: </w:t>
      </w:r>
      <w:proofErr w:type="spellStart"/>
      <w:r w:rsidRPr="00983D23">
        <w:rPr>
          <w:rFonts w:ascii="Arial Narrow" w:hAnsi="Arial Narrow"/>
          <w:sz w:val="18"/>
          <w:szCs w:val="22"/>
        </w:rPr>
        <w:t>cabazitaxel</w:t>
      </w:r>
      <w:proofErr w:type="spellEnd"/>
      <w:r w:rsidRPr="00983D23">
        <w:rPr>
          <w:rFonts w:ascii="Arial Narrow" w:hAnsi="Arial Narrow"/>
          <w:sz w:val="18"/>
          <w:szCs w:val="22"/>
        </w:rPr>
        <w:t xml:space="preserve"> OS and PFS HR to 1 and 0.62, respectively.</w:t>
      </w:r>
    </w:p>
    <w:p w14:paraId="660F81AC" w14:textId="77777777" w:rsidR="0078536C" w:rsidRPr="00983D23" w:rsidRDefault="0078536C" w:rsidP="00066DBF">
      <w:pPr>
        <w:pStyle w:val="TableFigNotes18"/>
        <w:keepNext/>
        <w:rPr>
          <w:rFonts w:ascii="Arial Narrow" w:hAnsi="Arial Narrow"/>
          <w:sz w:val="18"/>
          <w:szCs w:val="22"/>
        </w:rPr>
      </w:pPr>
      <w:r w:rsidRPr="00983D23">
        <w:rPr>
          <w:rFonts w:ascii="Arial Narrow" w:hAnsi="Arial Narrow"/>
          <w:sz w:val="18"/>
          <w:szCs w:val="22"/>
          <w:vertAlign w:val="superscript"/>
        </w:rPr>
        <w:t>4</w:t>
      </w:r>
      <w:r w:rsidRPr="00983D23">
        <w:rPr>
          <w:rFonts w:ascii="Arial Narrow" w:hAnsi="Arial Narrow"/>
          <w:sz w:val="18"/>
          <w:szCs w:val="22"/>
        </w:rPr>
        <w:t xml:space="preserve"> Assumes a median of 18 weeks of treatment (1 dose every 6 weeks equating to 3 total doses)</w:t>
      </w:r>
    </w:p>
    <w:p w14:paraId="05355C5B" w14:textId="2D2C78FD" w:rsidR="00066DBF" w:rsidRDefault="0078536C" w:rsidP="001E2488">
      <w:pPr>
        <w:pStyle w:val="TableFigNotes18"/>
        <w:keepNext/>
        <w:ind w:left="0" w:firstLine="0"/>
        <w:rPr>
          <w:rFonts w:ascii="Arial Narrow" w:hAnsi="Arial Narrow"/>
          <w:bCs w:val="0"/>
          <w:iCs w:val="0"/>
          <w:sz w:val="18"/>
          <w:szCs w:val="22"/>
        </w:rPr>
      </w:pPr>
      <w:r w:rsidRPr="00983D23">
        <w:rPr>
          <w:rFonts w:ascii="Arial Narrow" w:hAnsi="Arial Narrow"/>
          <w:bCs w:val="0"/>
          <w:iCs w:val="0"/>
          <w:sz w:val="18"/>
          <w:szCs w:val="22"/>
        </w:rPr>
        <w:t xml:space="preserve">Abbreviations: </w:t>
      </w:r>
      <w:r w:rsidRPr="00983D23">
        <w:rPr>
          <w:rFonts w:ascii="Arial Narrow" w:hAnsi="Arial Narrow"/>
          <w:bCs w:val="0"/>
          <w:iCs w:val="0"/>
          <w:sz w:val="18"/>
          <w:szCs w:val="22"/>
          <w:vertAlign w:val="superscript"/>
        </w:rPr>
        <w:t>177</w:t>
      </w:r>
      <w:r w:rsidRPr="00983D23">
        <w:rPr>
          <w:rFonts w:ascii="Arial Narrow" w:hAnsi="Arial Narrow"/>
          <w:bCs w:val="0"/>
          <w:iCs w:val="0"/>
          <w:sz w:val="18"/>
          <w:szCs w:val="22"/>
        </w:rPr>
        <w:t xml:space="preserve">Lu, lutetium-177; </w:t>
      </w:r>
      <w:r w:rsidR="002D76D8">
        <w:rPr>
          <w:rFonts w:ascii="Arial Narrow" w:hAnsi="Arial Narrow"/>
          <w:bCs w:val="0"/>
          <w:iCs w:val="0"/>
          <w:sz w:val="18"/>
          <w:szCs w:val="22"/>
        </w:rPr>
        <w:t xml:space="preserve">BSc, best supportive care; </w:t>
      </w:r>
      <w:r w:rsidRPr="00983D23">
        <w:rPr>
          <w:rFonts w:ascii="Arial Narrow" w:hAnsi="Arial Narrow"/>
          <w:bCs w:val="0"/>
          <w:iCs w:val="0"/>
          <w:sz w:val="18"/>
          <w:szCs w:val="22"/>
        </w:rPr>
        <w:t>ICER, incremental cost-effectiveness ratio; MVS, multivariate scenario; PSCR, pre-subcommittee response; PSMA, prostate-specific membrane antigen; QALY, quality-adjusted life year</w:t>
      </w:r>
    </w:p>
    <w:p w14:paraId="5375452D" w14:textId="2622AFA6" w:rsidR="0078536C" w:rsidRPr="00E12710" w:rsidRDefault="00804AB3" w:rsidP="00983D23">
      <w:pPr>
        <w:pStyle w:val="TableFigNotes18"/>
      </w:pPr>
      <w:r w:rsidRPr="00D54560">
        <w:rPr>
          <w:rFonts w:ascii="Arial Narrow" w:hAnsi="Arial Narrow"/>
          <w:sz w:val="18"/>
          <w:szCs w:val="22"/>
        </w:rPr>
        <w:t xml:space="preserve">Source: </w:t>
      </w:r>
      <w:r>
        <w:rPr>
          <w:rFonts w:ascii="Arial Narrow" w:hAnsi="Arial Narrow"/>
          <w:sz w:val="18"/>
          <w:szCs w:val="22"/>
        </w:rPr>
        <w:t xml:space="preserve">Table 3, p8 of the </w:t>
      </w:r>
      <w:r w:rsidR="00066DBF">
        <w:rPr>
          <w:rFonts w:ascii="Arial Narrow" w:hAnsi="Arial Narrow"/>
          <w:sz w:val="18"/>
          <w:szCs w:val="22"/>
        </w:rPr>
        <w:t>p</w:t>
      </w:r>
      <w:r>
        <w:rPr>
          <w:rFonts w:ascii="Arial Narrow" w:hAnsi="Arial Narrow"/>
          <w:sz w:val="18"/>
          <w:szCs w:val="22"/>
        </w:rPr>
        <w:t>re-MSAC response</w:t>
      </w:r>
    </w:p>
    <w:p w14:paraId="25AE2BAC" w14:textId="4F19F6ED" w:rsidR="00772829" w:rsidRPr="00CE28E3" w:rsidRDefault="00C36633" w:rsidP="002A18BE">
      <w:pPr>
        <w:pStyle w:val="Heading2"/>
        <w:numPr>
          <w:ilvl w:val="0"/>
          <w:numId w:val="0"/>
        </w:numPr>
      </w:pPr>
      <w:bookmarkStart w:id="47" w:name="_Toc69491426"/>
      <w:bookmarkEnd w:id="44"/>
      <w:r>
        <w:t>1</w:t>
      </w:r>
      <w:r w:rsidR="006669BE">
        <w:t>4</w:t>
      </w:r>
      <w:r>
        <w:t>.</w:t>
      </w:r>
      <w:r>
        <w:tab/>
      </w:r>
      <w:r w:rsidR="00772829" w:rsidRPr="00CE28E3">
        <w:t>Financial/budgetary impacts</w:t>
      </w:r>
      <w:bookmarkEnd w:id="47"/>
    </w:p>
    <w:p w14:paraId="4FE2390F" w14:textId="53B91C91" w:rsidR="0072578A" w:rsidRPr="003F0F9B" w:rsidRDefault="00D428B9" w:rsidP="00330A0A">
      <w:r w:rsidRPr="00CE28E3">
        <w:t>The financial implications to the</w:t>
      </w:r>
      <w:r w:rsidR="00B05AD9">
        <w:t xml:space="preserve"> </w:t>
      </w:r>
      <w:r w:rsidRPr="00B05AD9">
        <w:t>MBS</w:t>
      </w:r>
      <w:r w:rsidR="00B05AD9" w:rsidRPr="00B05AD9">
        <w:t xml:space="preserve"> a</w:t>
      </w:r>
      <w:r w:rsidR="00B05AD9">
        <w:t>nd PBS/RPBS</w:t>
      </w:r>
      <w:r w:rsidRPr="00CE28E3">
        <w:t xml:space="preserve"> resulting from the proposed listing of </w:t>
      </w:r>
      <w:r w:rsidR="00B05AD9">
        <w:t xml:space="preserve">PSMA PET/CT and </w:t>
      </w:r>
      <w:r w:rsidR="00B05AD9">
        <w:rPr>
          <w:vertAlign w:val="superscript"/>
        </w:rPr>
        <w:t>177</w:t>
      </w:r>
      <w:r w:rsidR="009F7816">
        <w:t>Lu </w:t>
      </w:r>
      <w:r w:rsidR="00886914">
        <w:t>PSMA </w:t>
      </w:r>
      <w:proofErr w:type="spellStart"/>
      <w:r w:rsidR="00886914">
        <w:t>i&amp;t</w:t>
      </w:r>
      <w:proofErr w:type="spellEnd"/>
      <w:r w:rsidRPr="00CE28E3">
        <w:t xml:space="preserve"> are summarised in</w:t>
      </w:r>
      <w:r w:rsidR="00F52F26">
        <w:t xml:space="preserve"> Table 1</w:t>
      </w:r>
      <w:r w:rsidR="0078536C">
        <w:t>4</w:t>
      </w:r>
      <w:r w:rsidRPr="00CE28E3">
        <w:t xml:space="preserve">. </w:t>
      </w:r>
      <w:r w:rsidR="00B05AD9" w:rsidRPr="003F0F9B">
        <w:t>As for the economic evaluation, the result</w:t>
      </w:r>
      <w:r w:rsidR="00931735" w:rsidRPr="003F0F9B">
        <w:t>s</w:t>
      </w:r>
      <w:r w:rsidR="00B05AD9" w:rsidRPr="003F0F9B">
        <w:t xml:space="preserve"> below reflect the recent </w:t>
      </w:r>
      <w:proofErr w:type="spellStart"/>
      <w:r w:rsidR="00B05AD9" w:rsidRPr="003F0F9B">
        <w:t>cabazitaxel</w:t>
      </w:r>
      <w:proofErr w:type="spellEnd"/>
      <w:r w:rsidR="00B05AD9" w:rsidRPr="003F0F9B">
        <w:t xml:space="preserve"> price reduction.</w:t>
      </w:r>
    </w:p>
    <w:p w14:paraId="2E325D42" w14:textId="3BC4F0DC" w:rsidR="00A053EF" w:rsidRPr="00A053EF" w:rsidRDefault="00A053EF" w:rsidP="00330A0A">
      <w:r w:rsidRPr="00A053EF">
        <w:t xml:space="preserve">The estimates </w:t>
      </w:r>
      <w:r w:rsidR="003F0F9B">
        <w:t>we</w:t>
      </w:r>
      <w:r w:rsidRPr="00A053EF">
        <w:t xml:space="preserve">re derived </w:t>
      </w:r>
      <w:r w:rsidR="00D01313">
        <w:t>using</w:t>
      </w:r>
      <w:r w:rsidRPr="00A053EF">
        <w:t xml:space="preserve"> the following assumptions:</w:t>
      </w:r>
    </w:p>
    <w:p w14:paraId="2B6326CC" w14:textId="67B56387" w:rsidR="00A053EF" w:rsidRPr="003F0F9B" w:rsidRDefault="00FC1F71" w:rsidP="00A053EF">
      <w:pPr>
        <w:pStyle w:val="ListParagraph"/>
        <w:numPr>
          <w:ilvl w:val="0"/>
          <w:numId w:val="28"/>
        </w:numPr>
        <w:ind w:left="284" w:hanging="284"/>
      </w:pPr>
      <w:r w:rsidRPr="00C707E5">
        <w:t xml:space="preserve">‘Number of people who receive PSMA PET/CT’: </w:t>
      </w:r>
      <w:r w:rsidR="00A053EF" w:rsidRPr="00C707E5">
        <w:t xml:space="preserve">11.5% uptake in </w:t>
      </w:r>
      <w:r w:rsidRPr="00C707E5">
        <w:t>Y</w:t>
      </w:r>
      <w:r w:rsidR="00A053EF" w:rsidRPr="00C707E5">
        <w:t xml:space="preserve">ear </w:t>
      </w:r>
      <w:r w:rsidRPr="00C707E5">
        <w:t xml:space="preserve">1 </w:t>
      </w:r>
      <w:r w:rsidR="00A053EF" w:rsidRPr="00C707E5">
        <w:t xml:space="preserve">(based on expert clinical opinion/applicant assumption), with a relative increase of 11.5% per year to determine the number of patients who undergo testing with PSMA PET/CT to determine </w:t>
      </w:r>
      <w:r w:rsidR="00A053EF" w:rsidRPr="00C707E5">
        <w:rPr>
          <w:vertAlign w:val="superscript"/>
        </w:rPr>
        <w:t>177</w:t>
      </w:r>
      <w:r w:rsidR="009F7816">
        <w:t>Lu </w:t>
      </w:r>
      <w:r w:rsidR="00886914">
        <w:t>PSMA </w:t>
      </w:r>
      <w:proofErr w:type="spellStart"/>
      <w:r w:rsidR="00886914">
        <w:t>i&amp;t</w:t>
      </w:r>
      <w:proofErr w:type="spellEnd"/>
      <w:r w:rsidR="00A053EF" w:rsidRPr="00C707E5">
        <w:t xml:space="preserve"> eligibility</w:t>
      </w:r>
      <w:r w:rsidR="00361D77" w:rsidRPr="00C707E5">
        <w:t xml:space="preserve">. </w:t>
      </w:r>
      <w:r w:rsidR="003F0F9B">
        <w:t>The commentary considered that a</w:t>
      </w:r>
      <w:r w:rsidR="00361D77" w:rsidRPr="003F0F9B">
        <w:t>n initial uptake of 11.5% and relative increase of 11.5% per year for a last-line therapy in patients who are at the end of their clinical course appear</w:t>
      </w:r>
      <w:r w:rsidR="003F0F9B">
        <w:t>ed</w:t>
      </w:r>
      <w:r w:rsidR="00361D77" w:rsidRPr="003F0F9B">
        <w:t xml:space="preserve"> to be low. The ADAR appropriately tested this in sensitivity analyses, but only up to 15%. </w:t>
      </w:r>
      <w:r w:rsidR="003F0F9B">
        <w:t xml:space="preserve">However, </w:t>
      </w:r>
      <w:r w:rsidR="00361D77" w:rsidRPr="003F0F9B">
        <w:t>the uptake could be greater, although there may be constraints on growth in patient numbers given only certain centres can deliver the intervention.</w:t>
      </w:r>
    </w:p>
    <w:p w14:paraId="505D706F" w14:textId="3C1680A3" w:rsidR="00FC1F71" w:rsidRPr="00C707E5" w:rsidRDefault="00FC1F71" w:rsidP="00A053EF">
      <w:pPr>
        <w:pStyle w:val="ListParagraph"/>
        <w:numPr>
          <w:ilvl w:val="0"/>
          <w:numId w:val="28"/>
        </w:numPr>
        <w:ind w:left="284" w:hanging="284"/>
      </w:pPr>
      <w:r w:rsidRPr="00C707E5">
        <w:t xml:space="preserve">‘Number of people who are eligible and receive </w:t>
      </w:r>
      <w:r w:rsidRPr="00C707E5">
        <w:rPr>
          <w:vertAlign w:val="superscript"/>
        </w:rPr>
        <w:t>177</w:t>
      </w:r>
      <w:r w:rsidR="009F7816">
        <w:t>Lu </w:t>
      </w:r>
      <w:r w:rsidR="00886914">
        <w:t>PSMA </w:t>
      </w:r>
      <w:proofErr w:type="spellStart"/>
      <w:r w:rsidR="00886914">
        <w:t>i&amp;t</w:t>
      </w:r>
      <w:proofErr w:type="spellEnd"/>
      <w:r w:rsidRPr="00C707E5">
        <w:t xml:space="preserve">’: 90% of those undergoing PSMA PET/CT </w:t>
      </w:r>
      <w:r w:rsidR="00D01313" w:rsidRPr="00C707E5">
        <w:t xml:space="preserve">would meet eligibility criteria </w:t>
      </w:r>
      <w:r w:rsidRPr="00C707E5">
        <w:t>(</w:t>
      </w:r>
      <w:proofErr w:type="spellStart"/>
      <w:r w:rsidR="00D01313" w:rsidRPr="00C707E5">
        <w:t>SUV</w:t>
      </w:r>
      <w:r w:rsidR="00D01313" w:rsidRPr="00C707E5">
        <w:rPr>
          <w:vertAlign w:val="subscript"/>
        </w:rPr>
        <w:t>max</w:t>
      </w:r>
      <w:proofErr w:type="spellEnd"/>
      <w:r w:rsidR="00D01313" w:rsidRPr="00C707E5">
        <w:t xml:space="preserve"> &gt;15 at a site of disease and &gt;10 at all other measurable sites of metastatic disease). Based on </w:t>
      </w:r>
      <w:proofErr w:type="spellStart"/>
      <w:r w:rsidRPr="00C707E5">
        <w:t>TheraP</w:t>
      </w:r>
      <w:proofErr w:type="spellEnd"/>
      <w:r w:rsidRPr="00C707E5">
        <w:t xml:space="preserve">, where 262 of the 291 </w:t>
      </w:r>
      <w:r w:rsidR="00D01313" w:rsidRPr="00C707E5">
        <w:t xml:space="preserve">[90.0%] </w:t>
      </w:r>
      <w:r w:rsidRPr="00C707E5">
        <w:t>patients sc</w:t>
      </w:r>
      <w:r w:rsidR="00250B75">
        <w:t>an</w:t>
      </w:r>
      <w:r w:rsidRPr="00C707E5">
        <w:t>ned with PSMA PET/CT showed adequate PSMA uptake</w:t>
      </w:r>
      <w:r w:rsidR="00D01313" w:rsidRPr="00C707E5">
        <w:t xml:space="preserve"> [</w:t>
      </w:r>
      <w:proofErr w:type="spellStart"/>
      <w:r w:rsidR="00D01313" w:rsidRPr="00C707E5">
        <w:t>SUV</w:t>
      </w:r>
      <w:r w:rsidR="00D01313" w:rsidRPr="00C707E5">
        <w:rPr>
          <w:vertAlign w:val="subscript"/>
        </w:rPr>
        <w:t>max</w:t>
      </w:r>
      <w:proofErr w:type="spellEnd"/>
      <w:r w:rsidR="00D01313" w:rsidRPr="00C707E5">
        <w:t xml:space="preserve"> ≥20 at a site of disease and &gt;10 at all other measurable sites of metastatic disease]</w:t>
      </w:r>
      <w:r w:rsidRPr="00C707E5">
        <w:t>)</w:t>
      </w:r>
      <w:r w:rsidR="00D01313" w:rsidRPr="00C707E5">
        <w:t xml:space="preserve">. Assume 100% of those who meet eligibility will receive </w:t>
      </w:r>
      <w:r w:rsidR="00D01313" w:rsidRPr="00C707E5">
        <w:rPr>
          <w:vertAlign w:val="superscript"/>
        </w:rPr>
        <w:t>177</w:t>
      </w:r>
      <w:r w:rsidR="009F7816">
        <w:t>Lu </w:t>
      </w:r>
      <w:r w:rsidR="00886914">
        <w:t>PSMA </w:t>
      </w:r>
      <w:proofErr w:type="spellStart"/>
      <w:r w:rsidR="00886914">
        <w:t>i&amp;t</w:t>
      </w:r>
      <w:proofErr w:type="spellEnd"/>
      <w:r w:rsidR="003F0F9B">
        <w:t>.</w:t>
      </w:r>
    </w:p>
    <w:p w14:paraId="1C01AACD" w14:textId="10A7AE7D" w:rsidR="00FC1F71" w:rsidRPr="00C707E5" w:rsidRDefault="00FC1F71" w:rsidP="00A053EF">
      <w:pPr>
        <w:pStyle w:val="ListParagraph"/>
        <w:numPr>
          <w:ilvl w:val="0"/>
          <w:numId w:val="28"/>
        </w:numPr>
        <w:ind w:left="284" w:hanging="284"/>
      </w:pPr>
      <w:r w:rsidRPr="00C707E5">
        <w:t xml:space="preserve">‘Number of people who would have otherwise had </w:t>
      </w:r>
      <w:proofErr w:type="spellStart"/>
      <w:r w:rsidRPr="00C707E5">
        <w:t>cabazitaxel</w:t>
      </w:r>
      <w:proofErr w:type="spellEnd"/>
      <w:r w:rsidRPr="00C707E5">
        <w:t xml:space="preserve">’: 75% of those who are ‘eligible and receive </w:t>
      </w:r>
      <w:r w:rsidRPr="00C707E5">
        <w:rPr>
          <w:vertAlign w:val="superscript"/>
        </w:rPr>
        <w:t>177</w:t>
      </w:r>
      <w:r w:rsidR="009F7816">
        <w:t>Lu </w:t>
      </w:r>
      <w:r w:rsidR="00886914">
        <w:t>PSMA </w:t>
      </w:r>
      <w:proofErr w:type="spellStart"/>
      <w:r w:rsidR="00886914">
        <w:t>i&amp;t</w:t>
      </w:r>
      <w:proofErr w:type="spellEnd"/>
      <w:r w:rsidRPr="00C707E5">
        <w:t>’</w:t>
      </w:r>
      <w:r w:rsidR="00D01313" w:rsidRPr="00C707E5">
        <w:t xml:space="preserve">, remainder would have otherwise received </w:t>
      </w:r>
      <w:r w:rsidR="00DB005C">
        <w:t>best supportive care</w:t>
      </w:r>
      <w:r w:rsidRPr="00C707E5">
        <w:t xml:space="preserve"> (consistent with the base case of the modelled economic evaluation).</w:t>
      </w:r>
      <w:r w:rsidR="00BA2F4E" w:rsidRPr="00C707E5">
        <w:t xml:space="preserve"> </w:t>
      </w:r>
      <w:proofErr w:type="gramStart"/>
      <w:r w:rsidR="00BA2F4E" w:rsidRPr="003F0F9B">
        <w:t>All of</w:t>
      </w:r>
      <w:proofErr w:type="gramEnd"/>
      <w:r w:rsidR="00BA2F4E" w:rsidRPr="003F0F9B">
        <w:t xml:space="preserve"> this </w:t>
      </w:r>
      <w:proofErr w:type="spellStart"/>
      <w:r w:rsidR="00BA2F4E" w:rsidRPr="003F0F9B">
        <w:t>cabazitaxel</w:t>
      </w:r>
      <w:proofErr w:type="spellEnd"/>
      <w:r w:rsidR="00BA2F4E" w:rsidRPr="003F0F9B">
        <w:t xml:space="preserve"> use is assumed to be replaced, which is inconsistent with the modelled economic evaluation </w:t>
      </w:r>
      <w:r w:rsidR="00BA2F4E" w:rsidRPr="003F0F9B">
        <w:lastRenderedPageBreak/>
        <w:t xml:space="preserve">that assumed 18% of patients had post </w:t>
      </w:r>
      <w:r w:rsidR="00BA2F4E" w:rsidRPr="003F0F9B">
        <w:rPr>
          <w:vertAlign w:val="superscript"/>
        </w:rPr>
        <w:t>177</w:t>
      </w:r>
      <w:r w:rsidR="009F7816">
        <w:t>Lu PSMA</w:t>
      </w:r>
      <w:r w:rsidR="00F37E00">
        <w:t> </w:t>
      </w:r>
      <w:proofErr w:type="spellStart"/>
      <w:r w:rsidR="00F37E00">
        <w:t>i&amp;t</w:t>
      </w:r>
      <w:proofErr w:type="spellEnd"/>
      <w:r w:rsidR="00BA2F4E" w:rsidRPr="003F0F9B">
        <w:t xml:space="preserve"> </w:t>
      </w:r>
      <w:proofErr w:type="spellStart"/>
      <w:r w:rsidR="00BA2F4E" w:rsidRPr="003F0F9B">
        <w:t>cabazitaxel</w:t>
      </w:r>
      <w:proofErr w:type="spellEnd"/>
      <w:r w:rsidR="00BA2F4E" w:rsidRPr="003F0F9B">
        <w:t xml:space="preserve"> treatment, reportedly based on </w:t>
      </w:r>
      <w:proofErr w:type="spellStart"/>
      <w:r w:rsidR="00BA2F4E" w:rsidRPr="003F0F9B">
        <w:t>TheraP.</w:t>
      </w:r>
      <w:proofErr w:type="spellEnd"/>
      <w:r w:rsidR="00BA2F4E" w:rsidRPr="003F0F9B">
        <w:t xml:space="preserve"> This could not be sourced from </w:t>
      </w:r>
      <w:proofErr w:type="spellStart"/>
      <w:r w:rsidR="00BA2F4E" w:rsidRPr="003F0F9B">
        <w:t>TheraP</w:t>
      </w:r>
      <w:proofErr w:type="spellEnd"/>
      <w:r w:rsidR="00BA2F4E" w:rsidRPr="003F0F9B">
        <w:t xml:space="preserve">, however VISION reported subsequent use, 82 of 551 (14.9%) patients randomised to </w:t>
      </w:r>
      <w:r w:rsidR="00BA2F4E" w:rsidRPr="003F0F9B">
        <w:rPr>
          <w:vertAlign w:val="superscript"/>
        </w:rPr>
        <w:t>177</w:t>
      </w:r>
      <w:r w:rsidR="009F7816">
        <w:t>Lu PSMA</w:t>
      </w:r>
      <w:r w:rsidR="00BA2F4E" w:rsidRPr="003F0F9B">
        <w:t xml:space="preserve">-617 in VISION underwent subsequent treatment with </w:t>
      </w:r>
      <w:proofErr w:type="spellStart"/>
      <w:r w:rsidR="00BA2F4E" w:rsidRPr="003F0F9B">
        <w:t>cabazitaxel</w:t>
      </w:r>
      <w:proofErr w:type="spellEnd"/>
      <w:r w:rsidR="00D171E4">
        <w:t>.</w:t>
      </w:r>
    </w:p>
    <w:p w14:paraId="33FCA9D4" w14:textId="612FEAB2" w:rsidR="00D428B9" w:rsidRPr="00CE28E3" w:rsidRDefault="00D428B9" w:rsidP="00215AFB">
      <w:pPr>
        <w:pStyle w:val="Caption"/>
      </w:pPr>
      <w:bookmarkStart w:id="48" w:name="_Ref69726382"/>
      <w:r w:rsidRPr="00CE28E3">
        <w:t>Table</w:t>
      </w:r>
      <w:r w:rsidR="003571C2">
        <w:t> </w:t>
      </w:r>
      <w:r w:rsidR="00F52F26">
        <w:t>1</w:t>
      </w:r>
      <w:bookmarkEnd w:id="48"/>
      <w:r w:rsidR="0078536C">
        <w:t>4</w:t>
      </w:r>
      <w:r w:rsidRPr="00CE28E3">
        <w:tab/>
        <w:t xml:space="preserve">Net financial implications of </w:t>
      </w:r>
      <w:r w:rsidR="00B05AD9" w:rsidRPr="00B05AD9">
        <w:t>PSMA PET/CT and 177</w:t>
      </w:r>
      <w:r w:rsidR="009F7816">
        <w:t>Lu </w:t>
      </w:r>
      <w:r w:rsidR="00886914">
        <w:t>PSMA </w:t>
      </w:r>
      <w:proofErr w:type="spellStart"/>
      <w:r w:rsidR="00886914">
        <w:t>i&amp;t</w:t>
      </w:r>
      <w:proofErr w:type="spellEnd"/>
      <w:r w:rsidR="00B05AD9" w:rsidRPr="00B05AD9">
        <w:t xml:space="preserve"> </w:t>
      </w:r>
      <w:r w:rsidRPr="00CE28E3">
        <w:t xml:space="preserve">to the </w:t>
      </w:r>
      <w:r w:rsidR="00B05AD9" w:rsidRPr="00B05AD9">
        <w:t>MBS and PBS/RPBS</w:t>
      </w:r>
    </w:p>
    <w:tbl>
      <w:tblPr>
        <w:tblStyle w:val="TableGrid1"/>
        <w:tblW w:w="0" w:type="auto"/>
        <w:tblLayout w:type="fixed"/>
        <w:tblCellMar>
          <w:left w:w="0" w:type="dxa"/>
          <w:right w:w="0" w:type="dxa"/>
        </w:tblCellMar>
        <w:tblLook w:val="04A0" w:firstRow="1" w:lastRow="0" w:firstColumn="1" w:lastColumn="0" w:noHBand="0" w:noVBand="1"/>
      </w:tblPr>
      <w:tblGrid>
        <w:gridCol w:w="2117"/>
        <w:gridCol w:w="1148"/>
        <w:gridCol w:w="1148"/>
        <w:gridCol w:w="1148"/>
        <w:gridCol w:w="1148"/>
        <w:gridCol w:w="1148"/>
        <w:gridCol w:w="1149"/>
      </w:tblGrid>
      <w:tr w:rsidR="00D428B9" w:rsidRPr="00CE28E3" w14:paraId="10C955A8" w14:textId="77777777" w:rsidTr="00BA2F4E">
        <w:trPr>
          <w:cnfStyle w:val="100000000000" w:firstRow="1" w:lastRow="0" w:firstColumn="0" w:lastColumn="0" w:oddVBand="0" w:evenVBand="0" w:oddHBand="0" w:evenHBand="0" w:firstRowFirstColumn="0" w:firstRowLastColumn="0" w:lastRowFirstColumn="0" w:lastRowLastColumn="0"/>
          <w:tblHeader/>
        </w:trPr>
        <w:tc>
          <w:tcPr>
            <w:tcW w:w="2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0BEFFF" w14:textId="0CA82C7A" w:rsidR="00D428B9" w:rsidRPr="00CE28E3" w:rsidRDefault="00211DC3" w:rsidP="00215AFB">
            <w:pPr>
              <w:pStyle w:val="TableText"/>
              <w:keepNext/>
              <w:rPr>
                <w:b/>
                <w:bCs/>
              </w:rPr>
            </w:pPr>
            <w:bookmarkStart w:id="49" w:name="Title_Table12" w:colFirst="0" w:colLast="0"/>
            <w:bookmarkStart w:id="50" w:name="_Hlk68276802"/>
            <w:r>
              <w:rPr>
                <w:b/>
                <w:bCs/>
              </w:rPr>
              <w:t>Parameter</w:t>
            </w:r>
          </w:p>
        </w:tc>
        <w:tc>
          <w:tcPr>
            <w:tcW w:w="1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02FC81" w14:textId="77777777" w:rsidR="00D428B9" w:rsidRPr="00CE28E3" w:rsidRDefault="00D428B9" w:rsidP="000F125F">
            <w:pPr>
              <w:pStyle w:val="TableText"/>
              <w:keepNext/>
              <w:jc w:val="center"/>
              <w:rPr>
                <w:b/>
                <w:bCs/>
              </w:rPr>
            </w:pPr>
            <w:r w:rsidRPr="00CE28E3">
              <w:rPr>
                <w:b/>
                <w:bCs/>
              </w:rPr>
              <w:t>Year 1</w:t>
            </w:r>
          </w:p>
        </w:tc>
        <w:tc>
          <w:tcPr>
            <w:tcW w:w="1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9DA5DF" w14:textId="77777777" w:rsidR="00D428B9" w:rsidRPr="00CE28E3" w:rsidRDefault="00D428B9" w:rsidP="000F125F">
            <w:pPr>
              <w:pStyle w:val="TableText"/>
              <w:keepNext/>
              <w:jc w:val="center"/>
              <w:rPr>
                <w:b/>
                <w:bCs/>
              </w:rPr>
            </w:pPr>
            <w:r w:rsidRPr="00CE28E3">
              <w:rPr>
                <w:b/>
                <w:bCs/>
              </w:rPr>
              <w:t>Year 2</w:t>
            </w:r>
          </w:p>
        </w:tc>
        <w:tc>
          <w:tcPr>
            <w:tcW w:w="1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F14104" w14:textId="77777777" w:rsidR="00D428B9" w:rsidRPr="00CE28E3" w:rsidRDefault="00D428B9" w:rsidP="000F125F">
            <w:pPr>
              <w:pStyle w:val="TableText"/>
              <w:keepNext/>
              <w:jc w:val="center"/>
              <w:rPr>
                <w:b/>
                <w:bCs/>
              </w:rPr>
            </w:pPr>
            <w:r w:rsidRPr="00CE28E3">
              <w:rPr>
                <w:b/>
                <w:bCs/>
              </w:rPr>
              <w:t>Year 3</w:t>
            </w:r>
          </w:p>
        </w:tc>
        <w:tc>
          <w:tcPr>
            <w:tcW w:w="1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580A99" w14:textId="77777777" w:rsidR="00D428B9" w:rsidRPr="00CE28E3" w:rsidRDefault="00D428B9" w:rsidP="000F125F">
            <w:pPr>
              <w:pStyle w:val="TableText"/>
              <w:keepNext/>
              <w:jc w:val="center"/>
              <w:rPr>
                <w:b/>
                <w:bCs/>
              </w:rPr>
            </w:pPr>
            <w:r w:rsidRPr="00CE28E3">
              <w:rPr>
                <w:b/>
                <w:bCs/>
              </w:rPr>
              <w:t>Year 4</w:t>
            </w:r>
          </w:p>
        </w:tc>
        <w:tc>
          <w:tcPr>
            <w:tcW w:w="1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9B68C0" w14:textId="77777777" w:rsidR="00D428B9" w:rsidRPr="00CE28E3" w:rsidRDefault="00D428B9" w:rsidP="000F125F">
            <w:pPr>
              <w:pStyle w:val="TableText"/>
              <w:keepNext/>
              <w:jc w:val="center"/>
              <w:rPr>
                <w:b/>
                <w:bCs/>
              </w:rPr>
            </w:pPr>
            <w:r w:rsidRPr="00CE28E3">
              <w:rPr>
                <w:b/>
                <w:bCs/>
              </w:rPr>
              <w:t>Year 5</w:t>
            </w:r>
          </w:p>
        </w:tc>
        <w:tc>
          <w:tcPr>
            <w:tcW w:w="11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E4711" w14:textId="77777777" w:rsidR="00D428B9" w:rsidRPr="00CE28E3" w:rsidRDefault="00D428B9" w:rsidP="000F125F">
            <w:pPr>
              <w:pStyle w:val="TableText"/>
              <w:keepNext/>
              <w:jc w:val="center"/>
              <w:rPr>
                <w:b/>
                <w:bCs/>
              </w:rPr>
            </w:pPr>
            <w:r w:rsidRPr="00CE28E3">
              <w:rPr>
                <w:b/>
                <w:bCs/>
              </w:rPr>
              <w:t>Year 6</w:t>
            </w:r>
          </w:p>
        </w:tc>
      </w:tr>
      <w:bookmarkEnd w:id="49"/>
      <w:tr w:rsidR="00D428B9" w:rsidRPr="00CE28E3" w14:paraId="5778418C" w14:textId="77777777" w:rsidTr="00BA2F4E">
        <w:tc>
          <w:tcPr>
            <w:tcW w:w="900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E7D8E3" w14:textId="77777777" w:rsidR="00D428B9" w:rsidRPr="00CE28E3" w:rsidRDefault="00D428B9" w:rsidP="00215AFB">
            <w:pPr>
              <w:pStyle w:val="TableText"/>
              <w:keepNext/>
              <w:rPr>
                <w:b/>
                <w:bCs/>
              </w:rPr>
            </w:pPr>
            <w:r w:rsidRPr="00CE28E3">
              <w:rPr>
                <w:b/>
                <w:bCs/>
              </w:rPr>
              <w:t>Estimated use and cost of the proposed health technology</w:t>
            </w:r>
          </w:p>
        </w:tc>
      </w:tr>
      <w:tr w:rsidR="00802BAF" w:rsidRPr="00CE28E3" w14:paraId="16C50CDA" w14:textId="77777777" w:rsidTr="00BA2F4E">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783D5" w14:textId="1004D91C" w:rsidR="00802BAF" w:rsidRPr="00CE28E3" w:rsidRDefault="00802BAF" w:rsidP="00802BAF">
            <w:pPr>
              <w:pStyle w:val="TableText"/>
              <w:keepNext/>
            </w:pPr>
            <w:r w:rsidRPr="00CE28E3">
              <w:t xml:space="preserve">Number of people eligible for </w:t>
            </w:r>
            <w:r>
              <w:t>PSMA PET/CT</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95266" w14:textId="07336C95" w:rsidR="00802BAF" w:rsidRPr="00CE28E3" w:rsidRDefault="00802BAF" w:rsidP="00802BAF">
            <w:pPr>
              <w:pStyle w:val="TableText"/>
              <w:keepNext/>
              <w:jc w:val="center"/>
            </w:pPr>
            <w:r w:rsidRPr="00655546">
              <w:t>3,004</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47AB12F5" w14:textId="5AD9445A" w:rsidR="00802BAF" w:rsidRPr="00CE28E3" w:rsidRDefault="00802BAF" w:rsidP="00802BAF">
            <w:pPr>
              <w:pStyle w:val="TableText"/>
              <w:keepNext/>
              <w:jc w:val="center"/>
            </w:pPr>
            <w:r w:rsidRPr="00655546">
              <w:t>3,043</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09031D3F" w14:textId="5C2021B0" w:rsidR="00802BAF" w:rsidRPr="00CE28E3" w:rsidRDefault="00802BAF" w:rsidP="00802BAF">
            <w:pPr>
              <w:pStyle w:val="TableText"/>
              <w:keepNext/>
              <w:jc w:val="center"/>
            </w:pPr>
            <w:r w:rsidRPr="00655546">
              <w:t>3,083</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57859E00" w14:textId="57B9337B" w:rsidR="00802BAF" w:rsidRPr="00CE28E3" w:rsidRDefault="00802BAF" w:rsidP="00802BAF">
            <w:pPr>
              <w:pStyle w:val="TableText"/>
              <w:keepNext/>
              <w:jc w:val="center"/>
            </w:pPr>
            <w:r w:rsidRPr="00655546">
              <w:t>3,124</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3C0B54F8" w14:textId="76F8C7A7" w:rsidR="00802BAF" w:rsidRPr="00CE28E3" w:rsidRDefault="00802BAF" w:rsidP="00802BAF">
            <w:pPr>
              <w:pStyle w:val="TableText"/>
              <w:keepNext/>
              <w:jc w:val="center"/>
            </w:pPr>
            <w:r w:rsidRPr="00655546">
              <w:t>3,165</w:t>
            </w:r>
          </w:p>
        </w:tc>
        <w:tc>
          <w:tcPr>
            <w:tcW w:w="1149" w:type="dxa"/>
            <w:tcBorders>
              <w:top w:val="nil"/>
              <w:left w:val="nil"/>
              <w:bottom w:val="single" w:sz="8" w:space="0" w:color="auto"/>
              <w:right w:val="single" w:sz="8" w:space="0" w:color="auto"/>
            </w:tcBorders>
            <w:tcMar>
              <w:top w:w="0" w:type="dxa"/>
              <w:left w:w="108" w:type="dxa"/>
              <w:bottom w:w="0" w:type="dxa"/>
              <w:right w:w="108" w:type="dxa"/>
            </w:tcMar>
            <w:vAlign w:val="center"/>
          </w:tcPr>
          <w:p w14:paraId="19C7884F" w14:textId="411046EE" w:rsidR="00802BAF" w:rsidRPr="00CE28E3" w:rsidRDefault="00802BAF" w:rsidP="00802BAF">
            <w:pPr>
              <w:pStyle w:val="TableText"/>
              <w:keepNext/>
              <w:jc w:val="center"/>
            </w:pPr>
            <w:r w:rsidRPr="00655546">
              <w:t>3,206</w:t>
            </w:r>
          </w:p>
        </w:tc>
      </w:tr>
      <w:tr w:rsidR="00802BAF" w:rsidRPr="00CE28E3" w14:paraId="755DEAF4" w14:textId="77777777" w:rsidTr="00BA2F4E">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ACBFB" w14:textId="04AA6AB5" w:rsidR="00802BAF" w:rsidRPr="00BA2F4E" w:rsidRDefault="00802BAF" w:rsidP="00802BAF">
            <w:pPr>
              <w:pStyle w:val="TableText"/>
              <w:keepNext/>
              <w:rPr>
                <w:vertAlign w:val="superscript"/>
              </w:rPr>
            </w:pPr>
            <w:r w:rsidRPr="00CE28E3">
              <w:t xml:space="preserve">Number of people who receive </w:t>
            </w:r>
            <w:r>
              <w:t>PSMA PET/CT</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C02C49" w14:textId="41C43AA8" w:rsidR="00802BAF" w:rsidRPr="00CE28E3" w:rsidRDefault="00802BAF" w:rsidP="00802BAF">
            <w:pPr>
              <w:pStyle w:val="TableText"/>
              <w:keepNext/>
              <w:jc w:val="center"/>
            </w:pPr>
            <w:r w:rsidRPr="00C06DBE">
              <w:t>345</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726FA6A9" w14:textId="200B0AA3" w:rsidR="00802BAF" w:rsidRPr="00CE28E3" w:rsidRDefault="00802BAF" w:rsidP="00802BAF">
            <w:pPr>
              <w:pStyle w:val="TableText"/>
              <w:keepNext/>
              <w:jc w:val="center"/>
            </w:pPr>
            <w:r w:rsidRPr="00C06DBE">
              <w:t>390</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99FCD" w14:textId="62A3CD41" w:rsidR="00802BAF" w:rsidRPr="00CE28E3" w:rsidRDefault="00802BAF" w:rsidP="00802BAF">
            <w:pPr>
              <w:pStyle w:val="TableText"/>
              <w:keepNext/>
              <w:jc w:val="center"/>
            </w:pPr>
            <w:r w:rsidRPr="00C06DBE">
              <w:t>441</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49543F6F" w14:textId="41061FBD" w:rsidR="00802BAF" w:rsidRPr="00CE28E3" w:rsidRDefault="00802BAF" w:rsidP="00802BAF">
            <w:pPr>
              <w:pStyle w:val="TableText"/>
              <w:keepNext/>
              <w:jc w:val="center"/>
            </w:pPr>
            <w:r w:rsidRPr="00C06DBE">
              <w:t>498</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4012557F" w14:textId="22FC696F" w:rsidR="00802BAF" w:rsidRPr="00CE28E3" w:rsidRDefault="00802BAF" w:rsidP="00802BAF">
            <w:pPr>
              <w:pStyle w:val="TableText"/>
              <w:keepNext/>
              <w:jc w:val="center"/>
            </w:pPr>
            <w:r w:rsidRPr="00C06DBE">
              <w:t>563</w:t>
            </w:r>
          </w:p>
        </w:tc>
        <w:tc>
          <w:tcPr>
            <w:tcW w:w="1149" w:type="dxa"/>
            <w:tcBorders>
              <w:top w:val="nil"/>
              <w:left w:val="nil"/>
              <w:bottom w:val="single" w:sz="8" w:space="0" w:color="auto"/>
              <w:right w:val="single" w:sz="8" w:space="0" w:color="auto"/>
            </w:tcBorders>
            <w:tcMar>
              <w:top w:w="0" w:type="dxa"/>
              <w:left w:w="108" w:type="dxa"/>
              <w:bottom w:w="0" w:type="dxa"/>
              <w:right w:w="108" w:type="dxa"/>
            </w:tcMar>
            <w:vAlign w:val="center"/>
          </w:tcPr>
          <w:p w14:paraId="1A66D09E" w14:textId="48657DA6" w:rsidR="00802BAF" w:rsidRPr="00CE28E3" w:rsidRDefault="00802BAF" w:rsidP="00802BAF">
            <w:pPr>
              <w:pStyle w:val="TableText"/>
              <w:keepNext/>
              <w:jc w:val="center"/>
            </w:pPr>
            <w:r w:rsidRPr="00C06DBE">
              <w:t>635</w:t>
            </w:r>
          </w:p>
        </w:tc>
      </w:tr>
      <w:tr w:rsidR="00802BAF" w:rsidRPr="00CE28E3" w14:paraId="59038E92" w14:textId="77777777" w:rsidTr="00BA2F4E">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536980" w14:textId="59A36014" w:rsidR="00802BAF" w:rsidRPr="00CE28E3" w:rsidRDefault="00971A02" w:rsidP="00802BAF">
            <w:pPr>
              <w:pStyle w:val="TableText"/>
              <w:keepNext/>
            </w:pPr>
            <w:proofErr w:type="spellStart"/>
            <w:r>
              <w:t>Netc</w:t>
            </w:r>
            <w:r w:rsidR="00802BAF">
              <w:t>ost</w:t>
            </w:r>
            <w:proofErr w:type="spellEnd"/>
            <w:r w:rsidR="00802BAF">
              <w:t xml:space="preserve"> to the MBS for PSMA PET/CT (</w:t>
            </w:r>
            <w:r w:rsidR="00D01313">
              <w:t>85% rebate applied</w:t>
            </w:r>
            <w:r w:rsidR="00802BAF">
              <w:t>)</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032219" w14:textId="18559D83" w:rsidR="00802BAF" w:rsidRPr="00C06DBE" w:rsidRDefault="00802BAF" w:rsidP="00802BAF">
            <w:pPr>
              <w:pStyle w:val="TableText"/>
              <w:keepNext/>
              <w:jc w:val="center"/>
            </w:pPr>
            <w:r w:rsidRPr="00DF7662">
              <w:t>$411,092</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007AD" w14:textId="278859F2" w:rsidR="00802BAF" w:rsidRPr="00C06DBE" w:rsidRDefault="00802BAF" w:rsidP="00802BAF">
            <w:pPr>
              <w:pStyle w:val="TableText"/>
              <w:keepNext/>
              <w:jc w:val="center"/>
            </w:pPr>
            <w:r w:rsidRPr="00DF7662">
              <w:t>$464,379</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2E735596" w14:textId="34EF6AF6" w:rsidR="00802BAF" w:rsidRPr="00C06DBE" w:rsidRDefault="00802BAF" w:rsidP="00802BAF">
            <w:pPr>
              <w:pStyle w:val="TableText"/>
              <w:keepNext/>
              <w:jc w:val="center"/>
            </w:pPr>
            <w:r w:rsidRPr="00DF7662">
              <w:t>$524,574</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717E3" w14:textId="5FE7353C" w:rsidR="00802BAF" w:rsidRPr="00C06DBE" w:rsidRDefault="00802BAF" w:rsidP="00802BAF">
            <w:pPr>
              <w:pStyle w:val="TableText"/>
              <w:keepNext/>
              <w:jc w:val="center"/>
            </w:pPr>
            <w:r w:rsidRPr="00DF7662">
              <w:t>$592,571</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4C2260" w14:textId="43F21EC8" w:rsidR="00802BAF" w:rsidRPr="00C06DBE" w:rsidRDefault="00802BAF" w:rsidP="00802BAF">
            <w:pPr>
              <w:pStyle w:val="TableText"/>
              <w:keepNext/>
              <w:jc w:val="center"/>
            </w:pPr>
            <w:r w:rsidRPr="00DF7662">
              <w:t>$669,382</w:t>
            </w:r>
          </w:p>
        </w:tc>
        <w:tc>
          <w:tcPr>
            <w:tcW w:w="1149" w:type="dxa"/>
            <w:tcBorders>
              <w:top w:val="nil"/>
              <w:left w:val="nil"/>
              <w:bottom w:val="single" w:sz="8" w:space="0" w:color="auto"/>
              <w:right w:val="single" w:sz="8" w:space="0" w:color="auto"/>
            </w:tcBorders>
            <w:tcMar>
              <w:top w:w="0" w:type="dxa"/>
              <w:left w:w="108" w:type="dxa"/>
              <w:bottom w:w="0" w:type="dxa"/>
              <w:right w:w="108" w:type="dxa"/>
            </w:tcMar>
            <w:vAlign w:val="center"/>
          </w:tcPr>
          <w:p w14:paraId="15CF9E96" w14:textId="3A93AC48" w:rsidR="00802BAF" w:rsidRPr="00C06DBE" w:rsidRDefault="00802BAF" w:rsidP="00802BAF">
            <w:pPr>
              <w:pStyle w:val="TableText"/>
              <w:keepNext/>
              <w:jc w:val="center"/>
            </w:pPr>
            <w:r w:rsidRPr="00DF7662">
              <w:t>$756,150</w:t>
            </w:r>
          </w:p>
        </w:tc>
      </w:tr>
      <w:tr w:rsidR="00802BAF" w:rsidRPr="00CE28E3" w14:paraId="55A6176D" w14:textId="77777777" w:rsidTr="00BA2F4E">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B7D44" w14:textId="5ABF5C28" w:rsidR="00802BAF" w:rsidRPr="00802BAF" w:rsidRDefault="00802BAF" w:rsidP="00802BAF">
            <w:pPr>
              <w:pStyle w:val="TableText"/>
              <w:keepNext/>
            </w:pPr>
            <w:r w:rsidRPr="00CE28E3">
              <w:t xml:space="preserve">Number of </w:t>
            </w:r>
            <w:r>
              <w:t xml:space="preserve">people who are eligible and receive </w:t>
            </w:r>
            <w:r w:rsidR="00A053EF">
              <w:rPr>
                <w:vertAlign w:val="superscript"/>
              </w:rPr>
              <w:t>177</w:t>
            </w:r>
            <w:r w:rsidR="009F7816">
              <w:t>Lu </w:t>
            </w:r>
            <w:r w:rsidR="00886914">
              <w:t>PSMA </w:t>
            </w:r>
            <w:proofErr w:type="spellStart"/>
            <w:r w:rsidR="00886914">
              <w:t>i&amp;t</w:t>
            </w:r>
            <w:proofErr w:type="spellEnd"/>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66D15F76" w14:textId="723D4E08" w:rsidR="00802BAF" w:rsidRPr="00CE28E3" w:rsidRDefault="00802BAF" w:rsidP="00802BAF">
            <w:pPr>
              <w:pStyle w:val="TableText"/>
              <w:keepNext/>
              <w:jc w:val="center"/>
            </w:pPr>
            <w:r w:rsidRPr="00EC2829">
              <w:t>311</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09480FD5" w14:textId="34E78F1B" w:rsidR="00802BAF" w:rsidRPr="00CE28E3" w:rsidRDefault="00802BAF" w:rsidP="00802BAF">
            <w:pPr>
              <w:pStyle w:val="TableText"/>
              <w:keepNext/>
              <w:jc w:val="center"/>
            </w:pPr>
            <w:r w:rsidRPr="00EC2829">
              <w:t>351</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2C940950" w14:textId="3269BE93" w:rsidR="00802BAF" w:rsidRPr="00CE28E3" w:rsidRDefault="00802BAF" w:rsidP="00802BAF">
            <w:pPr>
              <w:pStyle w:val="TableText"/>
              <w:keepNext/>
              <w:jc w:val="center"/>
            </w:pPr>
            <w:r w:rsidRPr="00EC2829">
              <w:t>397</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46361EF9" w14:textId="1DC0D6FC" w:rsidR="00802BAF" w:rsidRPr="00CE28E3" w:rsidRDefault="00802BAF" w:rsidP="00802BAF">
            <w:pPr>
              <w:pStyle w:val="TableText"/>
              <w:keepNext/>
              <w:jc w:val="center"/>
            </w:pPr>
            <w:r w:rsidRPr="00EC2829">
              <w:t>448</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254F194A" w14:textId="0A044343" w:rsidR="00802BAF" w:rsidRPr="00CE28E3" w:rsidRDefault="00802BAF" w:rsidP="00802BAF">
            <w:pPr>
              <w:pStyle w:val="TableText"/>
              <w:keepNext/>
              <w:jc w:val="center"/>
            </w:pPr>
            <w:r w:rsidRPr="00EC2829">
              <w:t>506</w:t>
            </w:r>
          </w:p>
        </w:tc>
        <w:tc>
          <w:tcPr>
            <w:tcW w:w="1149" w:type="dxa"/>
            <w:tcBorders>
              <w:top w:val="nil"/>
              <w:left w:val="nil"/>
              <w:bottom w:val="single" w:sz="8" w:space="0" w:color="auto"/>
              <w:right w:val="single" w:sz="8" w:space="0" w:color="auto"/>
            </w:tcBorders>
            <w:tcMar>
              <w:top w:w="0" w:type="dxa"/>
              <w:left w:w="108" w:type="dxa"/>
              <w:bottom w:w="0" w:type="dxa"/>
              <w:right w:w="108" w:type="dxa"/>
            </w:tcMar>
            <w:vAlign w:val="center"/>
          </w:tcPr>
          <w:p w14:paraId="6689F5C3" w14:textId="60952047" w:rsidR="00802BAF" w:rsidRPr="00CE28E3" w:rsidRDefault="00802BAF" w:rsidP="00802BAF">
            <w:pPr>
              <w:pStyle w:val="TableText"/>
              <w:keepNext/>
              <w:jc w:val="center"/>
            </w:pPr>
            <w:r w:rsidRPr="00EC2829">
              <w:t>572</w:t>
            </w:r>
          </w:p>
        </w:tc>
      </w:tr>
      <w:tr w:rsidR="00802BAF" w:rsidRPr="00CE28E3" w14:paraId="17BAD6C0" w14:textId="77777777" w:rsidTr="00BA2F4E">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DD856A" w14:textId="6BE9173F" w:rsidR="00802BAF" w:rsidRPr="00CE28E3" w:rsidRDefault="00971A02" w:rsidP="00802BAF">
            <w:pPr>
              <w:pStyle w:val="TableText"/>
              <w:keepNext/>
            </w:pPr>
            <w:r>
              <w:t>Net c</w:t>
            </w:r>
            <w:r w:rsidR="00802BAF" w:rsidRPr="00CE28E3">
              <w:t xml:space="preserve">ost to the </w:t>
            </w:r>
            <w:r w:rsidR="00802BAF">
              <w:t xml:space="preserve">MBS for </w:t>
            </w:r>
            <w:r w:rsidR="00A053EF">
              <w:rPr>
                <w:vertAlign w:val="superscript"/>
              </w:rPr>
              <w:t>177</w:t>
            </w:r>
            <w:r w:rsidR="009F7816">
              <w:t>Lu </w:t>
            </w:r>
            <w:r w:rsidR="00886914">
              <w:t>PSMA </w:t>
            </w:r>
            <w:proofErr w:type="spellStart"/>
            <w:r w:rsidR="00886914">
              <w:t>i&amp;t</w:t>
            </w:r>
            <w:r w:rsidR="00802BAF">
              <w:rPr>
                <w:vertAlign w:val="superscript"/>
              </w:rPr>
              <w:t>a</w:t>
            </w:r>
            <w:proofErr w:type="spellEnd"/>
            <w:r w:rsidR="00802BAF">
              <w:t xml:space="preserve"> (</w:t>
            </w:r>
            <w:r w:rsidR="00D01313">
              <w:t>85% rebate applied</w:t>
            </w:r>
            <w:r w:rsidR="00802BAF">
              <w:t>)</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542506" w14:textId="74E465C5" w:rsidR="00802BAF" w:rsidRPr="00CE28E3" w:rsidRDefault="00802BAF" w:rsidP="00802BAF">
            <w:pPr>
              <w:pStyle w:val="TableText"/>
              <w:keepNext/>
              <w:jc w:val="center"/>
            </w:pPr>
            <w:r w:rsidRPr="002F0018">
              <w:t>$9,961,141</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471D3823" w14:textId="79212E60" w:rsidR="00802BAF" w:rsidRPr="00CE28E3" w:rsidRDefault="00802BAF" w:rsidP="00802BAF">
            <w:pPr>
              <w:pStyle w:val="TableText"/>
              <w:keepNext/>
              <w:jc w:val="center"/>
            </w:pPr>
            <w:r w:rsidRPr="002F0018">
              <w:t>$11,252,340</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F7234" w14:textId="08FD03CD" w:rsidR="00802BAF" w:rsidRPr="00CE28E3" w:rsidRDefault="00802BAF" w:rsidP="00802BAF">
            <w:pPr>
              <w:pStyle w:val="TableText"/>
              <w:keepNext/>
              <w:jc w:val="center"/>
            </w:pPr>
            <w:r w:rsidRPr="002F0018">
              <w:t>$12,710,908</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CD0669" w14:textId="6D878ABD" w:rsidR="00802BAF" w:rsidRPr="00CE28E3" w:rsidRDefault="00802BAF" w:rsidP="00802BAF">
            <w:pPr>
              <w:pStyle w:val="TableText"/>
              <w:keepNext/>
              <w:jc w:val="center"/>
            </w:pPr>
            <w:r w:rsidRPr="002F0018">
              <w:t>$14,358,542</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647BDBF5" w14:textId="03E26881" w:rsidR="00802BAF" w:rsidRPr="00CE28E3" w:rsidRDefault="00802BAF" w:rsidP="00802BAF">
            <w:pPr>
              <w:pStyle w:val="TableText"/>
              <w:keepNext/>
              <w:jc w:val="center"/>
            </w:pPr>
            <w:r w:rsidRPr="002F0018">
              <w:t>$16,219,748</w:t>
            </w:r>
          </w:p>
        </w:tc>
        <w:tc>
          <w:tcPr>
            <w:tcW w:w="1149" w:type="dxa"/>
            <w:tcBorders>
              <w:top w:val="nil"/>
              <w:left w:val="nil"/>
              <w:bottom w:val="single" w:sz="8" w:space="0" w:color="auto"/>
              <w:right w:val="single" w:sz="8" w:space="0" w:color="auto"/>
            </w:tcBorders>
            <w:tcMar>
              <w:top w:w="0" w:type="dxa"/>
              <w:left w:w="108" w:type="dxa"/>
              <w:bottom w:w="0" w:type="dxa"/>
              <w:right w:w="108" w:type="dxa"/>
            </w:tcMar>
            <w:vAlign w:val="center"/>
          </w:tcPr>
          <w:p w14:paraId="7EB242D5" w14:textId="1FCFC973" w:rsidR="00802BAF" w:rsidRPr="00CE28E3" w:rsidRDefault="00802BAF" w:rsidP="00802BAF">
            <w:pPr>
              <w:pStyle w:val="TableText"/>
              <w:keepNext/>
              <w:jc w:val="center"/>
            </w:pPr>
            <w:r w:rsidRPr="002F0018">
              <w:t>$18,322,211</w:t>
            </w:r>
          </w:p>
        </w:tc>
      </w:tr>
      <w:tr w:rsidR="00971A02" w:rsidRPr="00CE28E3" w14:paraId="5F2C3AD0" w14:textId="77777777" w:rsidTr="00971A02">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BB2BDE" w14:textId="3C1E8C97" w:rsidR="00971A02" w:rsidRDefault="00971A02" w:rsidP="00971A02">
            <w:pPr>
              <w:pStyle w:val="TableText"/>
              <w:keepNext/>
            </w:pPr>
            <w:r>
              <w:t>Net c</w:t>
            </w:r>
            <w:r w:rsidRPr="00CE28E3">
              <w:t xml:space="preserve">ost to the </w:t>
            </w:r>
            <w:r>
              <w:t xml:space="preserve">MBS for PSMA PET/CT and </w:t>
            </w:r>
            <w:r>
              <w:rPr>
                <w:vertAlign w:val="superscript"/>
              </w:rPr>
              <w:t>177</w:t>
            </w:r>
            <w:r w:rsidR="009F7816">
              <w:t>Lu </w:t>
            </w:r>
            <w:r w:rsidR="00886914">
              <w:t>PSMA </w:t>
            </w:r>
            <w:proofErr w:type="spellStart"/>
            <w:r w:rsidR="00886914">
              <w:t>i&amp;t</w:t>
            </w:r>
            <w:r>
              <w:rPr>
                <w:vertAlign w:val="superscript"/>
              </w:rPr>
              <w:t>a</w:t>
            </w:r>
            <w:proofErr w:type="spellEnd"/>
            <w:r>
              <w:t xml:space="preserve"> (85% rebate applied)</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648ECDAC" w14:textId="7DFBCCB6" w:rsidR="00971A02" w:rsidRPr="002F0018" w:rsidRDefault="00971A02" w:rsidP="00971A02">
            <w:pPr>
              <w:pStyle w:val="TableText"/>
              <w:keepNext/>
              <w:jc w:val="center"/>
            </w:pPr>
            <w:r w:rsidRPr="00EC64F4">
              <w:t>$10,372,232</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55751A26" w14:textId="3FE96D69" w:rsidR="00971A02" w:rsidRPr="002F0018" w:rsidRDefault="00971A02" w:rsidP="00971A02">
            <w:pPr>
              <w:pStyle w:val="TableText"/>
              <w:keepNext/>
              <w:jc w:val="center"/>
            </w:pPr>
            <w:r w:rsidRPr="00EC64F4">
              <w:t>$11,716,719</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0878F568" w14:textId="79172264" w:rsidR="00971A02" w:rsidRPr="002F0018" w:rsidRDefault="00971A02" w:rsidP="00971A02">
            <w:pPr>
              <w:pStyle w:val="TableText"/>
              <w:keepNext/>
              <w:jc w:val="center"/>
            </w:pPr>
            <w:r w:rsidRPr="00EC64F4">
              <w:t>$13,235,482</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236B42D7" w14:textId="078F60F3" w:rsidR="00971A02" w:rsidRPr="002F0018" w:rsidRDefault="00971A02" w:rsidP="00A13F19">
            <w:pPr>
              <w:pStyle w:val="TableText"/>
              <w:keepNext/>
              <w:jc w:val="center"/>
            </w:pPr>
            <w:r w:rsidRPr="00EC64F4">
              <w:t>$14,951,113</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64F00473" w14:textId="2286FF41" w:rsidR="00971A02" w:rsidRPr="002F0018" w:rsidRDefault="00971A02">
            <w:pPr>
              <w:pStyle w:val="TableText"/>
              <w:keepNext/>
              <w:jc w:val="center"/>
            </w:pPr>
            <w:r w:rsidRPr="00EC64F4">
              <w:t>$16,889,130</w:t>
            </w:r>
          </w:p>
        </w:tc>
        <w:tc>
          <w:tcPr>
            <w:tcW w:w="1149" w:type="dxa"/>
            <w:tcBorders>
              <w:top w:val="nil"/>
              <w:left w:val="nil"/>
              <w:bottom w:val="single" w:sz="8" w:space="0" w:color="auto"/>
              <w:right w:val="single" w:sz="8" w:space="0" w:color="auto"/>
            </w:tcBorders>
            <w:tcMar>
              <w:top w:w="0" w:type="dxa"/>
              <w:left w:w="108" w:type="dxa"/>
              <w:bottom w:w="0" w:type="dxa"/>
              <w:right w:w="108" w:type="dxa"/>
            </w:tcMar>
            <w:vAlign w:val="center"/>
          </w:tcPr>
          <w:p w14:paraId="66E7A184" w14:textId="2FFB2433" w:rsidR="00971A02" w:rsidRPr="002F0018" w:rsidRDefault="00971A02">
            <w:pPr>
              <w:pStyle w:val="TableText"/>
              <w:keepNext/>
              <w:jc w:val="center"/>
            </w:pPr>
            <w:r w:rsidRPr="00EC64F4">
              <w:t>$19,078,360</w:t>
            </w:r>
          </w:p>
        </w:tc>
      </w:tr>
      <w:tr w:rsidR="00802BAF" w:rsidRPr="00CE28E3" w14:paraId="5BC9C961" w14:textId="77777777" w:rsidTr="00BA2F4E">
        <w:tc>
          <w:tcPr>
            <w:tcW w:w="900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D307B" w14:textId="77777777" w:rsidR="00802BAF" w:rsidRPr="00CE28E3" w:rsidRDefault="00802BAF" w:rsidP="00802BAF">
            <w:pPr>
              <w:pStyle w:val="TableText"/>
              <w:keepNext/>
              <w:rPr>
                <w:b/>
                <w:bCs/>
              </w:rPr>
            </w:pPr>
            <w:r w:rsidRPr="00CE28E3">
              <w:rPr>
                <w:b/>
                <w:bCs/>
              </w:rPr>
              <w:t>Change in use and cost of other health technologies</w:t>
            </w:r>
          </w:p>
        </w:tc>
      </w:tr>
      <w:tr w:rsidR="00802BAF" w:rsidRPr="00CE28E3" w14:paraId="141B431A" w14:textId="77777777" w:rsidTr="00BA2F4E">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3F8140" w14:textId="6C2B1D00" w:rsidR="00802BAF" w:rsidRPr="00802BAF" w:rsidRDefault="00802BAF" w:rsidP="00802BAF">
            <w:pPr>
              <w:pStyle w:val="TableText"/>
              <w:keepNext/>
              <w:rPr>
                <w:vertAlign w:val="superscript"/>
              </w:rPr>
            </w:pPr>
            <w:r>
              <w:t>Number of people who would have otherwise had</w:t>
            </w:r>
            <w:r w:rsidRPr="00CE28E3">
              <w:t xml:space="preserve"> </w:t>
            </w:r>
            <w:proofErr w:type="spellStart"/>
            <w:r>
              <w:t>cabazitaxel</w:t>
            </w:r>
            <w:r>
              <w:rPr>
                <w:vertAlign w:val="superscript"/>
              </w:rPr>
              <w:t>b</w:t>
            </w:r>
            <w:proofErr w:type="spellEnd"/>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0A4E6D7D" w14:textId="7D5F17FF" w:rsidR="00802BAF" w:rsidRPr="00CE28E3" w:rsidRDefault="00802BAF" w:rsidP="00802BAF">
            <w:pPr>
              <w:pStyle w:val="TableText"/>
              <w:keepNext/>
              <w:jc w:val="center"/>
            </w:pPr>
            <w:r w:rsidRPr="00495586">
              <w:t>233</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7DCB03D6" w14:textId="442898F5" w:rsidR="00802BAF" w:rsidRPr="00CE28E3" w:rsidRDefault="00802BAF" w:rsidP="00802BAF">
            <w:pPr>
              <w:pStyle w:val="TableText"/>
              <w:keepNext/>
              <w:jc w:val="center"/>
            </w:pPr>
            <w:r w:rsidRPr="00495586">
              <w:t>263</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705F281E" w14:textId="6480CAA4" w:rsidR="00802BAF" w:rsidRPr="00CE28E3" w:rsidRDefault="00802BAF" w:rsidP="00802BAF">
            <w:pPr>
              <w:pStyle w:val="TableText"/>
              <w:keepNext/>
              <w:jc w:val="center"/>
            </w:pPr>
            <w:r w:rsidRPr="00495586">
              <w:t>298</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0D92FF03" w14:textId="3BEAD50A" w:rsidR="00802BAF" w:rsidRPr="00CE28E3" w:rsidRDefault="00802BAF" w:rsidP="00802BAF">
            <w:pPr>
              <w:pStyle w:val="TableText"/>
              <w:keepNext/>
              <w:jc w:val="center"/>
            </w:pPr>
            <w:r w:rsidRPr="00495586">
              <w:t>336</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4DD028" w14:textId="3AFBA3D8" w:rsidR="00802BAF" w:rsidRPr="00CE28E3" w:rsidRDefault="00802BAF" w:rsidP="00802BAF">
            <w:pPr>
              <w:pStyle w:val="TableText"/>
              <w:keepNext/>
              <w:jc w:val="center"/>
            </w:pPr>
            <w:r w:rsidRPr="00495586">
              <w:t>380</w:t>
            </w:r>
          </w:p>
        </w:tc>
        <w:tc>
          <w:tcPr>
            <w:tcW w:w="1149" w:type="dxa"/>
            <w:tcBorders>
              <w:top w:val="nil"/>
              <w:left w:val="nil"/>
              <w:bottom w:val="single" w:sz="8" w:space="0" w:color="auto"/>
              <w:right w:val="single" w:sz="8" w:space="0" w:color="auto"/>
            </w:tcBorders>
            <w:tcMar>
              <w:top w:w="0" w:type="dxa"/>
              <w:left w:w="108" w:type="dxa"/>
              <w:bottom w:w="0" w:type="dxa"/>
              <w:right w:w="108" w:type="dxa"/>
            </w:tcMar>
            <w:vAlign w:val="center"/>
          </w:tcPr>
          <w:p w14:paraId="533785F7" w14:textId="62C96CAF" w:rsidR="00802BAF" w:rsidRPr="00CE28E3" w:rsidRDefault="00802BAF" w:rsidP="00802BAF">
            <w:pPr>
              <w:pStyle w:val="TableText"/>
              <w:keepNext/>
              <w:jc w:val="center"/>
            </w:pPr>
            <w:r w:rsidRPr="00495586">
              <w:t>429</w:t>
            </w:r>
          </w:p>
        </w:tc>
      </w:tr>
      <w:tr w:rsidR="00802BAF" w:rsidRPr="00CE28E3" w14:paraId="7537920A" w14:textId="77777777" w:rsidTr="00BA2F4E">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67375" w14:textId="313C22CD" w:rsidR="00802BAF" w:rsidRPr="00CE28E3" w:rsidRDefault="00802BAF" w:rsidP="00802BAF">
            <w:pPr>
              <w:pStyle w:val="TableText"/>
              <w:keepNext/>
            </w:pPr>
            <w:r w:rsidRPr="00CE28E3">
              <w:t xml:space="preserve">Net change in costs to the </w:t>
            </w:r>
            <w:r>
              <w:t>PBS/RPBS</w:t>
            </w:r>
            <w:r w:rsidRPr="00CE28E3">
              <w:t xml:space="preserve"> (</w:t>
            </w:r>
            <w:r>
              <w:t>minus co-pay)</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3128437E" w14:textId="5FF918EC" w:rsidR="00802BAF" w:rsidRPr="009E5866" w:rsidRDefault="00802BAF" w:rsidP="00802BAF">
            <w:pPr>
              <w:pStyle w:val="TableText"/>
              <w:keepNext/>
              <w:jc w:val="center"/>
            </w:pPr>
            <w:r w:rsidRPr="009E5866">
              <w:t>-$1,305,391</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70B21981" w14:textId="4F3ED380" w:rsidR="00802BAF" w:rsidRPr="009E5866" w:rsidRDefault="00802BAF" w:rsidP="00802BAF">
            <w:pPr>
              <w:pStyle w:val="TableText"/>
              <w:keepNext/>
              <w:jc w:val="center"/>
            </w:pPr>
            <w:r w:rsidRPr="009E5866">
              <w:t>-$1,474,601</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8956CE" w14:textId="415A47FF" w:rsidR="00802BAF" w:rsidRPr="009E5866" w:rsidRDefault="00802BAF" w:rsidP="00802BAF">
            <w:pPr>
              <w:pStyle w:val="TableText"/>
              <w:keepNext/>
              <w:jc w:val="center"/>
            </w:pPr>
            <w:r w:rsidRPr="009E5866">
              <w:t>-$1,665,744</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4213C" w14:textId="01725C53" w:rsidR="00802BAF" w:rsidRPr="009E5866" w:rsidRDefault="00802BAF" w:rsidP="00802BAF">
            <w:pPr>
              <w:pStyle w:val="TableText"/>
              <w:keepNext/>
              <w:jc w:val="center"/>
            </w:pPr>
            <w:r w:rsidRPr="009E5866">
              <w:t>-$1,881,664</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0B0BD324" w14:textId="601588DB" w:rsidR="00802BAF" w:rsidRPr="009E5866" w:rsidRDefault="00802BAF" w:rsidP="00802BAF">
            <w:pPr>
              <w:pStyle w:val="TableText"/>
              <w:keepNext/>
              <w:jc w:val="center"/>
            </w:pPr>
            <w:r w:rsidRPr="009E5866">
              <w:t>-$2,125,572</w:t>
            </w:r>
          </w:p>
        </w:tc>
        <w:tc>
          <w:tcPr>
            <w:tcW w:w="1149" w:type="dxa"/>
            <w:tcBorders>
              <w:top w:val="nil"/>
              <w:left w:val="nil"/>
              <w:bottom w:val="single" w:sz="8" w:space="0" w:color="auto"/>
              <w:right w:val="single" w:sz="8" w:space="0" w:color="auto"/>
            </w:tcBorders>
            <w:tcMar>
              <w:top w:w="0" w:type="dxa"/>
              <w:left w:w="108" w:type="dxa"/>
              <w:bottom w:w="0" w:type="dxa"/>
              <w:right w:w="108" w:type="dxa"/>
            </w:tcMar>
            <w:vAlign w:val="center"/>
          </w:tcPr>
          <w:p w14:paraId="5FAFC579" w14:textId="100795F8" w:rsidR="00802BAF" w:rsidRPr="009E5866" w:rsidRDefault="00802BAF" w:rsidP="00802BAF">
            <w:pPr>
              <w:pStyle w:val="TableText"/>
              <w:keepNext/>
              <w:jc w:val="center"/>
            </w:pPr>
            <w:r w:rsidRPr="009E5866">
              <w:t>-$2,401,096</w:t>
            </w:r>
          </w:p>
        </w:tc>
      </w:tr>
      <w:tr w:rsidR="00971A02" w:rsidRPr="00CE28E3" w14:paraId="7A02D87A" w14:textId="77777777" w:rsidTr="00971A02">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8D84BD" w14:textId="67798417" w:rsidR="00971A02" w:rsidRPr="00CE28E3" w:rsidRDefault="00971A02" w:rsidP="00971A02">
            <w:pPr>
              <w:pStyle w:val="TableText"/>
              <w:keepNext/>
            </w:pPr>
            <w:r>
              <w:t>Net change in cost to the MBS (85% rebate applied)</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112A12CA" w14:textId="3A079A3D" w:rsidR="00971A02" w:rsidRPr="009E5866" w:rsidRDefault="00971A02" w:rsidP="00971A02">
            <w:pPr>
              <w:pStyle w:val="TableText"/>
              <w:keepNext/>
              <w:jc w:val="center"/>
            </w:pPr>
            <w:r w:rsidRPr="009E5866">
              <w:t>-$163,577</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161F97D7" w14:textId="50B4FA90" w:rsidR="00971A02" w:rsidRPr="009E5866" w:rsidRDefault="00971A02" w:rsidP="00971A02">
            <w:pPr>
              <w:pStyle w:val="TableText"/>
              <w:keepNext/>
              <w:jc w:val="center"/>
            </w:pPr>
            <w:r w:rsidRPr="009E5866">
              <w:t>-$184,780</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5510DF62" w14:textId="49FD4F70" w:rsidR="00971A02" w:rsidRPr="009E5866" w:rsidRDefault="00971A02" w:rsidP="00971A02">
            <w:pPr>
              <w:pStyle w:val="TableText"/>
              <w:keepNext/>
              <w:jc w:val="center"/>
            </w:pPr>
            <w:r w:rsidRPr="009E5866">
              <w:t>-$208,732</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035688FF" w14:textId="15DD4F76" w:rsidR="00971A02" w:rsidRPr="009E5866" w:rsidRDefault="00971A02" w:rsidP="00971A02">
            <w:pPr>
              <w:pStyle w:val="TableText"/>
              <w:keepNext/>
              <w:jc w:val="center"/>
            </w:pPr>
            <w:r w:rsidRPr="009E5866">
              <w:t>-$235,789</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29D262AC" w14:textId="663E1830" w:rsidR="00971A02" w:rsidRPr="009E5866" w:rsidRDefault="00971A02" w:rsidP="00971A02">
            <w:pPr>
              <w:pStyle w:val="TableText"/>
              <w:keepNext/>
              <w:jc w:val="center"/>
            </w:pPr>
            <w:r w:rsidRPr="009E5866">
              <w:t>-$266,353</w:t>
            </w:r>
          </w:p>
        </w:tc>
        <w:tc>
          <w:tcPr>
            <w:tcW w:w="1149"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037A1" w14:textId="7732DDB9" w:rsidR="00971A02" w:rsidRPr="009E5866" w:rsidRDefault="00971A02" w:rsidP="00971A02">
            <w:pPr>
              <w:pStyle w:val="TableText"/>
              <w:keepNext/>
              <w:jc w:val="center"/>
            </w:pPr>
            <w:r w:rsidRPr="009E5866">
              <w:t>-$300,878</w:t>
            </w:r>
          </w:p>
        </w:tc>
      </w:tr>
      <w:tr w:rsidR="00971A02" w:rsidRPr="00CE28E3" w14:paraId="1D2E3DEA" w14:textId="77777777" w:rsidTr="00971A02">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9FAB39" w14:textId="11CAAE48" w:rsidR="00971A02" w:rsidRPr="00CE28E3" w:rsidRDefault="00971A02" w:rsidP="00971A02">
            <w:pPr>
              <w:pStyle w:val="TableText"/>
              <w:keepNext/>
              <w:rPr>
                <w:b/>
                <w:bCs/>
              </w:rPr>
            </w:pPr>
            <w:r>
              <w:rPr>
                <w:b/>
                <w:bCs/>
              </w:rPr>
              <w:t>Net financial impact to MBS</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2278A710" w14:textId="1C86DE04" w:rsidR="00971A02" w:rsidRPr="009E5866" w:rsidRDefault="00971A02" w:rsidP="00971A02">
            <w:pPr>
              <w:pStyle w:val="TableText"/>
              <w:keepNext/>
              <w:jc w:val="center"/>
            </w:pPr>
            <w:r w:rsidRPr="009E5866">
              <w:t>$10,208,656</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09ADE63C" w14:textId="7D000F06" w:rsidR="00971A02" w:rsidRPr="009E5866" w:rsidRDefault="00971A02" w:rsidP="00971A02">
            <w:pPr>
              <w:pStyle w:val="TableText"/>
              <w:keepNext/>
              <w:jc w:val="center"/>
            </w:pPr>
            <w:r w:rsidRPr="009E5866">
              <w:t>$11,531,938</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6641F8" w14:textId="064D55A4" w:rsidR="00971A02" w:rsidRPr="009E5866" w:rsidRDefault="00971A02" w:rsidP="00971A02">
            <w:pPr>
              <w:pStyle w:val="TableText"/>
              <w:keepNext/>
              <w:jc w:val="center"/>
            </w:pPr>
            <w:r w:rsidRPr="009E5866">
              <w:t>$13,026,750</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40FDAD72" w14:textId="5FDB1CD0" w:rsidR="00971A02" w:rsidRPr="009E5866" w:rsidRDefault="00971A02" w:rsidP="00A13F19">
            <w:pPr>
              <w:pStyle w:val="TableText"/>
              <w:keepNext/>
              <w:jc w:val="center"/>
            </w:pPr>
            <w:r w:rsidRPr="009E5866">
              <w:t>$14,715,324</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F3CD0C" w14:textId="73ED4627" w:rsidR="00971A02" w:rsidRPr="009E5866" w:rsidRDefault="00971A02">
            <w:pPr>
              <w:pStyle w:val="TableText"/>
              <w:keepNext/>
              <w:jc w:val="center"/>
            </w:pPr>
            <w:r w:rsidRPr="009E5866">
              <w:t>$16,622,778</w:t>
            </w:r>
          </w:p>
        </w:tc>
        <w:tc>
          <w:tcPr>
            <w:tcW w:w="114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0E2F02" w14:textId="70A94A44" w:rsidR="00971A02" w:rsidRPr="009E5866" w:rsidRDefault="00971A02">
            <w:pPr>
              <w:pStyle w:val="TableText"/>
              <w:keepNext/>
              <w:jc w:val="center"/>
            </w:pPr>
            <w:r w:rsidRPr="009E5866">
              <w:t>$18,777,482</w:t>
            </w:r>
          </w:p>
        </w:tc>
      </w:tr>
      <w:tr w:rsidR="00971A02" w:rsidRPr="00CE28E3" w14:paraId="7809402F" w14:textId="77777777" w:rsidTr="00BA2F4E">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BDEB82" w14:textId="59D5FB40" w:rsidR="00971A02" w:rsidRPr="00CE28E3" w:rsidRDefault="00971A02" w:rsidP="00971A02">
            <w:pPr>
              <w:pStyle w:val="TableText"/>
              <w:keepNext/>
              <w:rPr>
                <w:b/>
                <w:bCs/>
              </w:rPr>
            </w:pPr>
            <w:r>
              <w:rPr>
                <w:b/>
                <w:bCs/>
              </w:rPr>
              <w:t>Net financial impact to PBS/RPBS</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19009DE4" w14:textId="7F10B95A" w:rsidR="00971A02" w:rsidRPr="009E5866" w:rsidRDefault="00971A02" w:rsidP="00971A02">
            <w:pPr>
              <w:pStyle w:val="TableText"/>
              <w:keepNext/>
              <w:jc w:val="center"/>
            </w:pPr>
            <w:r w:rsidRPr="009E5866">
              <w:t>-$1,305,391</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47B5E821" w14:textId="3FA3B0B3" w:rsidR="00971A02" w:rsidRPr="009E5866" w:rsidRDefault="00971A02" w:rsidP="00971A02">
            <w:pPr>
              <w:pStyle w:val="TableText"/>
              <w:keepNext/>
              <w:jc w:val="center"/>
            </w:pPr>
            <w:r w:rsidRPr="009E5866">
              <w:t>-$1,474,601</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28970B96" w14:textId="05BE9860" w:rsidR="00971A02" w:rsidRPr="009E5866" w:rsidRDefault="00971A02" w:rsidP="00971A02">
            <w:pPr>
              <w:pStyle w:val="TableText"/>
              <w:keepNext/>
              <w:jc w:val="center"/>
            </w:pPr>
            <w:r w:rsidRPr="009E5866">
              <w:t>-$1,665,744</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45A44BEA" w14:textId="7BE84A14" w:rsidR="00971A02" w:rsidRPr="009E5866" w:rsidRDefault="00971A02" w:rsidP="00971A02">
            <w:pPr>
              <w:pStyle w:val="TableText"/>
              <w:keepNext/>
              <w:jc w:val="center"/>
            </w:pPr>
            <w:r w:rsidRPr="009E5866">
              <w:t>-$1,881,664</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4B01225B" w14:textId="196ECBBE" w:rsidR="00971A02" w:rsidRPr="009E5866" w:rsidRDefault="00971A02" w:rsidP="00971A02">
            <w:pPr>
              <w:pStyle w:val="TableText"/>
              <w:keepNext/>
              <w:jc w:val="center"/>
            </w:pPr>
            <w:r w:rsidRPr="009E5866">
              <w:t>-$2,125,572</w:t>
            </w:r>
          </w:p>
        </w:tc>
        <w:tc>
          <w:tcPr>
            <w:tcW w:w="114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8FC871" w14:textId="4A8AEFD8" w:rsidR="00971A02" w:rsidRPr="009E5866" w:rsidRDefault="00971A02" w:rsidP="00971A02">
            <w:pPr>
              <w:pStyle w:val="TableText"/>
              <w:keepNext/>
              <w:jc w:val="center"/>
            </w:pPr>
            <w:r w:rsidRPr="009E5866">
              <w:t>-$2,401,096</w:t>
            </w:r>
          </w:p>
        </w:tc>
      </w:tr>
      <w:tr w:rsidR="00971A02" w:rsidRPr="00CE28E3" w14:paraId="1D7F897A" w14:textId="77777777" w:rsidTr="00BA2F4E">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EA76BA" w14:textId="69C48BC1" w:rsidR="00971A02" w:rsidRPr="00CE28E3" w:rsidRDefault="00971A02" w:rsidP="00971A02">
            <w:pPr>
              <w:pStyle w:val="TableText"/>
              <w:keepNext/>
              <w:rPr>
                <w:b/>
                <w:bCs/>
              </w:rPr>
            </w:pPr>
            <w:r w:rsidRPr="00CE28E3">
              <w:rPr>
                <w:b/>
                <w:bCs/>
              </w:rPr>
              <w:t xml:space="preserve">Net financial impact </w:t>
            </w:r>
            <w:r>
              <w:rPr>
                <w:b/>
                <w:bCs/>
              </w:rPr>
              <w:t>Govt</w:t>
            </w:r>
            <w:r w:rsidRPr="00CE28E3">
              <w:rPr>
                <w:b/>
                <w:bCs/>
              </w:rPr>
              <w:t xml:space="preserve"> </w:t>
            </w:r>
            <w:r>
              <w:rPr>
                <w:b/>
                <w:bCs/>
              </w:rPr>
              <w:t>(MBS+PBS/RPBS)</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10D9A965" w14:textId="600B30CE" w:rsidR="00971A02" w:rsidRPr="009E5866" w:rsidRDefault="00971A02" w:rsidP="00971A02">
            <w:pPr>
              <w:pStyle w:val="TableText"/>
              <w:keepNext/>
              <w:jc w:val="center"/>
              <w:rPr>
                <w:b/>
                <w:bCs/>
              </w:rPr>
            </w:pPr>
            <w:r w:rsidRPr="009E5866">
              <w:t>$8,903,264</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094449DB" w14:textId="285C497F" w:rsidR="00971A02" w:rsidRPr="009E5866" w:rsidRDefault="00971A02" w:rsidP="00971A02">
            <w:pPr>
              <w:pStyle w:val="TableText"/>
              <w:keepNext/>
              <w:jc w:val="center"/>
              <w:rPr>
                <w:b/>
                <w:bCs/>
              </w:rPr>
            </w:pPr>
            <w:r w:rsidRPr="009E5866">
              <w:t>$10,057,337</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D218F3" w14:textId="777C4DDF" w:rsidR="00971A02" w:rsidRPr="009E5866" w:rsidRDefault="00971A02" w:rsidP="00971A02">
            <w:pPr>
              <w:pStyle w:val="TableText"/>
              <w:keepNext/>
              <w:jc w:val="center"/>
              <w:rPr>
                <w:b/>
                <w:bCs/>
              </w:rPr>
            </w:pPr>
            <w:r w:rsidRPr="009E5866">
              <w:t>$11,361,006</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6613D334" w14:textId="76C461D0" w:rsidR="00971A02" w:rsidRPr="009E5866" w:rsidRDefault="00971A02" w:rsidP="00971A02">
            <w:pPr>
              <w:pStyle w:val="TableText"/>
              <w:keepNext/>
              <w:jc w:val="center"/>
              <w:rPr>
                <w:b/>
                <w:bCs/>
              </w:rPr>
            </w:pPr>
            <w:r w:rsidRPr="009E5866">
              <w:t>$12,833,660</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9A632F" w14:textId="66E967DD" w:rsidR="00971A02" w:rsidRPr="009E5866" w:rsidRDefault="00971A02" w:rsidP="00971A02">
            <w:pPr>
              <w:pStyle w:val="TableText"/>
              <w:keepNext/>
              <w:jc w:val="center"/>
              <w:rPr>
                <w:b/>
                <w:bCs/>
              </w:rPr>
            </w:pPr>
            <w:r w:rsidRPr="009E5866">
              <w:t>$14,497,206</w:t>
            </w:r>
          </w:p>
        </w:tc>
        <w:tc>
          <w:tcPr>
            <w:tcW w:w="1149" w:type="dxa"/>
            <w:tcBorders>
              <w:top w:val="nil"/>
              <w:left w:val="nil"/>
              <w:bottom w:val="single" w:sz="8" w:space="0" w:color="auto"/>
              <w:right w:val="single" w:sz="8" w:space="0" w:color="auto"/>
            </w:tcBorders>
            <w:tcMar>
              <w:top w:w="0" w:type="dxa"/>
              <w:left w:w="108" w:type="dxa"/>
              <w:bottom w:w="0" w:type="dxa"/>
              <w:right w:w="108" w:type="dxa"/>
            </w:tcMar>
            <w:vAlign w:val="center"/>
          </w:tcPr>
          <w:p w14:paraId="3ADBCE21" w14:textId="23427A81" w:rsidR="00971A02" w:rsidRPr="009E5866" w:rsidRDefault="00971A02" w:rsidP="00971A02">
            <w:pPr>
              <w:pStyle w:val="TableText"/>
              <w:keepNext/>
              <w:jc w:val="center"/>
              <w:rPr>
                <w:b/>
                <w:bCs/>
              </w:rPr>
            </w:pPr>
            <w:r w:rsidRPr="009E5866">
              <w:t>$16,376,386</w:t>
            </w:r>
          </w:p>
        </w:tc>
      </w:tr>
    </w:tbl>
    <w:p w14:paraId="314B5062" w14:textId="7BECCE90" w:rsidR="00215AFB" w:rsidRDefault="00802BAF" w:rsidP="00C531F2">
      <w:pPr>
        <w:pStyle w:val="TableFigureFooter"/>
        <w:keepNext/>
        <w:spacing w:before="0" w:after="0"/>
      </w:pPr>
      <w:bookmarkStart w:id="51" w:name="_Hlk68276814"/>
      <w:bookmarkEnd w:id="50"/>
      <w:proofErr w:type="spellStart"/>
      <w:r w:rsidRPr="00802BAF">
        <w:rPr>
          <w:vertAlign w:val="superscript"/>
        </w:rPr>
        <w:t>a</w:t>
      </w:r>
      <w:proofErr w:type="spellEnd"/>
      <w:r w:rsidRPr="00802BAF">
        <w:rPr>
          <w:vertAlign w:val="superscript"/>
        </w:rPr>
        <w:tab/>
      </w:r>
      <w:r w:rsidRPr="00802BAF">
        <w:t>assume 4.7 doses/patient</w:t>
      </w:r>
    </w:p>
    <w:p w14:paraId="46BD5D67" w14:textId="69A8AEC6" w:rsidR="00802BAF" w:rsidRDefault="00802BAF" w:rsidP="00E90205">
      <w:pPr>
        <w:pStyle w:val="TableFigureFooter"/>
        <w:spacing w:before="0" w:after="0"/>
      </w:pPr>
      <w:r>
        <w:rPr>
          <w:vertAlign w:val="superscript"/>
        </w:rPr>
        <w:t>b</w:t>
      </w:r>
      <w:r>
        <w:tab/>
      </w:r>
      <w:proofErr w:type="gramStart"/>
      <w:r>
        <w:t>assume</w:t>
      </w:r>
      <w:proofErr w:type="gramEnd"/>
      <w:r>
        <w:t xml:space="preserve"> 7.3 doses/patient</w:t>
      </w:r>
    </w:p>
    <w:p w14:paraId="0745D699" w14:textId="49509789" w:rsidR="00E90205" w:rsidRDefault="00E90205" w:rsidP="00E90205">
      <w:pPr>
        <w:pStyle w:val="TableFigNotes18"/>
        <w:ind w:left="0" w:firstLine="0"/>
      </w:pPr>
      <w:r w:rsidRPr="009E5866">
        <w:rPr>
          <w:rFonts w:ascii="Arial Narrow" w:hAnsi="Arial Narrow"/>
          <w:sz w:val="18"/>
          <w:szCs w:val="22"/>
        </w:rPr>
        <w:t xml:space="preserve">Abbreviations: Lu, Lutetium; MBS, Medicare Benefits Scheme; </w:t>
      </w:r>
      <w:r>
        <w:rPr>
          <w:rFonts w:ascii="Arial Narrow" w:hAnsi="Arial Narrow"/>
          <w:sz w:val="18"/>
          <w:szCs w:val="22"/>
        </w:rPr>
        <w:t xml:space="preserve">PBS, Pharmaceutical Benefits Scheme; </w:t>
      </w:r>
      <w:r w:rsidR="002854E7">
        <w:rPr>
          <w:rFonts w:ascii="Arial Narrow" w:hAnsi="Arial Narrow"/>
          <w:sz w:val="18"/>
          <w:szCs w:val="22"/>
        </w:rPr>
        <w:t xml:space="preserve">PET/CT, positron emission tomography/computed tomography; </w:t>
      </w:r>
      <w:r w:rsidRPr="009E5866">
        <w:rPr>
          <w:rFonts w:ascii="Arial Narrow" w:hAnsi="Arial Narrow"/>
          <w:sz w:val="18"/>
          <w:szCs w:val="22"/>
        </w:rPr>
        <w:t>PSMA, prostate-specific membrane antigen</w:t>
      </w:r>
      <w:r>
        <w:rPr>
          <w:rFonts w:ascii="Arial Narrow" w:hAnsi="Arial Narrow"/>
          <w:sz w:val="18"/>
          <w:szCs w:val="22"/>
        </w:rPr>
        <w:t>; RPBS Repatriation Pharmaceutical Benefits Scheme</w:t>
      </w:r>
    </w:p>
    <w:p w14:paraId="4B941925" w14:textId="2C56940E" w:rsidR="00802BAF" w:rsidRDefault="00DE3E35" w:rsidP="00802BAF">
      <w:r w:rsidRPr="003F0F9B">
        <w:t xml:space="preserve">The financial implications may be underestimated if the uptake rate is higher than assumed by the ADAR. The cost savings to the PBS/RPBS for replaced </w:t>
      </w:r>
      <w:proofErr w:type="spellStart"/>
      <w:r w:rsidRPr="003F0F9B">
        <w:t>cabazitaxel</w:t>
      </w:r>
      <w:proofErr w:type="spellEnd"/>
      <w:r w:rsidRPr="003F0F9B">
        <w:t xml:space="preserve"> use is likely overestimated as </w:t>
      </w:r>
      <w:proofErr w:type="spellStart"/>
      <w:r w:rsidRPr="003F0F9B">
        <w:t>cabazitaxel</w:t>
      </w:r>
      <w:proofErr w:type="spellEnd"/>
      <w:r w:rsidRPr="003F0F9B">
        <w:t xml:space="preserve"> will be displaced rather than replaced in a proportion of patients.</w:t>
      </w:r>
      <w:r w:rsidR="005C0E9A" w:rsidRPr="003F0F9B">
        <w:t xml:space="preserve"> The table does not include the sensitivity analyses provided by the ADAR, including for FDG PET</w:t>
      </w:r>
      <w:r w:rsidR="00004031" w:rsidRPr="003F0F9B">
        <w:t>/CT</w:t>
      </w:r>
      <w:r w:rsidR="005C0E9A" w:rsidRPr="003F0F9B">
        <w:t>.</w:t>
      </w:r>
    </w:p>
    <w:p w14:paraId="107A985C" w14:textId="5431EB7E" w:rsidR="000B4435" w:rsidRDefault="000B4435" w:rsidP="009E5866">
      <w:pPr>
        <w:tabs>
          <w:tab w:val="left" w:pos="720"/>
          <w:tab w:val="left" w:pos="1140"/>
        </w:tabs>
        <w:spacing w:before="240" w:after="120"/>
      </w:pPr>
      <w:r>
        <w:lastRenderedPageBreak/>
        <w:t xml:space="preserve">As requested by the ESC, the pre-MSAC response provided additional analysis of the estimated financial impact, which was not evaluated. </w:t>
      </w:r>
      <w:r w:rsidR="00804AB3">
        <w:t xml:space="preserve">The applicant </w:t>
      </w:r>
      <w:r w:rsidR="00804AB3" w:rsidRPr="00804AB3">
        <w:t>acknowledged that the PBS cost</w:t>
      </w:r>
      <w:r w:rsidR="009E5866">
        <w:t>s</w:t>
      </w:r>
      <w:r w:rsidR="00804AB3" w:rsidRPr="00804AB3">
        <w:t xml:space="preserve"> for post Lu</w:t>
      </w:r>
      <w:r w:rsidR="00804AB3">
        <w:t> </w:t>
      </w:r>
      <w:r w:rsidR="00804AB3" w:rsidRPr="00804AB3">
        <w:t xml:space="preserve">PSMA </w:t>
      </w:r>
      <w:proofErr w:type="spellStart"/>
      <w:r w:rsidR="00804AB3" w:rsidRPr="00804AB3">
        <w:t>cabazitaxel</w:t>
      </w:r>
      <w:proofErr w:type="spellEnd"/>
      <w:r w:rsidR="00804AB3" w:rsidRPr="00804AB3">
        <w:t xml:space="preserve"> were not included in the base-case in the ADAR. Consistent with the </w:t>
      </w:r>
      <w:r w:rsidR="00804AB3">
        <w:t>economic model</w:t>
      </w:r>
      <w:r w:rsidR="00804AB3" w:rsidRPr="00804AB3">
        <w:t>, 18% of patients receiving post-Lu</w:t>
      </w:r>
      <w:r w:rsidR="00804AB3">
        <w:t> </w:t>
      </w:r>
      <w:r w:rsidR="00804AB3" w:rsidRPr="00804AB3">
        <w:t xml:space="preserve">PSMA </w:t>
      </w:r>
      <w:proofErr w:type="spellStart"/>
      <w:r w:rsidR="00804AB3" w:rsidRPr="00804AB3">
        <w:t>cabazitaxel</w:t>
      </w:r>
      <w:proofErr w:type="spellEnd"/>
      <w:r w:rsidR="00804AB3" w:rsidRPr="00804AB3">
        <w:t xml:space="preserve"> treatment was subsequently included</w:t>
      </w:r>
      <w:r w:rsidR="00804AB3">
        <w:t>. The applicant considered this had</w:t>
      </w:r>
      <w:r w:rsidR="00804AB3" w:rsidRPr="00804AB3">
        <w:t xml:space="preserve"> minimal impact on the net cost to the Government (MBS and PBS/RPBS).</w:t>
      </w:r>
      <w:r w:rsidR="00804AB3">
        <w:t xml:space="preserve"> As al</w:t>
      </w:r>
      <w:r w:rsidR="009E5866">
        <w:t>s</w:t>
      </w:r>
      <w:r w:rsidR="00804AB3">
        <w:t>o requested by ESC, the applicant also presented the scenario of maximal financial impact which was 15% uptake rate (considered the maximum uptake rate for Lu PSMA) and</w:t>
      </w:r>
      <w:r w:rsidR="00DB005C">
        <w:t>,</w:t>
      </w:r>
      <w:r w:rsidR="00804AB3">
        <w:t xml:space="preserve"> consistent with the economic</w:t>
      </w:r>
      <w:r w:rsidR="00DB005C">
        <w:t xml:space="preserve"> evaluation,</w:t>
      </w:r>
      <w:r w:rsidR="00804AB3">
        <w:t xml:space="preserve"> a</w:t>
      </w:r>
      <w:r w:rsidR="00804AB3" w:rsidRPr="00B83A84">
        <w:t xml:space="preserve"> </w:t>
      </w:r>
      <w:r w:rsidR="00804AB3" w:rsidRPr="00193071">
        <w:t xml:space="preserve">comparator split of 75% </w:t>
      </w:r>
      <w:r w:rsidR="00DB005C">
        <w:t>best supportive care</w:t>
      </w:r>
      <w:r w:rsidR="00804AB3">
        <w:t xml:space="preserve">: </w:t>
      </w:r>
      <w:r w:rsidR="00804AB3" w:rsidRPr="00193071">
        <w:t xml:space="preserve">25% </w:t>
      </w:r>
      <w:proofErr w:type="spellStart"/>
      <w:r w:rsidR="00804AB3" w:rsidRPr="00193071">
        <w:t>cabazitaxel</w:t>
      </w:r>
      <w:proofErr w:type="spellEnd"/>
      <w:r w:rsidR="00804AB3">
        <w:t xml:space="preserve"> reducing the </w:t>
      </w:r>
      <w:proofErr w:type="spellStart"/>
      <w:r w:rsidR="00804AB3">
        <w:t>cabazitaxel</w:t>
      </w:r>
      <w:proofErr w:type="spellEnd"/>
      <w:r w:rsidR="00804AB3">
        <w:t xml:space="preserve"> cost offset </w:t>
      </w:r>
      <w:r w:rsidR="00804AB3" w:rsidRPr="00804AB3">
        <w:t xml:space="preserve">(Table </w:t>
      </w:r>
      <w:r w:rsidR="00804AB3">
        <w:t>15</w:t>
      </w:r>
      <w:r w:rsidR="00804AB3" w:rsidRPr="00804AB3">
        <w:t>).</w:t>
      </w:r>
    </w:p>
    <w:p w14:paraId="50938220" w14:textId="47A15C36" w:rsidR="00804AB3" w:rsidRPr="00624366" w:rsidRDefault="00804AB3" w:rsidP="00804AB3">
      <w:pPr>
        <w:pStyle w:val="Caption"/>
        <w:keepNext w:val="0"/>
        <w:widowControl w:val="0"/>
      </w:pPr>
      <w:bookmarkStart w:id="52" w:name="_Ref108446736"/>
      <w:r>
        <w:t>Table</w:t>
      </w:r>
      <w:bookmarkEnd w:id="52"/>
      <w:r>
        <w:t xml:space="preserve"> 15</w:t>
      </w:r>
      <w:r>
        <w:tab/>
        <w:t xml:space="preserve">Additional analyses of the estimated net </w:t>
      </w:r>
      <w:r w:rsidR="007F7772">
        <w:t xml:space="preserve">financial implications </w:t>
      </w:r>
      <w:r>
        <w:t>to the MBS and PBS/RPBS</w:t>
      </w:r>
    </w:p>
    <w:tbl>
      <w:tblPr>
        <w:tblStyle w:val="TableGrid"/>
        <w:tblW w:w="5000" w:type="pct"/>
        <w:tblLook w:val="04A0" w:firstRow="1" w:lastRow="0" w:firstColumn="1" w:lastColumn="0" w:noHBand="0" w:noVBand="1"/>
      </w:tblPr>
      <w:tblGrid>
        <w:gridCol w:w="2242"/>
        <w:gridCol w:w="1129"/>
        <w:gridCol w:w="1129"/>
        <w:gridCol w:w="1129"/>
        <w:gridCol w:w="1129"/>
        <w:gridCol w:w="1129"/>
        <w:gridCol w:w="1129"/>
      </w:tblGrid>
      <w:tr w:rsidR="00804AB3" w14:paraId="7D71D02A" w14:textId="77777777" w:rsidTr="007D1689">
        <w:tc>
          <w:tcPr>
            <w:tcW w:w="2117" w:type="pct"/>
            <w:tcBorders>
              <w:bottom w:val="single" w:sz="4" w:space="0" w:color="auto"/>
            </w:tcBorders>
          </w:tcPr>
          <w:p w14:paraId="45F3E469" w14:textId="456D7A38" w:rsidR="00804AB3" w:rsidRPr="009E5866" w:rsidRDefault="00804AB3" w:rsidP="007D1689">
            <w:pPr>
              <w:pStyle w:val="TableText"/>
              <w:rPr>
                <w:b/>
                <w:bCs/>
                <w:szCs w:val="24"/>
              </w:rPr>
            </w:pPr>
            <w:r w:rsidRPr="009E5866">
              <w:rPr>
                <w:b/>
                <w:bCs/>
                <w:szCs w:val="24"/>
              </w:rPr>
              <w:t>Scenario</w:t>
            </w:r>
          </w:p>
        </w:tc>
        <w:tc>
          <w:tcPr>
            <w:tcW w:w="480" w:type="pct"/>
            <w:tcBorders>
              <w:bottom w:val="single" w:sz="4" w:space="0" w:color="auto"/>
            </w:tcBorders>
          </w:tcPr>
          <w:p w14:paraId="388E615E" w14:textId="77777777" w:rsidR="00804AB3" w:rsidRPr="009E5866" w:rsidRDefault="00804AB3" w:rsidP="007D1689">
            <w:pPr>
              <w:pStyle w:val="TableText"/>
              <w:jc w:val="center"/>
              <w:rPr>
                <w:b/>
                <w:bCs/>
                <w:szCs w:val="24"/>
              </w:rPr>
            </w:pPr>
            <w:r w:rsidRPr="009E5866">
              <w:rPr>
                <w:b/>
                <w:bCs/>
                <w:szCs w:val="24"/>
              </w:rPr>
              <w:t>2022</w:t>
            </w:r>
          </w:p>
        </w:tc>
        <w:tc>
          <w:tcPr>
            <w:tcW w:w="480" w:type="pct"/>
            <w:tcBorders>
              <w:bottom w:val="single" w:sz="4" w:space="0" w:color="auto"/>
            </w:tcBorders>
          </w:tcPr>
          <w:p w14:paraId="493A2917" w14:textId="77777777" w:rsidR="00804AB3" w:rsidRPr="009E5866" w:rsidRDefault="00804AB3" w:rsidP="007D1689">
            <w:pPr>
              <w:pStyle w:val="TableText"/>
              <w:jc w:val="center"/>
              <w:rPr>
                <w:b/>
                <w:bCs/>
                <w:szCs w:val="24"/>
              </w:rPr>
            </w:pPr>
            <w:r w:rsidRPr="009E5866">
              <w:rPr>
                <w:b/>
                <w:bCs/>
                <w:szCs w:val="24"/>
              </w:rPr>
              <w:t>2023</w:t>
            </w:r>
          </w:p>
        </w:tc>
        <w:tc>
          <w:tcPr>
            <w:tcW w:w="480" w:type="pct"/>
            <w:tcBorders>
              <w:bottom w:val="single" w:sz="4" w:space="0" w:color="auto"/>
            </w:tcBorders>
          </w:tcPr>
          <w:p w14:paraId="57473E4E" w14:textId="77777777" w:rsidR="00804AB3" w:rsidRPr="009E5866" w:rsidRDefault="00804AB3" w:rsidP="007D1689">
            <w:pPr>
              <w:pStyle w:val="TableText"/>
              <w:jc w:val="center"/>
              <w:rPr>
                <w:b/>
                <w:bCs/>
                <w:szCs w:val="24"/>
              </w:rPr>
            </w:pPr>
            <w:r w:rsidRPr="009E5866">
              <w:rPr>
                <w:b/>
                <w:bCs/>
                <w:szCs w:val="24"/>
              </w:rPr>
              <w:t>2024</w:t>
            </w:r>
          </w:p>
        </w:tc>
        <w:tc>
          <w:tcPr>
            <w:tcW w:w="480" w:type="pct"/>
            <w:tcBorders>
              <w:bottom w:val="single" w:sz="4" w:space="0" w:color="auto"/>
            </w:tcBorders>
          </w:tcPr>
          <w:p w14:paraId="632E2634" w14:textId="77777777" w:rsidR="00804AB3" w:rsidRPr="009E5866" w:rsidRDefault="00804AB3" w:rsidP="007D1689">
            <w:pPr>
              <w:pStyle w:val="TableText"/>
              <w:jc w:val="center"/>
              <w:rPr>
                <w:b/>
                <w:bCs/>
                <w:szCs w:val="24"/>
              </w:rPr>
            </w:pPr>
            <w:r w:rsidRPr="009E5866">
              <w:rPr>
                <w:b/>
                <w:bCs/>
                <w:szCs w:val="24"/>
              </w:rPr>
              <w:t>2025</w:t>
            </w:r>
          </w:p>
        </w:tc>
        <w:tc>
          <w:tcPr>
            <w:tcW w:w="480" w:type="pct"/>
            <w:tcBorders>
              <w:bottom w:val="single" w:sz="4" w:space="0" w:color="auto"/>
            </w:tcBorders>
          </w:tcPr>
          <w:p w14:paraId="7C7C79FF" w14:textId="77777777" w:rsidR="00804AB3" w:rsidRPr="009E5866" w:rsidRDefault="00804AB3" w:rsidP="007D1689">
            <w:pPr>
              <w:pStyle w:val="TableText"/>
              <w:jc w:val="center"/>
              <w:rPr>
                <w:b/>
                <w:bCs/>
                <w:szCs w:val="24"/>
              </w:rPr>
            </w:pPr>
            <w:r w:rsidRPr="009E5866">
              <w:rPr>
                <w:b/>
                <w:bCs/>
                <w:szCs w:val="24"/>
              </w:rPr>
              <w:t>2026</w:t>
            </w:r>
          </w:p>
        </w:tc>
        <w:tc>
          <w:tcPr>
            <w:tcW w:w="480" w:type="pct"/>
            <w:tcBorders>
              <w:bottom w:val="single" w:sz="4" w:space="0" w:color="auto"/>
            </w:tcBorders>
          </w:tcPr>
          <w:p w14:paraId="4E61150F" w14:textId="77777777" w:rsidR="00804AB3" w:rsidRPr="009E5866" w:rsidRDefault="00804AB3" w:rsidP="007D1689">
            <w:pPr>
              <w:pStyle w:val="TableText"/>
              <w:jc w:val="center"/>
              <w:rPr>
                <w:b/>
                <w:bCs/>
                <w:szCs w:val="24"/>
              </w:rPr>
            </w:pPr>
            <w:r w:rsidRPr="009E5866">
              <w:rPr>
                <w:b/>
                <w:bCs/>
                <w:szCs w:val="24"/>
              </w:rPr>
              <w:t>2027</w:t>
            </w:r>
          </w:p>
        </w:tc>
      </w:tr>
      <w:tr w:rsidR="00804AB3" w14:paraId="361D287D" w14:textId="77777777" w:rsidTr="007D1689">
        <w:trPr>
          <w:trHeight w:val="179"/>
        </w:trPr>
        <w:tc>
          <w:tcPr>
            <w:tcW w:w="2117" w:type="pct"/>
            <w:tcBorders>
              <w:bottom w:val="single" w:sz="4" w:space="0" w:color="auto"/>
            </w:tcBorders>
          </w:tcPr>
          <w:p w14:paraId="124BD4CB" w14:textId="61908AF5" w:rsidR="00804AB3" w:rsidRPr="009E5866" w:rsidRDefault="00804AB3" w:rsidP="007D1689">
            <w:pPr>
              <w:pStyle w:val="TableText"/>
              <w:rPr>
                <w:szCs w:val="24"/>
              </w:rPr>
            </w:pPr>
            <w:r w:rsidRPr="009E5866">
              <w:rPr>
                <w:szCs w:val="24"/>
              </w:rPr>
              <w:t xml:space="preserve">Base-case </w:t>
            </w:r>
            <w:r w:rsidR="00123ED9">
              <w:rPr>
                <w:szCs w:val="24"/>
              </w:rPr>
              <w:t>(ADAR)</w:t>
            </w:r>
          </w:p>
        </w:tc>
        <w:tc>
          <w:tcPr>
            <w:tcW w:w="480" w:type="pct"/>
            <w:tcBorders>
              <w:bottom w:val="single" w:sz="4" w:space="0" w:color="auto"/>
            </w:tcBorders>
          </w:tcPr>
          <w:p w14:paraId="022F3B34" w14:textId="77777777" w:rsidR="00804AB3" w:rsidRPr="009E5866" w:rsidRDefault="00804AB3" w:rsidP="007D1689">
            <w:pPr>
              <w:pStyle w:val="TableText"/>
              <w:jc w:val="center"/>
              <w:rPr>
                <w:szCs w:val="24"/>
              </w:rPr>
            </w:pPr>
            <w:r w:rsidRPr="009E5866">
              <w:rPr>
                <w:szCs w:val="24"/>
              </w:rPr>
              <w:t>$8,241,823</w:t>
            </w:r>
          </w:p>
        </w:tc>
        <w:tc>
          <w:tcPr>
            <w:tcW w:w="480" w:type="pct"/>
            <w:tcBorders>
              <w:bottom w:val="single" w:sz="4" w:space="0" w:color="auto"/>
            </w:tcBorders>
          </w:tcPr>
          <w:p w14:paraId="68FEE9FE" w14:textId="77777777" w:rsidR="00804AB3" w:rsidRPr="009E5866" w:rsidRDefault="00804AB3" w:rsidP="007D1689">
            <w:pPr>
              <w:pStyle w:val="TableText"/>
              <w:jc w:val="center"/>
              <w:rPr>
                <w:szCs w:val="24"/>
              </w:rPr>
            </w:pPr>
            <w:r w:rsidRPr="009E5866">
              <w:rPr>
                <w:szCs w:val="24"/>
              </w:rPr>
              <w:t>$9,310,158</w:t>
            </w:r>
          </w:p>
        </w:tc>
        <w:tc>
          <w:tcPr>
            <w:tcW w:w="480" w:type="pct"/>
            <w:tcBorders>
              <w:bottom w:val="single" w:sz="4" w:space="0" w:color="auto"/>
            </w:tcBorders>
          </w:tcPr>
          <w:p w14:paraId="1663A6A5" w14:textId="77777777" w:rsidR="00804AB3" w:rsidRPr="009E5866" w:rsidRDefault="00804AB3" w:rsidP="007D1689">
            <w:pPr>
              <w:pStyle w:val="TableText"/>
              <w:jc w:val="center"/>
              <w:rPr>
                <w:szCs w:val="24"/>
              </w:rPr>
            </w:pPr>
            <w:r w:rsidRPr="009E5866">
              <w:rPr>
                <w:szCs w:val="24"/>
              </w:rPr>
              <w:t>$10,516,974</w:t>
            </w:r>
          </w:p>
        </w:tc>
        <w:tc>
          <w:tcPr>
            <w:tcW w:w="480" w:type="pct"/>
            <w:tcBorders>
              <w:bottom w:val="single" w:sz="4" w:space="0" w:color="auto"/>
            </w:tcBorders>
          </w:tcPr>
          <w:p w14:paraId="07FCCB9B" w14:textId="77777777" w:rsidR="00804AB3" w:rsidRPr="009E5866" w:rsidRDefault="00804AB3" w:rsidP="007D1689">
            <w:pPr>
              <w:pStyle w:val="TableText"/>
              <w:jc w:val="center"/>
              <w:rPr>
                <w:szCs w:val="24"/>
              </w:rPr>
            </w:pPr>
            <w:r w:rsidRPr="009E5866">
              <w:rPr>
                <w:szCs w:val="24"/>
              </w:rPr>
              <w:t>$11,880,222</w:t>
            </w:r>
          </w:p>
        </w:tc>
        <w:tc>
          <w:tcPr>
            <w:tcW w:w="480" w:type="pct"/>
            <w:tcBorders>
              <w:bottom w:val="single" w:sz="4" w:space="0" w:color="auto"/>
            </w:tcBorders>
          </w:tcPr>
          <w:p w14:paraId="081BAD9D" w14:textId="77777777" w:rsidR="00804AB3" w:rsidRPr="009E5866" w:rsidRDefault="00804AB3" w:rsidP="007D1689">
            <w:pPr>
              <w:pStyle w:val="TableText"/>
              <w:jc w:val="center"/>
              <w:rPr>
                <w:szCs w:val="24"/>
              </w:rPr>
            </w:pPr>
            <w:r w:rsidRPr="009E5866">
              <w:rPr>
                <w:szCs w:val="24"/>
              </w:rPr>
              <w:t>$13,420,179</w:t>
            </w:r>
          </w:p>
        </w:tc>
        <w:tc>
          <w:tcPr>
            <w:tcW w:w="480" w:type="pct"/>
            <w:tcBorders>
              <w:bottom w:val="single" w:sz="4" w:space="0" w:color="auto"/>
            </w:tcBorders>
          </w:tcPr>
          <w:p w14:paraId="28E00B45" w14:textId="77777777" w:rsidR="00804AB3" w:rsidRPr="009E5866" w:rsidRDefault="00804AB3" w:rsidP="007D1689">
            <w:pPr>
              <w:pStyle w:val="TableText"/>
              <w:jc w:val="center"/>
              <w:rPr>
                <w:szCs w:val="24"/>
              </w:rPr>
            </w:pPr>
            <w:r w:rsidRPr="009E5866">
              <w:rPr>
                <w:szCs w:val="24"/>
              </w:rPr>
              <w:t>$15,159,751</w:t>
            </w:r>
          </w:p>
        </w:tc>
      </w:tr>
      <w:tr w:rsidR="00804AB3" w14:paraId="712D9EB6" w14:textId="77777777" w:rsidTr="007D1689">
        <w:trPr>
          <w:trHeight w:val="179"/>
        </w:trPr>
        <w:tc>
          <w:tcPr>
            <w:tcW w:w="2117" w:type="pct"/>
            <w:tcBorders>
              <w:bottom w:val="single" w:sz="4" w:space="0" w:color="auto"/>
            </w:tcBorders>
          </w:tcPr>
          <w:p w14:paraId="17A715C2" w14:textId="77777777" w:rsidR="00804AB3" w:rsidRPr="009E5866" w:rsidRDefault="00804AB3" w:rsidP="007D1689">
            <w:pPr>
              <w:pStyle w:val="TableText"/>
              <w:rPr>
                <w:szCs w:val="24"/>
              </w:rPr>
            </w:pPr>
            <w:r w:rsidRPr="009E5866">
              <w:rPr>
                <w:szCs w:val="24"/>
              </w:rPr>
              <w:t xml:space="preserve">Post Lu-PSMA </w:t>
            </w:r>
            <w:proofErr w:type="spellStart"/>
            <w:r w:rsidRPr="009E5866">
              <w:rPr>
                <w:szCs w:val="24"/>
              </w:rPr>
              <w:t>cabazitaxel</w:t>
            </w:r>
            <w:proofErr w:type="spellEnd"/>
            <w:r w:rsidRPr="009E5866">
              <w:rPr>
                <w:szCs w:val="24"/>
              </w:rPr>
              <w:t xml:space="preserve"> from 0% to 18%</w:t>
            </w:r>
          </w:p>
        </w:tc>
        <w:tc>
          <w:tcPr>
            <w:tcW w:w="480" w:type="pct"/>
            <w:tcBorders>
              <w:bottom w:val="single" w:sz="4" w:space="0" w:color="auto"/>
            </w:tcBorders>
          </w:tcPr>
          <w:p w14:paraId="7FFA7EDA" w14:textId="77777777" w:rsidR="00804AB3" w:rsidRPr="009E5866" w:rsidRDefault="00804AB3" w:rsidP="007D1689">
            <w:pPr>
              <w:pStyle w:val="TableText"/>
              <w:jc w:val="center"/>
              <w:rPr>
                <w:szCs w:val="24"/>
              </w:rPr>
            </w:pPr>
            <w:r w:rsidRPr="009E5866">
              <w:rPr>
                <w:szCs w:val="24"/>
              </w:rPr>
              <w:t>$8,746,063</w:t>
            </w:r>
          </w:p>
        </w:tc>
        <w:tc>
          <w:tcPr>
            <w:tcW w:w="480" w:type="pct"/>
            <w:tcBorders>
              <w:bottom w:val="single" w:sz="4" w:space="0" w:color="auto"/>
            </w:tcBorders>
          </w:tcPr>
          <w:p w14:paraId="47E1670F" w14:textId="77777777" w:rsidR="00804AB3" w:rsidRPr="009E5866" w:rsidRDefault="00804AB3" w:rsidP="007D1689">
            <w:pPr>
              <w:pStyle w:val="TableText"/>
              <w:jc w:val="center"/>
              <w:rPr>
                <w:szCs w:val="24"/>
              </w:rPr>
            </w:pPr>
            <w:r w:rsidRPr="009E5866">
              <w:rPr>
                <w:szCs w:val="24"/>
              </w:rPr>
              <w:t>$9,879,760</w:t>
            </w:r>
          </w:p>
        </w:tc>
        <w:tc>
          <w:tcPr>
            <w:tcW w:w="480" w:type="pct"/>
            <w:tcBorders>
              <w:bottom w:val="single" w:sz="4" w:space="0" w:color="auto"/>
            </w:tcBorders>
          </w:tcPr>
          <w:p w14:paraId="2D3B79A6" w14:textId="77777777" w:rsidR="00804AB3" w:rsidRPr="009E5866" w:rsidRDefault="00804AB3" w:rsidP="007D1689">
            <w:pPr>
              <w:pStyle w:val="TableText"/>
              <w:jc w:val="center"/>
              <w:rPr>
                <w:szCs w:val="24"/>
              </w:rPr>
            </w:pPr>
            <w:r w:rsidRPr="009E5866">
              <w:rPr>
                <w:szCs w:val="24"/>
              </w:rPr>
              <w:t>$11,160,410</w:t>
            </w:r>
          </w:p>
        </w:tc>
        <w:tc>
          <w:tcPr>
            <w:tcW w:w="480" w:type="pct"/>
            <w:tcBorders>
              <w:bottom w:val="single" w:sz="4" w:space="0" w:color="auto"/>
            </w:tcBorders>
          </w:tcPr>
          <w:p w14:paraId="5DB6AEEB" w14:textId="77777777" w:rsidR="00804AB3" w:rsidRPr="009E5866" w:rsidRDefault="00804AB3" w:rsidP="007D1689">
            <w:pPr>
              <w:pStyle w:val="TableText"/>
              <w:jc w:val="center"/>
              <w:rPr>
                <w:szCs w:val="24"/>
              </w:rPr>
            </w:pPr>
            <w:r w:rsidRPr="009E5866">
              <w:rPr>
                <w:szCs w:val="24"/>
              </w:rPr>
              <w:t>$12,607,062</w:t>
            </w:r>
          </w:p>
        </w:tc>
        <w:tc>
          <w:tcPr>
            <w:tcW w:w="480" w:type="pct"/>
            <w:tcBorders>
              <w:bottom w:val="single" w:sz="4" w:space="0" w:color="auto"/>
            </w:tcBorders>
          </w:tcPr>
          <w:p w14:paraId="44615080" w14:textId="77777777" w:rsidR="00804AB3" w:rsidRPr="009E5866" w:rsidRDefault="00804AB3" w:rsidP="007D1689">
            <w:pPr>
              <w:pStyle w:val="TableText"/>
              <w:jc w:val="center"/>
              <w:rPr>
                <w:szCs w:val="24"/>
              </w:rPr>
            </w:pPr>
            <w:r w:rsidRPr="009E5866">
              <w:rPr>
                <w:szCs w:val="24"/>
              </w:rPr>
              <w:t>$14,241,235</w:t>
            </w:r>
          </w:p>
        </w:tc>
        <w:tc>
          <w:tcPr>
            <w:tcW w:w="480" w:type="pct"/>
            <w:tcBorders>
              <w:bottom w:val="single" w:sz="4" w:space="0" w:color="auto"/>
            </w:tcBorders>
          </w:tcPr>
          <w:p w14:paraId="645A2440" w14:textId="77777777" w:rsidR="00804AB3" w:rsidRPr="009E5866" w:rsidRDefault="00804AB3" w:rsidP="007D1689">
            <w:pPr>
              <w:pStyle w:val="TableText"/>
              <w:jc w:val="center"/>
              <w:rPr>
                <w:szCs w:val="24"/>
              </w:rPr>
            </w:pPr>
            <w:r w:rsidRPr="009E5866">
              <w:rPr>
                <w:szCs w:val="24"/>
              </w:rPr>
              <w:t>$16,087,236</w:t>
            </w:r>
          </w:p>
        </w:tc>
      </w:tr>
      <w:tr w:rsidR="00804AB3" w14:paraId="667721A7" w14:textId="77777777" w:rsidTr="007D1689">
        <w:trPr>
          <w:trHeight w:val="179"/>
        </w:trPr>
        <w:tc>
          <w:tcPr>
            <w:tcW w:w="2117" w:type="pct"/>
          </w:tcPr>
          <w:p w14:paraId="7E2EA8CB" w14:textId="4A7D5688" w:rsidR="00804AB3" w:rsidRPr="009E5866" w:rsidRDefault="00804AB3" w:rsidP="007D1689">
            <w:pPr>
              <w:pStyle w:val="TableText"/>
              <w:rPr>
                <w:szCs w:val="24"/>
              </w:rPr>
            </w:pPr>
            <w:r w:rsidRPr="009E5866">
              <w:rPr>
                <w:szCs w:val="24"/>
              </w:rPr>
              <w:t xml:space="preserve">Post Lu-PSMA </w:t>
            </w:r>
            <w:proofErr w:type="spellStart"/>
            <w:r w:rsidRPr="009E5866">
              <w:rPr>
                <w:szCs w:val="24"/>
              </w:rPr>
              <w:t>cabazitaxel</w:t>
            </w:r>
            <w:proofErr w:type="spellEnd"/>
            <w:r w:rsidRPr="009E5866">
              <w:rPr>
                <w:szCs w:val="24"/>
              </w:rPr>
              <w:t xml:space="preserve"> from 0% to 18%, increasing uptake rate from 11.5% to 15%</w:t>
            </w:r>
            <w:r w:rsidR="00123ED9" w:rsidRPr="009E5866">
              <w:rPr>
                <w:i/>
                <w:iCs/>
                <w:szCs w:val="24"/>
              </w:rPr>
              <w:t>*</w:t>
            </w:r>
          </w:p>
        </w:tc>
        <w:tc>
          <w:tcPr>
            <w:tcW w:w="480" w:type="pct"/>
          </w:tcPr>
          <w:p w14:paraId="5F0E7D8A" w14:textId="77777777" w:rsidR="00804AB3" w:rsidRPr="009E5866" w:rsidRDefault="00804AB3" w:rsidP="007D1689">
            <w:pPr>
              <w:pStyle w:val="TableText"/>
              <w:jc w:val="center"/>
              <w:rPr>
                <w:szCs w:val="24"/>
              </w:rPr>
            </w:pPr>
            <w:bookmarkStart w:id="53" w:name="RANGE!C100"/>
            <w:r w:rsidRPr="009E5866">
              <w:rPr>
                <w:szCs w:val="24"/>
              </w:rPr>
              <w:t>$12,063,587</w:t>
            </w:r>
            <w:bookmarkEnd w:id="53"/>
          </w:p>
        </w:tc>
        <w:tc>
          <w:tcPr>
            <w:tcW w:w="480" w:type="pct"/>
          </w:tcPr>
          <w:p w14:paraId="49F2F278" w14:textId="77777777" w:rsidR="00804AB3" w:rsidRPr="009E5866" w:rsidRDefault="00804AB3" w:rsidP="007D1689">
            <w:pPr>
              <w:pStyle w:val="TableText"/>
              <w:jc w:val="center"/>
              <w:rPr>
                <w:szCs w:val="24"/>
              </w:rPr>
            </w:pPr>
            <w:r w:rsidRPr="009E5866">
              <w:rPr>
                <w:szCs w:val="24"/>
              </w:rPr>
              <w:t>$14,055,076</w:t>
            </w:r>
          </w:p>
        </w:tc>
        <w:tc>
          <w:tcPr>
            <w:tcW w:w="480" w:type="pct"/>
          </w:tcPr>
          <w:p w14:paraId="084CCF8C" w14:textId="77777777" w:rsidR="00804AB3" w:rsidRPr="009E5866" w:rsidRDefault="00804AB3" w:rsidP="007D1689">
            <w:pPr>
              <w:pStyle w:val="TableText"/>
              <w:jc w:val="center"/>
              <w:rPr>
                <w:szCs w:val="24"/>
              </w:rPr>
            </w:pPr>
            <w:r w:rsidRPr="009E5866">
              <w:rPr>
                <w:szCs w:val="24"/>
              </w:rPr>
              <w:t>$16,375,325</w:t>
            </w:r>
          </w:p>
        </w:tc>
        <w:tc>
          <w:tcPr>
            <w:tcW w:w="480" w:type="pct"/>
          </w:tcPr>
          <w:p w14:paraId="05C2DB32" w14:textId="77777777" w:rsidR="00804AB3" w:rsidRPr="009E5866" w:rsidRDefault="00804AB3" w:rsidP="007D1689">
            <w:pPr>
              <w:pStyle w:val="TableText"/>
              <w:jc w:val="center"/>
              <w:rPr>
                <w:szCs w:val="24"/>
              </w:rPr>
            </w:pPr>
            <w:r w:rsidRPr="009E5866">
              <w:rPr>
                <w:szCs w:val="24"/>
              </w:rPr>
              <w:t>$19,078,607</w:t>
            </w:r>
          </w:p>
        </w:tc>
        <w:tc>
          <w:tcPr>
            <w:tcW w:w="480" w:type="pct"/>
          </w:tcPr>
          <w:p w14:paraId="1F5FBC85" w14:textId="77777777" w:rsidR="00804AB3" w:rsidRPr="009E5866" w:rsidRDefault="00804AB3" w:rsidP="007D1689">
            <w:pPr>
              <w:pStyle w:val="TableText"/>
              <w:jc w:val="center"/>
              <w:rPr>
                <w:szCs w:val="24"/>
              </w:rPr>
            </w:pPr>
            <w:r w:rsidRPr="009E5866">
              <w:rPr>
                <w:szCs w:val="24"/>
              </w:rPr>
              <w:t>$22,228,154</w:t>
            </w:r>
          </w:p>
        </w:tc>
        <w:tc>
          <w:tcPr>
            <w:tcW w:w="480" w:type="pct"/>
          </w:tcPr>
          <w:p w14:paraId="36D00C5D" w14:textId="77777777" w:rsidR="00804AB3" w:rsidRPr="009E5866" w:rsidRDefault="00804AB3" w:rsidP="007D1689">
            <w:pPr>
              <w:pStyle w:val="TableText"/>
              <w:jc w:val="center"/>
              <w:rPr>
                <w:szCs w:val="24"/>
              </w:rPr>
            </w:pPr>
            <w:r w:rsidRPr="009E5866">
              <w:rPr>
                <w:szCs w:val="24"/>
              </w:rPr>
              <w:t>$25,897,637</w:t>
            </w:r>
          </w:p>
        </w:tc>
      </w:tr>
      <w:tr w:rsidR="00804AB3" w14:paraId="430200EB" w14:textId="77777777" w:rsidTr="007D1689">
        <w:trPr>
          <w:trHeight w:val="179"/>
        </w:trPr>
        <w:tc>
          <w:tcPr>
            <w:tcW w:w="2117" w:type="pct"/>
            <w:tcBorders>
              <w:bottom w:val="single" w:sz="4" w:space="0" w:color="auto"/>
            </w:tcBorders>
          </w:tcPr>
          <w:p w14:paraId="0352E3A8" w14:textId="13F695E1" w:rsidR="00804AB3" w:rsidRPr="009E5866" w:rsidRDefault="00804AB3" w:rsidP="007D1689">
            <w:pPr>
              <w:pStyle w:val="TableText"/>
              <w:rPr>
                <w:szCs w:val="24"/>
              </w:rPr>
            </w:pPr>
            <w:r w:rsidRPr="009E5866">
              <w:rPr>
                <w:szCs w:val="24"/>
              </w:rPr>
              <w:t xml:space="preserve">Post Lu-PSMA </w:t>
            </w:r>
            <w:proofErr w:type="spellStart"/>
            <w:r w:rsidRPr="009E5866">
              <w:rPr>
                <w:szCs w:val="24"/>
              </w:rPr>
              <w:t>cabazitaxel</w:t>
            </w:r>
            <w:proofErr w:type="spellEnd"/>
            <w:r w:rsidRPr="009E5866">
              <w:rPr>
                <w:szCs w:val="24"/>
              </w:rPr>
              <w:t xml:space="preserve"> from 0% to 18%, increasing uptake rate from 11.5% to 15% and reducing the proportion of eligible patients who would otherwise receive </w:t>
            </w:r>
            <w:proofErr w:type="spellStart"/>
            <w:r w:rsidRPr="009E5866">
              <w:rPr>
                <w:szCs w:val="24"/>
              </w:rPr>
              <w:t>cabazitaxel</w:t>
            </w:r>
            <w:proofErr w:type="spellEnd"/>
            <w:r w:rsidRPr="009E5866">
              <w:rPr>
                <w:szCs w:val="24"/>
              </w:rPr>
              <w:t xml:space="preserve"> treatment from 75% to 25%</w:t>
            </w:r>
            <w:r w:rsidR="00123ED9" w:rsidRPr="009E5866">
              <w:rPr>
                <w:i/>
                <w:iCs/>
                <w:szCs w:val="24"/>
              </w:rPr>
              <w:t>*</w:t>
            </w:r>
          </w:p>
        </w:tc>
        <w:tc>
          <w:tcPr>
            <w:tcW w:w="480" w:type="pct"/>
            <w:tcBorders>
              <w:bottom w:val="single" w:sz="4" w:space="0" w:color="auto"/>
            </w:tcBorders>
          </w:tcPr>
          <w:p w14:paraId="1DF44B4C" w14:textId="77777777" w:rsidR="00804AB3" w:rsidRPr="009E5866" w:rsidRDefault="00804AB3" w:rsidP="007D1689">
            <w:pPr>
              <w:pStyle w:val="TableText"/>
              <w:jc w:val="center"/>
              <w:rPr>
                <w:szCs w:val="24"/>
              </w:rPr>
            </w:pPr>
            <w:r w:rsidRPr="009E5866">
              <w:rPr>
                <w:szCs w:val="24"/>
              </w:rPr>
              <w:t>$13,340,961</w:t>
            </w:r>
          </w:p>
        </w:tc>
        <w:tc>
          <w:tcPr>
            <w:tcW w:w="480" w:type="pct"/>
            <w:tcBorders>
              <w:bottom w:val="single" w:sz="4" w:space="0" w:color="auto"/>
            </w:tcBorders>
          </w:tcPr>
          <w:p w14:paraId="3FF95CFB" w14:textId="77777777" w:rsidR="00804AB3" w:rsidRPr="009E5866" w:rsidRDefault="00804AB3" w:rsidP="007D1689">
            <w:pPr>
              <w:pStyle w:val="TableText"/>
              <w:jc w:val="center"/>
              <w:rPr>
                <w:szCs w:val="24"/>
              </w:rPr>
            </w:pPr>
            <w:r w:rsidRPr="009E5866">
              <w:rPr>
                <w:szCs w:val="24"/>
              </w:rPr>
              <w:t>$15,543,322</w:t>
            </w:r>
          </w:p>
        </w:tc>
        <w:tc>
          <w:tcPr>
            <w:tcW w:w="480" w:type="pct"/>
            <w:tcBorders>
              <w:bottom w:val="single" w:sz="4" w:space="0" w:color="auto"/>
            </w:tcBorders>
          </w:tcPr>
          <w:p w14:paraId="5C70E6C5" w14:textId="77777777" w:rsidR="00804AB3" w:rsidRPr="009E5866" w:rsidRDefault="00804AB3" w:rsidP="007D1689">
            <w:pPr>
              <w:pStyle w:val="TableText"/>
              <w:jc w:val="center"/>
              <w:rPr>
                <w:szCs w:val="24"/>
              </w:rPr>
            </w:pPr>
            <w:r w:rsidRPr="009E5866">
              <w:rPr>
                <w:szCs w:val="24"/>
              </w:rPr>
              <w:t>$18,109,255</w:t>
            </w:r>
          </w:p>
        </w:tc>
        <w:tc>
          <w:tcPr>
            <w:tcW w:w="480" w:type="pct"/>
            <w:tcBorders>
              <w:bottom w:val="single" w:sz="4" w:space="0" w:color="auto"/>
            </w:tcBorders>
          </w:tcPr>
          <w:p w14:paraId="7251E862" w14:textId="77777777" w:rsidR="00804AB3" w:rsidRPr="009E5866" w:rsidRDefault="00804AB3" w:rsidP="007D1689">
            <w:pPr>
              <w:pStyle w:val="TableText"/>
              <w:jc w:val="center"/>
              <w:rPr>
                <w:szCs w:val="24"/>
              </w:rPr>
            </w:pPr>
            <w:r w:rsidRPr="009E5866">
              <w:rPr>
                <w:szCs w:val="24"/>
              </w:rPr>
              <w:t>$21,098,778</w:t>
            </w:r>
          </w:p>
        </w:tc>
        <w:tc>
          <w:tcPr>
            <w:tcW w:w="480" w:type="pct"/>
            <w:tcBorders>
              <w:bottom w:val="single" w:sz="4" w:space="0" w:color="auto"/>
            </w:tcBorders>
          </w:tcPr>
          <w:p w14:paraId="4B4CE91E" w14:textId="77777777" w:rsidR="00804AB3" w:rsidRPr="009E5866" w:rsidRDefault="00804AB3" w:rsidP="007D1689">
            <w:pPr>
              <w:pStyle w:val="TableText"/>
              <w:jc w:val="center"/>
              <w:rPr>
                <w:szCs w:val="24"/>
              </w:rPr>
            </w:pPr>
            <w:r w:rsidRPr="009E5866">
              <w:rPr>
                <w:szCs w:val="24"/>
              </w:rPr>
              <w:t>$24,581,821</w:t>
            </w:r>
          </w:p>
        </w:tc>
        <w:tc>
          <w:tcPr>
            <w:tcW w:w="480" w:type="pct"/>
            <w:tcBorders>
              <w:bottom w:val="single" w:sz="4" w:space="0" w:color="auto"/>
            </w:tcBorders>
          </w:tcPr>
          <w:p w14:paraId="609804EE" w14:textId="77777777" w:rsidR="00804AB3" w:rsidRPr="009E5866" w:rsidRDefault="00804AB3" w:rsidP="007D1689">
            <w:pPr>
              <w:pStyle w:val="TableText"/>
              <w:jc w:val="center"/>
              <w:rPr>
                <w:szCs w:val="24"/>
              </w:rPr>
            </w:pPr>
            <w:r w:rsidRPr="009E5866">
              <w:rPr>
                <w:szCs w:val="24"/>
              </w:rPr>
              <w:t>$28,639,853</w:t>
            </w:r>
          </w:p>
        </w:tc>
      </w:tr>
    </w:tbl>
    <w:p w14:paraId="32C5EBC2" w14:textId="3AD72FF8" w:rsidR="00804AB3" w:rsidRPr="009E5866" w:rsidRDefault="00804AB3" w:rsidP="00804AB3">
      <w:pPr>
        <w:pStyle w:val="TableFigNotes18"/>
        <w:rPr>
          <w:rFonts w:ascii="Arial Narrow" w:hAnsi="Arial Narrow"/>
          <w:sz w:val="18"/>
          <w:szCs w:val="22"/>
        </w:rPr>
      </w:pPr>
      <w:r w:rsidRPr="009E5866">
        <w:rPr>
          <w:rFonts w:ascii="Arial Narrow" w:hAnsi="Arial Narrow"/>
          <w:sz w:val="18"/>
          <w:szCs w:val="22"/>
        </w:rPr>
        <w:t>*</w:t>
      </w:r>
      <w:r w:rsidR="00123ED9" w:rsidRPr="009E5866">
        <w:rPr>
          <w:rFonts w:ascii="Arial Narrow" w:hAnsi="Arial Narrow"/>
          <w:sz w:val="18"/>
          <w:szCs w:val="22"/>
        </w:rPr>
        <w:t>These</w:t>
      </w:r>
      <w:r w:rsidRPr="009E5866">
        <w:rPr>
          <w:rFonts w:ascii="Arial Narrow" w:hAnsi="Arial Narrow"/>
          <w:sz w:val="18"/>
          <w:szCs w:val="22"/>
        </w:rPr>
        <w:t xml:space="preserve"> scenarios reflect the price reduction of </w:t>
      </w:r>
      <w:proofErr w:type="spellStart"/>
      <w:r w:rsidRPr="009E5866">
        <w:rPr>
          <w:rFonts w:ascii="Arial Narrow" w:hAnsi="Arial Narrow"/>
          <w:sz w:val="18"/>
          <w:szCs w:val="22"/>
        </w:rPr>
        <w:t>cabazitaxel</w:t>
      </w:r>
      <w:proofErr w:type="spellEnd"/>
      <w:r w:rsidRPr="009E5866">
        <w:rPr>
          <w:rFonts w:ascii="Arial Narrow" w:hAnsi="Arial Narrow"/>
          <w:sz w:val="18"/>
          <w:szCs w:val="22"/>
        </w:rPr>
        <w:t xml:space="preserve"> which came into effect on 1 April 2022</w:t>
      </w:r>
    </w:p>
    <w:p w14:paraId="6DF2446B" w14:textId="7BC32B3C" w:rsidR="00804AB3" w:rsidRDefault="00804AB3" w:rsidP="009E5866">
      <w:pPr>
        <w:pStyle w:val="TableFigNotes18"/>
        <w:ind w:left="0" w:firstLine="0"/>
        <w:rPr>
          <w:rFonts w:ascii="Arial Narrow" w:hAnsi="Arial Narrow"/>
          <w:sz w:val="18"/>
          <w:szCs w:val="22"/>
        </w:rPr>
      </w:pPr>
      <w:r w:rsidRPr="009E5866">
        <w:rPr>
          <w:rFonts w:ascii="Arial Narrow" w:hAnsi="Arial Narrow"/>
          <w:sz w:val="18"/>
          <w:szCs w:val="22"/>
        </w:rPr>
        <w:t xml:space="preserve">Abbreviations: ADAR, applicant developed assessment report; Lu, Lutetium; MBS, Medicare Benefits Scheme; </w:t>
      </w:r>
      <w:r w:rsidR="00E90205">
        <w:rPr>
          <w:rFonts w:ascii="Arial Narrow" w:hAnsi="Arial Narrow"/>
          <w:sz w:val="18"/>
          <w:szCs w:val="22"/>
        </w:rPr>
        <w:t xml:space="preserve">PBS, Pharmaceutical Benefits Scheme; </w:t>
      </w:r>
      <w:r w:rsidRPr="009E5866">
        <w:rPr>
          <w:rFonts w:ascii="Arial Narrow" w:hAnsi="Arial Narrow"/>
          <w:sz w:val="18"/>
          <w:szCs w:val="22"/>
        </w:rPr>
        <w:t>PSMA, prostate-specific membrane antigen</w:t>
      </w:r>
      <w:r w:rsidR="00E90205">
        <w:rPr>
          <w:rFonts w:ascii="Arial Narrow" w:hAnsi="Arial Narrow"/>
          <w:sz w:val="18"/>
          <w:szCs w:val="22"/>
        </w:rPr>
        <w:t>; RPBS Repatriation Pharmaceutical Benefits Scheme</w:t>
      </w:r>
    </w:p>
    <w:p w14:paraId="2F769D4A" w14:textId="77777777" w:rsidR="009E5866" w:rsidRPr="009E5866" w:rsidRDefault="009E5866" w:rsidP="009E5866">
      <w:pPr>
        <w:pStyle w:val="TableFigNotes18"/>
        <w:rPr>
          <w:rFonts w:ascii="Arial Narrow" w:hAnsi="Arial Narrow"/>
          <w:sz w:val="18"/>
          <w:szCs w:val="22"/>
        </w:rPr>
      </w:pPr>
      <w:r w:rsidRPr="009E5866">
        <w:rPr>
          <w:rFonts w:ascii="Arial Narrow" w:hAnsi="Arial Narrow"/>
          <w:sz w:val="18"/>
          <w:szCs w:val="22"/>
        </w:rPr>
        <w:t xml:space="preserve">Source: </w:t>
      </w:r>
      <w:r>
        <w:rPr>
          <w:rFonts w:ascii="Arial Narrow" w:hAnsi="Arial Narrow"/>
          <w:sz w:val="18"/>
          <w:szCs w:val="22"/>
        </w:rPr>
        <w:t>Table 4, p8 of the pre-MSAC response</w:t>
      </w:r>
    </w:p>
    <w:p w14:paraId="7838A9FF" w14:textId="787144CA" w:rsidR="00772829" w:rsidRPr="00CE28E3" w:rsidRDefault="00C36633" w:rsidP="002A18BE">
      <w:pPr>
        <w:pStyle w:val="Heading2"/>
        <w:numPr>
          <w:ilvl w:val="0"/>
          <w:numId w:val="0"/>
        </w:numPr>
      </w:pPr>
      <w:bookmarkStart w:id="54" w:name="_Toc69491427"/>
      <w:bookmarkEnd w:id="51"/>
      <w:r>
        <w:t>1</w:t>
      </w:r>
      <w:r w:rsidR="006669BE">
        <w:t>5</w:t>
      </w:r>
      <w:r>
        <w:t>.</w:t>
      </w:r>
      <w:r>
        <w:tab/>
      </w:r>
      <w:r w:rsidR="00772829" w:rsidRPr="00CE28E3">
        <w:t xml:space="preserve">Other relevant </w:t>
      </w:r>
      <w:bookmarkEnd w:id="54"/>
      <w:r w:rsidR="00FA5766">
        <w:t>information</w:t>
      </w:r>
    </w:p>
    <w:p w14:paraId="30DE9625" w14:textId="59B971AF" w:rsidR="00772829" w:rsidRDefault="00DE3E35" w:rsidP="00DE3E35">
      <w:r>
        <w:t>None</w:t>
      </w:r>
      <w:r w:rsidR="00C531F2">
        <w:t>.</w:t>
      </w:r>
    </w:p>
    <w:p w14:paraId="4B49F327" w14:textId="77777777" w:rsidR="006669BE" w:rsidRDefault="006669BE" w:rsidP="006669BE">
      <w:pPr>
        <w:pStyle w:val="Heading2"/>
        <w:numPr>
          <w:ilvl w:val="0"/>
          <w:numId w:val="0"/>
        </w:numPr>
      </w:pPr>
      <w:r>
        <w:t>16.</w:t>
      </w:r>
      <w:r>
        <w:tab/>
        <w:t>Key issues from ESC to MSAC</w:t>
      </w:r>
    </w:p>
    <w:tbl>
      <w:tblPr>
        <w:tblStyle w:val="TableGrid"/>
        <w:tblW w:w="9209" w:type="dxa"/>
        <w:tblInd w:w="-147" w:type="dxa"/>
        <w:tblLook w:val="04A0" w:firstRow="1" w:lastRow="0" w:firstColumn="1" w:lastColumn="0" w:noHBand="0" w:noVBand="1"/>
      </w:tblPr>
      <w:tblGrid>
        <w:gridCol w:w="9209"/>
      </w:tblGrid>
      <w:tr w:rsidR="006669BE" w:rsidRPr="00525765" w14:paraId="06CEB7E7" w14:textId="77777777" w:rsidTr="00554CC6">
        <w:tc>
          <w:tcPr>
            <w:tcW w:w="9209" w:type="dxa"/>
          </w:tcPr>
          <w:p w14:paraId="6DB0A6D8" w14:textId="77777777" w:rsidR="006669BE" w:rsidRPr="00525765" w:rsidRDefault="006669BE" w:rsidP="00554CC6">
            <w:pPr>
              <w:spacing w:before="240" w:after="240"/>
              <w:rPr>
                <w:rFonts w:eastAsia="Calibri" w:cs="Times New Roman"/>
                <w:b/>
                <w:bCs/>
                <w:sz w:val="24"/>
                <w:szCs w:val="24"/>
              </w:rPr>
            </w:pPr>
            <w:bookmarkStart w:id="55" w:name="_Hlk69734340"/>
            <w:bookmarkStart w:id="56" w:name="_Hlk103938359"/>
            <w:r w:rsidRPr="00525765">
              <w:rPr>
                <w:rFonts w:eastAsia="Calibri" w:cs="Times New Roman"/>
                <w:b/>
                <w:bCs/>
                <w:sz w:val="24"/>
                <w:szCs w:val="24"/>
              </w:rPr>
              <w:t>Main issues for MSAC consideration</w:t>
            </w:r>
          </w:p>
          <w:p w14:paraId="2CFDA062" w14:textId="77777777" w:rsidR="006669BE" w:rsidRPr="00525765" w:rsidRDefault="006669BE" w:rsidP="00554CC6">
            <w:pPr>
              <w:rPr>
                <w:rFonts w:eastAsia="Calibri" w:cs="Times New Roman"/>
                <w:b/>
              </w:rPr>
            </w:pPr>
            <w:r w:rsidRPr="00525765">
              <w:rPr>
                <w:rFonts w:eastAsia="Calibri" w:cs="Times New Roman"/>
                <w:b/>
              </w:rPr>
              <w:t>Clinical issues:</w:t>
            </w:r>
          </w:p>
          <w:p w14:paraId="18FEA971" w14:textId="64D00CEB" w:rsidR="006669BE" w:rsidRPr="00794A18" w:rsidRDefault="006669BE" w:rsidP="00554CC6">
            <w:pPr>
              <w:spacing w:after="120"/>
              <w:rPr>
                <w:rFonts w:eastAsia="Calibri" w:cs="Times New Roman"/>
              </w:rPr>
            </w:pPr>
            <w:r>
              <w:rPr>
                <w:rFonts w:eastAsia="Calibri" w:cs="Times New Roman"/>
              </w:rPr>
              <w:t xml:space="preserve">Incremental effectiveness </w:t>
            </w:r>
            <w:r w:rsidRPr="00220649">
              <w:rPr>
                <w:rFonts w:eastAsia="Calibri" w:cs="Times New Roman"/>
              </w:rPr>
              <w:t>–</w:t>
            </w:r>
            <w:r>
              <w:rPr>
                <w:rFonts w:eastAsia="Calibri" w:cs="Times New Roman"/>
              </w:rPr>
              <w:t xml:space="preserve"> </w:t>
            </w:r>
            <w:r w:rsidRPr="0001749B">
              <w:rPr>
                <w:rFonts w:eastAsia="Calibri" w:cs="Times New Roman"/>
              </w:rPr>
              <w:t xml:space="preserve">The evidence base consisted of high-quality </w:t>
            </w:r>
            <w:r>
              <w:rPr>
                <w:rFonts w:eastAsia="Calibri" w:cs="Times New Roman"/>
              </w:rPr>
              <w:t>randomised control trial (</w:t>
            </w:r>
            <w:r w:rsidRPr="0001749B">
              <w:rPr>
                <w:rFonts w:eastAsia="Calibri" w:cs="Times New Roman"/>
              </w:rPr>
              <w:t>RCT</w:t>
            </w:r>
            <w:r>
              <w:rPr>
                <w:rFonts w:eastAsia="Calibri" w:cs="Times New Roman"/>
              </w:rPr>
              <w:t>)</w:t>
            </w:r>
            <w:r w:rsidRPr="0001749B">
              <w:rPr>
                <w:rFonts w:eastAsia="Calibri" w:cs="Times New Roman"/>
              </w:rPr>
              <w:t xml:space="preserve"> data, but only two trials were </w:t>
            </w:r>
            <w:proofErr w:type="gramStart"/>
            <w:r w:rsidRPr="0001749B">
              <w:rPr>
                <w:rFonts w:eastAsia="Calibri" w:cs="Times New Roman"/>
              </w:rPr>
              <w:t>included</w:t>
            </w:r>
            <w:proofErr w:type="gramEnd"/>
            <w:r w:rsidRPr="0001749B">
              <w:rPr>
                <w:rFonts w:eastAsia="Calibri" w:cs="Times New Roman"/>
              </w:rPr>
              <w:t xml:space="preserve"> and each had a different comparator. </w:t>
            </w:r>
            <w:r>
              <w:rPr>
                <w:rFonts w:eastAsia="Calibri" w:cs="Times New Roman"/>
              </w:rPr>
              <w:t xml:space="preserve">Results for </w:t>
            </w:r>
            <w:r w:rsidRPr="00794A18">
              <w:rPr>
                <w:rFonts w:eastAsia="Calibri" w:cs="Times New Roman"/>
              </w:rPr>
              <w:t>response rates</w:t>
            </w:r>
            <w:r>
              <w:rPr>
                <w:rFonts w:eastAsia="Calibri" w:cs="Times New Roman"/>
              </w:rPr>
              <w:t xml:space="preserve"> (PSA50) and progression</w:t>
            </w:r>
            <w:r w:rsidR="00E231AE">
              <w:rPr>
                <w:rFonts w:eastAsia="Calibri" w:cs="Times New Roman"/>
              </w:rPr>
              <w:t>-</w:t>
            </w:r>
            <w:r>
              <w:rPr>
                <w:rFonts w:eastAsia="Calibri" w:cs="Times New Roman"/>
              </w:rPr>
              <w:t>free survival (PFS)</w:t>
            </w:r>
            <w:r w:rsidRPr="0001749B">
              <w:rPr>
                <w:rFonts w:eastAsia="Calibri" w:cs="Times New Roman"/>
              </w:rPr>
              <w:t xml:space="preserve"> </w:t>
            </w:r>
            <w:r>
              <w:rPr>
                <w:rFonts w:eastAsia="Calibri" w:cs="Times New Roman"/>
              </w:rPr>
              <w:t>were significantly different in favour of</w:t>
            </w:r>
            <w:r w:rsidRPr="0001749B">
              <w:rPr>
                <w:rFonts w:eastAsia="Calibri" w:cs="Times New Roman"/>
              </w:rPr>
              <w:t xml:space="preserve"> </w:t>
            </w:r>
            <w:r w:rsidRPr="00C56323">
              <w:rPr>
                <w:color w:val="000000" w:themeColor="text1"/>
                <w:vertAlign w:val="superscript"/>
              </w:rPr>
              <w:t>177</w:t>
            </w:r>
            <w:r>
              <w:rPr>
                <w:rFonts w:eastAsia="Calibri" w:cs="Times New Roman"/>
              </w:rPr>
              <w:t>Lu PSMA</w:t>
            </w:r>
            <w:r w:rsidR="00F37E00">
              <w:rPr>
                <w:rFonts w:eastAsia="Calibri" w:cs="Times New Roman"/>
              </w:rPr>
              <w:t>-617</w:t>
            </w:r>
            <w:r>
              <w:rPr>
                <w:rFonts w:eastAsia="Calibri" w:cs="Times New Roman"/>
              </w:rPr>
              <w:t xml:space="preserve">, </w:t>
            </w:r>
            <w:r w:rsidRPr="00794A18">
              <w:rPr>
                <w:rFonts w:eastAsia="Calibri" w:cs="Times New Roman"/>
              </w:rPr>
              <w:t xml:space="preserve">but the </w:t>
            </w:r>
            <w:r>
              <w:rPr>
                <w:rFonts w:eastAsia="Calibri" w:cs="Times New Roman"/>
              </w:rPr>
              <w:t>effect on overall survival (OS)</w:t>
            </w:r>
            <w:r w:rsidRPr="0001749B">
              <w:rPr>
                <w:rFonts w:eastAsia="Calibri" w:cs="Times New Roman"/>
              </w:rPr>
              <w:t xml:space="preserve"> </w:t>
            </w:r>
            <w:r w:rsidRPr="00525765">
              <w:rPr>
                <w:rFonts w:eastAsia="Calibri" w:cs="Times New Roman"/>
              </w:rPr>
              <w:t xml:space="preserve">was </w:t>
            </w:r>
            <w:r w:rsidRPr="00794A18">
              <w:rPr>
                <w:rFonts w:eastAsia="Calibri" w:cs="Times New Roman"/>
              </w:rPr>
              <w:t>inconsistent</w:t>
            </w:r>
            <w:r>
              <w:rPr>
                <w:rFonts w:eastAsia="Calibri" w:cs="Times New Roman"/>
              </w:rPr>
              <w:t xml:space="preserve"> across the two trials</w:t>
            </w:r>
            <w:r w:rsidRPr="00244E3E">
              <w:rPr>
                <w:rFonts w:eastAsia="Calibri" w:cs="Times New Roman"/>
              </w:rPr>
              <w:t xml:space="preserve">. </w:t>
            </w:r>
            <w:r w:rsidRPr="00525765">
              <w:rPr>
                <w:rFonts w:eastAsia="Calibri" w:cs="Times New Roman"/>
              </w:rPr>
              <w:t xml:space="preserve">Noting the </w:t>
            </w:r>
            <w:r>
              <w:rPr>
                <w:rFonts w:eastAsia="Calibri" w:cs="Times New Roman"/>
              </w:rPr>
              <w:t xml:space="preserve">recent results from the conference abstract from the </w:t>
            </w:r>
            <w:proofErr w:type="spellStart"/>
            <w:r>
              <w:rPr>
                <w:rFonts w:eastAsia="Calibri" w:cs="Times New Roman"/>
              </w:rPr>
              <w:t>TheraP</w:t>
            </w:r>
            <w:proofErr w:type="spellEnd"/>
            <w:r>
              <w:rPr>
                <w:rFonts w:eastAsia="Calibri" w:cs="Times New Roman"/>
              </w:rPr>
              <w:t xml:space="preserve"> trial against </w:t>
            </w:r>
            <w:proofErr w:type="spellStart"/>
            <w:r>
              <w:rPr>
                <w:rFonts w:eastAsia="Calibri" w:cs="Times New Roman"/>
              </w:rPr>
              <w:t>cabazitaxel</w:t>
            </w:r>
            <w:proofErr w:type="spellEnd"/>
            <w:r>
              <w:rPr>
                <w:rFonts w:eastAsia="Calibri" w:cs="Times New Roman"/>
              </w:rPr>
              <w:t xml:space="preserve"> presented at ASCO 2022</w:t>
            </w:r>
            <w:r w:rsidRPr="00525765">
              <w:rPr>
                <w:rFonts w:eastAsia="Calibri" w:cs="Times New Roman"/>
              </w:rPr>
              <w:t>, ESC</w:t>
            </w:r>
            <w:r>
              <w:rPr>
                <w:rFonts w:eastAsia="Calibri" w:cs="Times New Roman"/>
              </w:rPr>
              <w:t xml:space="preserve"> requested that </w:t>
            </w:r>
            <w:r w:rsidRPr="00525765">
              <w:rPr>
                <w:rFonts w:eastAsia="Calibri" w:cs="Times New Roman"/>
              </w:rPr>
              <w:t xml:space="preserve">the applicant provide </w:t>
            </w:r>
            <w:proofErr w:type="gramStart"/>
            <w:r>
              <w:rPr>
                <w:rFonts w:eastAsia="Calibri" w:cs="Times New Roman"/>
              </w:rPr>
              <w:t>all of</w:t>
            </w:r>
            <w:proofErr w:type="gramEnd"/>
            <w:r>
              <w:rPr>
                <w:rFonts w:eastAsia="Calibri" w:cs="Times New Roman"/>
              </w:rPr>
              <w:t xml:space="preserve"> the available updated results from this trial, replace all assumption-based parameters in the model with this updated data, </w:t>
            </w:r>
            <w:r w:rsidRPr="00525765">
              <w:rPr>
                <w:rFonts w:eastAsia="Calibri" w:cs="Times New Roman"/>
              </w:rPr>
              <w:t xml:space="preserve">and discuss </w:t>
            </w:r>
            <w:r>
              <w:rPr>
                <w:rFonts w:eastAsia="Calibri" w:cs="Times New Roman"/>
              </w:rPr>
              <w:t xml:space="preserve">the consequences for the </w:t>
            </w:r>
            <w:r w:rsidRPr="00525765">
              <w:rPr>
                <w:rFonts w:eastAsia="Calibri" w:cs="Times New Roman"/>
              </w:rPr>
              <w:t>application.</w:t>
            </w:r>
          </w:p>
          <w:p w14:paraId="7CB725B8" w14:textId="77777777" w:rsidR="006669BE" w:rsidRPr="0001749B" w:rsidRDefault="006669BE" w:rsidP="00554CC6">
            <w:pPr>
              <w:spacing w:after="120"/>
              <w:rPr>
                <w:rFonts w:eastAsia="Calibri" w:cs="Times New Roman"/>
              </w:rPr>
            </w:pPr>
            <w:r w:rsidRPr="004D5D6E">
              <w:rPr>
                <w:rFonts w:eastAsia="Calibri" w:cs="Times New Roman"/>
                <w:vertAlign w:val="superscript"/>
              </w:rPr>
              <w:lastRenderedPageBreak/>
              <w:t>177</w:t>
            </w:r>
            <w:r>
              <w:rPr>
                <w:rFonts w:eastAsia="Calibri" w:cs="Times New Roman"/>
              </w:rPr>
              <w:t>Lu PSMA </w:t>
            </w:r>
            <w:proofErr w:type="spellStart"/>
            <w:r>
              <w:rPr>
                <w:rFonts w:eastAsia="Calibri" w:cs="Times New Roman"/>
              </w:rPr>
              <w:t>i&amp;t</w:t>
            </w:r>
            <w:proofErr w:type="spellEnd"/>
            <w:r w:rsidRPr="0001749B">
              <w:rPr>
                <w:rFonts w:eastAsia="Calibri" w:cs="Times New Roman"/>
              </w:rPr>
              <w:t xml:space="preserve"> v</w:t>
            </w:r>
            <w:r>
              <w:rPr>
                <w:rFonts w:eastAsia="Calibri" w:cs="Times New Roman"/>
              </w:rPr>
              <w:t>ersu</w:t>
            </w:r>
            <w:r w:rsidRPr="0001749B">
              <w:rPr>
                <w:rFonts w:eastAsia="Calibri" w:cs="Times New Roman"/>
              </w:rPr>
              <w:t xml:space="preserve">s </w:t>
            </w:r>
            <w:r w:rsidRPr="004D5D6E">
              <w:rPr>
                <w:rFonts w:eastAsia="Calibri" w:cs="Times New Roman"/>
                <w:vertAlign w:val="superscript"/>
              </w:rPr>
              <w:t>177</w:t>
            </w:r>
            <w:r>
              <w:rPr>
                <w:rFonts w:eastAsia="Calibri" w:cs="Times New Roman"/>
              </w:rPr>
              <w:t>Lu PSMA-617</w:t>
            </w:r>
            <w:r w:rsidRPr="0001749B">
              <w:rPr>
                <w:rFonts w:eastAsia="Calibri" w:cs="Times New Roman"/>
              </w:rPr>
              <w:t xml:space="preserve"> – There were no significant differences in </w:t>
            </w:r>
            <w:r>
              <w:rPr>
                <w:rFonts w:eastAsia="Calibri" w:cs="Times New Roman"/>
              </w:rPr>
              <w:t xml:space="preserve">reported health outcomes </w:t>
            </w:r>
            <w:r w:rsidRPr="0049584B">
              <w:rPr>
                <w:rFonts w:eastAsia="Calibri" w:cs="Times New Roman"/>
              </w:rPr>
              <w:t xml:space="preserve">and biodistribution </w:t>
            </w:r>
            <w:r>
              <w:rPr>
                <w:rFonts w:eastAsia="Calibri" w:cs="Times New Roman"/>
              </w:rPr>
              <w:t>between these products, but</w:t>
            </w:r>
            <w:r w:rsidRPr="001D25EB">
              <w:rPr>
                <w:rFonts w:eastAsia="Calibri" w:cs="Times New Roman"/>
              </w:rPr>
              <w:t xml:space="preserve"> </w:t>
            </w:r>
            <w:r w:rsidRPr="00794A18">
              <w:rPr>
                <w:rFonts w:eastAsia="Calibri" w:cs="Times New Roman"/>
              </w:rPr>
              <w:t xml:space="preserve">these conclusions are based on </w:t>
            </w:r>
            <w:r>
              <w:rPr>
                <w:rFonts w:eastAsia="Calibri" w:cs="Times New Roman"/>
              </w:rPr>
              <w:t xml:space="preserve">naïve </w:t>
            </w:r>
            <w:r w:rsidRPr="00794A18">
              <w:rPr>
                <w:rFonts w:eastAsia="Calibri" w:cs="Times New Roman"/>
              </w:rPr>
              <w:t>comparisons</w:t>
            </w:r>
            <w:r>
              <w:rPr>
                <w:rFonts w:eastAsia="Calibri" w:cs="Times New Roman"/>
              </w:rPr>
              <w:t xml:space="preserve"> across different cohorts of patients.</w:t>
            </w:r>
          </w:p>
          <w:p w14:paraId="192F0399" w14:textId="5918E86B" w:rsidR="006669BE" w:rsidRPr="000E51E3" w:rsidRDefault="006669BE" w:rsidP="00554CC6">
            <w:pPr>
              <w:spacing w:after="120"/>
              <w:rPr>
                <w:rFonts w:eastAsia="Calibri" w:cs="Times New Roman"/>
              </w:rPr>
            </w:pPr>
            <w:r>
              <w:rPr>
                <w:rFonts w:eastAsia="Calibri" w:cs="Times New Roman"/>
              </w:rPr>
              <w:t xml:space="preserve">PSMA diagnostic criteria </w:t>
            </w:r>
            <w:r w:rsidRPr="001D25EB">
              <w:rPr>
                <w:rFonts w:eastAsia="Calibri" w:cs="Times New Roman"/>
              </w:rPr>
              <w:t>–</w:t>
            </w:r>
            <w:r>
              <w:rPr>
                <w:rFonts w:eastAsia="Calibri" w:cs="Times New Roman"/>
              </w:rPr>
              <w:t xml:space="preserve"> Both trials required whole body PSMA PET/CT to determine eligibility for </w:t>
            </w:r>
            <w:r w:rsidRPr="004D5D6E">
              <w:rPr>
                <w:rFonts w:eastAsia="Calibri" w:cs="Times New Roman"/>
                <w:vertAlign w:val="superscript"/>
              </w:rPr>
              <w:t>177</w:t>
            </w:r>
            <w:r>
              <w:rPr>
                <w:rFonts w:eastAsia="Calibri" w:cs="Times New Roman"/>
              </w:rPr>
              <w:t>Lu PSMA</w:t>
            </w:r>
            <w:r w:rsidR="00F37E00">
              <w:rPr>
                <w:rFonts w:eastAsia="Calibri" w:cs="Times New Roman"/>
              </w:rPr>
              <w:t>-617</w:t>
            </w:r>
            <w:r>
              <w:rPr>
                <w:rFonts w:eastAsia="Calibri" w:cs="Times New Roman"/>
              </w:rPr>
              <w:t>.</w:t>
            </w:r>
            <w:r w:rsidRPr="0001749B">
              <w:rPr>
                <w:rFonts w:eastAsia="Calibri" w:cs="Times New Roman"/>
              </w:rPr>
              <w:t xml:space="preserve"> There were no </w:t>
            </w:r>
            <w:r>
              <w:rPr>
                <w:rFonts w:eastAsia="Calibri" w:cs="Times New Roman"/>
              </w:rPr>
              <w:t xml:space="preserve">significant </w:t>
            </w:r>
            <w:r w:rsidRPr="0001749B">
              <w:rPr>
                <w:rFonts w:eastAsia="Calibri" w:cs="Times New Roman"/>
              </w:rPr>
              <w:t>difference</w:t>
            </w:r>
            <w:r>
              <w:rPr>
                <w:rFonts w:eastAsia="Calibri" w:cs="Times New Roman"/>
              </w:rPr>
              <w:t>s</w:t>
            </w:r>
            <w:r w:rsidRPr="0001749B">
              <w:rPr>
                <w:rFonts w:eastAsia="Calibri" w:cs="Times New Roman"/>
              </w:rPr>
              <w:t xml:space="preserve"> in </w:t>
            </w:r>
            <w:r>
              <w:rPr>
                <w:rFonts w:eastAsia="Calibri" w:cs="Times New Roman"/>
              </w:rPr>
              <w:t xml:space="preserve">reported health </w:t>
            </w:r>
            <w:r w:rsidRPr="0001749B">
              <w:rPr>
                <w:rFonts w:eastAsia="Calibri" w:cs="Times New Roman"/>
              </w:rPr>
              <w:t>outcome</w:t>
            </w:r>
            <w:r>
              <w:rPr>
                <w:rFonts w:eastAsia="Calibri" w:cs="Times New Roman"/>
              </w:rPr>
              <w:t>s</w:t>
            </w:r>
            <w:r w:rsidRPr="0001749B">
              <w:rPr>
                <w:rFonts w:eastAsia="Calibri" w:cs="Times New Roman"/>
              </w:rPr>
              <w:t xml:space="preserve"> using different </w:t>
            </w:r>
            <w:proofErr w:type="spellStart"/>
            <w:r w:rsidRPr="0001749B">
              <w:rPr>
                <w:rFonts w:eastAsia="Calibri" w:cs="Times New Roman"/>
              </w:rPr>
              <w:t>SUV</w:t>
            </w:r>
            <w:r w:rsidRPr="0001749B">
              <w:rPr>
                <w:rFonts w:eastAsia="Calibri" w:cs="Times New Roman"/>
                <w:vertAlign w:val="subscript"/>
              </w:rPr>
              <w:t>max</w:t>
            </w:r>
            <w:proofErr w:type="spellEnd"/>
            <w:r w:rsidRPr="0001749B">
              <w:rPr>
                <w:rFonts w:eastAsia="Calibri" w:cs="Times New Roman"/>
              </w:rPr>
              <w:t xml:space="preserve"> thresholds</w:t>
            </w:r>
            <w:r>
              <w:rPr>
                <w:rFonts w:eastAsia="Calibri" w:cs="Times New Roman"/>
              </w:rPr>
              <w:t>, but these</w:t>
            </w:r>
            <w:r w:rsidRPr="00794A18">
              <w:rPr>
                <w:rFonts w:eastAsia="Calibri" w:cs="Times New Roman"/>
              </w:rPr>
              <w:t xml:space="preserve"> conclusions </w:t>
            </w:r>
            <w:r>
              <w:rPr>
                <w:rFonts w:eastAsia="Calibri" w:cs="Times New Roman"/>
              </w:rPr>
              <w:t>are</w:t>
            </w:r>
            <w:r w:rsidRPr="0001749B">
              <w:rPr>
                <w:rFonts w:eastAsia="Calibri" w:cs="Times New Roman"/>
              </w:rPr>
              <w:t xml:space="preserve"> </w:t>
            </w:r>
            <w:r>
              <w:rPr>
                <w:rFonts w:eastAsia="Calibri" w:cs="Times New Roman"/>
              </w:rPr>
              <w:t xml:space="preserve">also </w:t>
            </w:r>
            <w:r w:rsidRPr="0001749B">
              <w:rPr>
                <w:rFonts w:eastAsia="Calibri" w:cs="Times New Roman"/>
              </w:rPr>
              <w:t xml:space="preserve">based on </w:t>
            </w:r>
            <w:r>
              <w:rPr>
                <w:rFonts w:eastAsia="Calibri" w:cs="Times New Roman"/>
              </w:rPr>
              <w:t xml:space="preserve">naïve </w:t>
            </w:r>
            <w:r w:rsidRPr="0001749B">
              <w:rPr>
                <w:rFonts w:eastAsia="Calibri" w:cs="Times New Roman"/>
              </w:rPr>
              <w:t>comparisons.</w:t>
            </w:r>
            <w:r>
              <w:rPr>
                <w:rFonts w:eastAsia="Calibri" w:cs="Times New Roman"/>
              </w:rPr>
              <w:t xml:space="preserve"> In addition, there were applicability concerns as the PSMA criteria were different across the studies and compared with the proposed MBS population.</w:t>
            </w:r>
            <w:r w:rsidRPr="0001749B">
              <w:rPr>
                <w:rFonts w:eastAsia="Calibri" w:cs="Times New Roman"/>
              </w:rPr>
              <w:t xml:space="preserve"> </w:t>
            </w:r>
            <w:r>
              <w:rPr>
                <w:rFonts w:eastAsia="Calibri" w:cs="Times New Roman"/>
              </w:rPr>
              <w:t xml:space="preserve">Given this uncertainty in the evidence, </w:t>
            </w:r>
            <w:r w:rsidRPr="00794A18">
              <w:rPr>
                <w:rFonts w:eastAsia="Calibri" w:cs="Times New Roman"/>
              </w:rPr>
              <w:t>MSAC may wish to consider that a higher</w:t>
            </w:r>
            <w:r>
              <w:rPr>
                <w:rFonts w:eastAsia="Calibri" w:cs="Times New Roman"/>
              </w:rPr>
              <w:t xml:space="preserve"> and more restrictive</w:t>
            </w:r>
            <w:r w:rsidRPr="0001749B">
              <w:rPr>
                <w:rFonts w:eastAsia="Calibri" w:cs="Times New Roman"/>
              </w:rPr>
              <w:t xml:space="preserve"> </w:t>
            </w:r>
            <w:proofErr w:type="spellStart"/>
            <w:r w:rsidRPr="0001749B">
              <w:rPr>
                <w:rFonts w:eastAsia="Calibri" w:cs="Times New Roman"/>
              </w:rPr>
              <w:t>SUV</w:t>
            </w:r>
            <w:r w:rsidRPr="0001749B">
              <w:rPr>
                <w:rFonts w:eastAsia="Calibri" w:cs="Times New Roman"/>
                <w:vertAlign w:val="subscript"/>
              </w:rPr>
              <w:t>max</w:t>
            </w:r>
            <w:proofErr w:type="spellEnd"/>
            <w:r w:rsidRPr="0001749B">
              <w:rPr>
                <w:rFonts w:eastAsia="Calibri" w:cs="Times New Roman"/>
              </w:rPr>
              <w:t xml:space="preserve"> threshold</w:t>
            </w:r>
            <w:r>
              <w:rPr>
                <w:rFonts w:eastAsia="Calibri" w:cs="Times New Roman"/>
              </w:rPr>
              <w:t xml:space="preserve"> </w:t>
            </w:r>
            <w:r w:rsidRPr="000E51E3">
              <w:rPr>
                <w:rFonts w:eastAsia="Calibri" w:cs="Times New Roman"/>
              </w:rPr>
              <w:t>is a practical and safe approach when introducing a novel therapy.</w:t>
            </w:r>
          </w:p>
          <w:p w14:paraId="3BA9D2E2" w14:textId="77777777" w:rsidR="006669BE" w:rsidRPr="00794A18" w:rsidRDefault="006669BE" w:rsidP="00554CC6">
            <w:pPr>
              <w:spacing w:before="0" w:after="240"/>
              <w:rPr>
                <w:rFonts w:eastAsia="Calibri" w:cs="Times New Roman"/>
              </w:rPr>
            </w:pPr>
            <w:r>
              <w:rPr>
                <w:rFonts w:eastAsia="Calibri" w:cs="Times New Roman"/>
              </w:rPr>
              <w:t>SPECT/CT</w:t>
            </w:r>
            <w:r w:rsidRPr="001D25EB">
              <w:rPr>
                <w:rFonts w:eastAsia="Calibri" w:cs="Times New Roman"/>
              </w:rPr>
              <w:t xml:space="preserve"> </w:t>
            </w:r>
            <w:r>
              <w:rPr>
                <w:rFonts w:eastAsia="Calibri" w:cs="Times New Roman"/>
              </w:rPr>
              <w:t xml:space="preserve">post therapy </w:t>
            </w:r>
            <w:r w:rsidRPr="001D25EB">
              <w:rPr>
                <w:rFonts w:eastAsia="Calibri" w:cs="Times New Roman"/>
              </w:rPr>
              <w:t>–</w:t>
            </w:r>
            <w:r>
              <w:rPr>
                <w:rFonts w:eastAsia="Calibri" w:cs="Times New Roman"/>
              </w:rPr>
              <w:t xml:space="preserve"> T</w:t>
            </w:r>
            <w:r w:rsidRPr="00794A18">
              <w:rPr>
                <w:rFonts w:eastAsia="Calibri" w:cs="Times New Roman"/>
              </w:rPr>
              <w:t xml:space="preserve">here was no </w:t>
            </w:r>
            <w:r>
              <w:rPr>
                <w:rFonts w:eastAsia="Calibri" w:cs="Times New Roman"/>
              </w:rPr>
              <w:t>convincing</w:t>
            </w:r>
            <w:r w:rsidRPr="0001749B">
              <w:rPr>
                <w:rFonts w:eastAsia="Calibri" w:cs="Times New Roman"/>
              </w:rPr>
              <w:t xml:space="preserve"> evidence </w:t>
            </w:r>
            <w:r>
              <w:rPr>
                <w:rFonts w:eastAsia="Calibri" w:cs="Times New Roman"/>
              </w:rPr>
              <w:t>presented</w:t>
            </w:r>
            <w:r w:rsidRPr="0001749B">
              <w:rPr>
                <w:rFonts w:eastAsia="Calibri" w:cs="Times New Roman"/>
              </w:rPr>
              <w:t xml:space="preserve"> to </w:t>
            </w:r>
            <w:r>
              <w:rPr>
                <w:rFonts w:eastAsia="Calibri" w:cs="Times New Roman"/>
              </w:rPr>
              <w:t>demonstrate</w:t>
            </w:r>
            <w:r w:rsidRPr="0001749B">
              <w:rPr>
                <w:rFonts w:eastAsia="Calibri" w:cs="Times New Roman"/>
              </w:rPr>
              <w:t xml:space="preserve"> </w:t>
            </w:r>
            <w:r>
              <w:rPr>
                <w:rFonts w:eastAsia="Calibri" w:cs="Times New Roman"/>
              </w:rPr>
              <w:t>whether SPECT/CT changes patient management, noting the VISION trial did not use SPECT/CT to assess treatment response</w:t>
            </w:r>
            <w:r w:rsidRPr="00794A18">
              <w:rPr>
                <w:rFonts w:eastAsia="Calibri" w:cs="Times New Roman"/>
              </w:rPr>
              <w:t>.</w:t>
            </w:r>
            <w:r>
              <w:rPr>
                <w:rFonts w:eastAsia="Calibri" w:cs="Times New Roman"/>
              </w:rPr>
              <w:t xml:space="preserve"> ESC requested that the applicant provide any additional evidence to support SPECT/CT providing clinical utility, for example, the extent to which use</w:t>
            </w:r>
            <w:r w:rsidRPr="002A0F23">
              <w:rPr>
                <w:rFonts w:eastAsia="Calibri" w:cs="Times New Roman"/>
              </w:rPr>
              <w:t xml:space="preserve"> of SPECT</w:t>
            </w:r>
            <w:r>
              <w:rPr>
                <w:rFonts w:eastAsia="Calibri" w:cs="Times New Roman"/>
              </w:rPr>
              <w:t>/CT</w:t>
            </w:r>
            <w:r w:rsidRPr="002A0F23">
              <w:rPr>
                <w:rFonts w:eastAsia="Calibri" w:cs="Times New Roman"/>
              </w:rPr>
              <w:t xml:space="preserve"> </w:t>
            </w:r>
            <w:r>
              <w:rPr>
                <w:rFonts w:eastAsia="Calibri" w:cs="Times New Roman"/>
              </w:rPr>
              <w:t xml:space="preserve">would reduce </w:t>
            </w:r>
            <w:r w:rsidRPr="002A0F23">
              <w:rPr>
                <w:rFonts w:eastAsia="Calibri" w:cs="Times New Roman"/>
              </w:rPr>
              <w:t>the number of treatment cycles administered</w:t>
            </w:r>
            <w:r>
              <w:rPr>
                <w:rFonts w:eastAsia="Calibri" w:cs="Times New Roman"/>
              </w:rPr>
              <w:t xml:space="preserve"> and the circumstances by which this would occur</w:t>
            </w:r>
            <w:r w:rsidRPr="002A0F23">
              <w:rPr>
                <w:rFonts w:eastAsia="Calibri" w:cs="Times New Roman"/>
              </w:rPr>
              <w:t>.</w:t>
            </w:r>
          </w:p>
          <w:p w14:paraId="7D0BFAD2" w14:textId="77777777" w:rsidR="006669BE" w:rsidRPr="00525765" w:rsidRDefault="006669BE" w:rsidP="00554CC6">
            <w:pPr>
              <w:keepNext/>
              <w:rPr>
                <w:rFonts w:eastAsia="Calibri" w:cs="Times New Roman"/>
                <w:b/>
              </w:rPr>
            </w:pPr>
            <w:r w:rsidRPr="00525765">
              <w:rPr>
                <w:rFonts w:eastAsia="Calibri" w:cs="Times New Roman"/>
                <w:b/>
              </w:rPr>
              <w:t>Economic issues:</w:t>
            </w:r>
          </w:p>
          <w:p w14:paraId="4FA23882" w14:textId="77777777" w:rsidR="006669BE" w:rsidRPr="00FD1A94" w:rsidRDefault="006669BE" w:rsidP="00554CC6">
            <w:pPr>
              <w:spacing w:after="120"/>
              <w:rPr>
                <w:rFonts w:eastAsia="Calibri" w:cs="Times New Roman"/>
              </w:rPr>
            </w:pPr>
            <w:r>
              <w:rPr>
                <w:rFonts w:eastAsia="Calibri" w:cs="Times New Roman"/>
              </w:rPr>
              <w:t xml:space="preserve">Modelled incremental benefit </w:t>
            </w:r>
            <w:r w:rsidRPr="00220649">
              <w:rPr>
                <w:rFonts w:eastAsia="Calibri" w:cs="Times New Roman"/>
              </w:rPr>
              <w:t>–</w:t>
            </w:r>
            <w:r>
              <w:rPr>
                <w:rFonts w:eastAsia="Calibri" w:cs="Times New Roman"/>
              </w:rPr>
              <w:t xml:space="preserve"> </w:t>
            </w:r>
            <w:r w:rsidRPr="00D4110A">
              <w:rPr>
                <w:rFonts w:eastAsia="Calibri" w:cs="Times New Roman"/>
              </w:rPr>
              <w:t xml:space="preserve">MSAC may wish to consider whether the combination of assumptions around the time horizon, extrapolation method, comparator OS and proportional hazards for PFS and OS provide an appropriate basis for the modelling of incremental benefits. Sensitivity analyses indicate that the ICER may be considerably higher if less favourable assumptions are made. A multi-way sensitivity analysis </w:t>
            </w:r>
            <w:r>
              <w:rPr>
                <w:rFonts w:eastAsia="Calibri" w:cs="Times New Roman"/>
              </w:rPr>
              <w:t>would</w:t>
            </w:r>
            <w:r w:rsidRPr="00D4110A">
              <w:rPr>
                <w:rFonts w:eastAsia="Calibri" w:cs="Times New Roman"/>
              </w:rPr>
              <w:t xml:space="preserve"> be informative in understanding how the ICER would react to simultaneous changes in the values of key driver variables.</w:t>
            </w:r>
          </w:p>
          <w:p w14:paraId="1D5EB490" w14:textId="522E449F" w:rsidR="006669BE" w:rsidRPr="00794A18" w:rsidRDefault="006669BE" w:rsidP="00554CC6">
            <w:pPr>
              <w:spacing w:after="120"/>
              <w:rPr>
                <w:rFonts w:eastAsia="Calibri" w:cs="Times New Roman"/>
              </w:rPr>
            </w:pPr>
            <w:r>
              <w:rPr>
                <w:rFonts w:eastAsia="Calibri" w:cs="Times New Roman"/>
              </w:rPr>
              <w:t xml:space="preserve">MBS item fee for </w:t>
            </w:r>
            <w:r w:rsidRPr="004D5D6E">
              <w:rPr>
                <w:rFonts w:eastAsia="Calibri" w:cs="Times New Roman"/>
                <w:vertAlign w:val="superscript"/>
              </w:rPr>
              <w:t>177</w:t>
            </w:r>
            <w:r>
              <w:rPr>
                <w:rFonts w:eastAsia="Calibri" w:cs="Times New Roman"/>
              </w:rPr>
              <w:t>Lu PSMA</w:t>
            </w:r>
            <w:r w:rsidR="00F37E00">
              <w:t> </w:t>
            </w:r>
            <w:proofErr w:type="spellStart"/>
            <w:r w:rsidR="00F37E00">
              <w:t>i&amp;t</w:t>
            </w:r>
            <w:proofErr w:type="spellEnd"/>
            <w:r>
              <w:rPr>
                <w:rFonts w:eastAsia="Calibri" w:cs="Times New Roman"/>
              </w:rPr>
              <w:t xml:space="preserve"> </w:t>
            </w:r>
            <w:r w:rsidRPr="00220649">
              <w:rPr>
                <w:rFonts w:eastAsia="Calibri" w:cs="Times New Roman"/>
              </w:rPr>
              <w:t>–</w:t>
            </w:r>
            <w:r w:rsidR="006E42B6">
              <w:rPr>
                <w:rFonts w:eastAsia="Calibri" w:cs="Times New Roman"/>
              </w:rPr>
              <w:t xml:space="preserve"> </w:t>
            </w:r>
            <w:r>
              <w:rPr>
                <w:rFonts w:eastAsia="Calibri" w:cs="Times New Roman"/>
              </w:rPr>
              <w:t>T</w:t>
            </w:r>
            <w:r w:rsidRPr="00794A18">
              <w:rPr>
                <w:rFonts w:eastAsia="Calibri" w:cs="Times New Roman"/>
              </w:rPr>
              <w:t xml:space="preserve">he justification of the </w:t>
            </w:r>
            <w:r>
              <w:rPr>
                <w:rFonts w:eastAsia="Calibri" w:cs="Times New Roman"/>
              </w:rPr>
              <w:t xml:space="preserve">proposed fee </w:t>
            </w:r>
            <w:r w:rsidRPr="00FD1A94">
              <w:rPr>
                <w:rFonts w:eastAsia="Calibri" w:cs="Times New Roman"/>
              </w:rPr>
              <w:t>of</w:t>
            </w:r>
            <w:r>
              <w:rPr>
                <w:rFonts w:eastAsia="Calibri" w:cs="Times New Roman"/>
              </w:rPr>
              <w:t xml:space="preserve"> </w:t>
            </w:r>
            <w:r w:rsidRPr="00794A18">
              <w:rPr>
                <w:rFonts w:eastAsia="Calibri" w:cs="Times New Roman"/>
              </w:rPr>
              <w:t xml:space="preserve">$8,000 </w:t>
            </w:r>
            <w:r>
              <w:rPr>
                <w:rFonts w:eastAsia="Calibri" w:cs="Times New Roman"/>
              </w:rPr>
              <w:t xml:space="preserve">is </w:t>
            </w:r>
            <w:r w:rsidRPr="00794A18">
              <w:rPr>
                <w:rFonts w:eastAsia="Calibri" w:cs="Times New Roman"/>
              </w:rPr>
              <w:t xml:space="preserve">inadequate. </w:t>
            </w:r>
            <w:r w:rsidRPr="00525765">
              <w:rPr>
                <w:rFonts w:eastAsia="Calibri" w:cs="Times New Roman"/>
              </w:rPr>
              <w:t xml:space="preserve">ESC </w:t>
            </w:r>
            <w:r>
              <w:rPr>
                <w:rFonts w:eastAsia="Calibri" w:cs="Times New Roman"/>
              </w:rPr>
              <w:t xml:space="preserve">requested that </w:t>
            </w:r>
            <w:r w:rsidRPr="00525765">
              <w:rPr>
                <w:rFonts w:eastAsia="Calibri" w:cs="Times New Roman"/>
              </w:rPr>
              <w:t>the applicant</w:t>
            </w:r>
            <w:r>
              <w:rPr>
                <w:rFonts w:eastAsia="Calibri" w:cs="Times New Roman"/>
              </w:rPr>
              <w:t xml:space="preserve"> </w:t>
            </w:r>
            <w:r w:rsidRPr="00525765">
              <w:rPr>
                <w:rFonts w:eastAsia="Calibri" w:cs="Times New Roman"/>
              </w:rPr>
              <w:t xml:space="preserve">provide </w:t>
            </w:r>
            <w:r>
              <w:rPr>
                <w:rFonts w:eastAsia="Calibri" w:cs="Times New Roman"/>
              </w:rPr>
              <w:t xml:space="preserve">an itemised breakdown of the </w:t>
            </w:r>
            <w:r w:rsidRPr="00525765">
              <w:rPr>
                <w:rFonts w:eastAsia="Calibri" w:cs="Times New Roman"/>
                <w:vertAlign w:val="superscript"/>
              </w:rPr>
              <w:t>177</w:t>
            </w:r>
            <w:r>
              <w:rPr>
                <w:rFonts w:eastAsia="Calibri" w:cs="Times New Roman"/>
              </w:rPr>
              <w:t>Lu PSMA</w:t>
            </w:r>
            <w:r w:rsidR="00F37E00">
              <w:t> </w:t>
            </w:r>
            <w:proofErr w:type="spellStart"/>
            <w:r w:rsidR="00F37E00">
              <w:t>i&amp;t</w:t>
            </w:r>
            <w:proofErr w:type="spellEnd"/>
            <w:r>
              <w:rPr>
                <w:rFonts w:eastAsia="Calibri" w:cs="Times New Roman"/>
              </w:rPr>
              <w:t xml:space="preserve"> service </w:t>
            </w:r>
            <w:r w:rsidRPr="00525765">
              <w:rPr>
                <w:rFonts w:eastAsia="Calibri" w:cs="Times New Roman"/>
              </w:rPr>
              <w:t xml:space="preserve">to </w:t>
            </w:r>
            <w:r>
              <w:rPr>
                <w:rFonts w:eastAsia="Calibri" w:cs="Times New Roman"/>
              </w:rPr>
              <w:t xml:space="preserve">better </w:t>
            </w:r>
            <w:r w:rsidRPr="00525765">
              <w:rPr>
                <w:rFonts w:eastAsia="Calibri" w:cs="Times New Roman"/>
              </w:rPr>
              <w:t>justify the fee</w:t>
            </w:r>
            <w:r>
              <w:rPr>
                <w:rFonts w:eastAsia="Calibri" w:cs="Times New Roman"/>
              </w:rPr>
              <w:t>.</w:t>
            </w:r>
          </w:p>
          <w:p w14:paraId="5541A9EA" w14:textId="77777777" w:rsidR="006669BE" w:rsidRPr="00525765" w:rsidRDefault="006669BE" w:rsidP="00554CC6">
            <w:pPr>
              <w:keepNext/>
              <w:rPr>
                <w:rFonts w:eastAsia="Calibri" w:cs="Times New Roman"/>
                <w:b/>
              </w:rPr>
            </w:pPr>
            <w:r w:rsidRPr="00525765">
              <w:rPr>
                <w:rFonts w:eastAsia="Calibri" w:cs="Times New Roman"/>
                <w:b/>
              </w:rPr>
              <w:t>Financial issues:</w:t>
            </w:r>
          </w:p>
          <w:p w14:paraId="53205949" w14:textId="77777777" w:rsidR="006669BE" w:rsidRPr="00794A18" w:rsidRDefault="006669BE" w:rsidP="00554CC6">
            <w:pPr>
              <w:spacing w:after="120"/>
              <w:rPr>
                <w:rFonts w:eastAsia="Calibri" w:cs="Times New Roman"/>
              </w:rPr>
            </w:pPr>
            <w:r w:rsidRPr="00FD1A94">
              <w:rPr>
                <w:rFonts w:eastAsia="Calibri" w:cs="Times New Roman"/>
              </w:rPr>
              <w:t xml:space="preserve">ESC considers the estimated financial impacts to be uncertain and potentially underestimated, </w:t>
            </w:r>
            <w:r>
              <w:rPr>
                <w:rFonts w:eastAsia="Calibri" w:cs="Times New Roman"/>
              </w:rPr>
              <w:t>as</w:t>
            </w:r>
            <w:r w:rsidRPr="00FD1A94">
              <w:rPr>
                <w:rFonts w:eastAsia="Calibri" w:cs="Times New Roman"/>
              </w:rPr>
              <w:t xml:space="preserve"> PBS cost offsets </w:t>
            </w:r>
            <w:r>
              <w:rPr>
                <w:rFonts w:eastAsia="Calibri" w:cs="Times New Roman"/>
              </w:rPr>
              <w:t xml:space="preserve">are </w:t>
            </w:r>
            <w:r w:rsidRPr="00794A18">
              <w:rPr>
                <w:rFonts w:eastAsia="Calibri" w:cs="Times New Roman"/>
              </w:rPr>
              <w:t>overestimated. Given th</w:t>
            </w:r>
            <w:r>
              <w:rPr>
                <w:rFonts w:eastAsia="Calibri" w:cs="Times New Roman"/>
              </w:rPr>
              <w:t>is</w:t>
            </w:r>
            <w:r w:rsidRPr="00794A18">
              <w:rPr>
                <w:rFonts w:eastAsia="Calibri" w:cs="Times New Roman"/>
              </w:rPr>
              <w:t xml:space="preserve"> uncertainty, MSAC </w:t>
            </w:r>
            <w:r>
              <w:rPr>
                <w:rFonts w:eastAsia="Calibri" w:cs="Times New Roman"/>
              </w:rPr>
              <w:t xml:space="preserve">considerations could be facilitated by providing an estimate of </w:t>
            </w:r>
            <w:r w:rsidRPr="00794A18">
              <w:rPr>
                <w:rFonts w:eastAsia="Calibri" w:cs="Times New Roman"/>
              </w:rPr>
              <w:t xml:space="preserve">the maximum financial impact that is likely to occur </w:t>
            </w:r>
            <w:r>
              <w:rPr>
                <w:rFonts w:eastAsia="Calibri" w:cs="Times New Roman"/>
              </w:rPr>
              <w:t xml:space="preserve">as </w:t>
            </w:r>
            <w:r w:rsidRPr="00794A18">
              <w:rPr>
                <w:rFonts w:eastAsia="Calibri" w:cs="Times New Roman"/>
              </w:rPr>
              <w:t>a useful reference point.</w:t>
            </w:r>
          </w:p>
          <w:p w14:paraId="1B0E3936" w14:textId="77777777" w:rsidR="006669BE" w:rsidRPr="00525765" w:rsidRDefault="006669BE" w:rsidP="00554CC6">
            <w:pPr>
              <w:keepNext/>
              <w:rPr>
                <w:rFonts w:eastAsia="Calibri" w:cs="Times New Roman"/>
                <w:b/>
              </w:rPr>
            </w:pPr>
            <w:r w:rsidRPr="00525765">
              <w:rPr>
                <w:rFonts w:eastAsia="Calibri" w:cs="Times New Roman"/>
                <w:b/>
              </w:rPr>
              <w:t>Other relevant information:</w:t>
            </w:r>
          </w:p>
          <w:p w14:paraId="0BB5917B" w14:textId="77777777" w:rsidR="006669BE" w:rsidRDefault="006669BE" w:rsidP="00554CC6">
            <w:pPr>
              <w:spacing w:after="120"/>
              <w:rPr>
                <w:rFonts w:eastAsia="Calibri" w:cs="Times New Roman"/>
                <w:snapToGrid w:val="0"/>
              </w:rPr>
            </w:pPr>
            <w:r>
              <w:rPr>
                <w:rFonts w:eastAsia="Calibri" w:cs="Times New Roman"/>
                <w:snapToGrid w:val="0"/>
              </w:rPr>
              <w:t xml:space="preserve">Item descriptor frequency restrictions </w:t>
            </w:r>
            <w:r w:rsidRPr="00220649">
              <w:rPr>
                <w:rFonts w:eastAsia="Calibri" w:cs="Times New Roman"/>
              </w:rPr>
              <w:t>–</w:t>
            </w:r>
            <w:r>
              <w:rPr>
                <w:rFonts w:eastAsia="Calibri" w:cs="Times New Roman"/>
              </w:rPr>
              <w:t xml:space="preserve"> </w:t>
            </w:r>
            <w:r>
              <w:rPr>
                <w:rFonts w:eastAsia="Calibri" w:cs="Times New Roman"/>
                <w:snapToGrid w:val="0"/>
              </w:rPr>
              <w:t>MSAC may wish to consider whether t</w:t>
            </w:r>
            <w:r w:rsidRPr="00794A18">
              <w:rPr>
                <w:rFonts w:eastAsia="Calibri" w:cs="Times New Roman"/>
                <w:snapToGrid w:val="0"/>
              </w:rPr>
              <w:t>here should be a lifetime restriction added to</w:t>
            </w:r>
            <w:r>
              <w:rPr>
                <w:rFonts w:eastAsia="Calibri" w:cs="Times New Roman"/>
                <w:snapToGrid w:val="0"/>
              </w:rPr>
              <w:t>:</w:t>
            </w:r>
          </w:p>
          <w:p w14:paraId="4F9ACC63" w14:textId="77777777" w:rsidR="006669BE" w:rsidRPr="00FD1A94" w:rsidRDefault="006669BE" w:rsidP="00554CC6">
            <w:pPr>
              <w:pStyle w:val="ListParagraph"/>
              <w:numPr>
                <w:ilvl w:val="0"/>
                <w:numId w:val="41"/>
              </w:numPr>
              <w:spacing w:after="120"/>
              <w:rPr>
                <w:rFonts w:eastAsia="Calibri" w:cs="Times New Roman"/>
              </w:rPr>
            </w:pPr>
            <w:r w:rsidRPr="00FD1A94">
              <w:rPr>
                <w:rFonts w:eastAsia="Calibri" w:cs="Times New Roman"/>
                <w:snapToGrid w:val="0"/>
              </w:rPr>
              <w:t>the item descriptor for PSMA PET/CT</w:t>
            </w:r>
            <w:r>
              <w:rPr>
                <w:rFonts w:eastAsia="Calibri" w:cs="Times New Roman"/>
                <w:snapToGrid w:val="0"/>
              </w:rPr>
              <w:t>,</w:t>
            </w:r>
            <w:r w:rsidRPr="00FD1A94">
              <w:rPr>
                <w:rFonts w:eastAsia="Calibri" w:cs="Times New Roman"/>
                <w:snapToGrid w:val="0"/>
              </w:rPr>
              <w:t xml:space="preserve"> as there </w:t>
            </w:r>
            <w:r>
              <w:rPr>
                <w:rFonts w:eastAsia="Calibri" w:cs="Times New Roman"/>
                <w:snapToGrid w:val="0"/>
              </w:rPr>
              <w:t xml:space="preserve">may be </w:t>
            </w:r>
            <w:r w:rsidRPr="00FD1A94">
              <w:rPr>
                <w:rFonts w:eastAsia="Calibri" w:cs="Times New Roman"/>
                <w:snapToGrid w:val="0"/>
              </w:rPr>
              <w:t xml:space="preserve">a risk of increased use </w:t>
            </w:r>
            <w:r w:rsidRPr="00FD1A94">
              <w:rPr>
                <w:rFonts w:eastAsia="Calibri" w:cs="Times New Roman"/>
              </w:rPr>
              <w:t>for repeated staging scans unrelated to therapy</w:t>
            </w:r>
            <w:r>
              <w:rPr>
                <w:rFonts w:eastAsia="Calibri" w:cs="Times New Roman"/>
              </w:rPr>
              <w:t>. Accordingly, ESC requested further advice from the applicant on this matter.</w:t>
            </w:r>
          </w:p>
          <w:p w14:paraId="009FCE5B" w14:textId="32B16102" w:rsidR="006669BE" w:rsidRPr="00FD1A94" w:rsidRDefault="006669BE" w:rsidP="00554CC6">
            <w:pPr>
              <w:pStyle w:val="ListParagraph"/>
              <w:numPr>
                <w:ilvl w:val="0"/>
                <w:numId w:val="41"/>
              </w:numPr>
              <w:spacing w:after="120"/>
              <w:rPr>
                <w:rFonts w:eastAsia="Calibri" w:cs="Times New Roman"/>
              </w:rPr>
            </w:pPr>
            <w:r>
              <w:rPr>
                <w:rFonts w:eastAsia="Calibri" w:cs="Times New Roman"/>
                <w:snapToGrid w:val="0"/>
              </w:rPr>
              <w:t>the item descriptor</w:t>
            </w:r>
            <w:r w:rsidRPr="00FD1A94">
              <w:rPr>
                <w:rFonts w:eastAsia="Calibri" w:cs="Times New Roman"/>
                <w:snapToGrid w:val="0"/>
              </w:rPr>
              <w:t xml:space="preserve"> </w:t>
            </w:r>
            <w:r w:rsidR="00531007">
              <w:rPr>
                <w:rFonts w:eastAsia="Calibri" w:cs="Times New Roman"/>
                <w:snapToGrid w:val="0"/>
              </w:rPr>
              <w:t xml:space="preserve">for </w:t>
            </w:r>
            <w:r w:rsidRPr="004D5D6E">
              <w:rPr>
                <w:rFonts w:eastAsia="Calibri" w:cs="Times New Roman"/>
                <w:vertAlign w:val="superscript"/>
              </w:rPr>
              <w:t>177</w:t>
            </w:r>
            <w:r>
              <w:rPr>
                <w:rFonts w:eastAsia="Calibri" w:cs="Times New Roman"/>
              </w:rPr>
              <w:t>Lu PSMA</w:t>
            </w:r>
            <w:r>
              <w:rPr>
                <w:rFonts w:eastAsia="Calibri" w:cs="Times New Roman"/>
                <w:snapToGrid w:val="0"/>
              </w:rPr>
              <w:t xml:space="preserve">, as </w:t>
            </w:r>
            <w:r w:rsidRPr="00794A18">
              <w:rPr>
                <w:rFonts w:eastAsia="Calibri" w:cs="Times New Roman"/>
              </w:rPr>
              <w:t xml:space="preserve">the wording </w:t>
            </w:r>
            <w:r>
              <w:rPr>
                <w:rFonts w:eastAsia="Calibri" w:cs="Times New Roman"/>
              </w:rPr>
              <w:t xml:space="preserve">may </w:t>
            </w:r>
            <w:r w:rsidRPr="00794A18">
              <w:rPr>
                <w:rFonts w:eastAsia="Calibri" w:cs="Times New Roman"/>
              </w:rPr>
              <w:t>need to ensure that no more than six cycles are claimed</w:t>
            </w:r>
            <w:r>
              <w:rPr>
                <w:rFonts w:eastAsia="Calibri" w:cs="Times New Roman"/>
              </w:rPr>
              <w:t xml:space="preserve"> per patient per lifetime</w:t>
            </w:r>
            <w:r w:rsidRPr="00E764D6">
              <w:rPr>
                <w:rFonts w:eastAsia="Calibri" w:cs="Times New Roman"/>
              </w:rPr>
              <w:t xml:space="preserve">, </w:t>
            </w:r>
            <w:r>
              <w:rPr>
                <w:rFonts w:eastAsia="Calibri" w:cs="Times New Roman"/>
              </w:rPr>
              <w:t>given the</w:t>
            </w:r>
            <w:r w:rsidRPr="00FD1A94">
              <w:rPr>
                <w:rFonts w:eastAsia="Calibri" w:cs="Times New Roman"/>
              </w:rPr>
              <w:t xml:space="preserve"> lack of safety and efficacy data for </w:t>
            </w:r>
            <w:r w:rsidRPr="00FD1A94">
              <w:rPr>
                <w:rFonts w:eastAsia="Calibri" w:cs="Times New Roman"/>
                <w:vertAlign w:val="superscript"/>
              </w:rPr>
              <w:t>177</w:t>
            </w:r>
            <w:r>
              <w:rPr>
                <w:rFonts w:eastAsia="Calibri" w:cs="Times New Roman"/>
              </w:rPr>
              <w:t>Lu PSMA</w:t>
            </w:r>
            <w:r w:rsidRPr="00FD1A94">
              <w:rPr>
                <w:rFonts w:eastAsia="Calibri" w:cs="Times New Roman"/>
              </w:rPr>
              <w:t xml:space="preserve"> therapy beyond six cycles.</w:t>
            </w:r>
          </w:p>
          <w:p w14:paraId="0DBC2B1D" w14:textId="77777777" w:rsidR="006669BE" w:rsidRPr="00DF7727" w:rsidRDefault="006669BE" w:rsidP="00554CC6">
            <w:r>
              <w:rPr>
                <w:rFonts w:eastAsia="Calibri" w:cs="Times New Roman"/>
              </w:rPr>
              <w:t xml:space="preserve">Training accreditation </w:t>
            </w:r>
            <w:r w:rsidRPr="00220649">
              <w:rPr>
                <w:rFonts w:eastAsia="Calibri" w:cs="Times New Roman"/>
              </w:rPr>
              <w:t>–</w:t>
            </w:r>
            <w:r>
              <w:rPr>
                <w:rFonts w:eastAsia="Calibri" w:cs="Times New Roman"/>
              </w:rPr>
              <w:t xml:space="preserve"> </w:t>
            </w:r>
            <w:r w:rsidRPr="009055EA">
              <w:t>Before implementation, there needs to be agreement on training accreditation with AANMS/RANZCR.</w:t>
            </w:r>
          </w:p>
        </w:tc>
      </w:tr>
    </w:tbl>
    <w:bookmarkEnd w:id="55"/>
    <w:p w14:paraId="4371D905" w14:textId="77777777" w:rsidR="006669BE" w:rsidRPr="00525765" w:rsidRDefault="006669BE" w:rsidP="006669BE">
      <w:pPr>
        <w:keepNext/>
        <w:spacing w:before="240" w:after="240" w:line="240" w:lineRule="auto"/>
        <w:outlineLvl w:val="1"/>
        <w:rPr>
          <w:rFonts w:eastAsia="Times New Roman" w:cs="Arial"/>
          <w:b/>
          <w:bCs/>
          <w:iCs/>
          <w:color w:val="000000"/>
          <w:sz w:val="24"/>
          <w:szCs w:val="28"/>
          <w:lang w:eastAsia="en-AU"/>
        </w:rPr>
      </w:pPr>
      <w:r w:rsidRPr="00525765">
        <w:rPr>
          <w:rFonts w:eastAsia="Times New Roman" w:cs="Arial"/>
          <w:b/>
          <w:bCs/>
          <w:iCs/>
          <w:color w:val="000000"/>
          <w:sz w:val="24"/>
          <w:szCs w:val="28"/>
          <w:lang w:eastAsia="en-AU"/>
        </w:rPr>
        <w:lastRenderedPageBreak/>
        <w:t>ESC discussion</w:t>
      </w:r>
    </w:p>
    <w:p w14:paraId="019F6A93" w14:textId="34BD21C0" w:rsidR="006669BE" w:rsidRPr="00E764D6" w:rsidRDefault="006669BE" w:rsidP="006669BE">
      <w:r w:rsidRPr="00525765">
        <w:rPr>
          <w:rFonts w:eastAsia="Calibri" w:cs="Times New Roman"/>
          <w:iCs/>
        </w:rPr>
        <w:t xml:space="preserve">ESC noted that this application is requesting Medicare Benefits Schedule (MBS) listing for a </w:t>
      </w:r>
      <w:r w:rsidRPr="00525765">
        <w:rPr>
          <w:rFonts w:eastAsia="Calibri" w:cs="Times New Roman"/>
          <w:iCs/>
          <w:vertAlign w:val="superscript"/>
        </w:rPr>
        <w:t>177</w:t>
      </w:r>
      <w:r w:rsidRPr="00525765">
        <w:rPr>
          <w:rFonts w:eastAsia="Calibri" w:cs="Times New Roman"/>
          <w:iCs/>
        </w:rPr>
        <w:t>Lutetium prostate-specific membrane antigen imaging scan and therapy (</w:t>
      </w:r>
      <w:r w:rsidRPr="00525765">
        <w:rPr>
          <w:rFonts w:eastAsia="Calibri" w:cs="Times New Roman"/>
          <w:iCs/>
          <w:vertAlign w:val="superscript"/>
        </w:rPr>
        <w:t>177</w:t>
      </w:r>
      <w:r>
        <w:rPr>
          <w:rFonts w:eastAsia="Calibri" w:cs="Times New Roman"/>
          <w:iCs/>
        </w:rPr>
        <w:t>Lu PSMA </w:t>
      </w:r>
      <w:proofErr w:type="spellStart"/>
      <w:r>
        <w:rPr>
          <w:rFonts w:eastAsia="Calibri" w:cs="Times New Roman"/>
          <w:iCs/>
        </w:rPr>
        <w:t>i&amp;t</w:t>
      </w:r>
      <w:proofErr w:type="spellEnd"/>
      <w:r w:rsidRPr="00525765">
        <w:rPr>
          <w:rFonts w:eastAsia="Calibri" w:cs="Times New Roman"/>
          <w:iCs/>
        </w:rPr>
        <w:t xml:space="preserve">) </w:t>
      </w:r>
      <w:r>
        <w:rPr>
          <w:rFonts w:eastAsia="Calibri" w:cs="Times New Roman"/>
          <w:iCs/>
        </w:rPr>
        <w:t>to treat</w:t>
      </w:r>
      <w:r w:rsidRPr="00525765">
        <w:rPr>
          <w:rFonts w:eastAsia="Calibri" w:cs="Times New Roman"/>
          <w:iCs/>
        </w:rPr>
        <w:t xml:space="preserve"> patients with metastatic castrate-resistant prostate cancer (</w:t>
      </w:r>
      <w:proofErr w:type="spellStart"/>
      <w:r w:rsidRPr="00525765">
        <w:rPr>
          <w:rFonts w:eastAsia="Calibri" w:cs="Times New Roman"/>
          <w:iCs/>
        </w:rPr>
        <w:t>mCRPC</w:t>
      </w:r>
      <w:proofErr w:type="spellEnd"/>
      <w:r w:rsidRPr="00525765">
        <w:rPr>
          <w:rFonts w:eastAsia="Calibri" w:cs="Times New Roman"/>
          <w:iCs/>
        </w:rPr>
        <w:t xml:space="preserve">). </w:t>
      </w:r>
      <w:r>
        <w:rPr>
          <w:rFonts w:eastAsia="Calibri" w:cs="Times New Roman"/>
          <w:iCs/>
        </w:rPr>
        <w:t xml:space="preserve">The ADAR stated that </w:t>
      </w:r>
      <w:r w:rsidRPr="00E8497F">
        <w:rPr>
          <w:vertAlign w:val="superscript"/>
        </w:rPr>
        <w:t>177</w:t>
      </w:r>
      <w:r w:rsidRPr="00161C71">
        <w:t>Lutetium</w:t>
      </w:r>
      <w:r>
        <w:t xml:space="preserve"> PSMA </w:t>
      </w:r>
      <w:proofErr w:type="spellStart"/>
      <w:r>
        <w:t>i&amp;t</w:t>
      </w:r>
      <w:proofErr w:type="spellEnd"/>
      <w:r>
        <w:t xml:space="preserve"> is currently produced under Good Laboratory Practice (GLP) and is clinically </w:t>
      </w:r>
      <w:r>
        <w:lastRenderedPageBreak/>
        <w:t xml:space="preserve">used in Australia under the Therapeutic Goods Administration’s (TGA’s) Special Access Scheme, </w:t>
      </w:r>
      <w:r w:rsidR="00361831">
        <w:t xml:space="preserve">funded </w:t>
      </w:r>
      <w:r>
        <w:t xml:space="preserve">by the Department of Veterans’ Affairs (DVA) for veterans only. </w:t>
      </w:r>
      <w:r>
        <w:rPr>
          <w:rFonts w:eastAsia="Calibri" w:cs="Times New Roman"/>
        </w:rPr>
        <w:t xml:space="preserve">ESC noted the increasing profile of radiopharmaceuticals such as </w:t>
      </w:r>
      <w:r w:rsidRPr="00525765">
        <w:rPr>
          <w:rFonts w:eastAsia="Calibri" w:cs="Times New Roman"/>
          <w:vertAlign w:val="superscript"/>
        </w:rPr>
        <w:t>177</w:t>
      </w:r>
      <w:r>
        <w:rPr>
          <w:rFonts w:eastAsia="Calibri" w:cs="Times New Roman"/>
        </w:rPr>
        <w:t xml:space="preserve">Lu PSMA as </w:t>
      </w:r>
      <w:proofErr w:type="spellStart"/>
      <w:r>
        <w:rPr>
          <w:rFonts w:eastAsia="Calibri" w:cs="Times New Roman"/>
        </w:rPr>
        <w:t>theranostic</w:t>
      </w:r>
      <w:proofErr w:type="spellEnd"/>
      <w:r>
        <w:rPr>
          <w:rFonts w:eastAsia="Calibri" w:cs="Times New Roman"/>
        </w:rPr>
        <w:t xml:space="preserve"> products.</w:t>
      </w:r>
    </w:p>
    <w:p w14:paraId="5BC84BCA" w14:textId="18020CD8" w:rsidR="006669BE" w:rsidRDefault="006669BE" w:rsidP="006669BE">
      <w:pPr>
        <w:spacing w:before="0" w:after="240" w:line="240" w:lineRule="auto"/>
        <w:rPr>
          <w:rFonts w:eastAsia="Calibri" w:cs="Times New Roman"/>
        </w:rPr>
      </w:pPr>
      <w:r w:rsidRPr="00525765">
        <w:rPr>
          <w:rFonts w:eastAsia="Calibri" w:cs="Times New Roman"/>
        </w:rPr>
        <w:t xml:space="preserve">ESC noted that </w:t>
      </w:r>
      <w:r w:rsidRPr="00525765">
        <w:rPr>
          <w:rFonts w:eastAsia="Calibri" w:cs="Times New Roman"/>
          <w:vertAlign w:val="superscript"/>
        </w:rPr>
        <w:t>177</w:t>
      </w:r>
      <w:r>
        <w:rPr>
          <w:rFonts w:eastAsia="Calibri" w:cs="Times New Roman"/>
        </w:rPr>
        <w:t>Lu PSMA</w:t>
      </w:r>
      <w:r w:rsidR="00F37E00">
        <w:t> </w:t>
      </w:r>
      <w:proofErr w:type="spellStart"/>
      <w:r w:rsidR="00F37E00">
        <w:t>i&amp;t</w:t>
      </w:r>
      <w:proofErr w:type="spellEnd"/>
      <w:r>
        <w:rPr>
          <w:rFonts w:eastAsia="Calibri" w:cs="Times New Roman"/>
        </w:rPr>
        <w:t xml:space="preserve"> therapy</w:t>
      </w:r>
      <w:r w:rsidRPr="00525765">
        <w:rPr>
          <w:rFonts w:eastAsia="Calibri" w:cs="Times New Roman"/>
        </w:rPr>
        <w:t xml:space="preserve"> is delivered by nuclear medicine specialists in specialist outpatient facilities and involves up to six cycles at 6-weekly intervals.</w:t>
      </w:r>
    </w:p>
    <w:p w14:paraId="2E105BAD" w14:textId="6C0B66A8" w:rsidR="006669BE" w:rsidRDefault="006669BE" w:rsidP="006669BE">
      <w:pPr>
        <w:spacing w:before="0" w:after="240" w:line="240" w:lineRule="auto"/>
        <w:rPr>
          <w:rFonts w:eastAsia="Calibri" w:cs="Times New Roman"/>
        </w:rPr>
      </w:pPr>
      <w:r w:rsidRPr="00525765">
        <w:rPr>
          <w:rFonts w:eastAsia="Calibri" w:cs="Times New Roman"/>
        </w:rPr>
        <w:t>ESC noted that a</w:t>
      </w:r>
      <w:r w:rsidR="00215355">
        <w:rPr>
          <w:rFonts w:eastAsia="Calibri" w:cs="Times New Roman"/>
        </w:rPr>
        <w:t>n</w:t>
      </w:r>
      <w:r w:rsidRPr="00525765">
        <w:rPr>
          <w:rFonts w:eastAsia="Calibri" w:cs="Times New Roman"/>
        </w:rPr>
        <w:t xml:space="preserve"> </w:t>
      </w:r>
      <w:r w:rsidR="00215355">
        <w:rPr>
          <w:rFonts w:eastAsia="Calibri" w:cs="Times New Roman"/>
        </w:rPr>
        <w:t>alternative</w:t>
      </w:r>
      <w:r w:rsidRPr="00525765">
        <w:rPr>
          <w:rFonts w:eastAsia="Calibri" w:cs="Times New Roman"/>
        </w:rPr>
        <w:t xml:space="preserve"> product</w:t>
      </w:r>
      <w:r>
        <w:rPr>
          <w:rFonts w:eastAsia="Calibri" w:cs="Times New Roman"/>
        </w:rPr>
        <w:t>,</w:t>
      </w:r>
      <w:r w:rsidRPr="00525765">
        <w:rPr>
          <w:rFonts w:eastAsia="Calibri" w:cs="Times New Roman"/>
        </w:rPr>
        <w:t xml:space="preserve"> </w:t>
      </w:r>
      <w:r w:rsidRPr="00525765">
        <w:rPr>
          <w:rFonts w:eastAsia="Calibri" w:cs="Times New Roman"/>
          <w:vertAlign w:val="superscript"/>
        </w:rPr>
        <w:t>177</w:t>
      </w:r>
      <w:r>
        <w:rPr>
          <w:rFonts w:eastAsia="Calibri" w:cs="Times New Roman"/>
        </w:rPr>
        <w:t>Lu PSMA</w:t>
      </w:r>
      <w:r w:rsidRPr="00525765">
        <w:rPr>
          <w:rFonts w:eastAsia="Calibri" w:cs="Times New Roman"/>
        </w:rPr>
        <w:t xml:space="preserve">-617 from Novartis, </w:t>
      </w:r>
      <w:r>
        <w:rPr>
          <w:rFonts w:eastAsia="Calibri" w:cs="Times New Roman"/>
        </w:rPr>
        <w:t xml:space="preserve">is </w:t>
      </w:r>
      <w:r w:rsidRPr="00525765">
        <w:rPr>
          <w:rFonts w:eastAsia="Calibri" w:cs="Times New Roman"/>
        </w:rPr>
        <w:t>not</w:t>
      </w:r>
      <w:r>
        <w:rPr>
          <w:rFonts w:eastAsia="Calibri" w:cs="Times New Roman"/>
        </w:rPr>
        <w:t xml:space="preserve"> currently</w:t>
      </w:r>
      <w:r w:rsidRPr="00525765">
        <w:rPr>
          <w:rFonts w:eastAsia="Calibri" w:cs="Times New Roman"/>
        </w:rPr>
        <w:t xml:space="preserve"> </w:t>
      </w:r>
      <w:r>
        <w:rPr>
          <w:rFonts w:eastAsia="Calibri" w:cs="Times New Roman"/>
        </w:rPr>
        <w:t>registered by the TGA</w:t>
      </w:r>
      <w:r w:rsidRPr="00525765">
        <w:rPr>
          <w:rFonts w:eastAsia="Calibri" w:cs="Times New Roman"/>
        </w:rPr>
        <w:t xml:space="preserve"> in Australia.</w:t>
      </w:r>
    </w:p>
    <w:p w14:paraId="4499D23D" w14:textId="77777777" w:rsidR="006669BE" w:rsidRDefault="006669BE" w:rsidP="006669BE">
      <w:pPr>
        <w:spacing w:before="0" w:after="240" w:line="240" w:lineRule="auto"/>
        <w:rPr>
          <w:rFonts w:eastAsia="Calibri" w:cs="Times New Roman"/>
        </w:rPr>
      </w:pPr>
      <w:r>
        <w:rPr>
          <w:rFonts w:eastAsia="Calibri" w:cs="Times New Roman"/>
        </w:rPr>
        <w:t xml:space="preserve">ESC noted that this application is also requesting MBS listing for two codependent imaging technologies: whole body PSMA </w:t>
      </w:r>
      <w:r w:rsidRPr="00525765">
        <w:rPr>
          <w:rFonts w:eastAsia="Calibri" w:cs="Times New Roman"/>
        </w:rPr>
        <w:t>positron emission tomography/computed tomography</w:t>
      </w:r>
      <w:r>
        <w:rPr>
          <w:rFonts w:eastAsia="Calibri" w:cs="Times New Roman"/>
        </w:rPr>
        <w:t xml:space="preserve"> (PET/CT) to help establish eligibility for the therapy and </w:t>
      </w:r>
      <w:r w:rsidRPr="005C467D">
        <w:rPr>
          <w:iCs/>
        </w:rPr>
        <w:t>single-photon emission/computed tomography/computerised tomography (</w:t>
      </w:r>
      <w:r>
        <w:rPr>
          <w:rFonts w:eastAsia="Calibri" w:cs="Times New Roman"/>
        </w:rPr>
        <w:t xml:space="preserve">SPECT/CT) for post-treatment assessment. </w:t>
      </w:r>
      <w:r w:rsidRPr="00525765">
        <w:rPr>
          <w:rFonts w:eastAsia="Calibri" w:cs="Times New Roman"/>
        </w:rPr>
        <w:t xml:space="preserve">ESC noted that </w:t>
      </w:r>
      <w:r>
        <w:rPr>
          <w:rFonts w:eastAsia="Calibri" w:cs="Times New Roman"/>
        </w:rPr>
        <w:t xml:space="preserve">MSAC has supported </w:t>
      </w:r>
      <w:r w:rsidRPr="00525765">
        <w:rPr>
          <w:rFonts w:eastAsia="Calibri" w:cs="Times New Roman"/>
        </w:rPr>
        <w:t>(MSAC Application 1632)</w:t>
      </w:r>
      <w:r>
        <w:rPr>
          <w:rFonts w:eastAsia="Calibri" w:cs="Times New Roman"/>
        </w:rPr>
        <w:t xml:space="preserve"> whole body PSMA </w:t>
      </w:r>
      <w:r w:rsidRPr="00525765">
        <w:rPr>
          <w:rFonts w:eastAsia="Calibri" w:cs="Times New Roman"/>
        </w:rPr>
        <w:t xml:space="preserve">PET/CT imaging </w:t>
      </w:r>
      <w:r>
        <w:rPr>
          <w:rFonts w:eastAsia="Calibri" w:cs="Times New Roman"/>
        </w:rPr>
        <w:t>in initial staging and restaging of prostate cancer</w:t>
      </w:r>
      <w:r w:rsidRPr="00525765">
        <w:rPr>
          <w:rFonts w:eastAsia="Calibri" w:cs="Times New Roman"/>
        </w:rPr>
        <w:t xml:space="preserve"> </w:t>
      </w:r>
      <w:r>
        <w:rPr>
          <w:rFonts w:eastAsia="Calibri" w:cs="Times New Roman"/>
        </w:rPr>
        <w:t>and this will be implemented on 1 </w:t>
      </w:r>
      <w:r w:rsidRPr="00525765">
        <w:rPr>
          <w:rFonts w:eastAsia="Calibri" w:cs="Times New Roman"/>
        </w:rPr>
        <w:t>July</w:t>
      </w:r>
      <w:r>
        <w:rPr>
          <w:rFonts w:eastAsia="Calibri" w:cs="Times New Roman"/>
        </w:rPr>
        <w:t> </w:t>
      </w:r>
      <w:r w:rsidRPr="00525765">
        <w:rPr>
          <w:rFonts w:eastAsia="Calibri" w:cs="Times New Roman"/>
        </w:rPr>
        <w:t>2022. The</w:t>
      </w:r>
      <w:r>
        <w:rPr>
          <w:rFonts w:eastAsia="Calibri" w:cs="Times New Roman"/>
        </w:rPr>
        <w:t>se</w:t>
      </w:r>
      <w:r w:rsidRPr="00525765">
        <w:rPr>
          <w:rFonts w:eastAsia="Calibri" w:cs="Times New Roman"/>
        </w:rPr>
        <w:t xml:space="preserve"> </w:t>
      </w:r>
      <w:r>
        <w:rPr>
          <w:rFonts w:eastAsia="Calibri" w:cs="Times New Roman"/>
        </w:rPr>
        <w:t>new items for</w:t>
      </w:r>
      <w:r w:rsidRPr="00525765">
        <w:rPr>
          <w:rFonts w:eastAsia="Calibri" w:cs="Times New Roman"/>
        </w:rPr>
        <w:t xml:space="preserve"> </w:t>
      </w:r>
      <w:r>
        <w:rPr>
          <w:rFonts w:eastAsia="Calibri" w:cs="Times New Roman"/>
        </w:rPr>
        <w:t xml:space="preserve">PSMA </w:t>
      </w:r>
      <w:r w:rsidRPr="00525765">
        <w:rPr>
          <w:rFonts w:eastAsia="Calibri" w:cs="Times New Roman"/>
        </w:rPr>
        <w:t xml:space="preserve">PET/CT </w:t>
      </w:r>
      <w:r>
        <w:rPr>
          <w:rFonts w:eastAsia="Calibri" w:cs="Times New Roman"/>
        </w:rPr>
        <w:t xml:space="preserve">are </w:t>
      </w:r>
      <w:r w:rsidRPr="00525765">
        <w:rPr>
          <w:rFonts w:eastAsia="Calibri" w:cs="Times New Roman"/>
        </w:rPr>
        <w:t>agnostic</w:t>
      </w:r>
      <w:r>
        <w:rPr>
          <w:rFonts w:eastAsia="Calibri" w:cs="Times New Roman"/>
        </w:rPr>
        <w:t xml:space="preserve"> of the type of PSMA and do not include reference to CT as CT attenuation item 61505 will generally be claimed with the items.</w:t>
      </w:r>
    </w:p>
    <w:p w14:paraId="5C23588F" w14:textId="77777777" w:rsidR="006669BE" w:rsidRDefault="006669BE" w:rsidP="006669BE">
      <w:pPr>
        <w:spacing w:before="0" w:after="240" w:line="240" w:lineRule="auto"/>
      </w:pPr>
      <w:r>
        <w:t>ESC noted that a key change from the Ratified PICO confirmation is that the ADAR removed the requirement (and proposed MBS item) for confirmatory testing with w</w:t>
      </w:r>
      <w:r w:rsidRPr="00B1191F">
        <w:t xml:space="preserve">hole body 18F-fluorodeoxyglucose </w:t>
      </w:r>
      <w:r>
        <w:t>(FDG) PET/CT.</w:t>
      </w:r>
    </w:p>
    <w:p w14:paraId="53093D17" w14:textId="77777777" w:rsidR="006669BE" w:rsidRPr="00525765" w:rsidRDefault="006669BE" w:rsidP="006669BE">
      <w:pPr>
        <w:spacing w:before="0" w:after="240" w:line="240" w:lineRule="auto"/>
        <w:rPr>
          <w:rFonts w:eastAsia="Calibri" w:cs="Times New Roman"/>
          <w:iCs/>
        </w:rPr>
      </w:pPr>
      <w:r w:rsidRPr="00525765">
        <w:rPr>
          <w:rFonts w:eastAsia="Calibri" w:cs="Times New Roman"/>
        </w:rPr>
        <w:t xml:space="preserve">ESC noted that the proposed population is patients </w:t>
      </w:r>
      <w:r>
        <w:rPr>
          <w:rFonts w:eastAsia="Calibri" w:cs="Times New Roman"/>
        </w:rPr>
        <w:t xml:space="preserve">with </w:t>
      </w:r>
      <w:proofErr w:type="spellStart"/>
      <w:r>
        <w:rPr>
          <w:rFonts w:eastAsia="Calibri" w:cs="Times New Roman"/>
        </w:rPr>
        <w:t>mCRPC</w:t>
      </w:r>
      <w:proofErr w:type="spellEnd"/>
      <w:r>
        <w:rPr>
          <w:rFonts w:eastAsia="Calibri" w:cs="Times New Roman"/>
        </w:rPr>
        <w:t xml:space="preserve"> </w:t>
      </w:r>
      <w:r w:rsidRPr="00A66E3D">
        <w:rPr>
          <w:rFonts w:eastAsia="Calibri" w:cs="Times New Roman"/>
        </w:rPr>
        <w:t xml:space="preserve">after progressive disease has developed while on at least one </w:t>
      </w:r>
      <w:proofErr w:type="spellStart"/>
      <w:r w:rsidRPr="00A66E3D">
        <w:rPr>
          <w:rFonts w:eastAsia="Calibri" w:cs="Times New Roman"/>
        </w:rPr>
        <w:t>taxane</w:t>
      </w:r>
      <w:proofErr w:type="spellEnd"/>
      <w:r w:rsidRPr="00A66E3D">
        <w:rPr>
          <w:rFonts w:eastAsia="Calibri" w:cs="Times New Roman"/>
        </w:rPr>
        <w:t xml:space="preserve"> chemotherapy and at least one androgen receptor signalling inhibitor</w:t>
      </w:r>
      <w:r>
        <w:rPr>
          <w:rFonts w:eastAsia="Calibri" w:cs="Times New Roman"/>
        </w:rPr>
        <w:t xml:space="preserve">. ESC acknowledged the clinical need of this population with advanced disease, noting about </w:t>
      </w:r>
      <w:r w:rsidRPr="00525765">
        <w:rPr>
          <w:rFonts w:eastAsia="Calibri" w:cs="Times New Roman"/>
        </w:rPr>
        <w:t xml:space="preserve">3,000 patients die each year from </w:t>
      </w:r>
      <w:proofErr w:type="spellStart"/>
      <w:r w:rsidRPr="00525765">
        <w:rPr>
          <w:rFonts w:eastAsia="Calibri" w:cs="Times New Roman"/>
        </w:rPr>
        <w:t>mCRPC</w:t>
      </w:r>
      <w:proofErr w:type="spellEnd"/>
      <w:r>
        <w:rPr>
          <w:rFonts w:eastAsia="Calibri" w:cs="Times New Roman"/>
        </w:rPr>
        <w:t xml:space="preserve"> i</w:t>
      </w:r>
      <w:r w:rsidRPr="00525765">
        <w:rPr>
          <w:rFonts w:eastAsia="Calibri" w:cs="Times New Roman"/>
        </w:rPr>
        <w:t xml:space="preserve">n Australia, </w:t>
      </w:r>
      <w:r>
        <w:rPr>
          <w:rFonts w:eastAsia="Calibri" w:cs="Times New Roman"/>
        </w:rPr>
        <w:t>and the significant morbidity associated with bone metastasis requiring analgesia and skeletal related events</w:t>
      </w:r>
      <w:r w:rsidRPr="00525765">
        <w:rPr>
          <w:rFonts w:eastAsia="Calibri" w:cs="Times New Roman"/>
        </w:rPr>
        <w:t>.</w:t>
      </w:r>
    </w:p>
    <w:p w14:paraId="24797EB6" w14:textId="1A242841" w:rsidR="006669BE" w:rsidRPr="00525765" w:rsidRDefault="006669BE" w:rsidP="006669BE">
      <w:pPr>
        <w:spacing w:before="0" w:after="240" w:line="240" w:lineRule="auto"/>
        <w:rPr>
          <w:rFonts w:eastAsia="Calibri" w:cs="Times New Roman"/>
        </w:rPr>
      </w:pPr>
      <w:r w:rsidRPr="00525765">
        <w:rPr>
          <w:rFonts w:eastAsia="Calibri" w:cs="Times New Roman"/>
        </w:rPr>
        <w:t xml:space="preserve">ESC considered the comparators of </w:t>
      </w:r>
      <w:proofErr w:type="spellStart"/>
      <w:r w:rsidRPr="00525765">
        <w:rPr>
          <w:rFonts w:eastAsia="Calibri" w:cs="Times New Roman"/>
        </w:rPr>
        <w:t>cabazitaxel</w:t>
      </w:r>
      <w:proofErr w:type="spellEnd"/>
      <w:r w:rsidRPr="00525765">
        <w:rPr>
          <w:rFonts w:eastAsia="Calibri" w:cs="Times New Roman"/>
        </w:rPr>
        <w:t xml:space="preserve"> and standard care</w:t>
      </w:r>
      <w:r>
        <w:rPr>
          <w:rFonts w:eastAsia="Calibri" w:cs="Times New Roman"/>
        </w:rPr>
        <w:t xml:space="preserve"> (interchangeable with best supportive care in the </w:t>
      </w:r>
      <w:r w:rsidRPr="00525765">
        <w:rPr>
          <w:rFonts w:eastAsia="Calibri" w:cs="Times New Roman"/>
        </w:rPr>
        <w:t>applicant-developed assessment report</w:t>
      </w:r>
      <w:r>
        <w:rPr>
          <w:rFonts w:eastAsia="Calibri" w:cs="Times New Roman"/>
        </w:rPr>
        <w:t xml:space="preserve"> [ADAR]), </w:t>
      </w:r>
      <w:r>
        <w:t xml:space="preserve">if prior </w:t>
      </w:r>
      <w:proofErr w:type="spellStart"/>
      <w:r>
        <w:t>cabazitaxel</w:t>
      </w:r>
      <w:proofErr w:type="spellEnd"/>
      <w:r>
        <w:t xml:space="preserve">, or unsuitable/unwilling for </w:t>
      </w:r>
      <w:proofErr w:type="spellStart"/>
      <w:r>
        <w:t>cabazitaxel</w:t>
      </w:r>
      <w:proofErr w:type="spellEnd"/>
      <w:r>
        <w:t>,</w:t>
      </w:r>
      <w:r>
        <w:rPr>
          <w:rFonts w:eastAsia="Calibri" w:cs="Times New Roman"/>
        </w:rPr>
        <w:t xml:space="preserve"> </w:t>
      </w:r>
      <w:r w:rsidRPr="00525765">
        <w:rPr>
          <w:rFonts w:eastAsia="Calibri" w:cs="Times New Roman"/>
        </w:rPr>
        <w:t>to be appropriate.</w:t>
      </w:r>
    </w:p>
    <w:p w14:paraId="63FEE069" w14:textId="77777777" w:rsidR="006669BE" w:rsidRPr="00525765" w:rsidRDefault="006669BE" w:rsidP="006669BE">
      <w:pPr>
        <w:spacing w:before="0" w:after="240" w:line="240" w:lineRule="auto"/>
        <w:rPr>
          <w:rFonts w:eastAsia="Calibri" w:cs="Times New Roman"/>
        </w:rPr>
      </w:pPr>
      <w:r w:rsidRPr="00525765">
        <w:rPr>
          <w:rFonts w:eastAsia="Calibri" w:cs="Times New Roman"/>
        </w:rPr>
        <w:t xml:space="preserve">ESC noted that, as for MSAC Application 1632, the proposed item descriptor for </w:t>
      </w:r>
      <w:r>
        <w:rPr>
          <w:rFonts w:eastAsia="Calibri" w:cs="Times New Roman"/>
        </w:rPr>
        <w:t>whole body PSMA PET/CT</w:t>
      </w:r>
      <w:r w:rsidRPr="00525765">
        <w:rPr>
          <w:rFonts w:eastAsia="Calibri" w:cs="Times New Roman"/>
        </w:rPr>
        <w:t xml:space="preserve"> is agnostic</w:t>
      </w:r>
      <w:r>
        <w:rPr>
          <w:rFonts w:eastAsia="Calibri" w:cs="Times New Roman"/>
        </w:rPr>
        <w:t xml:space="preserve"> of the type of PSMA</w:t>
      </w:r>
      <w:r w:rsidRPr="00525765">
        <w:rPr>
          <w:rFonts w:eastAsia="Calibri" w:cs="Times New Roman"/>
        </w:rPr>
        <w:t>. ESC considered this to be appropriate. ESC considered that there is a risk</w:t>
      </w:r>
      <w:r>
        <w:rPr>
          <w:rFonts w:eastAsia="Calibri" w:cs="Times New Roman"/>
        </w:rPr>
        <w:t xml:space="preserve"> that practitioners could use the PSMA PET/CT item for</w:t>
      </w:r>
      <w:r w:rsidRPr="00525765">
        <w:rPr>
          <w:rFonts w:eastAsia="Calibri" w:cs="Times New Roman"/>
        </w:rPr>
        <w:t xml:space="preserve"> repeated staging scans unrelated to therapy</w:t>
      </w:r>
      <w:r>
        <w:rPr>
          <w:rFonts w:eastAsia="Calibri" w:cs="Times New Roman"/>
        </w:rPr>
        <w:t xml:space="preserve">. Accordingly, </w:t>
      </w:r>
      <w:r w:rsidRPr="00525765">
        <w:rPr>
          <w:rFonts w:eastAsia="Calibri" w:cs="Times New Roman"/>
        </w:rPr>
        <w:t xml:space="preserve">ESC </w:t>
      </w:r>
      <w:r>
        <w:rPr>
          <w:rFonts w:eastAsia="Calibri" w:cs="Times New Roman"/>
        </w:rPr>
        <w:t xml:space="preserve">requested advice from the applicant as to whether the proposed PSMA PET/CT item should be restricted to once </w:t>
      </w:r>
      <w:r w:rsidRPr="00525765">
        <w:rPr>
          <w:rFonts w:eastAsia="Calibri" w:cs="Times New Roman"/>
        </w:rPr>
        <w:t>per lifetime</w:t>
      </w:r>
      <w:r>
        <w:rPr>
          <w:rFonts w:eastAsia="Calibri" w:cs="Times New Roman"/>
        </w:rPr>
        <w:t xml:space="preserve"> noting that this would prohibit reassessment</w:t>
      </w:r>
      <w:r w:rsidRPr="00B1191F">
        <w:t xml:space="preserve"> </w:t>
      </w:r>
      <w:r>
        <w:t xml:space="preserve">with </w:t>
      </w:r>
      <w:r>
        <w:rPr>
          <w:rFonts w:eastAsia="Calibri" w:cs="Times New Roman"/>
        </w:rPr>
        <w:t>PSMA PET/CT</w:t>
      </w:r>
      <w:r w:rsidRPr="00B1191F">
        <w:rPr>
          <w:rFonts w:eastAsia="Calibri" w:cs="Times New Roman"/>
        </w:rPr>
        <w:t xml:space="preserve"> prior to subsequent </w:t>
      </w:r>
      <w:r w:rsidRPr="00C96A30">
        <w:rPr>
          <w:rFonts w:eastAsia="Calibri" w:cs="Times New Roman"/>
          <w:vertAlign w:val="superscript"/>
        </w:rPr>
        <w:t>177</w:t>
      </w:r>
      <w:r>
        <w:rPr>
          <w:rFonts w:eastAsia="Calibri" w:cs="Times New Roman"/>
        </w:rPr>
        <w:t>Lu PSMA</w:t>
      </w:r>
      <w:r w:rsidRPr="00B1191F">
        <w:rPr>
          <w:rFonts w:eastAsia="Calibri" w:cs="Times New Roman"/>
        </w:rPr>
        <w:t xml:space="preserve"> treatment cycles</w:t>
      </w:r>
      <w:r w:rsidRPr="00525765">
        <w:rPr>
          <w:rFonts w:eastAsia="Calibri" w:cs="Times New Roman"/>
        </w:rPr>
        <w:t>.</w:t>
      </w:r>
    </w:p>
    <w:p w14:paraId="43F4033F" w14:textId="77777777" w:rsidR="006669BE" w:rsidRPr="00525765" w:rsidRDefault="006669BE" w:rsidP="006669BE">
      <w:pPr>
        <w:spacing w:before="0" w:after="240" w:line="240" w:lineRule="auto"/>
        <w:rPr>
          <w:rFonts w:eastAsia="Calibri" w:cs="Times New Roman"/>
        </w:rPr>
      </w:pPr>
      <w:r w:rsidRPr="00525765">
        <w:rPr>
          <w:rFonts w:eastAsia="Calibri" w:cs="Times New Roman"/>
        </w:rPr>
        <w:t xml:space="preserve">ESC noted that patients who have a PSMA PET/CT and meet the PSMA criteria then undergo </w:t>
      </w:r>
      <w:r w:rsidRPr="00525765">
        <w:rPr>
          <w:rFonts w:eastAsia="Calibri" w:cs="Times New Roman"/>
          <w:vertAlign w:val="superscript"/>
        </w:rPr>
        <w:t>177</w:t>
      </w:r>
      <w:r>
        <w:rPr>
          <w:rFonts w:eastAsia="Calibri" w:cs="Times New Roman"/>
        </w:rPr>
        <w:t>Lu PSMA therapy</w:t>
      </w:r>
      <w:r w:rsidRPr="00525765">
        <w:rPr>
          <w:rFonts w:eastAsia="Calibri" w:cs="Times New Roman"/>
        </w:rPr>
        <w:t>. ESC noted that the item descriptor</w:t>
      </w:r>
      <w:r>
        <w:rPr>
          <w:rFonts w:eastAsia="Calibri" w:cs="Times New Roman"/>
        </w:rPr>
        <w:t xml:space="preserve"> for </w:t>
      </w:r>
      <w:r w:rsidRPr="00525765">
        <w:rPr>
          <w:rFonts w:eastAsia="Calibri" w:cs="Times New Roman"/>
          <w:vertAlign w:val="superscript"/>
        </w:rPr>
        <w:t>177</w:t>
      </w:r>
      <w:r>
        <w:rPr>
          <w:rFonts w:eastAsia="Calibri" w:cs="Times New Roman"/>
        </w:rPr>
        <w:t>Lu PSMA</w:t>
      </w:r>
      <w:r w:rsidRPr="00525765">
        <w:rPr>
          <w:rFonts w:eastAsia="Calibri" w:cs="Times New Roman"/>
        </w:rPr>
        <w:t xml:space="preserve"> is</w:t>
      </w:r>
      <w:r>
        <w:rPr>
          <w:rFonts w:eastAsia="Calibri" w:cs="Times New Roman"/>
        </w:rPr>
        <w:t xml:space="preserve"> also </w:t>
      </w:r>
      <w:r w:rsidRPr="00525765">
        <w:rPr>
          <w:rFonts w:eastAsia="Calibri" w:cs="Times New Roman"/>
        </w:rPr>
        <w:t>agnostic</w:t>
      </w:r>
      <w:r>
        <w:rPr>
          <w:rFonts w:eastAsia="Calibri" w:cs="Times New Roman"/>
        </w:rPr>
        <w:t xml:space="preserve"> of the type of </w:t>
      </w:r>
      <w:r w:rsidRPr="00525765">
        <w:rPr>
          <w:rFonts w:eastAsia="Calibri" w:cs="Times New Roman"/>
          <w:vertAlign w:val="superscript"/>
        </w:rPr>
        <w:t>177</w:t>
      </w:r>
      <w:r>
        <w:rPr>
          <w:rFonts w:eastAsia="Calibri" w:cs="Times New Roman"/>
        </w:rPr>
        <w:t>Lu PSMA</w:t>
      </w:r>
      <w:r w:rsidRPr="00525765">
        <w:rPr>
          <w:rFonts w:eastAsia="Calibri" w:cs="Times New Roman"/>
        </w:rPr>
        <w:t xml:space="preserve">, as it does not specify either </w:t>
      </w:r>
      <w:r w:rsidRPr="00525765">
        <w:rPr>
          <w:rFonts w:eastAsia="Calibri" w:cs="Times New Roman"/>
          <w:vertAlign w:val="superscript"/>
        </w:rPr>
        <w:t>177</w:t>
      </w:r>
      <w:r>
        <w:rPr>
          <w:rFonts w:eastAsia="Calibri" w:cs="Times New Roman"/>
        </w:rPr>
        <w:t>Lu PSMA </w:t>
      </w:r>
      <w:proofErr w:type="spellStart"/>
      <w:r>
        <w:rPr>
          <w:rFonts w:eastAsia="Calibri" w:cs="Times New Roman"/>
        </w:rPr>
        <w:t>i&amp;t</w:t>
      </w:r>
      <w:proofErr w:type="spellEnd"/>
      <w:r w:rsidRPr="00525765">
        <w:rPr>
          <w:rFonts w:eastAsia="Calibri" w:cs="Times New Roman"/>
        </w:rPr>
        <w:t xml:space="preserve"> or </w:t>
      </w:r>
      <w:r w:rsidRPr="00525765">
        <w:rPr>
          <w:rFonts w:eastAsia="Calibri" w:cs="Times New Roman"/>
          <w:vertAlign w:val="superscript"/>
        </w:rPr>
        <w:t>177</w:t>
      </w:r>
      <w:r>
        <w:rPr>
          <w:rFonts w:eastAsia="Calibri" w:cs="Times New Roman"/>
        </w:rPr>
        <w:t>Lu PSMA-</w:t>
      </w:r>
      <w:proofErr w:type="gramStart"/>
      <w:r>
        <w:rPr>
          <w:rFonts w:eastAsia="Calibri" w:cs="Times New Roman"/>
        </w:rPr>
        <w:t>617</w:t>
      </w:r>
      <w:r w:rsidRPr="00525765">
        <w:rPr>
          <w:rFonts w:eastAsia="Calibri" w:cs="Times New Roman"/>
        </w:rPr>
        <w:t>, and</w:t>
      </w:r>
      <w:proofErr w:type="gramEnd"/>
      <w:r w:rsidRPr="00525765">
        <w:rPr>
          <w:rFonts w:eastAsia="Calibri" w:cs="Times New Roman"/>
        </w:rPr>
        <w:t xml:space="preserve"> considered this</w:t>
      </w:r>
      <w:r>
        <w:rPr>
          <w:rFonts w:eastAsia="Calibri" w:cs="Times New Roman"/>
        </w:rPr>
        <w:t xml:space="preserve"> generic approach</w:t>
      </w:r>
      <w:r w:rsidRPr="00525765">
        <w:rPr>
          <w:rFonts w:eastAsia="Calibri" w:cs="Times New Roman"/>
        </w:rPr>
        <w:t xml:space="preserve"> to be appropriate</w:t>
      </w:r>
      <w:r>
        <w:rPr>
          <w:rFonts w:eastAsia="Calibri" w:cs="Times New Roman"/>
        </w:rPr>
        <w:t xml:space="preserve"> subject to MSAC’s conclusions regarding the </w:t>
      </w:r>
      <w:proofErr w:type="spellStart"/>
      <w:r w:rsidRPr="008230D4">
        <w:rPr>
          <w:rFonts w:eastAsia="Calibri" w:cs="Times New Roman"/>
        </w:rPr>
        <w:t>equi</w:t>
      </w:r>
      <w:proofErr w:type="spellEnd"/>
      <w:r w:rsidRPr="008230D4">
        <w:rPr>
          <w:rFonts w:eastAsia="Calibri" w:cs="Times New Roman"/>
        </w:rPr>
        <w:t>-effectiveness</w:t>
      </w:r>
      <w:r>
        <w:rPr>
          <w:rFonts w:eastAsia="Calibri" w:cs="Times New Roman"/>
        </w:rPr>
        <w:t xml:space="preserve"> of these products</w:t>
      </w:r>
      <w:r w:rsidRPr="00525765">
        <w:rPr>
          <w:rFonts w:eastAsia="Calibri" w:cs="Times New Roman"/>
        </w:rPr>
        <w:t>. ESC noted that this item descriptor included a restriction of once per cycle up to a maximum of 6 cycles in each course of therapy</w:t>
      </w:r>
      <w:r>
        <w:rPr>
          <w:rFonts w:eastAsia="Calibri" w:cs="Times New Roman"/>
        </w:rPr>
        <w:t xml:space="preserve">, but that </w:t>
      </w:r>
      <w:r w:rsidRPr="00525765">
        <w:rPr>
          <w:rFonts w:eastAsia="Calibri" w:cs="Times New Roman"/>
        </w:rPr>
        <w:t xml:space="preserve">no lifetime limit was specified. ESC </w:t>
      </w:r>
      <w:r>
        <w:rPr>
          <w:rFonts w:eastAsia="Calibri" w:cs="Times New Roman"/>
        </w:rPr>
        <w:t>noted</w:t>
      </w:r>
      <w:r w:rsidRPr="00525765">
        <w:rPr>
          <w:rFonts w:eastAsia="Calibri" w:cs="Times New Roman"/>
        </w:rPr>
        <w:t xml:space="preserve"> that chemotherapy does not have a frequency restriction, but the descriptor wording could allow more than six cycles</w:t>
      </w:r>
      <w:r>
        <w:rPr>
          <w:rFonts w:eastAsia="Calibri" w:cs="Times New Roman"/>
        </w:rPr>
        <w:t xml:space="preserve"> per patient across more than one course</w:t>
      </w:r>
      <w:r w:rsidRPr="00525765">
        <w:rPr>
          <w:rFonts w:eastAsia="Calibri" w:cs="Times New Roman"/>
        </w:rPr>
        <w:t>. ESC considered that the wording of th</w:t>
      </w:r>
      <w:r>
        <w:rPr>
          <w:rFonts w:eastAsia="Calibri" w:cs="Times New Roman"/>
        </w:rPr>
        <w:t>is</w:t>
      </w:r>
      <w:r w:rsidRPr="00525765">
        <w:rPr>
          <w:rFonts w:eastAsia="Calibri" w:cs="Times New Roman"/>
        </w:rPr>
        <w:t xml:space="preserve"> item descriptor </w:t>
      </w:r>
      <w:r>
        <w:rPr>
          <w:rFonts w:eastAsia="Calibri" w:cs="Times New Roman"/>
        </w:rPr>
        <w:t xml:space="preserve">may </w:t>
      </w:r>
      <w:r w:rsidRPr="00525765">
        <w:rPr>
          <w:rFonts w:eastAsia="Calibri" w:cs="Times New Roman"/>
        </w:rPr>
        <w:t>need to be reviewed to ensure that no more than six cycles are claimed</w:t>
      </w:r>
      <w:r>
        <w:rPr>
          <w:rFonts w:eastAsia="Calibri" w:cs="Times New Roman"/>
        </w:rPr>
        <w:t xml:space="preserve"> per patient per lifetime</w:t>
      </w:r>
      <w:r w:rsidRPr="00525765">
        <w:rPr>
          <w:rFonts w:eastAsia="Calibri" w:cs="Times New Roman"/>
        </w:rPr>
        <w:t xml:space="preserve">, as </w:t>
      </w:r>
      <w:r>
        <w:rPr>
          <w:rFonts w:eastAsia="Calibri" w:cs="Times New Roman"/>
        </w:rPr>
        <w:t xml:space="preserve">currently </w:t>
      </w:r>
      <w:r w:rsidRPr="00525765">
        <w:rPr>
          <w:rFonts w:eastAsia="Calibri" w:cs="Times New Roman"/>
        </w:rPr>
        <w:t xml:space="preserve">there is a lack of safety and efficacy data </w:t>
      </w:r>
      <w:r>
        <w:rPr>
          <w:rFonts w:eastAsia="Calibri" w:cs="Times New Roman"/>
        </w:rPr>
        <w:t xml:space="preserve">for </w:t>
      </w:r>
      <w:r w:rsidRPr="00C96A30">
        <w:rPr>
          <w:rFonts w:eastAsia="Calibri" w:cs="Times New Roman"/>
          <w:vertAlign w:val="superscript"/>
        </w:rPr>
        <w:t>177</w:t>
      </w:r>
      <w:r>
        <w:rPr>
          <w:rFonts w:eastAsia="Calibri" w:cs="Times New Roman"/>
        </w:rPr>
        <w:t>Lu PSMA therapy beyond</w:t>
      </w:r>
      <w:r w:rsidRPr="00525765">
        <w:rPr>
          <w:rFonts w:eastAsia="Calibri" w:cs="Times New Roman"/>
        </w:rPr>
        <w:t xml:space="preserve"> six cycles.</w:t>
      </w:r>
    </w:p>
    <w:p w14:paraId="032D5F55" w14:textId="77777777" w:rsidR="006669BE" w:rsidRPr="00525765" w:rsidRDefault="006669BE" w:rsidP="006669BE">
      <w:pPr>
        <w:spacing w:before="0" w:after="240" w:line="240" w:lineRule="auto"/>
        <w:rPr>
          <w:rFonts w:eastAsia="Calibri" w:cs="Times New Roman"/>
        </w:rPr>
      </w:pPr>
      <w:r w:rsidRPr="00525765">
        <w:rPr>
          <w:rFonts w:eastAsia="Calibri" w:cs="Times New Roman"/>
        </w:rPr>
        <w:t xml:space="preserve">ESC noted that the item descriptor </w:t>
      </w:r>
      <w:r>
        <w:rPr>
          <w:rFonts w:eastAsia="Calibri" w:cs="Times New Roman"/>
        </w:rPr>
        <w:t xml:space="preserve">for </w:t>
      </w:r>
      <w:r w:rsidRPr="00525765">
        <w:rPr>
          <w:rFonts w:eastAsia="Calibri" w:cs="Times New Roman"/>
          <w:vertAlign w:val="superscript"/>
        </w:rPr>
        <w:t>177</w:t>
      </w:r>
      <w:r>
        <w:rPr>
          <w:rFonts w:eastAsia="Calibri" w:cs="Times New Roman"/>
        </w:rPr>
        <w:t>Lu PSMA</w:t>
      </w:r>
      <w:r w:rsidRPr="00525765">
        <w:rPr>
          <w:rFonts w:eastAsia="Calibri" w:cs="Times New Roman"/>
        </w:rPr>
        <w:t xml:space="preserve"> also includes </w:t>
      </w:r>
      <w:r>
        <w:rPr>
          <w:rFonts w:eastAsia="Calibri" w:cs="Times New Roman"/>
        </w:rPr>
        <w:t>SPECT/CT</w:t>
      </w:r>
      <w:r w:rsidRPr="00525765">
        <w:rPr>
          <w:rFonts w:eastAsia="Calibri" w:cs="Times New Roman"/>
        </w:rPr>
        <w:t xml:space="preserve"> scans following each cycle (maximum of six) to measure the uptake of </w:t>
      </w:r>
      <w:r w:rsidRPr="00525765">
        <w:rPr>
          <w:rFonts w:eastAsia="Calibri" w:cs="Times New Roman"/>
          <w:vertAlign w:val="superscript"/>
        </w:rPr>
        <w:t>177</w:t>
      </w:r>
      <w:r>
        <w:rPr>
          <w:rFonts w:eastAsia="Calibri" w:cs="Times New Roman"/>
        </w:rPr>
        <w:t>Lu PSMA</w:t>
      </w:r>
      <w:r w:rsidRPr="00525765">
        <w:rPr>
          <w:rFonts w:eastAsia="Calibri" w:cs="Times New Roman"/>
        </w:rPr>
        <w:t>. The ADAR claim</w:t>
      </w:r>
      <w:r>
        <w:rPr>
          <w:rFonts w:eastAsia="Calibri" w:cs="Times New Roman"/>
        </w:rPr>
        <w:t>ed</w:t>
      </w:r>
      <w:r w:rsidRPr="00525765">
        <w:rPr>
          <w:rFonts w:eastAsia="Calibri" w:cs="Times New Roman"/>
        </w:rPr>
        <w:t xml:space="preserve"> that </w:t>
      </w:r>
      <w:r>
        <w:rPr>
          <w:rFonts w:eastAsia="Calibri" w:cs="Times New Roman"/>
        </w:rPr>
        <w:t>SPECT/CT</w:t>
      </w:r>
      <w:r w:rsidRPr="00525765">
        <w:rPr>
          <w:rFonts w:eastAsia="Calibri" w:cs="Times New Roman"/>
        </w:rPr>
        <w:t xml:space="preserve"> may reduce the number of cycles if it detects </w:t>
      </w:r>
      <w:r>
        <w:rPr>
          <w:rFonts w:eastAsia="Calibri" w:cs="Times New Roman"/>
        </w:rPr>
        <w:t>evidence of a good</w:t>
      </w:r>
      <w:r w:rsidRPr="00525765">
        <w:rPr>
          <w:rFonts w:eastAsia="Calibri" w:cs="Times New Roman"/>
        </w:rPr>
        <w:t xml:space="preserve"> response or no response. ESC </w:t>
      </w:r>
      <w:r w:rsidRPr="00525765">
        <w:rPr>
          <w:rFonts w:eastAsia="Calibri" w:cs="Times New Roman"/>
        </w:rPr>
        <w:lastRenderedPageBreak/>
        <w:t xml:space="preserve">noted evidence provided in the ADAR from the </w:t>
      </w:r>
      <w:proofErr w:type="spellStart"/>
      <w:r w:rsidRPr="00525765">
        <w:rPr>
          <w:rFonts w:eastAsia="Calibri" w:cs="Times New Roman"/>
        </w:rPr>
        <w:t>LuPIN</w:t>
      </w:r>
      <w:proofErr w:type="spellEnd"/>
      <w:r w:rsidRPr="00525765">
        <w:rPr>
          <w:rFonts w:eastAsia="Calibri" w:cs="Times New Roman"/>
        </w:rPr>
        <w:t xml:space="preserve"> </w:t>
      </w:r>
      <w:r>
        <w:rPr>
          <w:rFonts w:eastAsia="Calibri" w:cs="Times New Roman"/>
        </w:rPr>
        <w:t>study</w:t>
      </w:r>
      <w:r w:rsidRPr="00525765">
        <w:rPr>
          <w:rFonts w:eastAsia="Calibri" w:cs="Times New Roman"/>
        </w:rPr>
        <w:t xml:space="preserve"> that </w:t>
      </w:r>
      <w:r>
        <w:rPr>
          <w:rFonts w:eastAsia="Calibri" w:cs="Times New Roman"/>
        </w:rPr>
        <w:t>SPECT/CT</w:t>
      </w:r>
      <w:r w:rsidRPr="00525765">
        <w:rPr>
          <w:rFonts w:eastAsia="Calibri" w:cs="Times New Roman"/>
        </w:rPr>
        <w:t>-derived imaging parameters correlated with patient outcomes such as prostate-specific antigen progression-free survival (PSA PFS), but an increase in maximum standard uptake value (</w:t>
      </w:r>
      <w:proofErr w:type="spellStart"/>
      <w:r w:rsidRPr="00525765">
        <w:rPr>
          <w:rFonts w:eastAsia="Calibri" w:cs="Times New Roman"/>
        </w:rPr>
        <w:t>SUV</w:t>
      </w:r>
      <w:r w:rsidRPr="00525765">
        <w:rPr>
          <w:rFonts w:eastAsia="Calibri" w:cs="Times New Roman"/>
          <w:vertAlign w:val="subscript"/>
        </w:rPr>
        <w:t>max</w:t>
      </w:r>
      <w:proofErr w:type="spellEnd"/>
      <w:r w:rsidRPr="00525765">
        <w:rPr>
          <w:rFonts w:eastAsia="Calibri" w:cs="Times New Roman"/>
        </w:rPr>
        <w:t xml:space="preserve">) did not. ESC also noted advice from nuclear physicians that </w:t>
      </w:r>
      <w:r>
        <w:rPr>
          <w:rFonts w:eastAsia="Calibri" w:cs="Times New Roman"/>
        </w:rPr>
        <w:t>SPECT/CT</w:t>
      </w:r>
      <w:r w:rsidRPr="00525765">
        <w:rPr>
          <w:rFonts w:eastAsia="Calibri" w:cs="Times New Roman"/>
        </w:rPr>
        <w:t xml:space="preserve"> can be used for diagnosis and treatment. However, ESC did not consider that the ADAR or pre-ESC response demonstrated how </w:t>
      </w:r>
      <w:r>
        <w:rPr>
          <w:rFonts w:eastAsia="Calibri" w:cs="Times New Roman"/>
        </w:rPr>
        <w:t>SPECT/CT</w:t>
      </w:r>
      <w:r w:rsidRPr="00525765">
        <w:rPr>
          <w:rFonts w:eastAsia="Calibri" w:cs="Times New Roman"/>
        </w:rPr>
        <w:t xml:space="preserve"> </w:t>
      </w:r>
      <w:r>
        <w:rPr>
          <w:rFonts w:eastAsia="Calibri" w:cs="Times New Roman"/>
        </w:rPr>
        <w:t xml:space="preserve">would </w:t>
      </w:r>
      <w:r w:rsidRPr="00525765">
        <w:rPr>
          <w:rFonts w:eastAsia="Calibri" w:cs="Times New Roman"/>
        </w:rPr>
        <w:t>change</w:t>
      </w:r>
      <w:r>
        <w:rPr>
          <w:rFonts w:eastAsia="Calibri" w:cs="Times New Roman"/>
        </w:rPr>
        <w:t xml:space="preserve"> subsequent management with </w:t>
      </w:r>
      <w:r w:rsidRPr="00525765">
        <w:rPr>
          <w:rFonts w:eastAsia="Calibri" w:cs="Times New Roman"/>
          <w:vertAlign w:val="superscript"/>
        </w:rPr>
        <w:t>177</w:t>
      </w:r>
      <w:r>
        <w:rPr>
          <w:rFonts w:eastAsia="Calibri" w:cs="Times New Roman"/>
        </w:rPr>
        <w:t>Lu PSMA</w:t>
      </w:r>
      <w:r w:rsidRPr="00525765">
        <w:rPr>
          <w:rFonts w:eastAsia="Calibri" w:cs="Times New Roman"/>
        </w:rPr>
        <w:t xml:space="preserve">. ESC also questioned whether </w:t>
      </w:r>
      <w:r>
        <w:rPr>
          <w:rFonts w:eastAsia="Calibri" w:cs="Times New Roman"/>
        </w:rPr>
        <w:t>SPECT/CT</w:t>
      </w:r>
      <w:r w:rsidRPr="00525765">
        <w:rPr>
          <w:rFonts w:eastAsia="Calibri" w:cs="Times New Roman"/>
        </w:rPr>
        <w:t xml:space="preserve"> is needed with each cycle, noting one trial from the evidence (the VISION trial) did not use </w:t>
      </w:r>
      <w:r>
        <w:rPr>
          <w:rFonts w:eastAsia="Calibri" w:cs="Times New Roman"/>
        </w:rPr>
        <w:t>SPECT/CT</w:t>
      </w:r>
      <w:r w:rsidRPr="00525765">
        <w:rPr>
          <w:rFonts w:eastAsia="Calibri" w:cs="Times New Roman"/>
        </w:rPr>
        <w:t xml:space="preserve">. </w:t>
      </w:r>
      <w:r>
        <w:rPr>
          <w:rFonts w:eastAsia="Calibri" w:cs="Times New Roman"/>
        </w:rPr>
        <w:t xml:space="preserve">Also, although the median number of cycles used in the </w:t>
      </w:r>
      <w:proofErr w:type="spellStart"/>
      <w:r>
        <w:rPr>
          <w:rFonts w:eastAsia="Calibri" w:cs="Times New Roman"/>
        </w:rPr>
        <w:t>TheraP</w:t>
      </w:r>
      <w:proofErr w:type="spellEnd"/>
      <w:r>
        <w:rPr>
          <w:rFonts w:eastAsia="Calibri" w:cs="Times New Roman"/>
        </w:rPr>
        <w:t xml:space="preserve"> trial was 5, the minimum number of cycles received was 3, suggesting SPECT/CT did not alter management for the first 2 cycles. ESC requested that the applicant provide any additional evidence to support SPECT/CT providing clinical utility, for example, the extent to which use</w:t>
      </w:r>
      <w:r w:rsidRPr="002A0F23">
        <w:rPr>
          <w:rFonts w:eastAsia="Calibri" w:cs="Times New Roman"/>
        </w:rPr>
        <w:t xml:space="preserve"> of SPECT</w:t>
      </w:r>
      <w:r>
        <w:rPr>
          <w:rFonts w:eastAsia="Calibri" w:cs="Times New Roman"/>
        </w:rPr>
        <w:t>/CT</w:t>
      </w:r>
      <w:r w:rsidRPr="002A0F23">
        <w:rPr>
          <w:rFonts w:eastAsia="Calibri" w:cs="Times New Roman"/>
        </w:rPr>
        <w:t xml:space="preserve"> </w:t>
      </w:r>
      <w:r>
        <w:rPr>
          <w:rFonts w:eastAsia="Calibri" w:cs="Times New Roman"/>
        </w:rPr>
        <w:t xml:space="preserve">would reduce </w:t>
      </w:r>
      <w:r w:rsidRPr="002A0F23">
        <w:rPr>
          <w:rFonts w:eastAsia="Calibri" w:cs="Times New Roman"/>
        </w:rPr>
        <w:t>the number of treatment cycles administered</w:t>
      </w:r>
      <w:r>
        <w:rPr>
          <w:rFonts w:eastAsia="Calibri" w:cs="Times New Roman"/>
        </w:rPr>
        <w:t xml:space="preserve"> and the circumstances by which this would occur</w:t>
      </w:r>
      <w:r w:rsidRPr="002A0F23">
        <w:rPr>
          <w:rFonts w:eastAsia="Calibri" w:cs="Times New Roman"/>
        </w:rPr>
        <w:t>.</w:t>
      </w:r>
    </w:p>
    <w:p w14:paraId="7EAEF261" w14:textId="77777777" w:rsidR="006669BE" w:rsidRDefault="006669BE" w:rsidP="006669BE">
      <w:pPr>
        <w:spacing w:before="0" w:after="240" w:line="240" w:lineRule="auto"/>
        <w:rPr>
          <w:rFonts w:eastAsia="Calibri" w:cs="Times New Roman"/>
        </w:rPr>
      </w:pPr>
      <w:r w:rsidRPr="00525765">
        <w:rPr>
          <w:rFonts w:eastAsia="Calibri" w:cs="Times New Roman"/>
        </w:rPr>
        <w:t>ESC noted that the Department recommend</w:t>
      </w:r>
      <w:r>
        <w:rPr>
          <w:rFonts w:eastAsia="Calibri" w:cs="Times New Roman"/>
        </w:rPr>
        <w:t>ed</w:t>
      </w:r>
      <w:r w:rsidRPr="00525765">
        <w:rPr>
          <w:rFonts w:eastAsia="Calibri" w:cs="Times New Roman"/>
        </w:rPr>
        <w:t xml:space="preserve"> </w:t>
      </w:r>
      <w:proofErr w:type="gramStart"/>
      <w:r w:rsidRPr="00525765">
        <w:rPr>
          <w:rFonts w:eastAsia="Calibri" w:cs="Times New Roman"/>
        </w:rPr>
        <w:t>a number of</w:t>
      </w:r>
      <w:proofErr w:type="gramEnd"/>
      <w:r w:rsidRPr="00525765">
        <w:rPr>
          <w:rFonts w:eastAsia="Calibri" w:cs="Times New Roman"/>
        </w:rPr>
        <w:t xml:space="preserve"> explanatory notes to be included in the item descriptor, including a definition of progressive disease; when treatment should cease before six cycles; that the service includes the supply/administration of medications, pathology and intravenous (IV) infusions; and that there should be no co-claiming of nuclear medicine consultation items. However, ESC was concerned that this would make the explanatory notes too clinically prescriptive, noting that </w:t>
      </w:r>
      <w:r>
        <w:rPr>
          <w:rFonts w:eastAsia="Calibri" w:cs="Times New Roman"/>
        </w:rPr>
        <w:t xml:space="preserve">few </w:t>
      </w:r>
      <w:r w:rsidRPr="00525765">
        <w:rPr>
          <w:rFonts w:eastAsia="Calibri" w:cs="Times New Roman"/>
        </w:rPr>
        <w:t>list</w:t>
      </w:r>
      <w:r>
        <w:rPr>
          <w:rFonts w:eastAsia="Calibri" w:cs="Times New Roman"/>
        </w:rPr>
        <w:t>ings of medicines</w:t>
      </w:r>
      <w:r w:rsidRPr="00525765">
        <w:rPr>
          <w:rFonts w:eastAsia="Calibri" w:cs="Times New Roman"/>
        </w:rPr>
        <w:t xml:space="preserve"> on the Pharmaceutical Benefits Scheme (PBS) include this degree of detail.</w:t>
      </w:r>
    </w:p>
    <w:p w14:paraId="18955D6B" w14:textId="034D8DF7" w:rsidR="006669BE" w:rsidRPr="00525765" w:rsidRDefault="006669BE" w:rsidP="006669BE">
      <w:pPr>
        <w:spacing w:before="0" w:after="240" w:line="240" w:lineRule="auto"/>
        <w:rPr>
          <w:rFonts w:eastAsia="Calibri" w:cs="Times New Roman"/>
        </w:rPr>
      </w:pPr>
      <w:r w:rsidRPr="00525765">
        <w:rPr>
          <w:rFonts w:eastAsia="Calibri" w:cs="Times New Roman"/>
        </w:rPr>
        <w:t xml:space="preserve">ESC noted that the proposed fee for the </w:t>
      </w:r>
      <w:r>
        <w:rPr>
          <w:rFonts w:eastAsia="Calibri" w:cs="Times New Roman"/>
        </w:rPr>
        <w:t xml:space="preserve">PSMA PET/CT should be reduced from $1,400 to </w:t>
      </w:r>
      <w:r w:rsidRPr="00525765">
        <w:rPr>
          <w:rFonts w:eastAsia="Calibri" w:cs="Times New Roman"/>
        </w:rPr>
        <w:t xml:space="preserve">$1,300 </w:t>
      </w:r>
      <w:r>
        <w:rPr>
          <w:rFonts w:eastAsia="Calibri" w:cs="Times New Roman"/>
        </w:rPr>
        <w:t>in recognition that the CT attenuation item 61505 at a fee of $100 will be claimed with the PSMA PET/CT item (consistent with the new items for initial staging and restaging to be implemented 1 July 2022)</w:t>
      </w:r>
      <w:r w:rsidRPr="00525765">
        <w:rPr>
          <w:rFonts w:eastAsia="Calibri" w:cs="Times New Roman"/>
        </w:rPr>
        <w:t xml:space="preserve">. ESC noted that the proposed fee </w:t>
      </w:r>
      <w:r>
        <w:rPr>
          <w:rFonts w:eastAsia="Calibri" w:cs="Times New Roman"/>
        </w:rPr>
        <w:t xml:space="preserve">of $8,000 </w:t>
      </w:r>
      <w:r w:rsidRPr="00525765">
        <w:rPr>
          <w:rFonts w:eastAsia="Calibri" w:cs="Times New Roman"/>
        </w:rPr>
        <w:t xml:space="preserve">for the </w:t>
      </w:r>
      <w:r w:rsidRPr="00525765">
        <w:rPr>
          <w:rFonts w:eastAsia="Calibri" w:cs="Times New Roman"/>
          <w:vertAlign w:val="superscript"/>
        </w:rPr>
        <w:t>177</w:t>
      </w:r>
      <w:r>
        <w:rPr>
          <w:rFonts w:eastAsia="Calibri" w:cs="Times New Roman"/>
        </w:rPr>
        <w:t>Lu PSMA</w:t>
      </w:r>
      <w:r w:rsidR="00F37E00">
        <w:t> </w:t>
      </w:r>
      <w:proofErr w:type="spellStart"/>
      <w:r w:rsidR="00F37E00">
        <w:t>i&amp;t</w:t>
      </w:r>
      <w:proofErr w:type="spellEnd"/>
      <w:r w:rsidRPr="00525765">
        <w:rPr>
          <w:rFonts w:eastAsia="Calibri" w:cs="Times New Roman"/>
        </w:rPr>
        <w:t xml:space="preserve"> is $5,500 for </w:t>
      </w:r>
      <w:r>
        <w:rPr>
          <w:rFonts w:eastAsia="Calibri" w:cs="Times New Roman"/>
        </w:rPr>
        <w:t>PSMA</w:t>
      </w:r>
      <w:r w:rsidRPr="00525765">
        <w:rPr>
          <w:rFonts w:eastAsia="Calibri" w:cs="Times New Roman"/>
        </w:rPr>
        <w:t xml:space="preserve"> preparation and $2,500 for service (consult, IV access, nursing, </w:t>
      </w:r>
      <w:r>
        <w:rPr>
          <w:rFonts w:eastAsia="Calibri" w:cs="Times New Roman"/>
        </w:rPr>
        <w:t>SPECT/CT</w:t>
      </w:r>
      <w:r w:rsidRPr="00525765">
        <w:rPr>
          <w:rFonts w:eastAsia="Calibri" w:cs="Times New Roman"/>
        </w:rPr>
        <w:t xml:space="preserve">). ESC noted that this was a </w:t>
      </w:r>
      <w:r>
        <w:rPr>
          <w:rFonts w:eastAsia="Calibri" w:cs="Times New Roman"/>
        </w:rPr>
        <w:t>fee</w:t>
      </w:r>
      <w:r w:rsidRPr="00525765">
        <w:rPr>
          <w:rFonts w:eastAsia="Calibri" w:cs="Times New Roman"/>
        </w:rPr>
        <w:t xml:space="preserve"> increase </w:t>
      </w:r>
      <w:r>
        <w:rPr>
          <w:rFonts w:eastAsia="Calibri" w:cs="Times New Roman"/>
        </w:rPr>
        <w:t xml:space="preserve">of </w:t>
      </w:r>
      <w:r w:rsidRPr="00525765">
        <w:rPr>
          <w:rFonts w:eastAsia="Calibri" w:cs="Times New Roman"/>
        </w:rPr>
        <w:t>$1,</w:t>
      </w:r>
      <w:r>
        <w:rPr>
          <w:rFonts w:eastAsia="Calibri" w:cs="Times New Roman"/>
        </w:rPr>
        <w:t>0</w:t>
      </w:r>
      <w:r w:rsidRPr="00525765">
        <w:rPr>
          <w:rFonts w:eastAsia="Calibri" w:cs="Times New Roman"/>
        </w:rPr>
        <w:t>00</w:t>
      </w:r>
      <w:r>
        <w:rPr>
          <w:rFonts w:eastAsia="Calibri" w:cs="Times New Roman"/>
        </w:rPr>
        <w:t xml:space="preserve"> from the original </w:t>
      </w:r>
      <w:hyperlink r:id="rId20" w:history="1">
        <w:r w:rsidRPr="00530A37">
          <w:rPr>
            <w:rStyle w:val="Hyperlink"/>
            <w:rFonts w:eastAsia="Calibri" w:cs="Times New Roman"/>
          </w:rPr>
          <w:t>application form</w:t>
        </w:r>
      </w:hyperlink>
      <w:r w:rsidRPr="00525765">
        <w:rPr>
          <w:rFonts w:eastAsia="Calibri" w:cs="Times New Roman"/>
        </w:rPr>
        <w:t xml:space="preserve">. ESC noted that the applicant stated the treatment is ‘at cost’ and the proposed costs are </w:t>
      </w:r>
      <w:r>
        <w:rPr>
          <w:rFonts w:eastAsia="Calibri" w:cs="Times New Roman"/>
        </w:rPr>
        <w:t>“</w:t>
      </w:r>
      <w:r w:rsidRPr="00525765">
        <w:rPr>
          <w:rFonts w:eastAsia="Calibri" w:cs="Times New Roman"/>
        </w:rPr>
        <w:t xml:space="preserve">the absolute minimum to deliver </w:t>
      </w:r>
      <w:r>
        <w:rPr>
          <w:rFonts w:eastAsia="Calibri" w:cs="Times New Roman"/>
        </w:rPr>
        <w:t>this</w:t>
      </w:r>
      <w:r w:rsidRPr="00525765">
        <w:rPr>
          <w:rFonts w:eastAsia="Calibri" w:cs="Times New Roman"/>
        </w:rPr>
        <w:t xml:space="preserve"> service safely to patients</w:t>
      </w:r>
      <w:r>
        <w:rPr>
          <w:rFonts w:eastAsia="Calibri" w:cs="Times New Roman"/>
        </w:rPr>
        <w:t>”</w:t>
      </w:r>
      <w:r w:rsidRPr="00525765">
        <w:rPr>
          <w:rFonts w:eastAsia="Calibri" w:cs="Times New Roman"/>
        </w:rPr>
        <w:t xml:space="preserve">. ESC </w:t>
      </w:r>
      <w:r>
        <w:rPr>
          <w:rFonts w:eastAsia="Calibri" w:cs="Times New Roman"/>
        </w:rPr>
        <w:t xml:space="preserve">also </w:t>
      </w:r>
      <w:r w:rsidRPr="00525765">
        <w:rPr>
          <w:rFonts w:eastAsia="Calibri" w:cs="Times New Roman"/>
        </w:rPr>
        <w:t xml:space="preserve">noted that the applicant stated that there was a large cost difference between the </w:t>
      </w:r>
      <w:r>
        <w:rPr>
          <w:rFonts w:eastAsia="Calibri" w:cs="Times New Roman"/>
        </w:rPr>
        <w:t xml:space="preserve">therapeutic </w:t>
      </w:r>
      <w:r w:rsidRPr="00525765">
        <w:rPr>
          <w:rFonts w:eastAsia="Calibri" w:cs="Times New Roman"/>
        </w:rPr>
        <w:t>products, with the cost per cycle being $8,000 for</w:t>
      </w:r>
      <w:r>
        <w:rPr>
          <w:rFonts w:eastAsia="Calibri" w:cs="Times New Roman"/>
        </w:rPr>
        <w:t xml:space="preserve"> Lu PSMA </w:t>
      </w:r>
      <w:proofErr w:type="spellStart"/>
      <w:r>
        <w:rPr>
          <w:rFonts w:eastAsia="Calibri" w:cs="Times New Roman"/>
        </w:rPr>
        <w:t>i&amp;t</w:t>
      </w:r>
      <w:proofErr w:type="spellEnd"/>
      <w:r w:rsidRPr="00525765">
        <w:rPr>
          <w:rFonts w:eastAsia="Calibri" w:cs="Times New Roman"/>
        </w:rPr>
        <w:t xml:space="preserve"> and $57,000 for </w:t>
      </w:r>
      <w:r w:rsidRPr="00525765">
        <w:rPr>
          <w:rFonts w:eastAsia="Calibri" w:cs="Times New Roman"/>
          <w:vertAlign w:val="superscript"/>
        </w:rPr>
        <w:t>177</w:t>
      </w:r>
      <w:r>
        <w:rPr>
          <w:rFonts w:eastAsia="Calibri" w:cs="Times New Roman"/>
        </w:rPr>
        <w:t>Lu PSMA</w:t>
      </w:r>
      <w:r w:rsidRPr="00525765">
        <w:rPr>
          <w:rFonts w:eastAsia="Calibri" w:cs="Times New Roman"/>
        </w:rPr>
        <w:t>-617 (</w:t>
      </w:r>
      <w:r>
        <w:rPr>
          <w:rFonts w:eastAsia="Calibri" w:cs="Times New Roman"/>
        </w:rPr>
        <w:t xml:space="preserve">estimated </w:t>
      </w:r>
      <w:r w:rsidRPr="00525765">
        <w:rPr>
          <w:rFonts w:eastAsia="Calibri" w:cs="Times New Roman"/>
        </w:rPr>
        <w:t>based on costs from the United States</w:t>
      </w:r>
      <w:r>
        <w:rPr>
          <w:rFonts w:eastAsia="Calibri" w:cs="Times New Roman"/>
        </w:rPr>
        <w:t xml:space="preserve"> being US$43,000</w:t>
      </w:r>
      <w:r w:rsidRPr="00525765">
        <w:rPr>
          <w:rFonts w:eastAsia="Calibri" w:cs="Times New Roman"/>
        </w:rPr>
        <w:t>, excluding treatment administration).</w:t>
      </w:r>
      <w:r>
        <w:rPr>
          <w:rFonts w:eastAsia="Calibri" w:cs="Times New Roman"/>
        </w:rPr>
        <w:t xml:space="preserve"> </w:t>
      </w:r>
      <w:r w:rsidRPr="00525765">
        <w:rPr>
          <w:rFonts w:eastAsia="Calibri" w:cs="Times New Roman"/>
        </w:rPr>
        <w:t xml:space="preserve">ESC </w:t>
      </w:r>
      <w:r>
        <w:rPr>
          <w:rFonts w:eastAsia="Calibri" w:cs="Times New Roman"/>
        </w:rPr>
        <w:t xml:space="preserve">requested that </w:t>
      </w:r>
      <w:r w:rsidRPr="00525765">
        <w:rPr>
          <w:rFonts w:eastAsia="Calibri" w:cs="Times New Roman"/>
        </w:rPr>
        <w:t>the applicant</w:t>
      </w:r>
      <w:r>
        <w:rPr>
          <w:rFonts w:eastAsia="Calibri" w:cs="Times New Roman"/>
        </w:rPr>
        <w:t xml:space="preserve"> </w:t>
      </w:r>
      <w:r w:rsidRPr="00525765">
        <w:rPr>
          <w:rFonts w:eastAsia="Calibri" w:cs="Times New Roman"/>
        </w:rPr>
        <w:t xml:space="preserve">provide </w:t>
      </w:r>
      <w:r>
        <w:rPr>
          <w:rFonts w:eastAsia="Calibri" w:cs="Times New Roman"/>
        </w:rPr>
        <w:t xml:space="preserve">a more detailed breakdown of the costs of the proposed </w:t>
      </w:r>
      <w:r w:rsidRPr="00525765">
        <w:rPr>
          <w:rFonts w:eastAsia="Calibri" w:cs="Times New Roman"/>
          <w:vertAlign w:val="superscript"/>
        </w:rPr>
        <w:t>177</w:t>
      </w:r>
      <w:r>
        <w:rPr>
          <w:rFonts w:eastAsia="Calibri" w:cs="Times New Roman"/>
        </w:rPr>
        <w:t>Lu PSMA</w:t>
      </w:r>
      <w:r w:rsidR="00F37E00">
        <w:t> </w:t>
      </w:r>
      <w:proofErr w:type="spellStart"/>
      <w:r w:rsidR="00F37E00">
        <w:t>i&amp;t</w:t>
      </w:r>
      <w:proofErr w:type="spellEnd"/>
      <w:r>
        <w:rPr>
          <w:rFonts w:eastAsia="Calibri" w:cs="Times New Roman"/>
        </w:rPr>
        <w:t xml:space="preserve"> service (including to separate out the SPECT/CT component) </w:t>
      </w:r>
      <w:r w:rsidRPr="00525765">
        <w:rPr>
          <w:rFonts w:eastAsia="Calibri" w:cs="Times New Roman"/>
        </w:rPr>
        <w:t xml:space="preserve">to </w:t>
      </w:r>
      <w:r>
        <w:rPr>
          <w:rFonts w:eastAsia="Calibri" w:cs="Times New Roman"/>
        </w:rPr>
        <w:t xml:space="preserve">better </w:t>
      </w:r>
      <w:r w:rsidRPr="00525765">
        <w:rPr>
          <w:rFonts w:eastAsia="Calibri" w:cs="Times New Roman"/>
        </w:rPr>
        <w:t xml:space="preserve">justify the </w:t>
      </w:r>
      <w:r>
        <w:rPr>
          <w:rFonts w:eastAsia="Calibri" w:cs="Times New Roman"/>
        </w:rPr>
        <w:t xml:space="preserve">proposed </w:t>
      </w:r>
      <w:r w:rsidRPr="00525765">
        <w:rPr>
          <w:rFonts w:eastAsia="Calibri" w:cs="Times New Roman"/>
        </w:rPr>
        <w:t>fee.</w:t>
      </w:r>
    </w:p>
    <w:p w14:paraId="352D84C0" w14:textId="454D8E32" w:rsidR="006669BE" w:rsidRPr="00525765" w:rsidRDefault="006669BE" w:rsidP="006669BE">
      <w:pPr>
        <w:spacing w:before="0" w:after="240" w:line="240" w:lineRule="auto"/>
        <w:rPr>
          <w:rFonts w:eastAsia="Calibri" w:cs="Times New Roman"/>
        </w:rPr>
      </w:pPr>
      <w:r w:rsidRPr="00525765">
        <w:rPr>
          <w:rFonts w:eastAsia="Calibri" w:cs="Times New Roman"/>
        </w:rPr>
        <w:t>ESC noted that the Department supports the Royal Australasian College of Physicians (RACP) and the Royal Australian and New Zealand College of Radiologists (RANZCR) approving training and accreditation. The Committee for Joint College Training ha</w:t>
      </w:r>
      <w:r>
        <w:rPr>
          <w:rFonts w:eastAsia="Calibri" w:cs="Times New Roman"/>
        </w:rPr>
        <w:t>s</w:t>
      </w:r>
      <w:r w:rsidRPr="00525765">
        <w:rPr>
          <w:rFonts w:eastAsia="Calibri" w:cs="Times New Roman"/>
        </w:rPr>
        <w:t xml:space="preserve"> developed accreditation, but this needs formal approval by RACP/RANZCR. ESC noted that the Australasian Association of Nuclear Medicine Specialists (AANMS) requires that trainees have experience with more than 50 </w:t>
      </w:r>
      <w:r>
        <w:rPr>
          <w:rFonts w:eastAsia="Calibri" w:cs="Times New Roman"/>
        </w:rPr>
        <w:t xml:space="preserve">administrations of a </w:t>
      </w:r>
      <w:r w:rsidRPr="00525765">
        <w:rPr>
          <w:rFonts w:eastAsia="Calibri" w:cs="Times New Roman"/>
        </w:rPr>
        <w:t>therap</w:t>
      </w:r>
      <w:r>
        <w:rPr>
          <w:rFonts w:eastAsia="Calibri" w:cs="Times New Roman"/>
        </w:rPr>
        <w:t xml:space="preserve">y </w:t>
      </w:r>
      <w:r w:rsidRPr="00525765">
        <w:rPr>
          <w:rFonts w:eastAsia="Calibri" w:cs="Times New Roman"/>
        </w:rPr>
        <w:t>in the previous 3 years and participate in multidisciplinary team discussion of more than 50 cases. ESC noted that the Department</w:t>
      </w:r>
      <w:r>
        <w:rPr>
          <w:rFonts w:eastAsia="Calibri" w:cs="Times New Roman"/>
        </w:rPr>
        <w:t xml:space="preserve"> supports the A</w:t>
      </w:r>
      <w:r w:rsidR="0071757F">
        <w:rPr>
          <w:rFonts w:eastAsia="Calibri" w:cs="Times New Roman"/>
        </w:rPr>
        <w:t>A</w:t>
      </w:r>
      <w:r>
        <w:rPr>
          <w:rFonts w:eastAsia="Calibri" w:cs="Times New Roman"/>
        </w:rPr>
        <w:t>NMS proposed grandfathering arrangements but</w:t>
      </w:r>
      <w:r w:rsidRPr="00525765">
        <w:rPr>
          <w:rFonts w:eastAsia="Calibri" w:cs="Times New Roman"/>
        </w:rPr>
        <w:t xml:space="preserve"> did not consider th</w:t>
      </w:r>
      <w:r>
        <w:rPr>
          <w:rFonts w:eastAsia="Calibri" w:cs="Times New Roman"/>
        </w:rPr>
        <w:t>e trainee requirements</w:t>
      </w:r>
      <w:r w:rsidRPr="00525765">
        <w:rPr>
          <w:rFonts w:eastAsia="Calibri" w:cs="Times New Roman"/>
        </w:rPr>
        <w:t xml:space="preserve"> to be practical or achievable and would restrict use.</w:t>
      </w:r>
      <w:r>
        <w:rPr>
          <w:rFonts w:eastAsia="Calibri" w:cs="Times New Roman"/>
        </w:rPr>
        <w:t xml:space="preserve"> </w:t>
      </w:r>
      <w:r w:rsidRPr="00525765">
        <w:rPr>
          <w:rFonts w:eastAsia="Calibri" w:cs="Times New Roman"/>
        </w:rPr>
        <w:t>ESC considered that issues relating to accreditation need to be resolved before this service is implemented.</w:t>
      </w:r>
    </w:p>
    <w:p w14:paraId="2E4A7A0A" w14:textId="3B25749A" w:rsidR="006669BE" w:rsidRPr="00525765" w:rsidRDefault="006669BE" w:rsidP="006669BE">
      <w:pPr>
        <w:spacing w:before="0" w:after="240" w:line="240" w:lineRule="auto"/>
        <w:rPr>
          <w:rFonts w:eastAsia="Calibri" w:cs="Times New Roman"/>
        </w:rPr>
      </w:pPr>
      <w:r w:rsidRPr="00525765">
        <w:rPr>
          <w:rFonts w:eastAsia="Calibri" w:cs="Times New Roman"/>
        </w:rPr>
        <w:t xml:space="preserve">ESC noted public consultation feedback </w:t>
      </w:r>
      <w:r>
        <w:rPr>
          <w:rFonts w:eastAsia="Calibri" w:cs="Times New Roman"/>
        </w:rPr>
        <w:t xml:space="preserve">received to date indicated </w:t>
      </w:r>
      <w:r w:rsidRPr="00525765">
        <w:rPr>
          <w:rFonts w:eastAsia="Calibri" w:cs="Times New Roman"/>
        </w:rPr>
        <w:t xml:space="preserve">that there is currently inequitable access to </w:t>
      </w:r>
      <w:r w:rsidRPr="00525765">
        <w:rPr>
          <w:rFonts w:eastAsia="Calibri" w:cs="Times New Roman"/>
          <w:vertAlign w:val="superscript"/>
        </w:rPr>
        <w:t>177</w:t>
      </w:r>
      <w:r>
        <w:rPr>
          <w:rFonts w:eastAsia="Calibri" w:cs="Times New Roman"/>
        </w:rPr>
        <w:t>Lu PSMA</w:t>
      </w:r>
      <w:r w:rsidR="00F37E00">
        <w:t> </w:t>
      </w:r>
      <w:proofErr w:type="spellStart"/>
      <w:r w:rsidR="00F37E00">
        <w:t>i&amp;t</w:t>
      </w:r>
      <w:proofErr w:type="spellEnd"/>
      <w:r w:rsidRPr="00525765">
        <w:rPr>
          <w:rFonts w:eastAsia="Calibri" w:cs="Times New Roman"/>
        </w:rPr>
        <w:t xml:space="preserve"> therapy due to its limited availability and associated costs. ESC noted that those who cannot access this therapy have a low quality of life and </w:t>
      </w:r>
      <w:proofErr w:type="gramStart"/>
      <w:r w:rsidRPr="00525765">
        <w:rPr>
          <w:rFonts w:eastAsia="Calibri" w:cs="Times New Roman"/>
        </w:rPr>
        <w:t>live in</w:t>
      </w:r>
      <w:proofErr w:type="gramEnd"/>
      <w:r w:rsidRPr="00525765">
        <w:rPr>
          <w:rFonts w:eastAsia="Calibri" w:cs="Times New Roman"/>
        </w:rPr>
        <w:t xml:space="preserve"> pain, and that it is not equitable if it is only available for those who can afford it. Consumers consider that there is a great need for this therapy because of its </w:t>
      </w:r>
      <w:r>
        <w:rPr>
          <w:rFonts w:eastAsia="Calibri" w:cs="Times New Roman"/>
        </w:rPr>
        <w:t>benefits relating to extension of life, improvement in quality of life</w:t>
      </w:r>
      <w:r w:rsidRPr="00525765">
        <w:rPr>
          <w:rFonts w:eastAsia="Calibri" w:cs="Times New Roman"/>
        </w:rPr>
        <w:t xml:space="preserve">, </w:t>
      </w:r>
      <w:proofErr w:type="gramStart"/>
      <w:r w:rsidRPr="00525765">
        <w:rPr>
          <w:rFonts w:eastAsia="Calibri" w:cs="Times New Roman"/>
        </w:rPr>
        <w:t xml:space="preserve">and </w:t>
      </w:r>
      <w:r>
        <w:rPr>
          <w:rFonts w:eastAsia="Calibri" w:cs="Times New Roman"/>
        </w:rPr>
        <w:t xml:space="preserve"> improved</w:t>
      </w:r>
      <w:proofErr w:type="gramEnd"/>
      <w:r>
        <w:rPr>
          <w:rFonts w:eastAsia="Calibri" w:cs="Times New Roman"/>
        </w:rPr>
        <w:t xml:space="preserve"> pain control compared with</w:t>
      </w:r>
      <w:r w:rsidRPr="00525765">
        <w:rPr>
          <w:rFonts w:eastAsia="Calibri" w:cs="Times New Roman"/>
        </w:rPr>
        <w:t xml:space="preserve"> chemotherapy. ESC noted feedback from a specialist that the treatment is well tolerated, improves </w:t>
      </w:r>
      <w:proofErr w:type="gramStart"/>
      <w:r w:rsidRPr="00525765">
        <w:rPr>
          <w:rFonts w:eastAsia="Calibri" w:cs="Times New Roman"/>
        </w:rPr>
        <w:t>survival</w:t>
      </w:r>
      <w:proofErr w:type="gramEnd"/>
      <w:r w:rsidRPr="00525765">
        <w:rPr>
          <w:rFonts w:eastAsia="Calibri" w:cs="Times New Roman"/>
        </w:rPr>
        <w:t xml:space="preserve"> and reduces the need for pain medication. ESC also noted that the need for specialised facilities and trained operators was identified as an issue.</w:t>
      </w:r>
    </w:p>
    <w:p w14:paraId="7A38A5A0" w14:textId="77777777" w:rsidR="006669BE" w:rsidRPr="00525765" w:rsidRDefault="006669BE" w:rsidP="006669BE">
      <w:pPr>
        <w:spacing w:before="0" w:after="240" w:line="240" w:lineRule="auto"/>
        <w:rPr>
          <w:rFonts w:eastAsia="Calibri" w:cs="Times New Roman"/>
        </w:rPr>
      </w:pPr>
      <w:r w:rsidRPr="00525765">
        <w:rPr>
          <w:rFonts w:eastAsia="Calibri" w:cs="Times New Roman"/>
        </w:rPr>
        <w:lastRenderedPageBreak/>
        <w:t xml:space="preserve">ESC noted the </w:t>
      </w:r>
      <w:r>
        <w:rPr>
          <w:rFonts w:eastAsia="Calibri" w:cs="Times New Roman"/>
        </w:rPr>
        <w:t xml:space="preserve">supporting </w:t>
      </w:r>
      <w:r w:rsidRPr="00525765">
        <w:rPr>
          <w:rFonts w:eastAsia="Calibri" w:cs="Times New Roman"/>
        </w:rPr>
        <w:t xml:space="preserve">clinical trial data available for </w:t>
      </w:r>
      <w:r w:rsidRPr="00525765">
        <w:rPr>
          <w:rFonts w:eastAsia="Calibri" w:cs="Times New Roman"/>
          <w:vertAlign w:val="superscript"/>
        </w:rPr>
        <w:t>177</w:t>
      </w:r>
      <w:r>
        <w:rPr>
          <w:rFonts w:eastAsia="Calibri" w:cs="Times New Roman"/>
        </w:rPr>
        <w:t>Lu PSMA </w:t>
      </w:r>
      <w:proofErr w:type="spellStart"/>
      <w:r>
        <w:rPr>
          <w:rFonts w:eastAsia="Calibri" w:cs="Times New Roman"/>
        </w:rPr>
        <w:t>i&amp;t</w:t>
      </w:r>
      <w:proofErr w:type="spellEnd"/>
      <w:r>
        <w:rPr>
          <w:rFonts w:eastAsia="Calibri" w:cs="Times New Roman"/>
        </w:rPr>
        <w:t xml:space="preserve"> consisted of two randomised trials </w:t>
      </w:r>
      <w:r w:rsidRPr="00525765">
        <w:rPr>
          <w:rFonts w:eastAsia="Calibri" w:cs="Times New Roman"/>
        </w:rPr>
        <w:t>included in the application</w:t>
      </w:r>
      <w:r>
        <w:rPr>
          <w:rFonts w:eastAsia="Calibri" w:cs="Times New Roman"/>
        </w:rPr>
        <w:t xml:space="preserve"> but</w:t>
      </w:r>
      <w:r w:rsidRPr="00525765">
        <w:rPr>
          <w:rFonts w:eastAsia="Calibri" w:cs="Times New Roman"/>
        </w:rPr>
        <w:t xml:space="preserve"> using the pharmaceutical product </w:t>
      </w:r>
      <w:r w:rsidRPr="00525765">
        <w:rPr>
          <w:rFonts w:eastAsia="Calibri" w:cs="Times New Roman"/>
          <w:vertAlign w:val="superscript"/>
        </w:rPr>
        <w:t>177</w:t>
      </w:r>
      <w:r>
        <w:rPr>
          <w:rFonts w:eastAsia="Calibri" w:cs="Times New Roman"/>
        </w:rPr>
        <w:t>Lu PSMA</w:t>
      </w:r>
      <w:r w:rsidRPr="00525765">
        <w:rPr>
          <w:rFonts w:eastAsia="Calibri" w:cs="Times New Roman"/>
        </w:rPr>
        <w:t>-617.</w:t>
      </w:r>
      <w:r>
        <w:rPr>
          <w:rFonts w:eastAsia="Calibri" w:cs="Times New Roman"/>
        </w:rPr>
        <w:t xml:space="preserve"> A claim of mutual noninferiority therefore needs to be</w:t>
      </w:r>
      <w:r w:rsidRPr="004F7939">
        <w:rPr>
          <w:rFonts w:eastAsia="Calibri" w:cs="Times New Roman"/>
        </w:rPr>
        <w:t xml:space="preserve"> accepted by MSAC </w:t>
      </w:r>
      <w:proofErr w:type="gramStart"/>
      <w:r w:rsidRPr="004F7939">
        <w:rPr>
          <w:rFonts w:eastAsia="Calibri" w:cs="Times New Roman"/>
        </w:rPr>
        <w:t>in order for</w:t>
      </w:r>
      <w:proofErr w:type="gramEnd"/>
      <w:r w:rsidRPr="004F7939">
        <w:rPr>
          <w:rFonts w:eastAsia="Calibri" w:cs="Times New Roman"/>
        </w:rPr>
        <w:t xml:space="preserve"> the evidence for </w:t>
      </w:r>
      <w:r w:rsidRPr="004D5D6E">
        <w:rPr>
          <w:rFonts w:eastAsia="Calibri" w:cs="Times New Roman"/>
          <w:vertAlign w:val="superscript"/>
        </w:rPr>
        <w:t>177</w:t>
      </w:r>
      <w:r>
        <w:rPr>
          <w:rFonts w:eastAsia="Calibri" w:cs="Times New Roman"/>
        </w:rPr>
        <w:t>Lu PSMA</w:t>
      </w:r>
      <w:r w:rsidRPr="004F7939">
        <w:rPr>
          <w:rFonts w:eastAsia="Calibri" w:cs="Times New Roman"/>
        </w:rPr>
        <w:t xml:space="preserve">-617 to be considered relevant for </w:t>
      </w:r>
      <w:r w:rsidRPr="004D5D6E">
        <w:rPr>
          <w:rFonts w:eastAsia="Calibri" w:cs="Times New Roman"/>
          <w:vertAlign w:val="superscript"/>
        </w:rPr>
        <w:t>177</w:t>
      </w:r>
      <w:r>
        <w:rPr>
          <w:rFonts w:eastAsia="Calibri" w:cs="Times New Roman"/>
        </w:rPr>
        <w:t>Lu PSMA </w:t>
      </w:r>
      <w:proofErr w:type="spellStart"/>
      <w:r>
        <w:rPr>
          <w:rFonts w:eastAsia="Calibri" w:cs="Times New Roman"/>
        </w:rPr>
        <w:t>i&amp;t</w:t>
      </w:r>
      <w:proofErr w:type="spellEnd"/>
      <w:r w:rsidRPr="004F7939">
        <w:rPr>
          <w:rFonts w:eastAsia="Calibri" w:cs="Times New Roman"/>
        </w:rPr>
        <w:t xml:space="preserve"> or other 177</w:t>
      </w:r>
      <w:r>
        <w:rPr>
          <w:rFonts w:eastAsia="Calibri" w:cs="Times New Roman"/>
        </w:rPr>
        <w:t>Lu PSMA</w:t>
      </w:r>
      <w:r w:rsidRPr="004F7939">
        <w:rPr>
          <w:rFonts w:eastAsia="Calibri" w:cs="Times New Roman"/>
        </w:rPr>
        <w:t xml:space="preserve"> products and for subsequent acceptance of the results of the modelled economic evaluation</w:t>
      </w:r>
      <w:r>
        <w:rPr>
          <w:rFonts w:eastAsia="Calibri" w:cs="Times New Roman"/>
        </w:rPr>
        <w:t>.</w:t>
      </w:r>
      <w:r w:rsidRPr="00525765">
        <w:rPr>
          <w:rFonts w:eastAsia="Calibri" w:cs="Times New Roman"/>
        </w:rPr>
        <w:t xml:space="preserve"> ESC </w:t>
      </w:r>
      <w:r>
        <w:rPr>
          <w:rFonts w:eastAsia="Calibri" w:cs="Times New Roman"/>
        </w:rPr>
        <w:t xml:space="preserve">acknowledged </w:t>
      </w:r>
      <w:r w:rsidRPr="00525765">
        <w:rPr>
          <w:rFonts w:eastAsia="Calibri" w:cs="Times New Roman"/>
        </w:rPr>
        <w:t xml:space="preserve">that </w:t>
      </w:r>
      <w:r>
        <w:rPr>
          <w:rFonts w:eastAsia="Calibri" w:cs="Times New Roman"/>
        </w:rPr>
        <w:t xml:space="preserve">the </w:t>
      </w:r>
      <w:r w:rsidRPr="00525765">
        <w:rPr>
          <w:rFonts w:eastAsia="Calibri" w:cs="Times New Roman"/>
        </w:rPr>
        <w:t xml:space="preserve">data </w:t>
      </w:r>
      <w:r>
        <w:rPr>
          <w:rFonts w:eastAsia="Calibri" w:cs="Times New Roman"/>
        </w:rPr>
        <w:t xml:space="preserve">available </w:t>
      </w:r>
      <w:r w:rsidRPr="00525765">
        <w:rPr>
          <w:rFonts w:eastAsia="Calibri" w:cs="Times New Roman"/>
        </w:rPr>
        <w:t xml:space="preserve">are limited because </w:t>
      </w:r>
      <w:r w:rsidRPr="00525765">
        <w:rPr>
          <w:rFonts w:eastAsia="Calibri" w:cs="Times New Roman"/>
          <w:vertAlign w:val="superscript"/>
        </w:rPr>
        <w:t>177</w:t>
      </w:r>
      <w:r>
        <w:rPr>
          <w:rFonts w:eastAsia="Calibri" w:cs="Times New Roman"/>
        </w:rPr>
        <w:t>Lu PSMA</w:t>
      </w:r>
      <w:r w:rsidRPr="00525765">
        <w:rPr>
          <w:rFonts w:eastAsia="Calibri" w:cs="Times New Roman"/>
        </w:rPr>
        <w:t xml:space="preserve"> is a novel treatment, and Australia is a worldwide leader in its use.</w:t>
      </w:r>
    </w:p>
    <w:p w14:paraId="6A36DCB7" w14:textId="6C951EAB" w:rsidR="006669BE" w:rsidRPr="00525765" w:rsidRDefault="006669BE" w:rsidP="006669BE">
      <w:pPr>
        <w:spacing w:before="0" w:after="240" w:line="240" w:lineRule="auto"/>
        <w:rPr>
          <w:rFonts w:eastAsia="Calibri" w:cs="Times New Roman"/>
        </w:rPr>
      </w:pPr>
      <w:r w:rsidRPr="00525765">
        <w:rPr>
          <w:rFonts w:eastAsia="Calibri" w:cs="Times New Roman"/>
        </w:rPr>
        <w:t xml:space="preserve">ESC noted that both </w:t>
      </w:r>
      <w:r w:rsidRPr="00525765">
        <w:rPr>
          <w:rFonts w:eastAsia="Calibri" w:cs="Times New Roman"/>
          <w:vertAlign w:val="superscript"/>
        </w:rPr>
        <w:t>177</w:t>
      </w:r>
      <w:r>
        <w:rPr>
          <w:rFonts w:eastAsia="Calibri" w:cs="Times New Roman"/>
        </w:rPr>
        <w:t>Lu PSMA </w:t>
      </w:r>
      <w:proofErr w:type="spellStart"/>
      <w:r>
        <w:rPr>
          <w:rFonts w:eastAsia="Calibri" w:cs="Times New Roman"/>
        </w:rPr>
        <w:t>i&amp;t</w:t>
      </w:r>
      <w:proofErr w:type="spellEnd"/>
      <w:r>
        <w:rPr>
          <w:rFonts w:eastAsia="Calibri" w:cs="Times New Roman"/>
        </w:rPr>
        <w:t xml:space="preserve"> and </w:t>
      </w:r>
      <w:r w:rsidR="00F37E00">
        <w:rPr>
          <w:rFonts w:eastAsia="Calibri" w:cs="Times New Roman"/>
        </w:rPr>
        <w:t>-</w:t>
      </w:r>
      <w:r>
        <w:rPr>
          <w:rFonts w:eastAsia="Calibri" w:cs="Times New Roman"/>
        </w:rPr>
        <w:t xml:space="preserve">617 </w:t>
      </w:r>
      <w:r w:rsidRPr="00525765">
        <w:rPr>
          <w:rFonts w:eastAsia="Calibri" w:cs="Times New Roman"/>
        </w:rPr>
        <w:t xml:space="preserve">products have near-identical chemical structure, with the difference being the chemical chelator that binds the radionuclide with the receptor. ESC noted that the ADAR claims that </w:t>
      </w:r>
      <w:r>
        <w:rPr>
          <w:rFonts w:eastAsia="Calibri" w:cs="Times New Roman"/>
        </w:rPr>
        <w:t>best available evidence</w:t>
      </w:r>
      <w:r w:rsidRPr="00525765">
        <w:rPr>
          <w:rFonts w:eastAsia="Calibri" w:cs="Times New Roman"/>
        </w:rPr>
        <w:t xml:space="preserve"> show</w:t>
      </w:r>
      <w:r>
        <w:rPr>
          <w:rFonts w:eastAsia="Calibri" w:cs="Times New Roman"/>
        </w:rPr>
        <w:t>s</w:t>
      </w:r>
      <w:r w:rsidRPr="00525765">
        <w:rPr>
          <w:rFonts w:eastAsia="Calibri" w:cs="Times New Roman"/>
        </w:rPr>
        <w:t xml:space="preserve"> that </w:t>
      </w:r>
      <w:r w:rsidRPr="00525765">
        <w:rPr>
          <w:rFonts w:eastAsia="Calibri" w:cs="Times New Roman"/>
          <w:vertAlign w:val="superscript"/>
        </w:rPr>
        <w:t>177</w:t>
      </w:r>
      <w:r>
        <w:rPr>
          <w:rFonts w:eastAsia="Calibri" w:cs="Times New Roman"/>
        </w:rPr>
        <w:t>Lu PSMA </w:t>
      </w:r>
      <w:proofErr w:type="spellStart"/>
      <w:r>
        <w:rPr>
          <w:rFonts w:eastAsia="Calibri" w:cs="Times New Roman"/>
        </w:rPr>
        <w:t>i&amp;t</w:t>
      </w:r>
      <w:proofErr w:type="spellEnd"/>
      <w:r w:rsidRPr="00525765">
        <w:rPr>
          <w:rFonts w:eastAsia="Calibri" w:cs="Times New Roman"/>
        </w:rPr>
        <w:t xml:space="preserve"> and </w:t>
      </w:r>
      <w:r w:rsidR="00F37E00">
        <w:rPr>
          <w:rFonts w:eastAsia="Calibri" w:cs="Times New Roman"/>
        </w:rPr>
        <w:t>-</w:t>
      </w:r>
      <w:r w:rsidRPr="00525765">
        <w:rPr>
          <w:rFonts w:eastAsia="Calibri" w:cs="Times New Roman"/>
        </w:rPr>
        <w:t xml:space="preserve">617 are </w:t>
      </w:r>
      <w:proofErr w:type="spellStart"/>
      <w:r w:rsidRPr="00525765">
        <w:rPr>
          <w:rFonts w:eastAsia="Calibri" w:cs="Times New Roman"/>
        </w:rPr>
        <w:t>radioequivalent</w:t>
      </w:r>
      <w:proofErr w:type="spellEnd"/>
      <w:r w:rsidRPr="00525765">
        <w:rPr>
          <w:rFonts w:eastAsia="Calibri" w:cs="Times New Roman"/>
        </w:rPr>
        <w:t xml:space="preserve">, having similar efficacy, biodistribution and safety. ESC noted from the five </w:t>
      </w:r>
      <w:r>
        <w:rPr>
          <w:rFonts w:eastAsia="Calibri" w:cs="Times New Roman"/>
        </w:rPr>
        <w:t>studies</w:t>
      </w:r>
      <w:r w:rsidRPr="00525765">
        <w:rPr>
          <w:rFonts w:eastAsia="Calibri" w:cs="Times New Roman"/>
        </w:rPr>
        <w:t xml:space="preserve">, as well as an additional paper by </w:t>
      </w:r>
      <w:proofErr w:type="spellStart"/>
      <w:r w:rsidRPr="00525765">
        <w:rPr>
          <w:rFonts w:eastAsia="Calibri" w:cs="Times New Roman"/>
        </w:rPr>
        <w:t>Hartrampf</w:t>
      </w:r>
      <w:proofErr w:type="spellEnd"/>
      <w:r w:rsidRPr="00525765">
        <w:rPr>
          <w:rFonts w:eastAsia="Calibri" w:cs="Times New Roman"/>
        </w:rPr>
        <w:t xml:space="preserve"> et al. 2022</w:t>
      </w:r>
      <w:r w:rsidRPr="00525765">
        <w:rPr>
          <w:rFonts w:eastAsia="Calibri" w:cs="Times New Roman"/>
          <w:vertAlign w:val="superscript"/>
        </w:rPr>
        <w:footnoteReference w:id="9"/>
      </w:r>
      <w:r w:rsidRPr="00525765">
        <w:rPr>
          <w:rFonts w:eastAsia="Calibri" w:cs="Times New Roman"/>
        </w:rPr>
        <w:t xml:space="preserve"> (added by the commentary) that performed a matched pair analysis, that </w:t>
      </w:r>
      <w:r>
        <w:rPr>
          <w:rFonts w:eastAsia="Calibri" w:cs="Times New Roman"/>
        </w:rPr>
        <w:t xml:space="preserve">efficacy </w:t>
      </w:r>
      <w:r w:rsidRPr="00525765">
        <w:rPr>
          <w:rFonts w:eastAsia="Calibri" w:cs="Times New Roman"/>
        </w:rPr>
        <w:t>outcomes (PSA50, PFS and OS) were similar between the products.</w:t>
      </w:r>
      <w:r>
        <w:rPr>
          <w:rFonts w:eastAsia="Calibri" w:cs="Times New Roman"/>
        </w:rPr>
        <w:t xml:space="preserve"> ESC also noted that the risk of bias was high across the naïve comparisons across different cohorts of patients.</w:t>
      </w:r>
      <w:r w:rsidRPr="00525765">
        <w:rPr>
          <w:rFonts w:eastAsia="Calibri" w:cs="Times New Roman"/>
        </w:rPr>
        <w:t xml:space="preserve"> </w:t>
      </w:r>
      <w:r>
        <w:rPr>
          <w:rFonts w:eastAsia="Calibri" w:cs="Times New Roman"/>
        </w:rPr>
        <w:t xml:space="preserve">In addition, </w:t>
      </w:r>
      <w:r w:rsidRPr="00525765">
        <w:rPr>
          <w:rFonts w:eastAsia="Calibri" w:cs="Times New Roman"/>
        </w:rPr>
        <w:t xml:space="preserve">ESC </w:t>
      </w:r>
      <w:r>
        <w:rPr>
          <w:rFonts w:eastAsia="Calibri" w:cs="Times New Roman"/>
        </w:rPr>
        <w:t xml:space="preserve">also </w:t>
      </w:r>
      <w:r w:rsidRPr="00525765">
        <w:rPr>
          <w:rFonts w:eastAsia="Calibri" w:cs="Times New Roman"/>
        </w:rPr>
        <w:t xml:space="preserve">noted a dosimetry study from </w:t>
      </w:r>
      <w:proofErr w:type="spellStart"/>
      <w:r w:rsidRPr="00525765">
        <w:rPr>
          <w:rFonts w:eastAsia="Calibri" w:cs="Times New Roman"/>
        </w:rPr>
        <w:t>Schuchardt</w:t>
      </w:r>
      <w:proofErr w:type="spellEnd"/>
      <w:r w:rsidRPr="00525765">
        <w:rPr>
          <w:rFonts w:eastAsia="Calibri" w:cs="Times New Roman"/>
        </w:rPr>
        <w:t xml:space="preserve"> et al. 2021</w:t>
      </w:r>
      <w:r w:rsidRPr="00525765">
        <w:rPr>
          <w:rFonts w:eastAsia="Calibri" w:cs="Times New Roman"/>
          <w:vertAlign w:val="superscript"/>
        </w:rPr>
        <w:footnoteReference w:id="10"/>
      </w:r>
      <w:r w:rsidRPr="00525765">
        <w:rPr>
          <w:rFonts w:eastAsia="Calibri" w:cs="Times New Roman"/>
        </w:rPr>
        <w:t xml:space="preserve"> that showed some differences in body/organ uptake and tumour dosimetry, including </w:t>
      </w:r>
      <w:r w:rsidRPr="00525765">
        <w:rPr>
          <w:rFonts w:eastAsia="Calibri" w:cs="Times New Roman"/>
          <w:vertAlign w:val="superscript"/>
        </w:rPr>
        <w:t>177</w:t>
      </w:r>
      <w:r>
        <w:rPr>
          <w:rFonts w:eastAsia="Calibri" w:cs="Times New Roman"/>
        </w:rPr>
        <w:t>Lu PSMA-617</w:t>
      </w:r>
      <w:r w:rsidRPr="00525765">
        <w:rPr>
          <w:rFonts w:eastAsia="Calibri" w:cs="Times New Roman"/>
        </w:rPr>
        <w:t xml:space="preserve"> having a higher whole-body retention and half-life in salivary glands, but </w:t>
      </w:r>
      <w:r>
        <w:rPr>
          <w:rFonts w:eastAsia="Calibri" w:cs="Times New Roman"/>
        </w:rPr>
        <w:t>in the pre-ESC response, the</w:t>
      </w:r>
      <w:r w:rsidRPr="00525765">
        <w:rPr>
          <w:rFonts w:eastAsia="Calibri" w:cs="Times New Roman"/>
        </w:rPr>
        <w:t xml:space="preserve"> applicant </w:t>
      </w:r>
      <w:r>
        <w:rPr>
          <w:rFonts w:eastAsia="Calibri" w:cs="Times New Roman"/>
        </w:rPr>
        <w:t>considered</w:t>
      </w:r>
      <w:r w:rsidRPr="00525765">
        <w:rPr>
          <w:rFonts w:eastAsia="Calibri" w:cs="Times New Roman"/>
        </w:rPr>
        <w:t xml:space="preserve"> that there was an equivalent delivery of radiation dose to the tumour and organs. ESC noted that the studies reported no difference in adverse events (including grade 3–4 adverse events) or treatment-related deaths between the two products.</w:t>
      </w:r>
    </w:p>
    <w:p w14:paraId="55BE4068" w14:textId="3F7536BA" w:rsidR="006669BE" w:rsidRPr="00525765" w:rsidRDefault="006669BE" w:rsidP="006669BE">
      <w:pPr>
        <w:spacing w:before="0" w:after="240" w:line="240" w:lineRule="auto"/>
        <w:rPr>
          <w:rFonts w:eastAsia="Calibri" w:cs="Times New Roman"/>
        </w:rPr>
      </w:pPr>
      <w:r w:rsidRPr="00525765">
        <w:rPr>
          <w:rFonts w:eastAsia="Calibri" w:cs="Times New Roman"/>
        </w:rPr>
        <w:t xml:space="preserve">ESC noted that </w:t>
      </w:r>
      <w:r>
        <w:rPr>
          <w:rFonts w:eastAsia="Calibri" w:cs="Times New Roman"/>
        </w:rPr>
        <w:t xml:space="preserve">the </w:t>
      </w:r>
      <w:r w:rsidRPr="00525765">
        <w:rPr>
          <w:rFonts w:eastAsia="Calibri" w:cs="Times New Roman"/>
        </w:rPr>
        <w:t xml:space="preserve">two </w:t>
      </w:r>
      <w:r>
        <w:rPr>
          <w:rFonts w:eastAsia="Calibri" w:cs="Times New Roman"/>
        </w:rPr>
        <w:t>randomised trials had different comparators</w:t>
      </w:r>
      <w:r w:rsidRPr="00525765">
        <w:rPr>
          <w:rFonts w:eastAsia="Calibri" w:cs="Times New Roman"/>
        </w:rPr>
        <w:t xml:space="preserve">: the </w:t>
      </w:r>
      <w:proofErr w:type="spellStart"/>
      <w:r w:rsidRPr="00525765">
        <w:rPr>
          <w:rFonts w:eastAsia="Calibri" w:cs="Times New Roman"/>
        </w:rPr>
        <w:t>TheraP</w:t>
      </w:r>
      <w:proofErr w:type="spellEnd"/>
      <w:r w:rsidRPr="00525765">
        <w:rPr>
          <w:rFonts w:eastAsia="Calibri" w:cs="Times New Roman"/>
        </w:rPr>
        <w:t xml:space="preserve"> trial</w:t>
      </w:r>
      <w:r w:rsidRPr="00525765">
        <w:rPr>
          <w:rFonts w:eastAsia="Calibri" w:cs="Times New Roman"/>
          <w:vertAlign w:val="superscript"/>
        </w:rPr>
        <w:footnoteReference w:id="11"/>
      </w:r>
      <w:r w:rsidRPr="00525765">
        <w:rPr>
          <w:rFonts w:eastAsia="Calibri" w:cs="Times New Roman"/>
        </w:rPr>
        <w:t xml:space="preserve"> (an Australian multicentre, randomised, phase 2 trial) compar</w:t>
      </w:r>
      <w:r>
        <w:rPr>
          <w:rFonts w:eastAsia="Calibri" w:cs="Times New Roman"/>
        </w:rPr>
        <w:t>ed</w:t>
      </w:r>
      <w:r w:rsidRPr="00525765">
        <w:rPr>
          <w:rFonts w:eastAsia="Calibri" w:cs="Times New Roman"/>
        </w:rPr>
        <w:t xml:space="preserve"> </w:t>
      </w:r>
      <w:r w:rsidRPr="00525765">
        <w:rPr>
          <w:rFonts w:eastAsia="Calibri" w:cs="Times New Roman"/>
          <w:vertAlign w:val="superscript"/>
        </w:rPr>
        <w:t>177</w:t>
      </w:r>
      <w:r>
        <w:rPr>
          <w:rFonts w:eastAsia="Calibri" w:cs="Times New Roman"/>
        </w:rPr>
        <w:t>Lu PSMA</w:t>
      </w:r>
      <w:r w:rsidRPr="00525765">
        <w:rPr>
          <w:rFonts w:eastAsia="Calibri" w:cs="Times New Roman"/>
        </w:rPr>
        <w:t xml:space="preserve">-617 with </w:t>
      </w:r>
      <w:proofErr w:type="spellStart"/>
      <w:r w:rsidRPr="00525765">
        <w:rPr>
          <w:rFonts w:eastAsia="Calibri" w:cs="Times New Roman"/>
        </w:rPr>
        <w:t>cabazitaxel</w:t>
      </w:r>
      <w:proofErr w:type="spellEnd"/>
      <w:r w:rsidRPr="00525765">
        <w:rPr>
          <w:rFonts w:eastAsia="Calibri" w:cs="Times New Roman"/>
        </w:rPr>
        <w:t>, and the VISION trial</w:t>
      </w:r>
      <w:r w:rsidRPr="00525765">
        <w:rPr>
          <w:rFonts w:eastAsia="Calibri" w:cs="Times New Roman"/>
          <w:vertAlign w:val="superscript"/>
        </w:rPr>
        <w:footnoteReference w:id="12"/>
      </w:r>
      <w:r w:rsidRPr="00525765">
        <w:rPr>
          <w:rFonts w:eastAsia="Calibri" w:cs="Times New Roman"/>
        </w:rPr>
        <w:t xml:space="preserve"> (a US/European multicentre phase 3 trial) compar</w:t>
      </w:r>
      <w:r>
        <w:rPr>
          <w:rFonts w:eastAsia="Calibri" w:cs="Times New Roman"/>
        </w:rPr>
        <w:t>ed</w:t>
      </w:r>
      <w:r w:rsidRPr="00525765">
        <w:rPr>
          <w:rFonts w:eastAsia="Calibri" w:cs="Times New Roman"/>
        </w:rPr>
        <w:t xml:space="preserve"> </w:t>
      </w:r>
      <w:r w:rsidRPr="00525765">
        <w:rPr>
          <w:rFonts w:eastAsia="Calibri" w:cs="Times New Roman"/>
          <w:vertAlign w:val="superscript"/>
        </w:rPr>
        <w:t>177</w:t>
      </w:r>
      <w:r>
        <w:rPr>
          <w:rFonts w:eastAsia="Calibri" w:cs="Times New Roman"/>
        </w:rPr>
        <w:t>Lu PSMA</w:t>
      </w:r>
      <w:r w:rsidRPr="00525765">
        <w:rPr>
          <w:rFonts w:eastAsia="Calibri" w:cs="Times New Roman"/>
        </w:rPr>
        <w:t xml:space="preserve">-617 with </w:t>
      </w:r>
      <w:r w:rsidR="00DB005C">
        <w:t>best supportive care</w:t>
      </w:r>
      <w:r w:rsidRPr="00525765">
        <w:rPr>
          <w:rFonts w:eastAsia="Calibri" w:cs="Times New Roman"/>
        </w:rPr>
        <w:t xml:space="preserve">. ESC </w:t>
      </w:r>
      <w:r>
        <w:rPr>
          <w:rFonts w:eastAsia="Calibri" w:cs="Times New Roman"/>
        </w:rPr>
        <w:t xml:space="preserve">noted although both were open-label trials the risk of bias was </w:t>
      </w:r>
      <w:proofErr w:type="gramStart"/>
      <w:r>
        <w:rPr>
          <w:rFonts w:eastAsia="Calibri" w:cs="Times New Roman"/>
        </w:rPr>
        <w:t>low, and</w:t>
      </w:r>
      <w:proofErr w:type="gramEnd"/>
      <w:r>
        <w:rPr>
          <w:rFonts w:eastAsia="Calibri" w:cs="Times New Roman"/>
        </w:rPr>
        <w:t xml:space="preserve"> </w:t>
      </w:r>
      <w:r w:rsidRPr="00525765">
        <w:rPr>
          <w:rFonts w:eastAsia="Calibri" w:cs="Times New Roman"/>
        </w:rPr>
        <w:t>considered th</w:t>
      </w:r>
      <w:r>
        <w:rPr>
          <w:rFonts w:eastAsia="Calibri" w:cs="Times New Roman"/>
        </w:rPr>
        <w:t>is</w:t>
      </w:r>
      <w:r w:rsidRPr="00525765">
        <w:rPr>
          <w:rFonts w:eastAsia="Calibri" w:cs="Times New Roman"/>
        </w:rPr>
        <w:t xml:space="preserve"> evidence to be of high quality.</w:t>
      </w:r>
      <w:r>
        <w:rPr>
          <w:rFonts w:eastAsia="Calibri" w:cs="Times New Roman"/>
        </w:rPr>
        <w:t xml:space="preserve"> </w:t>
      </w:r>
      <w:r w:rsidRPr="00525765">
        <w:rPr>
          <w:rFonts w:eastAsia="Calibri" w:cs="Times New Roman"/>
        </w:rPr>
        <w:t xml:space="preserve">ESC noted that all eligible populations required PSMA-positive disease on imaging. The enrolled patients were similar in both trials, although </w:t>
      </w:r>
      <w:r>
        <w:rPr>
          <w:rFonts w:eastAsia="Calibri" w:cs="Times New Roman"/>
        </w:rPr>
        <w:t xml:space="preserve">prior </w:t>
      </w:r>
      <w:proofErr w:type="spellStart"/>
      <w:r w:rsidRPr="00525765">
        <w:rPr>
          <w:rFonts w:eastAsia="Calibri" w:cs="Times New Roman"/>
        </w:rPr>
        <w:t>cabazitaxel</w:t>
      </w:r>
      <w:proofErr w:type="spellEnd"/>
      <w:r w:rsidRPr="00525765">
        <w:rPr>
          <w:rFonts w:eastAsia="Calibri" w:cs="Times New Roman"/>
        </w:rPr>
        <w:t xml:space="preserve"> use</w:t>
      </w:r>
      <w:r>
        <w:rPr>
          <w:rFonts w:eastAsia="Calibri" w:cs="Times New Roman"/>
        </w:rPr>
        <w:t xml:space="preserve"> in the </w:t>
      </w:r>
      <w:r w:rsidRPr="00525765">
        <w:rPr>
          <w:rFonts w:eastAsia="Calibri" w:cs="Times New Roman"/>
          <w:vertAlign w:val="superscript"/>
        </w:rPr>
        <w:t>177</w:t>
      </w:r>
      <w:r>
        <w:rPr>
          <w:rFonts w:eastAsia="Calibri" w:cs="Times New Roman"/>
        </w:rPr>
        <w:t>Lu PSMA</w:t>
      </w:r>
      <w:r w:rsidRPr="00525765">
        <w:rPr>
          <w:rFonts w:eastAsia="Calibri" w:cs="Times New Roman"/>
        </w:rPr>
        <w:t xml:space="preserve">-617 </w:t>
      </w:r>
      <w:r>
        <w:rPr>
          <w:rFonts w:eastAsia="Calibri" w:cs="Times New Roman"/>
        </w:rPr>
        <w:t>arm</w:t>
      </w:r>
      <w:r w:rsidRPr="00525765">
        <w:rPr>
          <w:rFonts w:eastAsia="Calibri" w:cs="Times New Roman"/>
        </w:rPr>
        <w:t xml:space="preserve"> was 0% for the </w:t>
      </w:r>
      <w:proofErr w:type="spellStart"/>
      <w:r w:rsidRPr="00525765">
        <w:rPr>
          <w:rFonts w:eastAsia="Calibri" w:cs="Times New Roman"/>
        </w:rPr>
        <w:t>TheraP</w:t>
      </w:r>
      <w:proofErr w:type="spellEnd"/>
      <w:r w:rsidRPr="00525765">
        <w:rPr>
          <w:rFonts w:eastAsia="Calibri" w:cs="Times New Roman"/>
        </w:rPr>
        <w:t xml:space="preserve"> trial and 38% for the VISION trial. Both trials used a median of five cycles of </w:t>
      </w:r>
      <w:r w:rsidRPr="00525765">
        <w:rPr>
          <w:rFonts w:eastAsia="Calibri" w:cs="Times New Roman"/>
          <w:vertAlign w:val="superscript"/>
        </w:rPr>
        <w:t>177</w:t>
      </w:r>
      <w:r>
        <w:rPr>
          <w:rFonts w:eastAsia="Calibri" w:cs="Times New Roman"/>
        </w:rPr>
        <w:t>Lu PSMA</w:t>
      </w:r>
      <w:r w:rsidR="00F37E00">
        <w:rPr>
          <w:rFonts w:eastAsia="Calibri" w:cs="Times New Roman"/>
        </w:rPr>
        <w:t>-617</w:t>
      </w:r>
      <w:r w:rsidRPr="00525765">
        <w:rPr>
          <w:rFonts w:eastAsia="Calibri" w:cs="Times New Roman"/>
        </w:rPr>
        <w:t>. ESC noted the</w:t>
      </w:r>
      <w:r>
        <w:rPr>
          <w:rFonts w:eastAsia="Calibri" w:cs="Times New Roman"/>
        </w:rPr>
        <w:t xml:space="preserve"> commentary considered</w:t>
      </w:r>
      <w:r w:rsidRPr="00525765">
        <w:rPr>
          <w:rFonts w:eastAsia="Calibri" w:cs="Times New Roman"/>
        </w:rPr>
        <w:t xml:space="preserve"> that </w:t>
      </w:r>
      <w:r>
        <w:rPr>
          <w:rFonts w:eastAsia="Calibri" w:cs="Times New Roman"/>
        </w:rPr>
        <w:t>both trial populations</w:t>
      </w:r>
      <w:r w:rsidRPr="00525765">
        <w:rPr>
          <w:rFonts w:eastAsia="Calibri" w:cs="Times New Roman"/>
        </w:rPr>
        <w:t xml:space="preserve"> were</w:t>
      </w:r>
      <w:r>
        <w:rPr>
          <w:rFonts w:eastAsia="Calibri" w:cs="Times New Roman"/>
        </w:rPr>
        <w:t xml:space="preserve"> largely</w:t>
      </w:r>
      <w:r w:rsidRPr="00525765">
        <w:rPr>
          <w:rFonts w:eastAsia="Calibri" w:cs="Times New Roman"/>
        </w:rPr>
        <w:t xml:space="preserve"> </w:t>
      </w:r>
      <w:proofErr w:type="gramStart"/>
      <w:r w:rsidRPr="00525765">
        <w:rPr>
          <w:rFonts w:eastAsia="Calibri" w:cs="Times New Roman"/>
        </w:rPr>
        <w:t>similar to</w:t>
      </w:r>
      <w:proofErr w:type="gramEnd"/>
      <w:r w:rsidRPr="00525765">
        <w:rPr>
          <w:rFonts w:eastAsia="Calibri" w:cs="Times New Roman"/>
        </w:rPr>
        <w:t xml:space="preserve"> the proposed</w:t>
      </w:r>
      <w:r>
        <w:rPr>
          <w:rFonts w:eastAsia="Calibri" w:cs="Times New Roman"/>
        </w:rPr>
        <w:t xml:space="preserve"> MBS</w:t>
      </w:r>
      <w:r w:rsidRPr="00525765">
        <w:rPr>
          <w:rFonts w:eastAsia="Calibri" w:cs="Times New Roman"/>
        </w:rPr>
        <w:t xml:space="preserve"> population.</w:t>
      </w:r>
    </w:p>
    <w:p w14:paraId="7EB9AD25" w14:textId="77777777" w:rsidR="006669BE" w:rsidRPr="00525765" w:rsidRDefault="006669BE" w:rsidP="006669BE">
      <w:pPr>
        <w:spacing w:before="0" w:after="240" w:line="240" w:lineRule="auto"/>
        <w:rPr>
          <w:rFonts w:eastAsia="Calibri" w:cs="Times New Roman"/>
        </w:rPr>
      </w:pPr>
      <w:r>
        <w:rPr>
          <w:rFonts w:eastAsia="Calibri" w:cs="Times New Roman"/>
        </w:rPr>
        <w:t xml:space="preserve">Although, </w:t>
      </w:r>
      <w:r w:rsidRPr="00525765">
        <w:rPr>
          <w:rFonts w:eastAsia="Calibri" w:cs="Times New Roman"/>
        </w:rPr>
        <w:t>ESC noted that there was a difference in</w:t>
      </w:r>
      <w:r>
        <w:rPr>
          <w:rFonts w:eastAsia="Calibri" w:cs="Times New Roman"/>
        </w:rPr>
        <w:t xml:space="preserve"> the</w:t>
      </w:r>
      <w:r w:rsidRPr="00525765">
        <w:rPr>
          <w:rFonts w:eastAsia="Calibri" w:cs="Times New Roman"/>
        </w:rPr>
        <w:t xml:space="preserve"> PSA eligibility between the </w:t>
      </w:r>
      <w:r>
        <w:rPr>
          <w:rFonts w:eastAsia="Calibri" w:cs="Times New Roman"/>
        </w:rPr>
        <w:t>trials</w:t>
      </w:r>
      <w:r w:rsidRPr="00525765">
        <w:rPr>
          <w:rFonts w:eastAsia="Calibri" w:cs="Times New Roman"/>
        </w:rPr>
        <w:t>,</w:t>
      </w:r>
      <w:r>
        <w:rPr>
          <w:rFonts w:eastAsia="Calibri" w:cs="Times New Roman"/>
        </w:rPr>
        <w:t xml:space="preserve"> the use or not of FDG PET/CT to further determine patient eligibility (</w:t>
      </w:r>
      <w:proofErr w:type="spellStart"/>
      <w:r>
        <w:rPr>
          <w:rFonts w:eastAsia="Calibri" w:cs="Times New Roman"/>
        </w:rPr>
        <w:t>TheraP</w:t>
      </w:r>
      <w:proofErr w:type="spellEnd"/>
      <w:r>
        <w:rPr>
          <w:rFonts w:eastAsia="Calibri" w:cs="Times New Roman"/>
        </w:rPr>
        <w:t xml:space="preserve"> used FDG PET/CT whereas VISION did not),</w:t>
      </w:r>
      <w:r w:rsidRPr="00525765">
        <w:rPr>
          <w:rFonts w:eastAsia="Calibri" w:cs="Times New Roman"/>
        </w:rPr>
        <w:t xml:space="preserve"> as well as a difference in</w:t>
      </w:r>
      <w:r>
        <w:rPr>
          <w:rFonts w:eastAsia="Calibri" w:cs="Times New Roman"/>
        </w:rPr>
        <w:t xml:space="preserve"> the</w:t>
      </w:r>
      <w:r w:rsidRPr="00525765">
        <w:rPr>
          <w:rFonts w:eastAsia="Calibri" w:cs="Times New Roman"/>
        </w:rPr>
        <w:t xml:space="preserve"> </w:t>
      </w:r>
      <w:r>
        <w:rPr>
          <w:rFonts w:eastAsia="Calibri" w:cs="Times New Roman"/>
        </w:rPr>
        <w:t xml:space="preserve">PSMA </w:t>
      </w:r>
      <w:r w:rsidRPr="00525765">
        <w:rPr>
          <w:rFonts w:eastAsia="Calibri" w:cs="Times New Roman"/>
        </w:rPr>
        <w:t xml:space="preserve">criteria which </w:t>
      </w:r>
      <w:r>
        <w:rPr>
          <w:rFonts w:eastAsia="Calibri" w:cs="Times New Roman"/>
        </w:rPr>
        <w:t>wa</w:t>
      </w:r>
      <w:r w:rsidRPr="00525765">
        <w:rPr>
          <w:rFonts w:eastAsia="Calibri" w:cs="Times New Roman"/>
        </w:rPr>
        <w:t xml:space="preserve">s used to </w:t>
      </w:r>
      <w:r>
        <w:rPr>
          <w:rFonts w:eastAsia="Calibri" w:cs="Times New Roman"/>
        </w:rPr>
        <w:t>identify patients suitable for therapy</w:t>
      </w:r>
      <w:r w:rsidRPr="00525765">
        <w:rPr>
          <w:rFonts w:eastAsia="Calibri" w:cs="Times New Roman"/>
        </w:rPr>
        <w:t xml:space="preserve">. Eligibility for the </w:t>
      </w:r>
      <w:proofErr w:type="spellStart"/>
      <w:r w:rsidRPr="00525765">
        <w:rPr>
          <w:rFonts w:eastAsia="Calibri" w:cs="Times New Roman"/>
        </w:rPr>
        <w:t>TheraP</w:t>
      </w:r>
      <w:proofErr w:type="spellEnd"/>
      <w:r w:rsidRPr="00525765">
        <w:rPr>
          <w:rFonts w:eastAsia="Calibri" w:cs="Times New Roman"/>
        </w:rPr>
        <w:t xml:space="preserve"> trial was set at an </w:t>
      </w:r>
      <w:proofErr w:type="spellStart"/>
      <w:r w:rsidRPr="00525765">
        <w:rPr>
          <w:rFonts w:eastAsia="Calibri" w:cs="Times New Roman"/>
        </w:rPr>
        <w:t>SUV</w:t>
      </w:r>
      <w:r w:rsidRPr="00525765">
        <w:rPr>
          <w:rFonts w:eastAsia="Calibri" w:cs="Times New Roman"/>
          <w:vertAlign w:val="subscript"/>
        </w:rPr>
        <w:t>max</w:t>
      </w:r>
      <w:proofErr w:type="spellEnd"/>
      <w:r w:rsidRPr="00525765">
        <w:rPr>
          <w:rFonts w:eastAsia="Calibri" w:cs="Times New Roman"/>
        </w:rPr>
        <w:t xml:space="preserve"> </w:t>
      </w:r>
      <w:r w:rsidRPr="003315F9">
        <w:rPr>
          <w:sz w:val="20"/>
        </w:rPr>
        <w:t>≥</w:t>
      </w:r>
      <w:r w:rsidRPr="00525765">
        <w:rPr>
          <w:rFonts w:eastAsia="Calibri" w:cs="Times New Roman"/>
        </w:rPr>
        <w:t>20</w:t>
      </w:r>
      <w:r>
        <w:rPr>
          <w:rFonts w:eastAsia="Calibri" w:cs="Times New Roman"/>
        </w:rPr>
        <w:t xml:space="preserve"> at disease site and &gt;10 at all measurable sites</w:t>
      </w:r>
      <w:r w:rsidRPr="00525765">
        <w:rPr>
          <w:rFonts w:eastAsia="Calibri" w:cs="Times New Roman"/>
        </w:rPr>
        <w:t xml:space="preserve">, while the VISION trial used an </w:t>
      </w:r>
      <w:proofErr w:type="spellStart"/>
      <w:r w:rsidRPr="00525765">
        <w:rPr>
          <w:rFonts w:eastAsia="Calibri" w:cs="Times New Roman"/>
        </w:rPr>
        <w:t>SUV</w:t>
      </w:r>
      <w:r w:rsidRPr="00525765">
        <w:rPr>
          <w:rFonts w:eastAsia="Calibri" w:cs="Times New Roman"/>
          <w:vertAlign w:val="subscript"/>
        </w:rPr>
        <w:t>max</w:t>
      </w:r>
      <w:proofErr w:type="spellEnd"/>
      <w:r w:rsidRPr="00525765">
        <w:rPr>
          <w:rFonts w:eastAsia="Calibri" w:cs="Times New Roman"/>
        </w:rPr>
        <w:t xml:space="preserve"> </w:t>
      </w:r>
      <w:r w:rsidRPr="00046CF1">
        <w:rPr>
          <w:rFonts w:eastAsia="Calibri" w:cs="Times New Roman"/>
        </w:rPr>
        <w:t>≥</w:t>
      </w:r>
      <w:r w:rsidRPr="00525765">
        <w:rPr>
          <w:rFonts w:eastAsia="Calibri" w:cs="Times New Roman"/>
        </w:rPr>
        <w:t xml:space="preserve">5 (uptake greater than liver activity). ESC </w:t>
      </w:r>
      <w:r>
        <w:rPr>
          <w:rFonts w:eastAsia="Calibri" w:cs="Times New Roman"/>
        </w:rPr>
        <w:t xml:space="preserve">also </w:t>
      </w:r>
      <w:r w:rsidRPr="00525765">
        <w:rPr>
          <w:rFonts w:eastAsia="Calibri" w:cs="Times New Roman"/>
        </w:rPr>
        <w:t>noted that the</w:t>
      </w:r>
      <w:r>
        <w:rPr>
          <w:rFonts w:eastAsia="Calibri" w:cs="Times New Roman"/>
        </w:rPr>
        <w:t xml:space="preserve"> PSMA criteria is different in the</w:t>
      </w:r>
      <w:r w:rsidRPr="00525765">
        <w:rPr>
          <w:rFonts w:eastAsia="Calibri" w:cs="Times New Roman"/>
        </w:rPr>
        <w:t xml:space="preserve"> item descriptor </w:t>
      </w:r>
      <w:r>
        <w:rPr>
          <w:rFonts w:eastAsia="Calibri" w:cs="Times New Roman"/>
        </w:rPr>
        <w:t xml:space="preserve">with </w:t>
      </w:r>
      <w:r w:rsidRPr="00525765">
        <w:rPr>
          <w:rFonts w:eastAsia="Calibri" w:cs="Times New Roman"/>
        </w:rPr>
        <w:t xml:space="preserve">an </w:t>
      </w:r>
      <w:proofErr w:type="spellStart"/>
      <w:r w:rsidRPr="00525765">
        <w:rPr>
          <w:rFonts w:eastAsia="Calibri" w:cs="Times New Roman"/>
        </w:rPr>
        <w:t>SUV</w:t>
      </w:r>
      <w:r w:rsidRPr="00525765">
        <w:rPr>
          <w:rFonts w:eastAsia="Calibri" w:cs="Times New Roman"/>
          <w:vertAlign w:val="subscript"/>
        </w:rPr>
        <w:t>max</w:t>
      </w:r>
      <w:proofErr w:type="spellEnd"/>
      <w:r w:rsidRPr="00525765">
        <w:rPr>
          <w:rFonts w:eastAsia="Calibri" w:cs="Times New Roman"/>
        </w:rPr>
        <w:t xml:space="preserve"> &gt;15 at a single site of disease and &gt;10 at all sites of measurable disease. ESC noted that results from several studies suggest</w:t>
      </w:r>
      <w:r>
        <w:rPr>
          <w:rFonts w:eastAsia="Calibri" w:cs="Times New Roman"/>
        </w:rPr>
        <w:t>ing</w:t>
      </w:r>
      <w:r w:rsidRPr="00525765">
        <w:rPr>
          <w:rFonts w:eastAsia="Calibri" w:cs="Times New Roman"/>
        </w:rPr>
        <w:t xml:space="preserve"> that a higher </w:t>
      </w:r>
      <w:proofErr w:type="spellStart"/>
      <w:r w:rsidRPr="00525765">
        <w:rPr>
          <w:rFonts w:eastAsia="Calibri" w:cs="Times New Roman"/>
        </w:rPr>
        <w:t>SUV</w:t>
      </w:r>
      <w:r w:rsidRPr="00525765">
        <w:rPr>
          <w:rFonts w:eastAsia="Calibri" w:cs="Times New Roman"/>
          <w:vertAlign w:val="subscript"/>
        </w:rPr>
        <w:t>max</w:t>
      </w:r>
      <w:proofErr w:type="spellEnd"/>
      <w:r w:rsidRPr="00525765">
        <w:rPr>
          <w:rFonts w:eastAsia="Calibri" w:cs="Times New Roman"/>
        </w:rPr>
        <w:t xml:space="preserve"> results in a greater PSA response</w:t>
      </w:r>
      <w:r>
        <w:rPr>
          <w:rFonts w:eastAsia="Calibri" w:cs="Times New Roman"/>
        </w:rPr>
        <w:t xml:space="preserve"> but there </w:t>
      </w:r>
      <w:r>
        <w:rPr>
          <w:rFonts w:eastAsia="Calibri" w:cs="Times New Roman"/>
        </w:rPr>
        <w:lastRenderedPageBreak/>
        <w:t>is no significant difference following</w:t>
      </w:r>
      <w:r w:rsidRPr="00525765">
        <w:rPr>
          <w:rFonts w:eastAsia="Calibri" w:cs="Times New Roman"/>
        </w:rPr>
        <w:t xml:space="preserve"> an </w:t>
      </w:r>
      <w:proofErr w:type="spellStart"/>
      <w:r w:rsidRPr="00525765">
        <w:rPr>
          <w:rFonts w:eastAsia="Calibri" w:cs="Times New Roman"/>
        </w:rPr>
        <w:t>SUV</w:t>
      </w:r>
      <w:r w:rsidRPr="00525765">
        <w:rPr>
          <w:rFonts w:eastAsia="Calibri" w:cs="Times New Roman"/>
          <w:vertAlign w:val="subscript"/>
        </w:rPr>
        <w:t>max</w:t>
      </w:r>
      <w:proofErr w:type="spellEnd"/>
      <w:r w:rsidRPr="00525765">
        <w:rPr>
          <w:rFonts w:eastAsia="Calibri" w:cs="Times New Roman"/>
        </w:rPr>
        <w:t xml:space="preserve"> of 15 or 20. ESC noted that there were no PFS</w:t>
      </w:r>
      <w:r>
        <w:rPr>
          <w:rFonts w:eastAsia="Calibri" w:cs="Times New Roman"/>
        </w:rPr>
        <w:t xml:space="preserve"> or</w:t>
      </w:r>
      <w:r w:rsidRPr="00525765">
        <w:rPr>
          <w:rFonts w:eastAsia="Calibri" w:cs="Times New Roman"/>
        </w:rPr>
        <w:t xml:space="preserve"> OS trends with increasing </w:t>
      </w:r>
      <w:proofErr w:type="spellStart"/>
      <w:r w:rsidRPr="00525765">
        <w:rPr>
          <w:rFonts w:eastAsia="Calibri" w:cs="Times New Roman"/>
        </w:rPr>
        <w:t>SUV</w:t>
      </w:r>
      <w:r w:rsidRPr="00525765">
        <w:rPr>
          <w:rFonts w:eastAsia="Calibri" w:cs="Times New Roman"/>
          <w:vertAlign w:val="subscript"/>
        </w:rPr>
        <w:t>max</w:t>
      </w:r>
      <w:proofErr w:type="spellEnd"/>
      <w:r>
        <w:rPr>
          <w:rFonts w:eastAsia="Calibri" w:cs="Times New Roman"/>
        </w:rPr>
        <w:t xml:space="preserve"> (see Table 5)</w:t>
      </w:r>
      <w:r w:rsidRPr="00525765">
        <w:rPr>
          <w:rFonts w:eastAsia="Calibri" w:cs="Times New Roman"/>
        </w:rPr>
        <w:t>.</w:t>
      </w:r>
    </w:p>
    <w:p w14:paraId="34345CB4" w14:textId="77777777" w:rsidR="006669BE" w:rsidRPr="00525765" w:rsidRDefault="006669BE" w:rsidP="006669BE">
      <w:pPr>
        <w:spacing w:before="0" w:after="240" w:line="240" w:lineRule="auto"/>
        <w:rPr>
          <w:rFonts w:eastAsia="Calibri" w:cs="Times New Roman"/>
        </w:rPr>
      </w:pPr>
      <w:r w:rsidRPr="00525765">
        <w:rPr>
          <w:rFonts w:eastAsia="Calibri" w:cs="Times New Roman"/>
        </w:rPr>
        <w:t xml:space="preserve">ESC noted a claim from the ADAR that using a PSMA </w:t>
      </w:r>
      <w:proofErr w:type="spellStart"/>
      <w:r w:rsidRPr="00525765">
        <w:rPr>
          <w:rFonts w:eastAsia="Calibri" w:cs="Times New Roman"/>
        </w:rPr>
        <w:t>SUV</w:t>
      </w:r>
      <w:r w:rsidRPr="00525765">
        <w:rPr>
          <w:rFonts w:eastAsia="Calibri" w:cs="Times New Roman"/>
          <w:vertAlign w:val="subscript"/>
        </w:rPr>
        <w:t>max</w:t>
      </w:r>
      <w:proofErr w:type="spellEnd"/>
      <w:r w:rsidRPr="00525765">
        <w:rPr>
          <w:rFonts w:eastAsia="Calibri" w:cs="Times New Roman"/>
        </w:rPr>
        <w:t xml:space="preserve"> threshold of &gt;15 results in at least similar effectiveness with </w:t>
      </w:r>
      <w:proofErr w:type="spellStart"/>
      <w:r w:rsidRPr="00525765">
        <w:rPr>
          <w:rFonts w:eastAsia="Calibri" w:cs="Times New Roman"/>
        </w:rPr>
        <w:t>SUV</w:t>
      </w:r>
      <w:r w:rsidRPr="00525765">
        <w:rPr>
          <w:rFonts w:eastAsia="Calibri" w:cs="Times New Roman"/>
          <w:vertAlign w:val="subscript"/>
        </w:rPr>
        <w:t>max</w:t>
      </w:r>
      <w:proofErr w:type="spellEnd"/>
      <w:r w:rsidRPr="00525765">
        <w:rPr>
          <w:rFonts w:eastAsia="Calibri" w:cs="Times New Roman"/>
        </w:rPr>
        <w:t xml:space="preserve"> </w:t>
      </w:r>
      <w:r w:rsidRPr="00525765">
        <w:rPr>
          <w:rFonts w:eastAsia="Calibri" w:cs="Times New Roman"/>
        </w:rPr>
        <w:sym w:font="Symbol" w:char="F0B3"/>
      </w:r>
      <w:r w:rsidRPr="00525765">
        <w:rPr>
          <w:rFonts w:eastAsia="Calibri" w:cs="Times New Roman"/>
        </w:rPr>
        <w:t xml:space="preserve">5 or </w:t>
      </w:r>
      <w:r w:rsidRPr="00525765">
        <w:rPr>
          <w:rFonts w:eastAsia="Calibri" w:cs="Times New Roman"/>
        </w:rPr>
        <w:sym w:font="Symbol" w:char="F0B3"/>
      </w:r>
      <w:r w:rsidRPr="00525765">
        <w:rPr>
          <w:rFonts w:eastAsia="Calibri" w:cs="Times New Roman"/>
        </w:rPr>
        <w:t xml:space="preserve">20. </w:t>
      </w:r>
      <w:r>
        <w:rPr>
          <w:rFonts w:eastAsia="Calibri" w:cs="Times New Roman"/>
        </w:rPr>
        <w:t>ESC</w:t>
      </w:r>
      <w:r w:rsidRPr="00525765">
        <w:rPr>
          <w:rFonts w:eastAsia="Calibri" w:cs="Times New Roman"/>
        </w:rPr>
        <w:t xml:space="preserve"> considered this to be reasonable</w:t>
      </w:r>
      <w:r>
        <w:rPr>
          <w:rFonts w:eastAsia="Calibri" w:cs="Times New Roman"/>
        </w:rPr>
        <w:t xml:space="preserve"> </w:t>
      </w:r>
      <w:r w:rsidRPr="00525765">
        <w:rPr>
          <w:rFonts w:eastAsia="Calibri" w:cs="Times New Roman"/>
        </w:rPr>
        <w:t xml:space="preserve">but noted that </w:t>
      </w:r>
      <w:r>
        <w:rPr>
          <w:rFonts w:eastAsia="Calibri" w:cs="Times New Roman"/>
        </w:rPr>
        <w:t>the risk of bias was high because it relied on naïve comparisons across different cohorts of patients</w:t>
      </w:r>
      <w:r w:rsidRPr="00525765">
        <w:rPr>
          <w:rFonts w:eastAsia="Calibri" w:cs="Times New Roman"/>
        </w:rPr>
        <w:t xml:space="preserve">. ESC </w:t>
      </w:r>
      <w:r>
        <w:rPr>
          <w:rFonts w:eastAsia="Calibri" w:cs="Times New Roman"/>
        </w:rPr>
        <w:t xml:space="preserve">also </w:t>
      </w:r>
      <w:r w:rsidRPr="00525765">
        <w:rPr>
          <w:rFonts w:eastAsia="Calibri" w:cs="Times New Roman"/>
        </w:rPr>
        <w:t xml:space="preserve">noted </w:t>
      </w:r>
      <w:r>
        <w:rPr>
          <w:rFonts w:eastAsia="Calibri" w:cs="Times New Roman"/>
        </w:rPr>
        <w:t xml:space="preserve">concerns </w:t>
      </w:r>
      <w:r w:rsidRPr="00525765">
        <w:rPr>
          <w:rFonts w:eastAsia="Calibri" w:cs="Times New Roman"/>
        </w:rPr>
        <w:t xml:space="preserve">from the </w:t>
      </w:r>
      <w:r>
        <w:rPr>
          <w:rFonts w:eastAsia="Calibri" w:cs="Times New Roman"/>
        </w:rPr>
        <w:t>c</w:t>
      </w:r>
      <w:r w:rsidRPr="00525765">
        <w:rPr>
          <w:rFonts w:eastAsia="Calibri" w:cs="Times New Roman"/>
        </w:rPr>
        <w:t>ommentary that</w:t>
      </w:r>
      <w:r>
        <w:rPr>
          <w:rFonts w:eastAsia="Calibri" w:cs="Times New Roman"/>
        </w:rPr>
        <w:t xml:space="preserve"> </w:t>
      </w:r>
      <w:r w:rsidRPr="00525765">
        <w:rPr>
          <w:rFonts w:eastAsia="Calibri" w:cs="Times New Roman"/>
        </w:rPr>
        <w:t>different number</w:t>
      </w:r>
      <w:r>
        <w:rPr>
          <w:rFonts w:eastAsia="Calibri" w:cs="Times New Roman"/>
        </w:rPr>
        <w:t>s</w:t>
      </w:r>
      <w:r w:rsidRPr="00525765">
        <w:rPr>
          <w:rFonts w:eastAsia="Calibri" w:cs="Times New Roman"/>
        </w:rPr>
        <w:t xml:space="preserve"> of cycles were used in the studies</w:t>
      </w:r>
      <w:r>
        <w:rPr>
          <w:rFonts w:eastAsia="Calibri" w:cs="Times New Roman"/>
        </w:rPr>
        <w:t xml:space="preserve"> and that the ADAR did not demonstrate a link between the intermediate outcome</w:t>
      </w:r>
      <w:r w:rsidRPr="00525765">
        <w:rPr>
          <w:rFonts w:eastAsia="Calibri" w:cs="Times New Roman"/>
        </w:rPr>
        <w:t xml:space="preserve"> </w:t>
      </w:r>
      <w:r>
        <w:rPr>
          <w:rFonts w:eastAsia="Calibri" w:cs="Times New Roman"/>
        </w:rPr>
        <w:t xml:space="preserve">of </w:t>
      </w:r>
      <w:r w:rsidRPr="00525765">
        <w:rPr>
          <w:rFonts w:eastAsia="Calibri" w:cs="Times New Roman"/>
        </w:rPr>
        <w:t>PSA50</w:t>
      </w:r>
      <w:r>
        <w:rPr>
          <w:rFonts w:eastAsia="Calibri" w:cs="Times New Roman"/>
        </w:rPr>
        <w:t xml:space="preserve"> and the more patient-relevant outcomes such as PFS or OS. Additionally, ESC noted a</w:t>
      </w:r>
      <w:r w:rsidRPr="00525765">
        <w:rPr>
          <w:rFonts w:eastAsia="Calibri" w:cs="Times New Roman"/>
        </w:rPr>
        <w:t xml:space="preserve"> concern </w:t>
      </w:r>
      <w:r>
        <w:rPr>
          <w:rFonts w:eastAsia="Calibri" w:cs="Times New Roman"/>
        </w:rPr>
        <w:t xml:space="preserve">about </w:t>
      </w:r>
      <w:r w:rsidRPr="00525765">
        <w:rPr>
          <w:rFonts w:eastAsia="Calibri" w:cs="Times New Roman"/>
        </w:rPr>
        <w:t xml:space="preserve">excluding patients with an </w:t>
      </w:r>
      <w:proofErr w:type="spellStart"/>
      <w:r w:rsidRPr="00525765">
        <w:rPr>
          <w:rFonts w:eastAsia="Calibri" w:cs="Times New Roman"/>
        </w:rPr>
        <w:t>SUV</w:t>
      </w:r>
      <w:r w:rsidRPr="00525765">
        <w:rPr>
          <w:rFonts w:eastAsia="Calibri" w:cs="Times New Roman"/>
          <w:vertAlign w:val="subscript"/>
        </w:rPr>
        <w:t>max</w:t>
      </w:r>
      <w:proofErr w:type="spellEnd"/>
      <w:r w:rsidRPr="00525765">
        <w:rPr>
          <w:rFonts w:eastAsia="Calibri" w:cs="Times New Roman"/>
        </w:rPr>
        <w:t xml:space="preserve"> between 5 and 15. </w:t>
      </w:r>
      <w:r>
        <w:rPr>
          <w:rFonts w:eastAsia="Calibri" w:cs="Times New Roman"/>
        </w:rPr>
        <w:t xml:space="preserve">Overall, </w:t>
      </w:r>
      <w:r w:rsidRPr="00525765">
        <w:rPr>
          <w:rFonts w:eastAsia="Calibri" w:cs="Times New Roman"/>
        </w:rPr>
        <w:t>ESC</w:t>
      </w:r>
      <w:r>
        <w:rPr>
          <w:rFonts w:eastAsia="Calibri" w:cs="Times New Roman"/>
        </w:rPr>
        <w:t xml:space="preserve"> acknowledged the lack of quality data assessing </w:t>
      </w:r>
      <w:proofErr w:type="spellStart"/>
      <w:r>
        <w:rPr>
          <w:rFonts w:eastAsia="Calibri" w:cs="Times New Roman"/>
        </w:rPr>
        <w:t>SUV</w:t>
      </w:r>
      <w:r>
        <w:rPr>
          <w:rFonts w:eastAsia="Calibri" w:cs="Times New Roman"/>
          <w:vertAlign w:val="subscript"/>
        </w:rPr>
        <w:t>max</w:t>
      </w:r>
      <w:proofErr w:type="spellEnd"/>
      <w:r>
        <w:rPr>
          <w:rFonts w:eastAsia="Calibri" w:cs="Times New Roman"/>
        </w:rPr>
        <w:t xml:space="preserve"> but considered that there was no convincing data to indicate any differences in health outcomes from using different </w:t>
      </w:r>
      <w:proofErr w:type="spellStart"/>
      <w:r w:rsidRPr="00525765">
        <w:rPr>
          <w:rFonts w:eastAsia="Calibri" w:cs="Times New Roman"/>
        </w:rPr>
        <w:t>SUV</w:t>
      </w:r>
      <w:r w:rsidRPr="00525765">
        <w:rPr>
          <w:rFonts w:eastAsia="Calibri" w:cs="Times New Roman"/>
          <w:vertAlign w:val="subscript"/>
        </w:rPr>
        <w:t>max</w:t>
      </w:r>
      <w:proofErr w:type="spellEnd"/>
      <w:r w:rsidRPr="008C3775">
        <w:rPr>
          <w:rFonts w:eastAsia="Calibri" w:cs="Times New Roman"/>
        </w:rPr>
        <w:t xml:space="preserve"> eligibility </w:t>
      </w:r>
      <w:r>
        <w:rPr>
          <w:rFonts w:eastAsia="Calibri" w:cs="Times New Roman"/>
        </w:rPr>
        <w:t>thresholds. However, given this uncertainty in the evidence, ESC</w:t>
      </w:r>
      <w:r w:rsidRPr="00525765">
        <w:rPr>
          <w:rFonts w:eastAsia="Calibri" w:cs="Times New Roman"/>
        </w:rPr>
        <w:t xml:space="preserve"> </w:t>
      </w:r>
      <w:r>
        <w:rPr>
          <w:rFonts w:eastAsia="Calibri" w:cs="Times New Roman"/>
        </w:rPr>
        <w:t xml:space="preserve">advised </w:t>
      </w:r>
      <w:r w:rsidRPr="00525765">
        <w:rPr>
          <w:rFonts w:eastAsia="Calibri" w:cs="Times New Roman"/>
        </w:rPr>
        <w:t>that MSAC may wish to consider</w:t>
      </w:r>
      <w:r>
        <w:rPr>
          <w:rFonts w:eastAsia="Calibri" w:cs="Times New Roman"/>
        </w:rPr>
        <w:t xml:space="preserve"> whether</w:t>
      </w:r>
      <w:r w:rsidRPr="00525765">
        <w:rPr>
          <w:rFonts w:eastAsia="Calibri" w:cs="Times New Roman"/>
        </w:rPr>
        <w:t xml:space="preserve"> a higher</w:t>
      </w:r>
      <w:r>
        <w:rPr>
          <w:rFonts w:eastAsia="Calibri" w:cs="Times New Roman"/>
        </w:rPr>
        <w:t xml:space="preserve"> and more restrictive</w:t>
      </w:r>
      <w:r w:rsidRPr="00525765">
        <w:rPr>
          <w:rFonts w:eastAsia="Calibri" w:cs="Times New Roman"/>
        </w:rPr>
        <w:t xml:space="preserve"> </w:t>
      </w:r>
      <w:proofErr w:type="spellStart"/>
      <w:r w:rsidRPr="00525765">
        <w:rPr>
          <w:rFonts w:eastAsia="Calibri" w:cs="Times New Roman"/>
        </w:rPr>
        <w:t>SUV</w:t>
      </w:r>
      <w:r w:rsidRPr="00525765">
        <w:rPr>
          <w:rFonts w:eastAsia="Calibri" w:cs="Times New Roman"/>
          <w:vertAlign w:val="subscript"/>
        </w:rPr>
        <w:t>max</w:t>
      </w:r>
      <w:proofErr w:type="spellEnd"/>
      <w:r w:rsidRPr="00525765">
        <w:rPr>
          <w:rFonts w:eastAsia="Calibri" w:cs="Times New Roman"/>
        </w:rPr>
        <w:t xml:space="preserve"> threshold</w:t>
      </w:r>
      <w:r>
        <w:rPr>
          <w:rFonts w:eastAsia="Calibri" w:cs="Times New Roman"/>
        </w:rPr>
        <w:t xml:space="preserve"> (as proposed)</w:t>
      </w:r>
      <w:r w:rsidRPr="00525765">
        <w:rPr>
          <w:rFonts w:eastAsia="Calibri" w:cs="Times New Roman"/>
        </w:rPr>
        <w:t xml:space="preserve"> is a practical and safe approach when introducing a novel therapy.</w:t>
      </w:r>
    </w:p>
    <w:p w14:paraId="57D52D65" w14:textId="77777777" w:rsidR="006669BE" w:rsidRPr="00525765" w:rsidRDefault="006669BE" w:rsidP="006669BE">
      <w:pPr>
        <w:spacing w:before="0" w:after="240" w:line="240" w:lineRule="auto"/>
        <w:rPr>
          <w:rFonts w:eastAsia="Calibri" w:cs="Times New Roman"/>
        </w:rPr>
      </w:pPr>
      <w:r w:rsidRPr="00525765">
        <w:rPr>
          <w:rFonts w:eastAsia="Calibri" w:cs="Times New Roman"/>
        </w:rPr>
        <w:t xml:space="preserve">ESC noted that PASC had a concern with </w:t>
      </w:r>
      <w:r>
        <w:rPr>
          <w:rFonts w:eastAsia="Calibri" w:cs="Times New Roman"/>
        </w:rPr>
        <w:t xml:space="preserve">the </w:t>
      </w:r>
      <w:r w:rsidRPr="00525765">
        <w:rPr>
          <w:rFonts w:eastAsia="Calibri" w:cs="Times New Roman"/>
        </w:rPr>
        <w:t xml:space="preserve">measurement of </w:t>
      </w:r>
      <w:proofErr w:type="spellStart"/>
      <w:r w:rsidRPr="00525765">
        <w:rPr>
          <w:rFonts w:eastAsia="Calibri" w:cs="Times New Roman"/>
        </w:rPr>
        <w:t>SUV</w:t>
      </w:r>
      <w:r w:rsidRPr="00525765">
        <w:rPr>
          <w:rFonts w:eastAsia="Calibri" w:cs="Times New Roman"/>
          <w:vertAlign w:val="subscript"/>
        </w:rPr>
        <w:t>max</w:t>
      </w:r>
      <w:proofErr w:type="spellEnd"/>
      <w:r w:rsidRPr="00525765">
        <w:rPr>
          <w:rFonts w:eastAsia="Calibri" w:cs="Times New Roman"/>
        </w:rPr>
        <w:t xml:space="preserve"> and questioned if instruments are standardised to allow accurate measurement. ESC noted that the ADAR provided evidence from </w:t>
      </w:r>
      <w:proofErr w:type="spellStart"/>
      <w:r w:rsidRPr="00525765">
        <w:rPr>
          <w:rFonts w:eastAsia="Calibri" w:cs="Times New Roman"/>
        </w:rPr>
        <w:t>Hoberück</w:t>
      </w:r>
      <w:proofErr w:type="spellEnd"/>
      <w:r w:rsidRPr="00525765">
        <w:rPr>
          <w:rFonts w:eastAsia="Calibri" w:cs="Times New Roman"/>
        </w:rPr>
        <w:t xml:space="preserve"> et al. (2021)</w:t>
      </w:r>
      <w:r w:rsidRPr="00525765">
        <w:rPr>
          <w:rFonts w:eastAsia="Calibri" w:cs="Times New Roman"/>
          <w:vertAlign w:val="superscript"/>
        </w:rPr>
        <w:footnoteReference w:id="13"/>
      </w:r>
      <w:r w:rsidRPr="00525765">
        <w:rPr>
          <w:rFonts w:eastAsia="Calibri" w:cs="Times New Roman"/>
        </w:rPr>
        <w:t xml:space="preserve"> that </w:t>
      </w:r>
      <w:proofErr w:type="spellStart"/>
      <w:r w:rsidRPr="00525765">
        <w:rPr>
          <w:rFonts w:eastAsia="Calibri" w:cs="Times New Roman"/>
        </w:rPr>
        <w:t>SUV</w:t>
      </w:r>
      <w:r w:rsidRPr="00525765">
        <w:rPr>
          <w:rFonts w:eastAsia="Calibri" w:cs="Times New Roman"/>
          <w:vertAlign w:val="subscript"/>
        </w:rPr>
        <w:t>max</w:t>
      </w:r>
      <w:proofErr w:type="spellEnd"/>
      <w:r w:rsidRPr="00525765">
        <w:rPr>
          <w:rFonts w:eastAsia="Calibri" w:cs="Times New Roman"/>
        </w:rPr>
        <w:t xml:space="preserve"> was comparable between different PSMA tracers, but that not all participants in the study were patients</w:t>
      </w:r>
      <w:r>
        <w:rPr>
          <w:rFonts w:eastAsia="Calibri" w:cs="Times New Roman"/>
        </w:rPr>
        <w:t xml:space="preserve"> with </w:t>
      </w:r>
      <w:proofErr w:type="spellStart"/>
      <w:r w:rsidRPr="00525765">
        <w:rPr>
          <w:rFonts w:eastAsia="Calibri" w:cs="Times New Roman"/>
        </w:rPr>
        <w:t>mCRPC</w:t>
      </w:r>
      <w:proofErr w:type="spellEnd"/>
      <w:r w:rsidRPr="00525765">
        <w:rPr>
          <w:rFonts w:eastAsia="Calibri" w:cs="Times New Roman"/>
        </w:rPr>
        <w:t>.</w:t>
      </w:r>
    </w:p>
    <w:p w14:paraId="283B6AE3" w14:textId="1B83BF59" w:rsidR="006669BE" w:rsidRDefault="006669BE" w:rsidP="006669BE">
      <w:pPr>
        <w:spacing w:before="0" w:after="240" w:line="240" w:lineRule="auto"/>
        <w:rPr>
          <w:rFonts w:eastAsia="Calibri" w:cs="Times New Roman"/>
        </w:rPr>
      </w:pPr>
      <w:r w:rsidRPr="00525765">
        <w:rPr>
          <w:rFonts w:eastAsia="Calibri" w:cs="Times New Roman"/>
        </w:rPr>
        <w:t xml:space="preserve">ESC noted from the trials that PSA response, overall response rate and PFS were all superior with </w:t>
      </w:r>
      <w:r w:rsidRPr="00525765">
        <w:rPr>
          <w:rFonts w:eastAsia="Calibri" w:cs="Times New Roman"/>
          <w:vertAlign w:val="superscript"/>
        </w:rPr>
        <w:t>177</w:t>
      </w:r>
      <w:r>
        <w:rPr>
          <w:rFonts w:eastAsia="Calibri" w:cs="Times New Roman"/>
        </w:rPr>
        <w:t>Lu PSMA</w:t>
      </w:r>
      <w:r w:rsidR="00F37E00">
        <w:rPr>
          <w:rFonts w:eastAsia="Calibri" w:cs="Times New Roman"/>
        </w:rPr>
        <w:t>-617</w:t>
      </w:r>
      <w:r w:rsidRPr="00525765">
        <w:rPr>
          <w:rFonts w:eastAsia="Calibri" w:cs="Times New Roman"/>
        </w:rPr>
        <w:t xml:space="preserve"> compared with </w:t>
      </w:r>
      <w:r>
        <w:rPr>
          <w:rFonts w:eastAsia="Calibri" w:cs="Times New Roman"/>
        </w:rPr>
        <w:t xml:space="preserve">either </w:t>
      </w:r>
      <w:proofErr w:type="spellStart"/>
      <w:r w:rsidRPr="00525765">
        <w:rPr>
          <w:rFonts w:eastAsia="Calibri" w:cs="Times New Roman"/>
        </w:rPr>
        <w:t>cabazitaxel</w:t>
      </w:r>
      <w:proofErr w:type="spellEnd"/>
      <w:r w:rsidRPr="00525765">
        <w:rPr>
          <w:rFonts w:eastAsia="Calibri" w:cs="Times New Roman"/>
        </w:rPr>
        <w:t xml:space="preserve"> </w:t>
      </w:r>
      <w:r>
        <w:rPr>
          <w:rFonts w:eastAsia="Calibri" w:cs="Times New Roman"/>
        </w:rPr>
        <w:t>or</w:t>
      </w:r>
      <w:r w:rsidRPr="00525765">
        <w:rPr>
          <w:rFonts w:eastAsia="Calibri" w:cs="Times New Roman"/>
        </w:rPr>
        <w:t xml:space="preserve"> </w:t>
      </w:r>
      <w:r w:rsidR="00DB005C">
        <w:t>best supportive care</w:t>
      </w:r>
      <w:r w:rsidRPr="00525765">
        <w:rPr>
          <w:rFonts w:eastAsia="Calibri" w:cs="Times New Roman"/>
        </w:rPr>
        <w:t xml:space="preserve">. ESC noted that median OS was a key endpoint of the VISION trial, finding that </w:t>
      </w:r>
      <w:r>
        <w:rPr>
          <w:rFonts w:eastAsia="Calibri" w:cs="Times New Roman"/>
        </w:rPr>
        <w:t>Lu PSMA</w:t>
      </w:r>
      <w:r w:rsidRPr="00525765">
        <w:rPr>
          <w:rFonts w:eastAsia="Calibri" w:cs="Times New Roman"/>
        </w:rPr>
        <w:t xml:space="preserve"> was superior compared with </w:t>
      </w:r>
      <w:r w:rsidR="00DB005C">
        <w:t>best supportive care</w:t>
      </w:r>
      <w:r w:rsidRPr="00525765">
        <w:rPr>
          <w:rFonts w:eastAsia="Calibri" w:cs="Times New Roman"/>
        </w:rPr>
        <w:t xml:space="preserve"> (a 4-month </w:t>
      </w:r>
      <w:r>
        <w:rPr>
          <w:rFonts w:eastAsia="Calibri" w:cs="Times New Roman"/>
        </w:rPr>
        <w:t xml:space="preserve">incremental </w:t>
      </w:r>
      <w:r w:rsidRPr="00525765">
        <w:rPr>
          <w:rFonts w:eastAsia="Calibri" w:cs="Times New Roman"/>
        </w:rPr>
        <w:t xml:space="preserve">survival </w:t>
      </w:r>
      <w:r>
        <w:rPr>
          <w:rFonts w:eastAsia="Calibri" w:cs="Times New Roman"/>
        </w:rPr>
        <w:t>gain</w:t>
      </w:r>
      <w:r w:rsidRPr="00525765">
        <w:rPr>
          <w:rFonts w:eastAsia="Calibri" w:cs="Times New Roman"/>
        </w:rPr>
        <w:t xml:space="preserve">). ESC also noted that </w:t>
      </w:r>
      <w:r w:rsidRPr="00525765">
        <w:rPr>
          <w:rFonts w:eastAsia="Calibri" w:cs="Times New Roman"/>
          <w:vertAlign w:val="superscript"/>
        </w:rPr>
        <w:t>177</w:t>
      </w:r>
      <w:r>
        <w:rPr>
          <w:rFonts w:eastAsia="Calibri" w:cs="Times New Roman"/>
        </w:rPr>
        <w:t>Lu PSMA</w:t>
      </w:r>
      <w:r w:rsidR="00F37E00">
        <w:rPr>
          <w:rFonts w:eastAsia="Calibri" w:cs="Times New Roman"/>
        </w:rPr>
        <w:t>-617</w:t>
      </w:r>
      <w:r w:rsidRPr="00525765">
        <w:rPr>
          <w:rFonts w:eastAsia="Calibri" w:cs="Times New Roman"/>
        </w:rPr>
        <w:t xml:space="preserve"> was superior to </w:t>
      </w:r>
      <w:proofErr w:type="spellStart"/>
      <w:r w:rsidRPr="00525765">
        <w:rPr>
          <w:rFonts w:eastAsia="Calibri" w:cs="Times New Roman"/>
        </w:rPr>
        <w:t>cabazitaxel</w:t>
      </w:r>
      <w:proofErr w:type="spellEnd"/>
      <w:r w:rsidRPr="00525765">
        <w:rPr>
          <w:rFonts w:eastAsia="Calibri" w:cs="Times New Roman"/>
        </w:rPr>
        <w:t xml:space="preserve"> for </w:t>
      </w:r>
      <w:r>
        <w:rPr>
          <w:rFonts w:eastAsia="Calibri" w:cs="Times New Roman"/>
        </w:rPr>
        <w:t xml:space="preserve">several </w:t>
      </w:r>
      <w:proofErr w:type="gramStart"/>
      <w:r w:rsidRPr="00525765">
        <w:rPr>
          <w:rFonts w:eastAsia="Calibri" w:cs="Times New Roman"/>
        </w:rPr>
        <w:t>quality of life</w:t>
      </w:r>
      <w:proofErr w:type="gramEnd"/>
      <w:r>
        <w:rPr>
          <w:rFonts w:eastAsia="Calibri" w:cs="Times New Roman"/>
        </w:rPr>
        <w:t xml:space="preserve"> domains</w:t>
      </w:r>
      <w:r w:rsidRPr="00525765">
        <w:rPr>
          <w:rFonts w:eastAsia="Calibri" w:cs="Times New Roman"/>
        </w:rPr>
        <w:t>, including diarrhoea, fatigue, social functioning and insomnia. ESC noted that OS</w:t>
      </w:r>
      <w:r>
        <w:rPr>
          <w:rFonts w:eastAsia="Calibri" w:cs="Times New Roman"/>
        </w:rPr>
        <w:t xml:space="preserve"> results were not reported</w:t>
      </w:r>
      <w:r w:rsidRPr="00525765">
        <w:rPr>
          <w:rFonts w:eastAsia="Calibri" w:cs="Times New Roman"/>
        </w:rPr>
        <w:t xml:space="preserve"> for the </w:t>
      </w:r>
      <w:proofErr w:type="spellStart"/>
      <w:r w:rsidRPr="00525765">
        <w:rPr>
          <w:rFonts w:eastAsia="Calibri" w:cs="Times New Roman"/>
        </w:rPr>
        <w:t>TheraP</w:t>
      </w:r>
      <w:proofErr w:type="spellEnd"/>
      <w:r w:rsidRPr="00525765">
        <w:rPr>
          <w:rFonts w:eastAsia="Calibri" w:cs="Times New Roman"/>
        </w:rPr>
        <w:t xml:space="preserve"> trial, but </w:t>
      </w:r>
      <w:r>
        <w:rPr>
          <w:rFonts w:eastAsia="Calibri" w:cs="Times New Roman"/>
        </w:rPr>
        <w:t>recently a conference abstract was</w:t>
      </w:r>
      <w:r w:rsidRPr="00525765">
        <w:rPr>
          <w:rFonts w:eastAsia="Calibri" w:cs="Times New Roman"/>
        </w:rPr>
        <w:t xml:space="preserve"> presented at the </w:t>
      </w:r>
      <w:hyperlink r:id="rId21" w:history="1">
        <w:r w:rsidRPr="007E52F9">
          <w:rPr>
            <w:rStyle w:val="Hyperlink"/>
            <w:rFonts w:eastAsia="Calibri" w:cs="Times New Roman"/>
          </w:rPr>
          <w:t>2022 American Society of Clinical Oncology (ASCO) Annual Meeting</w:t>
        </w:r>
      </w:hyperlink>
      <w:r w:rsidRPr="00525765">
        <w:rPr>
          <w:rFonts w:eastAsia="Calibri" w:cs="Times New Roman"/>
        </w:rPr>
        <w:t xml:space="preserve"> show</w:t>
      </w:r>
      <w:r>
        <w:rPr>
          <w:rFonts w:eastAsia="Calibri" w:cs="Times New Roman"/>
        </w:rPr>
        <w:t>ing</w:t>
      </w:r>
      <w:r w:rsidRPr="00525765">
        <w:rPr>
          <w:rFonts w:eastAsia="Calibri" w:cs="Times New Roman"/>
        </w:rPr>
        <w:t xml:space="preserve"> there is </w:t>
      </w:r>
      <w:r>
        <w:rPr>
          <w:rFonts w:eastAsia="Calibri" w:cs="Times New Roman"/>
        </w:rPr>
        <w:t>similar OS</w:t>
      </w:r>
      <w:r w:rsidRPr="00525765">
        <w:rPr>
          <w:rFonts w:eastAsia="Calibri" w:cs="Times New Roman"/>
        </w:rPr>
        <w:t xml:space="preserve"> </w:t>
      </w:r>
      <w:r>
        <w:rPr>
          <w:rFonts w:eastAsia="Calibri" w:cs="Times New Roman"/>
        </w:rPr>
        <w:t xml:space="preserve">from </w:t>
      </w:r>
      <w:r w:rsidRPr="00525765">
        <w:rPr>
          <w:rFonts w:eastAsia="Calibri" w:cs="Times New Roman"/>
        </w:rPr>
        <w:t xml:space="preserve">using </w:t>
      </w:r>
      <w:r w:rsidRPr="00525765">
        <w:rPr>
          <w:rFonts w:eastAsia="Calibri" w:cs="Times New Roman"/>
          <w:vertAlign w:val="superscript"/>
        </w:rPr>
        <w:t>177</w:t>
      </w:r>
      <w:r>
        <w:rPr>
          <w:rFonts w:eastAsia="Calibri" w:cs="Times New Roman"/>
        </w:rPr>
        <w:t>Lu PSMA</w:t>
      </w:r>
      <w:r w:rsidR="00F37E00">
        <w:rPr>
          <w:rFonts w:eastAsia="Calibri" w:cs="Times New Roman"/>
        </w:rPr>
        <w:t>-617</w:t>
      </w:r>
      <w:r w:rsidRPr="00525765">
        <w:rPr>
          <w:rFonts w:eastAsia="Calibri" w:cs="Times New Roman"/>
        </w:rPr>
        <w:t xml:space="preserve"> compared </w:t>
      </w:r>
      <w:r>
        <w:rPr>
          <w:rFonts w:eastAsia="Calibri" w:cs="Times New Roman"/>
        </w:rPr>
        <w:t>with</w:t>
      </w:r>
      <w:r w:rsidRPr="00525765">
        <w:rPr>
          <w:rFonts w:eastAsia="Calibri" w:cs="Times New Roman"/>
        </w:rPr>
        <w:t xml:space="preserve"> </w:t>
      </w:r>
      <w:proofErr w:type="spellStart"/>
      <w:r w:rsidRPr="00525765">
        <w:rPr>
          <w:rFonts w:eastAsia="Calibri" w:cs="Times New Roman"/>
        </w:rPr>
        <w:t>cabazitaxel</w:t>
      </w:r>
      <w:proofErr w:type="spellEnd"/>
      <w:r w:rsidRPr="00525765">
        <w:rPr>
          <w:rFonts w:eastAsia="Calibri" w:cs="Times New Roman"/>
        </w:rPr>
        <w:t>. Noting the availability of this new evidence, ESC</w:t>
      </w:r>
      <w:r>
        <w:rPr>
          <w:rFonts w:eastAsia="Calibri" w:cs="Times New Roman"/>
        </w:rPr>
        <w:t xml:space="preserve"> requested that </w:t>
      </w:r>
      <w:r w:rsidRPr="00525765">
        <w:rPr>
          <w:rFonts w:eastAsia="Calibri" w:cs="Times New Roman"/>
        </w:rPr>
        <w:t xml:space="preserve">the applicant provide </w:t>
      </w:r>
      <w:proofErr w:type="gramStart"/>
      <w:r>
        <w:rPr>
          <w:rFonts w:eastAsia="Calibri" w:cs="Times New Roman"/>
        </w:rPr>
        <w:t>all of</w:t>
      </w:r>
      <w:proofErr w:type="gramEnd"/>
      <w:r>
        <w:rPr>
          <w:rFonts w:eastAsia="Calibri" w:cs="Times New Roman"/>
        </w:rPr>
        <w:t xml:space="preserve"> the available updated results from the </w:t>
      </w:r>
      <w:proofErr w:type="spellStart"/>
      <w:r>
        <w:rPr>
          <w:rFonts w:eastAsia="Calibri" w:cs="Times New Roman"/>
        </w:rPr>
        <w:t>TheraP</w:t>
      </w:r>
      <w:proofErr w:type="spellEnd"/>
      <w:r>
        <w:rPr>
          <w:rFonts w:eastAsia="Calibri" w:cs="Times New Roman"/>
        </w:rPr>
        <w:t xml:space="preserve"> trial, replace all assumption-based parameters in the model with this updated data from these recently published results </w:t>
      </w:r>
      <w:r w:rsidRPr="00525765">
        <w:rPr>
          <w:rFonts w:eastAsia="Calibri" w:cs="Times New Roman"/>
        </w:rPr>
        <w:t xml:space="preserve">and discuss </w:t>
      </w:r>
      <w:r>
        <w:rPr>
          <w:rFonts w:eastAsia="Calibri" w:cs="Times New Roman"/>
        </w:rPr>
        <w:t xml:space="preserve">the consequences for the </w:t>
      </w:r>
      <w:r w:rsidRPr="00525765">
        <w:rPr>
          <w:rFonts w:eastAsia="Calibri" w:cs="Times New Roman"/>
        </w:rPr>
        <w:t>application</w:t>
      </w:r>
      <w:r>
        <w:rPr>
          <w:rFonts w:eastAsia="Calibri" w:cs="Times New Roman"/>
        </w:rPr>
        <w:t xml:space="preserve"> (which may include any applicability issues arising noting the model also includes inputs from the VISION trial).</w:t>
      </w:r>
    </w:p>
    <w:p w14:paraId="0A804F39" w14:textId="5B76E3EE" w:rsidR="006669BE" w:rsidRDefault="006669BE" w:rsidP="006669BE">
      <w:pPr>
        <w:spacing w:before="0" w:after="240" w:line="240" w:lineRule="auto"/>
        <w:rPr>
          <w:rFonts w:eastAsia="Calibri" w:cs="Times New Roman"/>
        </w:rPr>
      </w:pPr>
      <w:r>
        <w:rPr>
          <w:rFonts w:eastAsia="Calibri" w:cs="Times New Roman"/>
        </w:rPr>
        <w:t xml:space="preserve">For comparative safety, </w:t>
      </w:r>
      <w:r w:rsidRPr="00525765">
        <w:rPr>
          <w:rFonts w:eastAsia="Calibri" w:cs="Times New Roman"/>
        </w:rPr>
        <w:t>ESC noted from the evidence</w:t>
      </w:r>
      <w:r>
        <w:rPr>
          <w:rFonts w:eastAsia="Calibri" w:cs="Times New Roman"/>
        </w:rPr>
        <w:t xml:space="preserve"> </w:t>
      </w:r>
      <w:r w:rsidRPr="00525765">
        <w:rPr>
          <w:rFonts w:eastAsia="Calibri" w:cs="Times New Roman"/>
        </w:rPr>
        <w:t xml:space="preserve">that </w:t>
      </w:r>
      <w:r w:rsidRPr="00525765">
        <w:rPr>
          <w:rFonts w:eastAsia="Calibri" w:cs="Times New Roman"/>
          <w:vertAlign w:val="superscript"/>
        </w:rPr>
        <w:t>177</w:t>
      </w:r>
      <w:r>
        <w:rPr>
          <w:rFonts w:eastAsia="Calibri" w:cs="Times New Roman"/>
        </w:rPr>
        <w:t>Lu PSMA</w:t>
      </w:r>
      <w:r w:rsidR="00F37E00">
        <w:rPr>
          <w:rFonts w:eastAsia="Calibri" w:cs="Times New Roman"/>
        </w:rPr>
        <w:t>-617</w:t>
      </w:r>
      <w:r w:rsidRPr="00525765">
        <w:rPr>
          <w:rFonts w:eastAsia="Calibri" w:cs="Times New Roman"/>
        </w:rPr>
        <w:t xml:space="preserve"> had a lower number of adverse events compared with </w:t>
      </w:r>
      <w:proofErr w:type="spellStart"/>
      <w:r w:rsidRPr="00525765">
        <w:rPr>
          <w:rFonts w:eastAsia="Calibri" w:cs="Times New Roman"/>
        </w:rPr>
        <w:t>cabazitaxel</w:t>
      </w:r>
      <w:proofErr w:type="spellEnd"/>
      <w:r w:rsidRPr="00525765">
        <w:rPr>
          <w:rFonts w:eastAsia="Calibri" w:cs="Times New Roman"/>
        </w:rPr>
        <w:t xml:space="preserve">, including </w:t>
      </w:r>
      <w:r>
        <w:rPr>
          <w:rFonts w:eastAsia="Calibri" w:cs="Times New Roman"/>
        </w:rPr>
        <w:t>G</w:t>
      </w:r>
      <w:r w:rsidRPr="00525765">
        <w:rPr>
          <w:rFonts w:eastAsia="Calibri" w:cs="Times New Roman"/>
        </w:rPr>
        <w:t xml:space="preserve">rade 3–4 adverse events. However, </w:t>
      </w:r>
      <w:r w:rsidRPr="00525765">
        <w:rPr>
          <w:rFonts w:eastAsia="Calibri" w:cs="Times New Roman"/>
          <w:vertAlign w:val="superscript"/>
        </w:rPr>
        <w:t>177</w:t>
      </w:r>
      <w:r>
        <w:rPr>
          <w:rFonts w:eastAsia="Calibri" w:cs="Times New Roman"/>
        </w:rPr>
        <w:t>Lu PSMA</w:t>
      </w:r>
      <w:r w:rsidR="00F37E00">
        <w:rPr>
          <w:rFonts w:eastAsia="Calibri" w:cs="Times New Roman"/>
        </w:rPr>
        <w:t>-617</w:t>
      </w:r>
      <w:r w:rsidRPr="00525765">
        <w:rPr>
          <w:rFonts w:eastAsia="Calibri" w:cs="Times New Roman"/>
        </w:rPr>
        <w:t xml:space="preserve"> had a higher number of adverse events compared with </w:t>
      </w:r>
      <w:r w:rsidR="00DB005C">
        <w:t>best supportive care</w:t>
      </w:r>
      <w:r w:rsidRPr="00525765">
        <w:rPr>
          <w:rFonts w:eastAsia="Calibri" w:cs="Times New Roman"/>
        </w:rPr>
        <w:t xml:space="preserve">, including </w:t>
      </w:r>
      <w:r>
        <w:rPr>
          <w:rFonts w:eastAsia="Calibri" w:cs="Times New Roman"/>
        </w:rPr>
        <w:t>G</w:t>
      </w:r>
      <w:r w:rsidRPr="00525765">
        <w:rPr>
          <w:rFonts w:eastAsia="Calibri" w:cs="Times New Roman"/>
        </w:rPr>
        <w:t xml:space="preserve">rade 3–4 adverse events. Most side effects of </w:t>
      </w:r>
      <w:r w:rsidRPr="00525765">
        <w:rPr>
          <w:rFonts w:eastAsia="Calibri" w:cs="Times New Roman"/>
          <w:vertAlign w:val="superscript"/>
        </w:rPr>
        <w:t>177</w:t>
      </w:r>
      <w:r>
        <w:rPr>
          <w:rFonts w:eastAsia="Calibri" w:cs="Times New Roman"/>
        </w:rPr>
        <w:t>Lu PSMA</w:t>
      </w:r>
      <w:r w:rsidR="00F37E00">
        <w:rPr>
          <w:rFonts w:eastAsia="Calibri" w:cs="Times New Roman"/>
        </w:rPr>
        <w:t>-617</w:t>
      </w:r>
      <w:r w:rsidRPr="00525765">
        <w:rPr>
          <w:rFonts w:eastAsia="Calibri" w:cs="Times New Roman"/>
        </w:rPr>
        <w:t xml:space="preserve"> were grade 1–2, and included fatigue (75%), nausea (35–40%), dry mouth (23–43%) and anaemia (27–32%). Grade 3, 4 and 5 side effects included anaemia (12.9%), pain (11.2%), thrombocytopenia (7.9–11.2%), leukopenia (7.8%) and death (1%).</w:t>
      </w:r>
    </w:p>
    <w:p w14:paraId="776BFF7E" w14:textId="4CB4C642" w:rsidR="006669BE" w:rsidRPr="00525765" w:rsidRDefault="006669BE" w:rsidP="006669BE">
      <w:pPr>
        <w:spacing w:before="0" w:after="240" w:line="240" w:lineRule="auto"/>
        <w:rPr>
          <w:rFonts w:eastAsia="Calibri" w:cs="Times New Roman"/>
        </w:rPr>
      </w:pPr>
      <w:r w:rsidRPr="00525765">
        <w:rPr>
          <w:rFonts w:eastAsia="Calibri" w:cs="Times New Roman"/>
        </w:rPr>
        <w:t>ESC noted the clinical claim</w:t>
      </w:r>
      <w:r w:rsidR="000E35AC">
        <w:rPr>
          <w:rFonts w:eastAsia="Calibri" w:cs="Times New Roman"/>
        </w:rPr>
        <w:t>s</w:t>
      </w:r>
      <w:r w:rsidRPr="00525765">
        <w:rPr>
          <w:rFonts w:eastAsia="Calibri" w:cs="Times New Roman"/>
        </w:rPr>
        <w:t xml:space="preserve"> that the use of PSMA PET/CT and </w:t>
      </w:r>
      <w:r w:rsidRPr="00525765">
        <w:rPr>
          <w:rFonts w:eastAsia="Calibri" w:cs="Times New Roman"/>
          <w:vertAlign w:val="superscript"/>
        </w:rPr>
        <w:t>177</w:t>
      </w:r>
      <w:r>
        <w:rPr>
          <w:rFonts w:eastAsia="Calibri" w:cs="Times New Roman"/>
        </w:rPr>
        <w:t>Lu PSMA</w:t>
      </w:r>
      <w:r w:rsidRPr="00525765">
        <w:rPr>
          <w:rFonts w:eastAsia="Calibri" w:cs="Times New Roman"/>
        </w:rPr>
        <w:t xml:space="preserve"> results in superior safety and effectiveness compared with </w:t>
      </w:r>
      <w:proofErr w:type="spellStart"/>
      <w:r w:rsidRPr="00525765">
        <w:rPr>
          <w:rFonts w:eastAsia="Calibri" w:cs="Times New Roman"/>
        </w:rPr>
        <w:t>cabazitaxel</w:t>
      </w:r>
      <w:proofErr w:type="spellEnd"/>
      <w:r w:rsidRPr="00525765">
        <w:rPr>
          <w:rFonts w:eastAsia="Calibri" w:cs="Times New Roman"/>
        </w:rPr>
        <w:t xml:space="preserve">, and inferior safety and superior effectiveness compared with </w:t>
      </w:r>
      <w:r w:rsidR="00DB005C">
        <w:t>best supportive care</w:t>
      </w:r>
      <w:r w:rsidRPr="00525765">
        <w:rPr>
          <w:rFonts w:eastAsia="Calibri" w:cs="Times New Roman"/>
        </w:rPr>
        <w:t xml:space="preserve">. ESC considered these clinical claims to be reasonable, but </w:t>
      </w:r>
      <w:r>
        <w:rPr>
          <w:rFonts w:eastAsia="Calibri" w:cs="Times New Roman"/>
        </w:rPr>
        <w:t xml:space="preserve">the incremental </w:t>
      </w:r>
      <w:r w:rsidRPr="00525765">
        <w:rPr>
          <w:rFonts w:eastAsia="Calibri" w:cs="Times New Roman"/>
        </w:rPr>
        <w:t>OS benefit was not conclusive</w:t>
      </w:r>
      <w:r>
        <w:rPr>
          <w:rFonts w:eastAsia="Calibri" w:cs="Times New Roman"/>
        </w:rPr>
        <w:t xml:space="preserve"> (vs. </w:t>
      </w:r>
      <w:proofErr w:type="spellStart"/>
      <w:r>
        <w:rPr>
          <w:rFonts w:eastAsia="Calibri" w:cs="Times New Roman"/>
        </w:rPr>
        <w:t>cabazitaxel</w:t>
      </w:r>
      <w:proofErr w:type="spellEnd"/>
      <w:r>
        <w:rPr>
          <w:rFonts w:eastAsia="Calibri" w:cs="Times New Roman"/>
        </w:rPr>
        <w:t>)</w:t>
      </w:r>
      <w:r w:rsidRPr="00525765">
        <w:rPr>
          <w:rFonts w:eastAsia="Calibri" w:cs="Times New Roman"/>
        </w:rPr>
        <w:t>.</w:t>
      </w:r>
    </w:p>
    <w:p w14:paraId="0535710C" w14:textId="1385440D" w:rsidR="006669BE" w:rsidRPr="00525765" w:rsidRDefault="006669BE" w:rsidP="006669BE">
      <w:pPr>
        <w:spacing w:before="0" w:after="240" w:line="240" w:lineRule="auto"/>
        <w:rPr>
          <w:rFonts w:eastAsia="Calibri" w:cs="Times New Roman"/>
        </w:rPr>
      </w:pPr>
      <w:r w:rsidRPr="00525765">
        <w:rPr>
          <w:rFonts w:eastAsia="Calibri" w:cs="Times New Roman"/>
        </w:rPr>
        <w:t xml:space="preserve">ESC considered the economic evaluation (cost-effectiveness analysis and cost-utility analysis) to be appropriate. ESC noted that the proportions of positive and negative PSMA PET/CT test results </w:t>
      </w:r>
      <w:r>
        <w:rPr>
          <w:rFonts w:eastAsia="Calibri" w:cs="Times New Roman"/>
        </w:rPr>
        <w:lastRenderedPageBreak/>
        <w:t xml:space="preserve">to determine eligibility for </w:t>
      </w:r>
      <w:r w:rsidRPr="00525765">
        <w:rPr>
          <w:rFonts w:eastAsia="Calibri" w:cs="Times New Roman"/>
          <w:vertAlign w:val="superscript"/>
        </w:rPr>
        <w:t>177</w:t>
      </w:r>
      <w:r>
        <w:rPr>
          <w:rFonts w:eastAsia="Calibri" w:cs="Times New Roman"/>
        </w:rPr>
        <w:t>Lu PSMA</w:t>
      </w:r>
      <w:r w:rsidR="000E35AC">
        <w:t> </w:t>
      </w:r>
      <w:proofErr w:type="spellStart"/>
      <w:r w:rsidR="000E35AC">
        <w:t>i&amp;t</w:t>
      </w:r>
      <w:proofErr w:type="spellEnd"/>
      <w:r w:rsidRPr="00525765">
        <w:rPr>
          <w:rFonts w:eastAsia="Calibri" w:cs="Times New Roman"/>
        </w:rPr>
        <w:t xml:space="preserve"> used in the Markov model were based on data from the </w:t>
      </w:r>
      <w:proofErr w:type="spellStart"/>
      <w:r w:rsidRPr="00525765">
        <w:rPr>
          <w:rFonts w:eastAsia="Calibri" w:cs="Times New Roman"/>
        </w:rPr>
        <w:t>TheraP</w:t>
      </w:r>
      <w:proofErr w:type="spellEnd"/>
      <w:r w:rsidRPr="00525765">
        <w:rPr>
          <w:rFonts w:eastAsia="Calibri" w:cs="Times New Roman"/>
        </w:rPr>
        <w:t xml:space="preserve"> trial</w:t>
      </w:r>
      <w:r>
        <w:rPr>
          <w:rFonts w:eastAsia="Calibri" w:cs="Times New Roman"/>
        </w:rPr>
        <w:t>, and alternative data were used in a scenario analysis</w:t>
      </w:r>
      <w:r w:rsidRPr="00525765">
        <w:rPr>
          <w:rFonts w:eastAsia="Calibri" w:cs="Times New Roman"/>
        </w:rPr>
        <w:t>.</w:t>
      </w:r>
    </w:p>
    <w:p w14:paraId="6E3E9EF7" w14:textId="03977D79" w:rsidR="006669BE" w:rsidRDefault="006669BE" w:rsidP="006669BE">
      <w:pPr>
        <w:spacing w:before="0" w:after="240" w:line="240" w:lineRule="auto"/>
        <w:rPr>
          <w:rFonts w:eastAsia="Calibri" w:cs="Times New Roman"/>
        </w:rPr>
      </w:pPr>
      <w:r>
        <w:rPr>
          <w:rFonts w:eastAsia="Calibri" w:cs="Times New Roman"/>
        </w:rPr>
        <w:t xml:space="preserve">ESC noted that a proportional hazards assumption was adopted for modelling PFS and OS from the trials. ESC noted the uncertainty raised for this approach as per the commentary. </w:t>
      </w:r>
      <w:r w:rsidRPr="00525765">
        <w:rPr>
          <w:rFonts w:eastAsia="Calibri" w:cs="Times New Roman"/>
        </w:rPr>
        <w:t>ESC noted that</w:t>
      </w:r>
      <w:r>
        <w:rPr>
          <w:rFonts w:eastAsia="Calibri" w:cs="Times New Roman"/>
        </w:rPr>
        <w:t xml:space="preserve"> </w:t>
      </w:r>
      <w:r w:rsidRPr="00525765">
        <w:rPr>
          <w:rFonts w:eastAsia="Calibri" w:cs="Times New Roman"/>
        </w:rPr>
        <w:t xml:space="preserve">the ADAR base case assumed the </w:t>
      </w:r>
      <w:r>
        <w:rPr>
          <w:rFonts w:eastAsia="Calibri" w:cs="Times New Roman"/>
        </w:rPr>
        <w:t>incremental</w:t>
      </w:r>
      <w:r w:rsidRPr="00525765">
        <w:rPr>
          <w:rFonts w:eastAsia="Calibri" w:cs="Times New Roman"/>
        </w:rPr>
        <w:t xml:space="preserve"> OS benefit for </w:t>
      </w:r>
      <w:r w:rsidRPr="00525765">
        <w:rPr>
          <w:rFonts w:eastAsia="Calibri" w:cs="Times New Roman"/>
          <w:vertAlign w:val="superscript"/>
        </w:rPr>
        <w:t>177</w:t>
      </w:r>
      <w:r>
        <w:rPr>
          <w:rFonts w:eastAsia="Calibri" w:cs="Times New Roman"/>
        </w:rPr>
        <w:t>Lu PSMA</w:t>
      </w:r>
      <w:r w:rsidR="000E35AC">
        <w:t> </w:t>
      </w:r>
      <w:proofErr w:type="spellStart"/>
      <w:r w:rsidR="000E35AC">
        <w:t>i&amp;t</w:t>
      </w:r>
      <w:proofErr w:type="spellEnd"/>
      <w:r w:rsidRPr="00525765">
        <w:rPr>
          <w:rFonts w:eastAsia="Calibri" w:cs="Times New Roman"/>
        </w:rPr>
        <w:t xml:space="preserve"> </w:t>
      </w:r>
      <w:r>
        <w:rPr>
          <w:rFonts w:eastAsia="Calibri" w:cs="Times New Roman"/>
        </w:rPr>
        <w:t>o</w:t>
      </w:r>
      <w:r w:rsidRPr="00525765">
        <w:rPr>
          <w:rFonts w:eastAsia="Calibri" w:cs="Times New Roman"/>
        </w:rPr>
        <w:t xml:space="preserve">ver </w:t>
      </w:r>
      <w:proofErr w:type="spellStart"/>
      <w:r w:rsidRPr="00525765">
        <w:rPr>
          <w:rFonts w:eastAsia="Calibri" w:cs="Times New Roman"/>
        </w:rPr>
        <w:t>cabazitaxel</w:t>
      </w:r>
      <w:proofErr w:type="spellEnd"/>
      <w:r w:rsidRPr="00525765">
        <w:rPr>
          <w:rFonts w:eastAsia="Calibri" w:cs="Times New Roman"/>
        </w:rPr>
        <w:t xml:space="preserve"> is the same </w:t>
      </w:r>
      <w:r>
        <w:rPr>
          <w:rFonts w:eastAsia="Calibri" w:cs="Times New Roman"/>
        </w:rPr>
        <w:t xml:space="preserve">as </w:t>
      </w:r>
      <w:r w:rsidRPr="00525765">
        <w:rPr>
          <w:rFonts w:eastAsia="Calibri" w:cs="Times New Roman"/>
        </w:rPr>
        <w:t xml:space="preserve">for </w:t>
      </w:r>
      <w:r w:rsidRPr="00525765">
        <w:rPr>
          <w:rFonts w:eastAsia="Calibri" w:cs="Times New Roman"/>
          <w:vertAlign w:val="superscript"/>
        </w:rPr>
        <w:t>177</w:t>
      </w:r>
      <w:r>
        <w:rPr>
          <w:rFonts w:eastAsia="Calibri" w:cs="Times New Roman"/>
        </w:rPr>
        <w:t>Lu PSMA</w:t>
      </w:r>
      <w:r w:rsidR="000E35AC">
        <w:t> </w:t>
      </w:r>
      <w:proofErr w:type="spellStart"/>
      <w:r w:rsidR="000E35AC">
        <w:t>i&amp;t</w:t>
      </w:r>
      <w:proofErr w:type="spellEnd"/>
      <w:r w:rsidRPr="00525765">
        <w:rPr>
          <w:rFonts w:eastAsia="Calibri" w:cs="Times New Roman"/>
        </w:rPr>
        <w:t xml:space="preserve"> </w:t>
      </w:r>
      <w:r>
        <w:rPr>
          <w:rFonts w:eastAsia="Calibri" w:cs="Times New Roman"/>
        </w:rPr>
        <w:t>o</w:t>
      </w:r>
      <w:r w:rsidRPr="00525765">
        <w:rPr>
          <w:rFonts w:eastAsia="Calibri" w:cs="Times New Roman"/>
        </w:rPr>
        <w:t xml:space="preserve">ver </w:t>
      </w:r>
      <w:r w:rsidR="00DB005C">
        <w:t>best supportive care</w:t>
      </w:r>
      <w:r w:rsidRPr="00525765">
        <w:rPr>
          <w:rFonts w:eastAsia="Calibri" w:cs="Times New Roman"/>
        </w:rPr>
        <w:t xml:space="preserve">. </w:t>
      </w:r>
      <w:r>
        <w:rPr>
          <w:rFonts w:eastAsia="Calibri" w:cs="Times New Roman"/>
        </w:rPr>
        <w:t xml:space="preserve">ESC considered this key assumption for the model needed to be reviewed </w:t>
      </w:r>
      <w:proofErr w:type="gramStart"/>
      <w:r>
        <w:rPr>
          <w:rFonts w:eastAsia="Calibri" w:cs="Times New Roman"/>
        </w:rPr>
        <w:t>in light of</w:t>
      </w:r>
      <w:proofErr w:type="gramEnd"/>
      <w:r>
        <w:rPr>
          <w:rFonts w:eastAsia="Calibri" w:cs="Times New Roman"/>
        </w:rPr>
        <w:t xml:space="preserve"> the recent OS results reported from the </w:t>
      </w:r>
      <w:proofErr w:type="spellStart"/>
      <w:r>
        <w:rPr>
          <w:rFonts w:eastAsia="Calibri" w:cs="Times New Roman"/>
        </w:rPr>
        <w:t>TheraP</w:t>
      </w:r>
      <w:proofErr w:type="spellEnd"/>
      <w:r>
        <w:rPr>
          <w:rFonts w:eastAsia="Calibri" w:cs="Times New Roman"/>
        </w:rPr>
        <w:t xml:space="preserve"> trial.</w:t>
      </w:r>
    </w:p>
    <w:p w14:paraId="7365601D" w14:textId="77777777" w:rsidR="006669BE" w:rsidRPr="00525765" w:rsidRDefault="006669BE" w:rsidP="006669BE">
      <w:pPr>
        <w:spacing w:before="0" w:after="240" w:line="240" w:lineRule="auto"/>
        <w:rPr>
          <w:rFonts w:eastAsia="Calibri" w:cs="Times New Roman"/>
        </w:rPr>
      </w:pPr>
      <w:r w:rsidRPr="00525765">
        <w:rPr>
          <w:rFonts w:eastAsia="Calibri" w:cs="Times New Roman"/>
        </w:rPr>
        <w:t xml:space="preserve">ESC noted that the model time horizon was 10 years. ESC considered that this may not be reasonable due to </w:t>
      </w:r>
      <w:r>
        <w:rPr>
          <w:rFonts w:eastAsia="Calibri" w:cs="Times New Roman"/>
        </w:rPr>
        <w:t>the inconsistent</w:t>
      </w:r>
      <w:r w:rsidRPr="00525765">
        <w:rPr>
          <w:rFonts w:eastAsia="Calibri" w:cs="Times New Roman"/>
        </w:rPr>
        <w:t xml:space="preserve"> OS gain and </w:t>
      </w:r>
      <w:r>
        <w:rPr>
          <w:rFonts w:eastAsia="Calibri" w:cs="Times New Roman"/>
        </w:rPr>
        <w:t>the long extrapolation period</w:t>
      </w:r>
      <w:r w:rsidRPr="00525765">
        <w:rPr>
          <w:rFonts w:eastAsia="Calibri" w:cs="Times New Roman"/>
        </w:rPr>
        <w:t xml:space="preserve"> beyond </w:t>
      </w:r>
      <w:r>
        <w:rPr>
          <w:rFonts w:eastAsia="Calibri" w:cs="Times New Roman"/>
        </w:rPr>
        <w:t xml:space="preserve">the median follow-up of </w:t>
      </w:r>
      <w:r w:rsidRPr="00525765">
        <w:rPr>
          <w:rFonts w:eastAsia="Calibri" w:cs="Times New Roman"/>
        </w:rPr>
        <w:t>20.9 months</w:t>
      </w:r>
      <w:r>
        <w:rPr>
          <w:rFonts w:eastAsia="Calibri" w:cs="Times New Roman"/>
        </w:rPr>
        <w:t xml:space="preserve"> from the VISION trial</w:t>
      </w:r>
      <w:r w:rsidRPr="00525765">
        <w:rPr>
          <w:rFonts w:eastAsia="Calibri" w:cs="Times New Roman"/>
        </w:rPr>
        <w:t xml:space="preserve">. </w:t>
      </w:r>
      <w:r>
        <w:rPr>
          <w:rFonts w:eastAsia="Calibri" w:cs="Times New Roman"/>
        </w:rPr>
        <w:t xml:space="preserve">Consistent with previous PBAC advice for medicines in </w:t>
      </w:r>
      <w:r w:rsidRPr="00525765">
        <w:rPr>
          <w:rFonts w:eastAsia="Calibri" w:cs="Times New Roman"/>
        </w:rPr>
        <w:t xml:space="preserve">later-line </w:t>
      </w:r>
      <w:proofErr w:type="spellStart"/>
      <w:r w:rsidRPr="00525765">
        <w:rPr>
          <w:rFonts w:eastAsia="Calibri" w:cs="Times New Roman"/>
        </w:rPr>
        <w:t>mCRPC</w:t>
      </w:r>
      <w:proofErr w:type="spellEnd"/>
      <w:r w:rsidRPr="00525765">
        <w:rPr>
          <w:rFonts w:eastAsia="Calibri" w:cs="Times New Roman"/>
        </w:rPr>
        <w:t xml:space="preserve"> treatment</w:t>
      </w:r>
      <w:r>
        <w:rPr>
          <w:rFonts w:eastAsia="Calibri" w:cs="Times New Roman"/>
        </w:rPr>
        <w:t xml:space="preserve">, </w:t>
      </w:r>
      <w:r w:rsidRPr="00525765">
        <w:rPr>
          <w:rFonts w:eastAsia="Calibri" w:cs="Times New Roman"/>
        </w:rPr>
        <w:t xml:space="preserve">ESC </w:t>
      </w:r>
      <w:r>
        <w:rPr>
          <w:rFonts w:eastAsia="Calibri" w:cs="Times New Roman"/>
        </w:rPr>
        <w:t xml:space="preserve">also </w:t>
      </w:r>
      <w:r w:rsidRPr="00525765">
        <w:rPr>
          <w:rFonts w:eastAsia="Calibri" w:cs="Times New Roman"/>
        </w:rPr>
        <w:t xml:space="preserve">considered that </w:t>
      </w:r>
      <w:r>
        <w:rPr>
          <w:rFonts w:eastAsia="Calibri" w:cs="Times New Roman"/>
        </w:rPr>
        <w:t xml:space="preserve">a time horizon of </w:t>
      </w:r>
      <w:r w:rsidRPr="00525765">
        <w:rPr>
          <w:rFonts w:eastAsia="Calibri" w:cs="Times New Roman"/>
        </w:rPr>
        <w:t xml:space="preserve">5–7 years </w:t>
      </w:r>
      <w:r>
        <w:rPr>
          <w:rFonts w:eastAsia="Calibri" w:cs="Times New Roman"/>
        </w:rPr>
        <w:t>was</w:t>
      </w:r>
      <w:r w:rsidRPr="00525765">
        <w:rPr>
          <w:rFonts w:eastAsia="Calibri" w:cs="Times New Roman"/>
        </w:rPr>
        <w:t xml:space="preserve"> more </w:t>
      </w:r>
      <w:r>
        <w:rPr>
          <w:rFonts w:eastAsia="Calibri" w:cs="Times New Roman"/>
        </w:rPr>
        <w:t>reasonable for the base case results of the model.</w:t>
      </w:r>
    </w:p>
    <w:p w14:paraId="13253871" w14:textId="509F1F63" w:rsidR="006669BE" w:rsidRPr="00525765" w:rsidRDefault="006669BE" w:rsidP="006669BE">
      <w:pPr>
        <w:spacing w:before="0" w:after="240" w:line="240" w:lineRule="auto"/>
        <w:rPr>
          <w:rFonts w:eastAsia="Calibri" w:cs="Times New Roman"/>
        </w:rPr>
      </w:pPr>
      <w:r w:rsidRPr="00525765">
        <w:rPr>
          <w:rFonts w:eastAsia="Calibri" w:cs="Times New Roman"/>
        </w:rPr>
        <w:t xml:space="preserve">ESC considered the utilities to be appropriate and the costs to be broadly appropriate. ESC noted minor issues identified by the commentary around the costs of </w:t>
      </w:r>
      <w:r w:rsidR="00DB005C">
        <w:t>best supportive care</w:t>
      </w:r>
      <w:r w:rsidRPr="00525765">
        <w:rPr>
          <w:rFonts w:eastAsia="Calibri" w:cs="Times New Roman"/>
        </w:rPr>
        <w:t xml:space="preserve"> and bone pain, but ESC did not consider these to be major issues.</w:t>
      </w:r>
    </w:p>
    <w:p w14:paraId="15F2FCED" w14:textId="40856693" w:rsidR="006669BE" w:rsidRPr="00525765" w:rsidRDefault="006669BE" w:rsidP="006669BE">
      <w:pPr>
        <w:spacing w:before="0" w:after="240" w:line="240" w:lineRule="auto"/>
        <w:rPr>
          <w:rFonts w:eastAsia="Calibri" w:cs="Times New Roman"/>
        </w:rPr>
      </w:pPr>
      <w:r w:rsidRPr="00525765">
        <w:rPr>
          <w:rFonts w:eastAsia="Calibri" w:cs="Times New Roman"/>
        </w:rPr>
        <w:t xml:space="preserve">ESC noted that, following an update from the commentary to incorporate the price reduction in </w:t>
      </w:r>
      <w:proofErr w:type="spellStart"/>
      <w:r w:rsidRPr="00525765">
        <w:rPr>
          <w:rFonts w:eastAsia="Calibri" w:cs="Times New Roman"/>
        </w:rPr>
        <w:t>cabazitaxel</w:t>
      </w:r>
      <w:proofErr w:type="spellEnd"/>
      <w:r w:rsidRPr="00525765">
        <w:rPr>
          <w:rFonts w:eastAsia="Calibri" w:cs="Times New Roman"/>
        </w:rPr>
        <w:t xml:space="preserve">, the base case ICER is $81,653/quality-adjusted life year (QALY) for the 10-year time horizon. ESC noted that the </w:t>
      </w:r>
      <w:proofErr w:type="spellStart"/>
      <w:r w:rsidRPr="00525765">
        <w:rPr>
          <w:rFonts w:eastAsia="Calibri" w:cs="Times New Roman"/>
        </w:rPr>
        <w:t>cabazitaxel</w:t>
      </w:r>
      <w:proofErr w:type="spellEnd"/>
      <w:r w:rsidRPr="00525765">
        <w:rPr>
          <w:rFonts w:eastAsia="Calibri" w:cs="Times New Roman"/>
        </w:rPr>
        <w:t xml:space="preserve"> OS, the time horizon and extrapolation are all drivers of the model, and favour </w:t>
      </w:r>
      <w:r w:rsidRPr="00525765">
        <w:rPr>
          <w:rFonts w:eastAsia="Calibri" w:cs="Times New Roman"/>
          <w:vertAlign w:val="superscript"/>
        </w:rPr>
        <w:t>177</w:t>
      </w:r>
      <w:r>
        <w:rPr>
          <w:rFonts w:eastAsia="Calibri" w:cs="Times New Roman"/>
        </w:rPr>
        <w:t>Lu PSMA</w:t>
      </w:r>
      <w:r w:rsidR="000E35AC">
        <w:t> </w:t>
      </w:r>
      <w:proofErr w:type="spellStart"/>
      <w:r w:rsidR="000E35AC">
        <w:t>i&amp;t</w:t>
      </w:r>
      <w:proofErr w:type="spellEnd"/>
      <w:r>
        <w:rPr>
          <w:rFonts w:eastAsia="Calibri" w:cs="Times New Roman"/>
        </w:rPr>
        <w:t xml:space="preserve"> (see Table 10). </w:t>
      </w:r>
      <w:r w:rsidRPr="00525765">
        <w:rPr>
          <w:rFonts w:eastAsia="Calibri" w:cs="Times New Roman"/>
        </w:rPr>
        <w:t xml:space="preserve">ESC </w:t>
      </w:r>
      <w:r>
        <w:rPr>
          <w:rFonts w:eastAsia="Calibri" w:cs="Times New Roman"/>
        </w:rPr>
        <w:t xml:space="preserve">also </w:t>
      </w:r>
      <w:r w:rsidRPr="00525765">
        <w:rPr>
          <w:rFonts w:eastAsia="Calibri" w:cs="Times New Roman"/>
        </w:rPr>
        <w:t xml:space="preserve">noted that increasing the OS hazard ratio for </w:t>
      </w:r>
      <w:proofErr w:type="spellStart"/>
      <w:r w:rsidRPr="00525765">
        <w:rPr>
          <w:rFonts w:eastAsia="Calibri" w:cs="Times New Roman"/>
        </w:rPr>
        <w:t>cabazitaxel</w:t>
      </w:r>
      <w:proofErr w:type="spellEnd"/>
      <w:r w:rsidRPr="00525765">
        <w:rPr>
          <w:rFonts w:eastAsia="Calibri" w:cs="Times New Roman"/>
        </w:rPr>
        <w:t xml:space="preserve"> from 0.62 to 0.89</w:t>
      </w:r>
      <w:r>
        <w:rPr>
          <w:rFonts w:eastAsia="Calibri" w:cs="Times New Roman"/>
        </w:rPr>
        <w:t xml:space="preserve"> and 1.0 (</w:t>
      </w:r>
      <w:proofErr w:type="gramStart"/>
      <w:r>
        <w:rPr>
          <w:rFonts w:eastAsia="Calibri" w:cs="Times New Roman"/>
        </w:rPr>
        <w:t>i.e.</w:t>
      </w:r>
      <w:proofErr w:type="gramEnd"/>
      <w:r>
        <w:rPr>
          <w:rFonts w:eastAsia="Calibri" w:cs="Times New Roman"/>
        </w:rPr>
        <w:t xml:space="preserve"> no OS benefit)</w:t>
      </w:r>
      <w:r w:rsidRPr="00525765">
        <w:rPr>
          <w:rFonts w:eastAsia="Calibri" w:cs="Times New Roman"/>
        </w:rPr>
        <w:t xml:space="preserve"> </w:t>
      </w:r>
      <w:r>
        <w:rPr>
          <w:rFonts w:eastAsia="Calibri" w:cs="Times New Roman"/>
        </w:rPr>
        <w:t xml:space="preserve">substantially </w:t>
      </w:r>
      <w:r w:rsidRPr="00525765">
        <w:rPr>
          <w:rFonts w:eastAsia="Calibri" w:cs="Times New Roman"/>
        </w:rPr>
        <w:t>increased the ICER to $140,706/QALY</w:t>
      </w:r>
      <w:r>
        <w:rPr>
          <w:rFonts w:eastAsia="Calibri" w:cs="Times New Roman"/>
        </w:rPr>
        <w:t xml:space="preserve"> and $188,854/QALY</w:t>
      </w:r>
      <w:r w:rsidRPr="00525765">
        <w:rPr>
          <w:rFonts w:eastAsia="Calibri" w:cs="Times New Roman"/>
        </w:rPr>
        <w:t xml:space="preserve"> gained</w:t>
      </w:r>
      <w:r>
        <w:rPr>
          <w:rFonts w:eastAsia="Calibri" w:cs="Times New Roman"/>
        </w:rPr>
        <w:t>, respectively (see Table 11)</w:t>
      </w:r>
      <w:r w:rsidRPr="00525765">
        <w:rPr>
          <w:rFonts w:eastAsia="Calibri" w:cs="Times New Roman"/>
        </w:rPr>
        <w:t xml:space="preserve">. ESC noted that, in the pre-ESC response, a sensitivity analysis was provided that </w:t>
      </w:r>
      <w:r>
        <w:rPr>
          <w:rFonts w:eastAsia="Calibri" w:cs="Times New Roman"/>
        </w:rPr>
        <w:t>combined</w:t>
      </w:r>
      <w:r w:rsidRPr="00525765">
        <w:rPr>
          <w:rFonts w:eastAsia="Calibri" w:cs="Times New Roman"/>
        </w:rPr>
        <w:t xml:space="preserve"> </w:t>
      </w:r>
      <w:r>
        <w:rPr>
          <w:rFonts w:eastAsia="Calibri" w:cs="Times New Roman"/>
        </w:rPr>
        <w:t xml:space="preserve">several </w:t>
      </w:r>
      <w:r w:rsidRPr="00525765">
        <w:rPr>
          <w:rFonts w:eastAsia="Calibri" w:cs="Times New Roman"/>
        </w:rPr>
        <w:t>scenarios</w:t>
      </w:r>
      <w:r>
        <w:rPr>
          <w:rFonts w:eastAsia="Calibri" w:cs="Times New Roman"/>
        </w:rPr>
        <w:t xml:space="preserve"> and sensitivity analyses</w:t>
      </w:r>
      <w:r w:rsidRPr="00525765">
        <w:rPr>
          <w:rFonts w:eastAsia="Calibri" w:cs="Times New Roman"/>
        </w:rPr>
        <w:t xml:space="preserve">. </w:t>
      </w:r>
      <w:r>
        <w:rPr>
          <w:rFonts w:eastAsia="Calibri" w:cs="Times New Roman"/>
        </w:rPr>
        <w:t>Considering all scenario and sensitivity analyses provided</w:t>
      </w:r>
      <w:r w:rsidRPr="00525765">
        <w:rPr>
          <w:rFonts w:eastAsia="Calibri" w:cs="Times New Roman"/>
        </w:rPr>
        <w:t>, ESC questioned</w:t>
      </w:r>
      <w:r>
        <w:rPr>
          <w:rFonts w:eastAsia="Calibri" w:cs="Times New Roman"/>
        </w:rPr>
        <w:t xml:space="preserve"> </w:t>
      </w:r>
      <w:r w:rsidRPr="00525765">
        <w:rPr>
          <w:rFonts w:eastAsia="Calibri" w:cs="Times New Roman"/>
        </w:rPr>
        <w:t>why multivariate sensitivity analys</w:t>
      </w:r>
      <w:r>
        <w:rPr>
          <w:rFonts w:eastAsia="Calibri" w:cs="Times New Roman"/>
        </w:rPr>
        <w:t>e</w:t>
      </w:r>
      <w:r w:rsidRPr="00525765">
        <w:rPr>
          <w:rFonts w:eastAsia="Calibri" w:cs="Times New Roman"/>
        </w:rPr>
        <w:t>s w</w:t>
      </w:r>
      <w:r>
        <w:rPr>
          <w:rFonts w:eastAsia="Calibri" w:cs="Times New Roman"/>
        </w:rPr>
        <w:t>ere</w:t>
      </w:r>
      <w:r w:rsidRPr="00525765">
        <w:rPr>
          <w:rFonts w:eastAsia="Calibri" w:cs="Times New Roman"/>
        </w:rPr>
        <w:t xml:space="preserve"> not performed to understand how the ICER would react to simultaneous changes in the values of the key driver variables.</w:t>
      </w:r>
    </w:p>
    <w:p w14:paraId="25DDDA94" w14:textId="113A968E" w:rsidR="006669BE" w:rsidRPr="00525765" w:rsidRDefault="006669BE" w:rsidP="006669BE">
      <w:pPr>
        <w:spacing w:before="0" w:after="240" w:line="240" w:lineRule="auto"/>
        <w:rPr>
          <w:rFonts w:eastAsia="Calibri" w:cs="Times New Roman"/>
        </w:rPr>
      </w:pPr>
      <w:r w:rsidRPr="00525765">
        <w:rPr>
          <w:rFonts w:eastAsia="Calibri" w:cs="Times New Roman"/>
        </w:rPr>
        <w:t xml:space="preserve">ESC noted that the </w:t>
      </w:r>
      <w:r>
        <w:rPr>
          <w:rFonts w:eastAsia="Calibri" w:cs="Times New Roman"/>
        </w:rPr>
        <w:t xml:space="preserve">utilisation </w:t>
      </w:r>
      <w:r w:rsidRPr="00525765">
        <w:rPr>
          <w:rFonts w:eastAsia="Calibri" w:cs="Times New Roman"/>
        </w:rPr>
        <w:t>uptake</w:t>
      </w:r>
      <w:r>
        <w:rPr>
          <w:rFonts w:eastAsia="Calibri" w:cs="Times New Roman"/>
        </w:rPr>
        <w:t xml:space="preserve"> of </w:t>
      </w:r>
      <w:r w:rsidRPr="00525765">
        <w:rPr>
          <w:rFonts w:eastAsia="Calibri" w:cs="Times New Roman"/>
        </w:rPr>
        <w:t>PSMA</w:t>
      </w:r>
      <w:r>
        <w:rPr>
          <w:rFonts w:eastAsia="Calibri" w:cs="Times New Roman"/>
        </w:rPr>
        <w:t> PET/CT</w:t>
      </w:r>
      <w:r w:rsidRPr="00525765">
        <w:rPr>
          <w:rFonts w:eastAsia="Calibri" w:cs="Times New Roman"/>
        </w:rPr>
        <w:t xml:space="preserve"> was assumed to be 11.5% in </w:t>
      </w:r>
      <w:r>
        <w:rPr>
          <w:rFonts w:eastAsia="Calibri" w:cs="Times New Roman"/>
        </w:rPr>
        <w:t>Y</w:t>
      </w:r>
      <w:r w:rsidRPr="00525765">
        <w:rPr>
          <w:rFonts w:eastAsia="Calibri" w:cs="Times New Roman"/>
        </w:rPr>
        <w:t xml:space="preserve">ear 1, with a relative increase of 11.5% per year. ESC considered this </w:t>
      </w:r>
      <w:r>
        <w:rPr>
          <w:rFonts w:eastAsia="Calibri" w:cs="Times New Roman"/>
        </w:rPr>
        <w:t xml:space="preserve">approach </w:t>
      </w:r>
      <w:r w:rsidRPr="00525765">
        <w:rPr>
          <w:rFonts w:eastAsia="Calibri" w:cs="Times New Roman"/>
        </w:rPr>
        <w:t xml:space="preserve">to be </w:t>
      </w:r>
      <w:r>
        <w:rPr>
          <w:rFonts w:eastAsia="Calibri" w:cs="Times New Roman"/>
        </w:rPr>
        <w:t xml:space="preserve">overly specific and </w:t>
      </w:r>
      <w:r w:rsidRPr="00525765">
        <w:rPr>
          <w:rFonts w:eastAsia="Calibri" w:cs="Times New Roman"/>
        </w:rPr>
        <w:t>uncertain</w:t>
      </w:r>
      <w:r>
        <w:rPr>
          <w:rFonts w:eastAsia="Calibri" w:cs="Times New Roman"/>
        </w:rPr>
        <w:t>,</w:t>
      </w:r>
      <w:r w:rsidRPr="00525765">
        <w:rPr>
          <w:rFonts w:eastAsia="Calibri" w:cs="Times New Roman"/>
        </w:rPr>
        <w:t xml:space="preserve"> and </w:t>
      </w:r>
      <w:r>
        <w:rPr>
          <w:rFonts w:eastAsia="Calibri" w:cs="Times New Roman"/>
        </w:rPr>
        <w:t xml:space="preserve">noted </w:t>
      </w:r>
      <w:r w:rsidRPr="00525765">
        <w:rPr>
          <w:rFonts w:eastAsia="Calibri" w:cs="Times New Roman"/>
        </w:rPr>
        <w:t xml:space="preserve">that the uptake could potentially be higher. However, ESC considered that there </w:t>
      </w:r>
      <w:r>
        <w:rPr>
          <w:rFonts w:eastAsia="Calibri" w:cs="Times New Roman"/>
        </w:rPr>
        <w:t>could be a</w:t>
      </w:r>
      <w:r w:rsidRPr="00525765">
        <w:rPr>
          <w:rFonts w:eastAsia="Calibri" w:cs="Times New Roman"/>
        </w:rPr>
        <w:t xml:space="preserve"> constraint on the growth in patient numbers, as only certain centres can deliver the intervention. ESC also noted that </w:t>
      </w:r>
      <w:r>
        <w:rPr>
          <w:rFonts w:eastAsia="Calibri" w:cs="Times New Roman"/>
        </w:rPr>
        <w:t xml:space="preserve">all </w:t>
      </w:r>
      <w:proofErr w:type="spellStart"/>
      <w:r w:rsidRPr="00525765">
        <w:rPr>
          <w:rFonts w:eastAsia="Calibri" w:cs="Times New Roman"/>
        </w:rPr>
        <w:t>cabazitaxel</w:t>
      </w:r>
      <w:proofErr w:type="spellEnd"/>
      <w:r w:rsidRPr="00525765">
        <w:rPr>
          <w:rFonts w:eastAsia="Calibri" w:cs="Times New Roman"/>
        </w:rPr>
        <w:t xml:space="preserve"> use was assumed to be </w:t>
      </w:r>
      <w:proofErr w:type="gramStart"/>
      <w:r w:rsidRPr="00525765">
        <w:rPr>
          <w:rFonts w:eastAsia="Calibri" w:cs="Times New Roman"/>
        </w:rPr>
        <w:t>replaced, but</w:t>
      </w:r>
      <w:proofErr w:type="gramEnd"/>
      <w:r w:rsidRPr="00525765">
        <w:rPr>
          <w:rFonts w:eastAsia="Calibri" w:cs="Times New Roman"/>
        </w:rPr>
        <w:t xml:space="preserve"> considered this assumption to </w:t>
      </w:r>
      <w:r>
        <w:rPr>
          <w:rFonts w:eastAsia="Calibri" w:cs="Times New Roman"/>
        </w:rPr>
        <w:t xml:space="preserve">not </w:t>
      </w:r>
      <w:r w:rsidRPr="00525765">
        <w:rPr>
          <w:rFonts w:eastAsia="Calibri" w:cs="Times New Roman"/>
        </w:rPr>
        <w:t>be</w:t>
      </w:r>
      <w:r>
        <w:rPr>
          <w:rFonts w:eastAsia="Calibri" w:cs="Times New Roman"/>
        </w:rPr>
        <w:t xml:space="preserve"> appropriate as it was</w:t>
      </w:r>
      <w:r w:rsidRPr="00525765">
        <w:rPr>
          <w:rFonts w:eastAsia="Calibri" w:cs="Times New Roman"/>
        </w:rPr>
        <w:t xml:space="preserve"> inconsistent with the modelled economic evaluation that </w:t>
      </w:r>
      <w:r>
        <w:rPr>
          <w:rFonts w:eastAsia="Calibri" w:cs="Times New Roman"/>
        </w:rPr>
        <w:t xml:space="preserve">more reasonably </w:t>
      </w:r>
      <w:r w:rsidRPr="00525765">
        <w:rPr>
          <w:rFonts w:eastAsia="Calibri" w:cs="Times New Roman"/>
        </w:rPr>
        <w:t>assumed 18% of patients had post-</w:t>
      </w:r>
      <w:r w:rsidRPr="00525765">
        <w:rPr>
          <w:rFonts w:eastAsia="Calibri" w:cs="Times New Roman"/>
          <w:vertAlign w:val="superscript"/>
        </w:rPr>
        <w:t>177</w:t>
      </w:r>
      <w:r>
        <w:rPr>
          <w:rFonts w:eastAsia="Calibri" w:cs="Times New Roman"/>
        </w:rPr>
        <w:t>Lu PSMA</w:t>
      </w:r>
      <w:r w:rsidR="000E35AC">
        <w:t> </w:t>
      </w:r>
      <w:proofErr w:type="spellStart"/>
      <w:r w:rsidR="000E35AC">
        <w:t>i&amp;t</w:t>
      </w:r>
      <w:proofErr w:type="spellEnd"/>
      <w:r w:rsidRPr="00525765">
        <w:rPr>
          <w:rFonts w:eastAsia="Calibri" w:cs="Times New Roman"/>
        </w:rPr>
        <w:t xml:space="preserve"> </w:t>
      </w:r>
      <w:proofErr w:type="spellStart"/>
      <w:r w:rsidRPr="00525765">
        <w:rPr>
          <w:rFonts w:eastAsia="Calibri" w:cs="Times New Roman"/>
        </w:rPr>
        <w:t>cabazitaxel</w:t>
      </w:r>
      <w:proofErr w:type="spellEnd"/>
      <w:r w:rsidRPr="00525765">
        <w:rPr>
          <w:rFonts w:eastAsia="Calibri" w:cs="Times New Roman"/>
        </w:rPr>
        <w:t xml:space="preserve"> treatment (reportedly based on the </w:t>
      </w:r>
      <w:proofErr w:type="spellStart"/>
      <w:r w:rsidRPr="00525765">
        <w:rPr>
          <w:rFonts w:eastAsia="Calibri" w:cs="Times New Roman"/>
        </w:rPr>
        <w:t>TheraP</w:t>
      </w:r>
      <w:proofErr w:type="spellEnd"/>
      <w:r w:rsidRPr="00525765">
        <w:rPr>
          <w:rFonts w:eastAsia="Calibri" w:cs="Times New Roman"/>
        </w:rPr>
        <w:t xml:space="preserve"> trial). The VISION trial reported that 14.9% of patients randomised to </w:t>
      </w:r>
      <w:r w:rsidRPr="00083B81">
        <w:rPr>
          <w:rFonts w:eastAsia="Calibri" w:cs="Times New Roman"/>
        </w:rPr>
        <w:t>177</w:t>
      </w:r>
      <w:r>
        <w:rPr>
          <w:rFonts w:eastAsia="Calibri" w:cs="Times New Roman"/>
        </w:rPr>
        <w:t>Lu PSMA</w:t>
      </w:r>
      <w:r w:rsidRPr="00525765">
        <w:rPr>
          <w:rFonts w:eastAsia="Calibri" w:cs="Times New Roman"/>
        </w:rPr>
        <w:t xml:space="preserve">-617 underwent subsequent treatment with </w:t>
      </w:r>
      <w:proofErr w:type="spellStart"/>
      <w:r w:rsidRPr="00525765">
        <w:rPr>
          <w:rFonts w:eastAsia="Calibri" w:cs="Times New Roman"/>
        </w:rPr>
        <w:t>cabazitaxel</w:t>
      </w:r>
      <w:proofErr w:type="spellEnd"/>
      <w:r w:rsidRPr="00525765">
        <w:rPr>
          <w:rFonts w:eastAsia="Calibri" w:cs="Times New Roman"/>
        </w:rPr>
        <w:t>.</w:t>
      </w:r>
    </w:p>
    <w:p w14:paraId="4B17285F" w14:textId="77777777" w:rsidR="006669BE" w:rsidRDefault="006669BE" w:rsidP="00083B81">
      <w:pPr>
        <w:spacing w:before="0" w:after="240" w:line="240" w:lineRule="auto"/>
        <w:rPr>
          <w:rFonts w:eastAsia="Calibri" w:cs="Times New Roman"/>
        </w:rPr>
      </w:pPr>
      <w:r w:rsidRPr="00253DEF">
        <w:rPr>
          <w:rFonts w:eastAsia="Calibri" w:cs="Times New Roman"/>
        </w:rPr>
        <w:t xml:space="preserve">For the financial impact, ESC noted that the base case used the mortality </w:t>
      </w:r>
      <w:proofErr w:type="gramStart"/>
      <w:r w:rsidRPr="00253DEF">
        <w:rPr>
          <w:rFonts w:eastAsia="Calibri" w:cs="Times New Roman"/>
        </w:rPr>
        <w:t>approach</w:t>
      </w:r>
      <w:proofErr w:type="gramEnd"/>
      <w:r w:rsidRPr="00253DEF">
        <w:rPr>
          <w:rFonts w:eastAsia="Calibri" w:cs="Times New Roman"/>
        </w:rPr>
        <w:t xml:space="preserve"> and a scenario was tested using the PBS item script approach (slightly higher volumes). Consistent with the revised economic evaluation, the commentary provided revised financial estimates based on the reduced price of </w:t>
      </w:r>
      <w:proofErr w:type="spellStart"/>
      <w:r w:rsidRPr="00253DEF">
        <w:rPr>
          <w:rFonts w:eastAsia="Calibri" w:cs="Times New Roman"/>
        </w:rPr>
        <w:t>cabazitaxel</w:t>
      </w:r>
      <w:proofErr w:type="spellEnd"/>
      <w:r w:rsidRPr="00253DEF">
        <w:rPr>
          <w:rFonts w:eastAsia="Calibri" w:cs="Times New Roman"/>
        </w:rPr>
        <w:t xml:space="preserve">. The estimated net financial impact to the MBS ranged from $10,208,656 in Year 1 to $18,777,482 in Year 6. ESC considered that this was subject to doubt regarding several parameters, including eligible patient numbers, uptake rate, impact of patient co-payment (not being accounted for), and </w:t>
      </w:r>
      <w:proofErr w:type="spellStart"/>
      <w:r w:rsidRPr="00253DEF">
        <w:rPr>
          <w:rFonts w:eastAsia="Calibri" w:cs="Times New Roman"/>
        </w:rPr>
        <w:t>cabazitaxel</w:t>
      </w:r>
      <w:proofErr w:type="spellEnd"/>
      <w:r w:rsidRPr="00253DEF">
        <w:rPr>
          <w:rFonts w:eastAsia="Calibri" w:cs="Times New Roman"/>
        </w:rPr>
        <w:t xml:space="preserve"> being displaced rather than replaced. Overall, ESC considered that the estimated financial impacts to be uncertain and likely underestimated, as PBS cost offsets are overestimated. Given this uncertainty, </w:t>
      </w:r>
      <w:r>
        <w:rPr>
          <w:rFonts w:eastAsia="Calibri" w:cs="Times New Roman"/>
        </w:rPr>
        <w:t xml:space="preserve">ESC considered that </w:t>
      </w:r>
      <w:r w:rsidRPr="00253DEF">
        <w:rPr>
          <w:rFonts w:eastAsia="Calibri" w:cs="Times New Roman"/>
        </w:rPr>
        <w:t xml:space="preserve">an estimate of the maximum financial impact that is likely to occur </w:t>
      </w:r>
      <w:r>
        <w:rPr>
          <w:rFonts w:eastAsia="Calibri" w:cs="Times New Roman"/>
        </w:rPr>
        <w:t>may provide</w:t>
      </w:r>
      <w:r w:rsidRPr="00253DEF">
        <w:rPr>
          <w:rFonts w:eastAsia="Calibri" w:cs="Times New Roman"/>
        </w:rPr>
        <w:t xml:space="preserve"> a useful reference point</w:t>
      </w:r>
      <w:r>
        <w:rPr>
          <w:rFonts w:eastAsia="Calibri" w:cs="Times New Roman"/>
        </w:rPr>
        <w:t xml:space="preserve"> for MSAC deliberations</w:t>
      </w:r>
      <w:r w:rsidRPr="00253DEF">
        <w:rPr>
          <w:rFonts w:eastAsia="Calibri" w:cs="Times New Roman"/>
        </w:rPr>
        <w:t>.</w:t>
      </w:r>
      <w:bookmarkEnd w:id="56"/>
    </w:p>
    <w:p w14:paraId="72A6AD60" w14:textId="77777777" w:rsidR="006669BE" w:rsidRDefault="006669BE" w:rsidP="006669BE">
      <w:pPr>
        <w:pStyle w:val="Heading2"/>
        <w:numPr>
          <w:ilvl w:val="0"/>
          <w:numId w:val="0"/>
        </w:numPr>
        <w:ind w:left="720" w:hanging="720"/>
      </w:pPr>
      <w:r>
        <w:lastRenderedPageBreak/>
        <w:t>17.</w:t>
      </w:r>
      <w:r>
        <w:tab/>
        <w:t>Applicant comments on MSAC’s Public Summary Document</w:t>
      </w:r>
    </w:p>
    <w:p w14:paraId="5BBEE502" w14:textId="77777777" w:rsidR="00227FBC" w:rsidRPr="00510B36" w:rsidRDefault="00227FBC" w:rsidP="00227FBC">
      <w:pPr>
        <w:rPr>
          <w:shd w:val="clear" w:color="auto" w:fill="FFFFFF"/>
          <w:lang w:eastAsia="en-AU"/>
        </w:rPr>
      </w:pPr>
      <w:r w:rsidRPr="00510B36">
        <w:rPr>
          <w:shd w:val="clear" w:color="auto" w:fill="FFFFFF"/>
          <w:lang w:eastAsia="en-AU"/>
        </w:rPr>
        <w:t>The applicants for MSAC 1686 are pleased that MSAC has concluded that </w:t>
      </w:r>
      <w:r w:rsidRPr="00510B36">
        <w:rPr>
          <w:shd w:val="clear" w:color="auto" w:fill="FFFFFF"/>
          <w:vertAlign w:val="superscript"/>
          <w:lang w:eastAsia="en-AU"/>
        </w:rPr>
        <w:t>177</w:t>
      </w:r>
      <w:r w:rsidRPr="00510B36">
        <w:rPr>
          <w:shd w:val="clear" w:color="auto" w:fill="FFFFFF"/>
          <w:lang w:eastAsia="en-AU"/>
        </w:rPr>
        <w:t>LuPSMA-I&amp;T therapy is safe and clinically efficacious, as well as being equivalent to </w:t>
      </w:r>
      <w:r w:rsidRPr="00510B36">
        <w:rPr>
          <w:shd w:val="clear" w:color="auto" w:fill="FFFFFF"/>
          <w:vertAlign w:val="superscript"/>
          <w:lang w:eastAsia="en-AU"/>
        </w:rPr>
        <w:t>177</w:t>
      </w:r>
      <w:r w:rsidRPr="00510B36">
        <w:rPr>
          <w:shd w:val="clear" w:color="auto" w:fill="FFFFFF"/>
          <w:lang w:eastAsia="en-AU"/>
        </w:rPr>
        <w:t xml:space="preserve">LuPSMA-617. The applicants believe that it is important MSAC has decided that the proposed indication is an unmet </w:t>
      </w:r>
      <w:proofErr w:type="gramStart"/>
      <w:r w:rsidRPr="00510B36">
        <w:rPr>
          <w:shd w:val="clear" w:color="auto" w:fill="FFFFFF"/>
          <w:lang w:eastAsia="en-AU"/>
        </w:rPr>
        <w:t>need, and</w:t>
      </w:r>
      <w:proofErr w:type="gramEnd"/>
      <w:r w:rsidRPr="00510B36">
        <w:rPr>
          <w:shd w:val="clear" w:color="auto" w:fill="FFFFFF"/>
          <w:lang w:eastAsia="en-AU"/>
        </w:rPr>
        <w:t xml:space="preserve"> agree that there is strong support for this therapy amongst consumers because it is well tolerated and effective in controlling symptoms.</w:t>
      </w:r>
    </w:p>
    <w:p w14:paraId="36D35817" w14:textId="3DB9A838" w:rsidR="00227FBC" w:rsidRPr="00510B36" w:rsidRDefault="00227FBC" w:rsidP="00227FBC">
      <w:pPr>
        <w:rPr>
          <w:shd w:val="clear" w:color="auto" w:fill="FFFFFF"/>
          <w:lang w:eastAsia="en-AU"/>
        </w:rPr>
      </w:pPr>
      <w:r w:rsidRPr="00510B36">
        <w:rPr>
          <w:shd w:val="clear" w:color="auto" w:fill="FFFFFF"/>
          <w:lang w:eastAsia="en-AU"/>
        </w:rPr>
        <w:t>The applicants would like to highlight the fact that this proposal to MSAC is currently the least expensive proposal for delivery of </w:t>
      </w:r>
      <w:r w:rsidRPr="00510B36">
        <w:rPr>
          <w:shd w:val="clear" w:color="auto" w:fill="FFFFFF"/>
          <w:vertAlign w:val="superscript"/>
          <w:lang w:eastAsia="en-AU"/>
        </w:rPr>
        <w:t>177</w:t>
      </w:r>
      <w:r w:rsidRPr="00510B36">
        <w:rPr>
          <w:shd w:val="clear" w:color="auto" w:fill="FFFFFF"/>
          <w:lang w:eastAsia="en-AU"/>
        </w:rPr>
        <w:t>LuPSMA therapy in the world. Despite this, </w:t>
      </w:r>
      <w:r w:rsidRPr="00510B36">
        <w:rPr>
          <w:shd w:val="clear" w:color="auto" w:fill="FFFFFF"/>
          <w:vertAlign w:val="superscript"/>
          <w:lang w:eastAsia="en-AU"/>
        </w:rPr>
        <w:t>177</w:t>
      </w:r>
      <w:r w:rsidRPr="00510B36">
        <w:rPr>
          <w:shd w:val="clear" w:color="auto" w:fill="FFFFFF"/>
          <w:lang w:eastAsia="en-AU"/>
        </w:rPr>
        <w:t xml:space="preserve">LuPSMA (both I&amp;T and 617) is now funded </w:t>
      </w:r>
      <w:r w:rsidR="00E335F3">
        <w:rPr>
          <w:shd w:val="clear" w:color="auto" w:fill="FFFFFF"/>
          <w:lang w:eastAsia="en-AU"/>
        </w:rPr>
        <w:t>in</w:t>
      </w:r>
      <w:r w:rsidR="00E335F3" w:rsidRPr="00510B36">
        <w:rPr>
          <w:shd w:val="clear" w:color="auto" w:fill="FFFFFF"/>
          <w:lang w:eastAsia="en-AU"/>
        </w:rPr>
        <w:t xml:space="preserve"> </w:t>
      </w:r>
      <w:r w:rsidRPr="00510B36">
        <w:rPr>
          <w:shd w:val="clear" w:color="auto" w:fill="FFFFFF"/>
          <w:lang w:eastAsia="en-AU"/>
        </w:rPr>
        <w:t>Europe and the USA at significantly higher cost than this proposal – but remains unavailable to many men in Australia. The issue of inequitable access to this treatment remains unaddressed.</w:t>
      </w:r>
    </w:p>
    <w:p w14:paraId="133C315D" w14:textId="77777777" w:rsidR="00227FBC" w:rsidRPr="00510B36" w:rsidRDefault="00227FBC" w:rsidP="00227FBC">
      <w:pPr>
        <w:rPr>
          <w:lang w:eastAsia="en-AU"/>
        </w:rPr>
      </w:pPr>
      <w:r w:rsidRPr="00510B36">
        <w:rPr>
          <w:lang w:eastAsia="en-AU"/>
        </w:rPr>
        <w:t>Utilising the MSAC findings of equivalency, safety, efficacy and unmet need, the applicants look forward to engaging with government in a meaningful way to discuss the options available to provide access to this treatment to men with prostate cancer as appropriate. The applicants believe that Australia is in an excellent position to provide high quality treatment to men across Australia with an existing network of treatment capable sites established as part of internationally recognised multi-centre national trials which evaluated this therapy in recent years. </w:t>
      </w:r>
    </w:p>
    <w:p w14:paraId="2AA798E0" w14:textId="77777777" w:rsidR="006669BE" w:rsidRDefault="006669BE" w:rsidP="006669BE">
      <w:pPr>
        <w:pStyle w:val="Heading2"/>
        <w:numPr>
          <w:ilvl w:val="0"/>
          <w:numId w:val="0"/>
        </w:numPr>
        <w:ind w:left="720" w:hanging="720"/>
      </w:pPr>
      <w:r>
        <w:t>18.</w:t>
      </w:r>
      <w:r>
        <w:tab/>
        <w:t>Further information on MSAC</w:t>
      </w:r>
    </w:p>
    <w:p w14:paraId="7F2947B3" w14:textId="3EAA2E39" w:rsidR="006669BE" w:rsidRPr="006669BE" w:rsidRDefault="006669BE" w:rsidP="006669BE">
      <w:pPr>
        <w:pStyle w:val="BodyText"/>
        <w:rPr>
          <w:rFonts w:ascii="Franklin Gothic Book" w:hAnsi="Franklin Gothic Book"/>
        </w:rPr>
      </w:pPr>
      <w:r>
        <w:rPr>
          <w:rFonts w:ascii="Franklin Gothic Book" w:hAnsi="Franklin Gothic Book"/>
        </w:rPr>
        <w:t xml:space="preserve">MSAC Terms of Reference and other information are available on the MSAC Website: </w:t>
      </w:r>
      <w:hyperlink r:id="rId22" w:tooltip="Link to the MSAC website" w:history="1">
        <w:r>
          <w:rPr>
            <w:rStyle w:val="Hyperlink"/>
            <w:rFonts w:ascii="Franklin Gothic Book" w:hAnsi="Franklin Gothic Book"/>
          </w:rPr>
          <w:t>visit the MSAC website</w:t>
        </w:r>
      </w:hyperlink>
    </w:p>
    <w:sectPr w:rsidR="006669BE" w:rsidRPr="006669BE" w:rsidSect="00784341">
      <w:headerReference w:type="even" r:id="rId23"/>
      <w:headerReference w:type="default" r:id="rId24"/>
      <w:footerReference w:type="even" r:id="rId25"/>
      <w:footerReference w:type="default" r:id="rId26"/>
      <w:headerReference w:type="first" r:id="rId27"/>
      <w:footerReference w:type="first" r:id="rId28"/>
      <w:type w:val="odd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45D9E" w14:textId="77777777" w:rsidR="005B33A7" w:rsidRDefault="005B33A7" w:rsidP="00B62DF2">
      <w:pPr>
        <w:spacing w:after="0" w:line="240" w:lineRule="auto"/>
      </w:pPr>
      <w:r>
        <w:separator/>
      </w:r>
    </w:p>
  </w:endnote>
  <w:endnote w:type="continuationSeparator" w:id="0">
    <w:p w14:paraId="5B691010" w14:textId="77777777" w:rsidR="005B33A7" w:rsidRDefault="005B33A7" w:rsidP="00B62DF2">
      <w:pPr>
        <w:spacing w:after="0" w:line="240" w:lineRule="auto"/>
      </w:pPr>
      <w:r>
        <w:continuationSeparator/>
      </w:r>
    </w:p>
  </w:endnote>
  <w:endnote w:type="continuationNotice" w:id="1">
    <w:p w14:paraId="7D11A066" w14:textId="77777777" w:rsidR="005B33A7" w:rsidRDefault="005B33A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460831"/>
      <w:docPartObj>
        <w:docPartGallery w:val="Page Numbers (Bottom of Page)"/>
        <w:docPartUnique/>
      </w:docPartObj>
    </w:sdtPr>
    <w:sdtEndPr>
      <w:rPr>
        <w:noProof/>
      </w:rPr>
    </w:sdtEndPr>
    <w:sdtContent>
      <w:p w14:paraId="6E76D499" w14:textId="12E8EE6A" w:rsidR="007D5A69" w:rsidRDefault="007D5A69" w:rsidP="00D57C45">
        <w:pPr>
          <w:pStyle w:val="Footer"/>
          <w:jc w:val="right"/>
        </w:pPr>
        <w:r>
          <w:fldChar w:fldCharType="begin"/>
        </w:r>
        <w:r>
          <w:instrText xml:space="preserve"> PAGE   \* MERGEFORMAT </w:instrText>
        </w:r>
        <w:r>
          <w:fldChar w:fldCharType="separate"/>
        </w:r>
        <w:r>
          <w:rPr>
            <w:noProof/>
          </w:rPr>
          <w:t>22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847"/>
      <w:docPartObj>
        <w:docPartGallery w:val="Page Numbers (Bottom of Page)"/>
        <w:docPartUnique/>
      </w:docPartObj>
    </w:sdtPr>
    <w:sdtEndPr>
      <w:rPr>
        <w:noProof/>
      </w:rPr>
    </w:sdtEndPr>
    <w:sdtContent>
      <w:p w14:paraId="6BE9385A" w14:textId="1C4CE75D" w:rsidR="007D5A69" w:rsidRDefault="007D5A69" w:rsidP="00052DD3">
        <w:pPr>
          <w:pStyle w:val="Footer"/>
          <w:jc w:val="right"/>
        </w:pPr>
        <w:r>
          <w:fldChar w:fldCharType="begin"/>
        </w:r>
        <w:r>
          <w:instrText xml:space="preserve"> PAGE   \* MERGEFORMAT </w:instrText>
        </w:r>
        <w:r>
          <w:fldChar w:fldCharType="separate"/>
        </w:r>
        <w:r>
          <w:rPr>
            <w:noProof/>
          </w:rPr>
          <w:t>21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B1F9" w14:textId="77777777" w:rsidR="007D5A69" w:rsidRDefault="007D5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A5533" w14:textId="77777777" w:rsidR="005B33A7" w:rsidRDefault="005B33A7" w:rsidP="00B62DF2">
      <w:pPr>
        <w:spacing w:after="0" w:line="240" w:lineRule="auto"/>
      </w:pPr>
      <w:r>
        <w:separator/>
      </w:r>
    </w:p>
  </w:footnote>
  <w:footnote w:type="continuationSeparator" w:id="0">
    <w:p w14:paraId="538015DE" w14:textId="77777777" w:rsidR="005B33A7" w:rsidRDefault="005B33A7" w:rsidP="00B62DF2">
      <w:pPr>
        <w:spacing w:after="0" w:line="240" w:lineRule="auto"/>
      </w:pPr>
      <w:r>
        <w:continuationSeparator/>
      </w:r>
    </w:p>
  </w:footnote>
  <w:footnote w:type="continuationNotice" w:id="1">
    <w:p w14:paraId="20C44949" w14:textId="77777777" w:rsidR="005B33A7" w:rsidRDefault="005B33A7">
      <w:pPr>
        <w:spacing w:before="0" w:after="0" w:line="240" w:lineRule="auto"/>
      </w:pPr>
    </w:p>
  </w:footnote>
  <w:footnote w:id="2">
    <w:p w14:paraId="420EC685" w14:textId="77777777" w:rsidR="007D5A69" w:rsidRDefault="007D5A69" w:rsidP="00E92832">
      <w:pPr>
        <w:pStyle w:val="FootnoteText"/>
      </w:pPr>
      <w:r>
        <w:rPr>
          <w:rStyle w:val="FootnoteReference"/>
        </w:rPr>
        <w:footnoteRef/>
      </w:r>
      <w:r>
        <w:t xml:space="preserve"> Ruigrok EAM, van Vliet N, Dalm SU, de Blois E, van Gent DC, Haeck J et al. (2020). Extensive preclinical evaluation of lutetium-177-labeled PSMA-specific tracers for prostate cancer radionuclide therapy. </w:t>
      </w:r>
      <w:r>
        <w:rPr>
          <w:i/>
          <w:iCs/>
        </w:rPr>
        <w:t xml:space="preserve">European Journal of Nuclear Medicine and Molecular Imaging </w:t>
      </w:r>
      <w:r>
        <w:rPr>
          <w:b/>
          <w:bCs/>
        </w:rPr>
        <w:t>48</w:t>
      </w:r>
      <w:r>
        <w:t>(5):1339-1350.</w:t>
      </w:r>
    </w:p>
  </w:footnote>
  <w:footnote w:id="3">
    <w:p w14:paraId="33A0D610" w14:textId="4F3A76CE" w:rsidR="007D5A69" w:rsidRDefault="007D5A69">
      <w:pPr>
        <w:pStyle w:val="FootnoteText"/>
      </w:pPr>
      <w:r>
        <w:rPr>
          <w:rStyle w:val="FootnoteReference"/>
        </w:rPr>
        <w:footnoteRef/>
      </w:r>
      <w:r>
        <w:t xml:space="preserve"> </w:t>
      </w:r>
      <w:hyperlink r:id="rId1" w:history="1">
        <w:r>
          <w:rPr>
            <w:rStyle w:val="Hyperlink"/>
          </w:rPr>
          <w:t>TheraP: 177Lu-PSMA-617 (LuPSMA) versus cabazitaxel in metastatic castration-resistant prostate cancer (mCRPC) progressing after docetaxel—Overall survival after median follow-up of 3 years (ANZUP 1603). | Journal of Clinical Oncology (ascopubs.org)</w:t>
        </w:r>
      </w:hyperlink>
    </w:p>
  </w:footnote>
  <w:footnote w:id="4">
    <w:p w14:paraId="62A5996B" w14:textId="5CDBF086" w:rsidR="007D5A69" w:rsidRDefault="007D5A69">
      <w:pPr>
        <w:pStyle w:val="FootnoteText"/>
      </w:pPr>
      <w:r>
        <w:rPr>
          <w:rStyle w:val="FootnoteReference"/>
        </w:rPr>
        <w:footnoteRef/>
      </w:r>
      <w:r>
        <w:t xml:space="preserve"> </w:t>
      </w:r>
      <w:r>
        <w:rPr>
          <w:rFonts w:ascii="Segoe UI" w:hAnsi="Segoe UI" w:cs="Segoe UI"/>
          <w:color w:val="212121"/>
          <w:shd w:val="clear" w:color="auto" w:fill="FFFFFF"/>
        </w:rPr>
        <w:t xml:space="preserve">Hoberück S, </w:t>
      </w:r>
      <w:r>
        <w:rPr>
          <w:rFonts w:ascii="Segoe UI" w:hAnsi="Segoe UI" w:cs="Segoe UI"/>
          <w:i/>
          <w:iCs/>
          <w:color w:val="212121"/>
          <w:shd w:val="clear" w:color="auto" w:fill="FFFFFF"/>
        </w:rPr>
        <w:t>et al</w:t>
      </w:r>
      <w:r>
        <w:rPr>
          <w:rFonts w:ascii="Segoe UI" w:hAnsi="Segoe UI" w:cs="Segoe UI"/>
          <w:color w:val="212121"/>
          <w:shd w:val="clear" w:color="auto" w:fill="FFFFFF"/>
        </w:rPr>
        <w:t>. Intraindividual comparison of [</w:t>
      </w:r>
      <w:r>
        <w:rPr>
          <w:rFonts w:ascii="Segoe UI" w:hAnsi="Segoe UI" w:cs="Segoe UI"/>
          <w:color w:val="212121"/>
          <w:szCs w:val="18"/>
          <w:shd w:val="clear" w:color="auto" w:fill="FFFFFF"/>
          <w:vertAlign w:val="superscript"/>
        </w:rPr>
        <w:t>68</w:t>
      </w:r>
      <w:r>
        <w:rPr>
          <w:rFonts w:ascii="Segoe UI" w:hAnsi="Segoe UI" w:cs="Segoe UI"/>
          <w:color w:val="212121"/>
          <w:shd w:val="clear" w:color="auto" w:fill="FFFFFF"/>
        </w:rPr>
        <w:t> Ga]-Ga-PSMA-11 and [</w:t>
      </w:r>
      <w:r>
        <w:rPr>
          <w:rFonts w:ascii="Segoe UI" w:hAnsi="Segoe UI" w:cs="Segoe UI"/>
          <w:color w:val="212121"/>
          <w:szCs w:val="18"/>
          <w:shd w:val="clear" w:color="auto" w:fill="FFFFFF"/>
          <w:vertAlign w:val="superscript"/>
        </w:rPr>
        <w:t>18</w:t>
      </w:r>
      <w:r>
        <w:rPr>
          <w:rFonts w:ascii="Segoe UI" w:hAnsi="Segoe UI" w:cs="Segoe UI"/>
          <w:color w:val="212121"/>
          <w:shd w:val="clear" w:color="auto" w:fill="FFFFFF"/>
        </w:rPr>
        <w:t>F]-F-PSMA-1007 in prostate cancer patients: a retrospective single-center analysis. EJNMMI Res. 2021 Oct 19;11(1):109.</w:t>
      </w:r>
    </w:p>
  </w:footnote>
  <w:footnote w:id="5">
    <w:p w14:paraId="76E60F90" w14:textId="457F08F3" w:rsidR="007D5A69" w:rsidRDefault="007D5A69">
      <w:pPr>
        <w:pStyle w:val="FootnoteText"/>
      </w:pPr>
      <w:r>
        <w:rPr>
          <w:rStyle w:val="FootnoteReference"/>
        </w:rPr>
        <w:footnoteRef/>
      </w:r>
      <w:r>
        <w:t xml:space="preserve"> </w:t>
      </w:r>
      <w:r>
        <w:rPr>
          <w:rFonts w:ascii="Segoe UI" w:hAnsi="Segoe UI" w:cs="Segoe UI"/>
          <w:color w:val="212121"/>
          <w:shd w:val="clear" w:color="auto" w:fill="FFFFFF"/>
        </w:rPr>
        <w:t>Hartrampf PE, Weinzierl FX, Buck AK, et al. Matched-pair analysis of [</w:t>
      </w:r>
      <w:r>
        <w:rPr>
          <w:rFonts w:ascii="Segoe UI" w:hAnsi="Segoe UI" w:cs="Segoe UI"/>
          <w:color w:val="212121"/>
          <w:szCs w:val="18"/>
          <w:shd w:val="clear" w:color="auto" w:fill="FFFFFF"/>
          <w:vertAlign w:val="superscript"/>
        </w:rPr>
        <w:t>177</w:t>
      </w:r>
      <w:r>
        <w:rPr>
          <w:rFonts w:ascii="Segoe UI" w:hAnsi="Segoe UI" w:cs="Segoe UI"/>
          <w:color w:val="212121"/>
          <w:shd w:val="clear" w:color="auto" w:fill="FFFFFF"/>
        </w:rPr>
        <w:t>Lu]Lu PSMA I&amp;T and [</w:t>
      </w:r>
      <w:r>
        <w:rPr>
          <w:rFonts w:ascii="Segoe UI" w:hAnsi="Segoe UI" w:cs="Segoe UI"/>
          <w:color w:val="212121"/>
          <w:szCs w:val="18"/>
          <w:shd w:val="clear" w:color="auto" w:fill="FFFFFF"/>
          <w:vertAlign w:val="superscript"/>
        </w:rPr>
        <w:t>177</w:t>
      </w:r>
      <w:r>
        <w:rPr>
          <w:rFonts w:ascii="Segoe UI" w:hAnsi="Segoe UI" w:cs="Segoe UI"/>
          <w:color w:val="212121"/>
          <w:shd w:val="clear" w:color="auto" w:fill="FFFFFF"/>
        </w:rPr>
        <w:t>Lu]Lu PSMA-617 in patients with metastatic castration-resistant prostate cancer [published online ahead of print, 2022 Mar 4]. </w:t>
      </w:r>
      <w:r>
        <w:rPr>
          <w:rFonts w:ascii="Segoe UI" w:hAnsi="Segoe UI" w:cs="Segoe UI"/>
          <w:i/>
          <w:iCs/>
          <w:color w:val="212121"/>
          <w:shd w:val="clear" w:color="auto" w:fill="FFFFFF"/>
        </w:rPr>
        <w:t>Eur J Nucl Med Mol Imaging</w:t>
      </w:r>
      <w:r>
        <w:rPr>
          <w:rFonts w:ascii="Segoe UI" w:hAnsi="Segoe UI" w:cs="Segoe UI"/>
          <w:color w:val="212121"/>
          <w:shd w:val="clear" w:color="auto" w:fill="FFFFFF"/>
        </w:rPr>
        <w:t>. 2022;10.1007/s00259-022-05744-6</w:t>
      </w:r>
    </w:p>
  </w:footnote>
  <w:footnote w:id="6">
    <w:p w14:paraId="691F9D64" w14:textId="3D581C56" w:rsidR="007D5A69" w:rsidRPr="008F1025" w:rsidRDefault="007D5A69" w:rsidP="008F1025">
      <w:pPr>
        <w:pStyle w:val="FootnoteText"/>
        <w:rPr>
          <w:lang w:val="en-US"/>
        </w:rPr>
      </w:pPr>
      <w:r>
        <w:rPr>
          <w:rStyle w:val="FootnoteReference"/>
        </w:rPr>
        <w:footnoteRef/>
      </w:r>
      <w:r>
        <w:t xml:space="preserve"> </w:t>
      </w:r>
      <w:r w:rsidRPr="00BB154A">
        <w:rPr>
          <w:lang w:val="en-US"/>
        </w:rPr>
        <w:t>S</w:t>
      </w:r>
      <w:r>
        <w:rPr>
          <w:lang w:val="en-US"/>
        </w:rPr>
        <w:t>chuchardt</w:t>
      </w:r>
      <w:r w:rsidRPr="00BB154A">
        <w:rPr>
          <w:lang w:val="en-US"/>
        </w:rPr>
        <w:t xml:space="preserve"> C, Z</w:t>
      </w:r>
      <w:r>
        <w:rPr>
          <w:lang w:val="en-US"/>
        </w:rPr>
        <w:t>hang</w:t>
      </w:r>
      <w:r w:rsidRPr="00BB154A">
        <w:rPr>
          <w:lang w:val="en-US"/>
        </w:rPr>
        <w:t xml:space="preserve"> J, K</w:t>
      </w:r>
      <w:r>
        <w:rPr>
          <w:lang w:val="en-US"/>
        </w:rPr>
        <w:t>ulkarni</w:t>
      </w:r>
      <w:r w:rsidRPr="00BB154A">
        <w:rPr>
          <w:lang w:val="en-US"/>
        </w:rPr>
        <w:t xml:space="preserve"> H</w:t>
      </w:r>
      <w:r>
        <w:rPr>
          <w:lang w:val="en-US"/>
        </w:rPr>
        <w:t>R</w:t>
      </w:r>
      <w:r w:rsidRPr="00BB154A">
        <w:rPr>
          <w:lang w:val="en-US"/>
        </w:rPr>
        <w:t>, C</w:t>
      </w:r>
      <w:r>
        <w:rPr>
          <w:lang w:val="en-US"/>
        </w:rPr>
        <w:t>hen</w:t>
      </w:r>
      <w:r w:rsidRPr="00BB154A">
        <w:rPr>
          <w:lang w:val="en-US"/>
        </w:rPr>
        <w:t xml:space="preserve"> X, M</w:t>
      </w:r>
      <w:r>
        <w:rPr>
          <w:lang w:val="en-US"/>
        </w:rPr>
        <w:t xml:space="preserve">ueller </w:t>
      </w:r>
      <w:r w:rsidRPr="00BB154A">
        <w:rPr>
          <w:lang w:val="en-US"/>
        </w:rPr>
        <w:t>D &amp; B</w:t>
      </w:r>
      <w:r>
        <w:rPr>
          <w:lang w:val="en-US"/>
        </w:rPr>
        <w:t xml:space="preserve">aum </w:t>
      </w:r>
      <w:r w:rsidRPr="00BB154A">
        <w:rPr>
          <w:lang w:val="en-US"/>
        </w:rPr>
        <w:t>RP. 2021. Prostate-specific membrane antigen radioligand therapy using (177)</w:t>
      </w:r>
      <w:r>
        <w:rPr>
          <w:lang w:val="en-US"/>
        </w:rPr>
        <w:t>Lu PSMA I&amp;T</w:t>
      </w:r>
      <w:r w:rsidRPr="00BB154A">
        <w:rPr>
          <w:lang w:val="en-US"/>
        </w:rPr>
        <w:t xml:space="preserve"> and (177)</w:t>
      </w:r>
      <w:r>
        <w:rPr>
          <w:lang w:val="en-US"/>
        </w:rPr>
        <w:t>Lu PSMA</w:t>
      </w:r>
      <w:r w:rsidRPr="00BB154A">
        <w:rPr>
          <w:lang w:val="en-US"/>
        </w:rPr>
        <w:t xml:space="preserve">-617 in patients with metastatic castration-resistant prostate cancer: comparison of safety, biodistribution and dosimetry. </w:t>
      </w:r>
      <w:r w:rsidRPr="00BB154A">
        <w:rPr>
          <w:i/>
          <w:lang w:val="en-US"/>
        </w:rPr>
        <w:t>J Nucl Med</w:t>
      </w:r>
      <w:r w:rsidRPr="00BB154A">
        <w:rPr>
          <w:lang w:val="en-US"/>
        </w:rPr>
        <w:t>.</w:t>
      </w:r>
    </w:p>
  </w:footnote>
  <w:footnote w:id="7">
    <w:p w14:paraId="3C71538B" w14:textId="1110896B" w:rsidR="007D5A69" w:rsidRDefault="007D5A69">
      <w:pPr>
        <w:pStyle w:val="FootnoteText"/>
      </w:pPr>
      <w:r>
        <w:rPr>
          <w:rStyle w:val="FootnoteReference"/>
        </w:rPr>
        <w:footnoteRef/>
      </w:r>
      <w:r>
        <w:t xml:space="preserve"> </w:t>
      </w:r>
      <w:r w:rsidRPr="009F5CB4">
        <w:t>E</w:t>
      </w:r>
      <w:r>
        <w:t>mmett</w:t>
      </w:r>
      <w:r w:rsidRPr="009F5CB4">
        <w:t xml:space="preserve"> L, C</w:t>
      </w:r>
      <w:r>
        <w:t>rumbaker</w:t>
      </w:r>
      <w:r w:rsidRPr="009F5CB4">
        <w:t xml:space="preserve"> M, H</w:t>
      </w:r>
      <w:r>
        <w:t>o</w:t>
      </w:r>
      <w:r w:rsidRPr="009F5CB4">
        <w:t xml:space="preserve"> B</w:t>
      </w:r>
      <w:r>
        <w:t>, et al</w:t>
      </w:r>
      <w:r w:rsidRPr="009F5CB4">
        <w:t>. 2019. Results of a Prospective Phase 2 Pilot Trial of (177)</w:t>
      </w:r>
      <w:r>
        <w:t>Lu PSMA</w:t>
      </w:r>
      <w:r w:rsidRPr="009F5CB4">
        <w:t xml:space="preserve">-617 Therapy for Metastatic Castration-Resistant Prostate Cancer Including Imaging Predictors of Treatment Response and Patterns of Progression. </w:t>
      </w:r>
      <w:r w:rsidRPr="009F5CB4">
        <w:rPr>
          <w:i/>
        </w:rPr>
        <w:t>Clin Genitourin Cancer,</w:t>
      </w:r>
      <w:r w:rsidRPr="009F5CB4">
        <w:t xml:space="preserve"> 17</w:t>
      </w:r>
      <w:r w:rsidRPr="009F5CB4">
        <w:rPr>
          <w:b/>
        </w:rPr>
        <w:t>,</w:t>
      </w:r>
      <w:r w:rsidRPr="009F5CB4">
        <w:t xml:space="preserve"> 15-22</w:t>
      </w:r>
    </w:p>
  </w:footnote>
  <w:footnote w:id="8">
    <w:p w14:paraId="61F86967" w14:textId="77777777" w:rsidR="007D5A69" w:rsidRPr="00F5623B" w:rsidRDefault="007D5A69" w:rsidP="004D7F99">
      <w:pPr>
        <w:pStyle w:val="FootnoteText"/>
        <w:rPr>
          <w:i/>
          <w:iCs/>
        </w:rPr>
      </w:pPr>
      <w:r w:rsidRPr="00F5623B">
        <w:rPr>
          <w:rStyle w:val="FootnoteReference"/>
          <w:i/>
          <w:iCs/>
        </w:rPr>
        <w:footnoteRef/>
      </w:r>
      <w:r w:rsidRPr="00F5623B">
        <w:rPr>
          <w:i/>
          <w:iCs/>
        </w:rPr>
        <w:t xml:space="preserve"> </w:t>
      </w:r>
      <w:r w:rsidRPr="0048595C">
        <w:t>De Bono JS, et al. Prednisolone plus cabazitaxel or mitoxantrone for metastatic castration-resistant prostate cancer progressing after docetaxel treatment: a randomised open-label trial. Lancet 2010; 376: 1147-54.</w:t>
      </w:r>
    </w:p>
  </w:footnote>
  <w:footnote w:id="9">
    <w:p w14:paraId="52749EB9" w14:textId="77777777" w:rsidR="007D5A69" w:rsidRPr="00CE1CB1" w:rsidRDefault="007D5A69" w:rsidP="006669BE">
      <w:pPr>
        <w:pStyle w:val="FootnoteText"/>
        <w:rPr>
          <w:i/>
          <w:iCs/>
        </w:rPr>
      </w:pPr>
      <w:r>
        <w:rPr>
          <w:rStyle w:val="FootnoteReference"/>
        </w:rPr>
        <w:footnoteRef/>
      </w:r>
      <w:r>
        <w:t xml:space="preserve"> Hartrampf PE, Weinzierl F-X, Buck AK, Rowe SP, Higuchi T, Seitz AK et al. (2022). Matched-pair analysis of [</w:t>
      </w:r>
      <w:r w:rsidRPr="00ED5CA6">
        <w:rPr>
          <w:vertAlign w:val="superscript"/>
        </w:rPr>
        <w:t>177</w:t>
      </w:r>
      <w:r>
        <w:t>Lu]Lu PSMA I&amp;T and [</w:t>
      </w:r>
      <w:r w:rsidRPr="00ED5CA6">
        <w:rPr>
          <w:vertAlign w:val="superscript"/>
        </w:rPr>
        <w:t>177</w:t>
      </w:r>
      <w:r>
        <w:t xml:space="preserve">Lu]Lu PSMA-617 in patients with metastatic castration-resistant prostate cancer. </w:t>
      </w:r>
      <w:r>
        <w:rPr>
          <w:i/>
          <w:iCs/>
        </w:rPr>
        <w:t>European Journal of Nuclear Medicine and Molecular Imaging.</w:t>
      </w:r>
    </w:p>
  </w:footnote>
  <w:footnote w:id="10">
    <w:p w14:paraId="5EFA13B8" w14:textId="77777777" w:rsidR="007D5A69" w:rsidRPr="00ED5CA6" w:rsidRDefault="007D5A69" w:rsidP="006669BE">
      <w:pPr>
        <w:pStyle w:val="FootnoteText"/>
        <w:rPr>
          <w:i/>
          <w:iCs/>
        </w:rPr>
      </w:pPr>
      <w:r>
        <w:rPr>
          <w:rStyle w:val="FootnoteReference"/>
        </w:rPr>
        <w:footnoteRef/>
      </w:r>
      <w:r>
        <w:t xml:space="preserve"> Schuchardt C, Zhang J, Kulkarni HR, Chen X, Mueller D &amp; Baum RP (2021). Prostate-specific membrane antigen </w:t>
      </w:r>
      <w:r w:rsidRPr="00ED5CA6">
        <w:t>radioligand therapy using (</w:t>
      </w:r>
      <w:r w:rsidRPr="00ED5CA6">
        <w:rPr>
          <w:vertAlign w:val="superscript"/>
        </w:rPr>
        <w:t>177</w:t>
      </w:r>
      <w:r w:rsidRPr="00ED5CA6">
        <w:t>)</w:t>
      </w:r>
      <w:r>
        <w:t>Lu PSMA I&amp;T</w:t>
      </w:r>
      <w:r w:rsidRPr="00ED5CA6">
        <w:t xml:space="preserve"> and (</w:t>
      </w:r>
      <w:r w:rsidRPr="00ED5CA6">
        <w:rPr>
          <w:vertAlign w:val="superscript"/>
        </w:rPr>
        <w:t>177</w:t>
      </w:r>
      <w:r w:rsidRPr="00ED5CA6">
        <w:t>)</w:t>
      </w:r>
      <w:r>
        <w:t>Lu PSMA</w:t>
      </w:r>
      <w:r w:rsidRPr="00ED5CA6">
        <w:t>-617 in patients with metastatic castration-resistant prostate cancer: comparison of safety, biodistribution and dosimetry</w:t>
      </w:r>
      <w:r>
        <w:t xml:space="preserve">. </w:t>
      </w:r>
      <w:r>
        <w:rPr>
          <w:i/>
          <w:iCs/>
        </w:rPr>
        <w:t>Journal of Nuclear Medicine.</w:t>
      </w:r>
    </w:p>
  </w:footnote>
  <w:footnote w:id="11">
    <w:p w14:paraId="3AD364FE" w14:textId="77777777" w:rsidR="007D5A69" w:rsidRPr="00ED5CA6" w:rsidRDefault="007D5A69" w:rsidP="006669BE">
      <w:pPr>
        <w:pStyle w:val="FootnoteText"/>
      </w:pPr>
      <w:r>
        <w:rPr>
          <w:rStyle w:val="FootnoteReference"/>
        </w:rPr>
        <w:footnoteRef/>
      </w:r>
      <w:r>
        <w:t xml:space="preserve"> Hofman MS, Emmett L, Sandhu S, Iravani A, Joshua AM, Goh JC et al. (2021). </w:t>
      </w:r>
      <w:r w:rsidRPr="009F5CB4">
        <w:t>[</w:t>
      </w:r>
      <w:r w:rsidRPr="00ED5CA6">
        <w:rPr>
          <w:vertAlign w:val="superscript"/>
        </w:rPr>
        <w:t>177</w:t>
      </w:r>
      <w:r w:rsidRPr="009F5CB4">
        <w:t>Lu]</w:t>
      </w:r>
      <w:r>
        <w:t>Lu PSMA</w:t>
      </w:r>
      <w:r w:rsidRPr="009F5CB4">
        <w:t>-617 versus cabazitaxel in patients with metastatic castration-resistant prostate cancer (TheraP): a randomised, open-label, phase 2 trial</w:t>
      </w:r>
      <w:r>
        <w:t xml:space="preserve">. </w:t>
      </w:r>
      <w:r>
        <w:rPr>
          <w:i/>
          <w:iCs/>
        </w:rPr>
        <w:t>The Lancet</w:t>
      </w:r>
      <w:r>
        <w:t xml:space="preserve"> </w:t>
      </w:r>
      <w:r>
        <w:rPr>
          <w:b/>
          <w:bCs/>
        </w:rPr>
        <w:t>397</w:t>
      </w:r>
      <w:r>
        <w:t>(10276):797-804.</w:t>
      </w:r>
    </w:p>
  </w:footnote>
  <w:footnote w:id="12">
    <w:p w14:paraId="5AD6345F" w14:textId="77777777" w:rsidR="007D5A69" w:rsidRPr="00F8018E" w:rsidRDefault="007D5A69" w:rsidP="006669BE">
      <w:pPr>
        <w:pStyle w:val="FootnoteText"/>
      </w:pPr>
      <w:r>
        <w:rPr>
          <w:rStyle w:val="FootnoteReference"/>
        </w:rPr>
        <w:footnoteRef/>
      </w:r>
      <w:r>
        <w:t xml:space="preserve"> Sartor AO, Morris MJ, Messman R &amp; Krause BJ (2020). </w:t>
      </w:r>
      <w:r w:rsidRPr="00F8018E">
        <w:t xml:space="preserve">VISION: An international, prospective, open-label, multicenter, randomized phase III study of </w:t>
      </w:r>
      <w:r w:rsidRPr="00F8018E">
        <w:rPr>
          <w:vertAlign w:val="superscript"/>
        </w:rPr>
        <w:t>177</w:t>
      </w:r>
      <w:r>
        <w:t>Lu PSMA</w:t>
      </w:r>
      <w:r w:rsidRPr="00F8018E">
        <w:t>-617 in the treatment of patients with progressive PSMA-positive metastatic castration-resistant prostate cancer (mCRPC)</w:t>
      </w:r>
      <w:r>
        <w:t xml:space="preserve">. </w:t>
      </w:r>
      <w:r>
        <w:rPr>
          <w:i/>
          <w:iCs/>
        </w:rPr>
        <w:t>Journal of Clinical Oncology Conference</w:t>
      </w:r>
      <w:r>
        <w:t xml:space="preserve"> </w:t>
      </w:r>
      <w:r>
        <w:rPr>
          <w:b/>
          <w:bCs/>
        </w:rPr>
        <w:t>38</w:t>
      </w:r>
      <w:r>
        <w:t>(6 Suppl).</w:t>
      </w:r>
    </w:p>
  </w:footnote>
  <w:footnote w:id="13">
    <w:p w14:paraId="66A40104" w14:textId="77777777" w:rsidR="007D5A69" w:rsidRPr="00ED77B6" w:rsidRDefault="007D5A69" w:rsidP="006669BE">
      <w:pPr>
        <w:pStyle w:val="FootnoteText"/>
      </w:pPr>
      <w:r>
        <w:rPr>
          <w:rStyle w:val="FootnoteReference"/>
        </w:rPr>
        <w:footnoteRef/>
      </w:r>
      <w:r>
        <w:t xml:space="preserve"> Hoberück S, Löck S, Borkowetz A, Sommer U, Winzer R, Zöphel K et al. (2021). </w:t>
      </w:r>
      <w:r w:rsidRPr="00A34492">
        <w:t>Intraindividual comparison of [</w:t>
      </w:r>
      <w:r w:rsidRPr="00A34492">
        <w:rPr>
          <w:vertAlign w:val="superscript"/>
        </w:rPr>
        <w:t>68</w:t>
      </w:r>
      <w:r w:rsidRPr="00A34492">
        <w:t>Ga]-Ga-PSMA-11 and [</w:t>
      </w:r>
      <w:r w:rsidRPr="00A34492">
        <w:rPr>
          <w:vertAlign w:val="superscript"/>
        </w:rPr>
        <w:t>18</w:t>
      </w:r>
      <w:r w:rsidRPr="00A34492">
        <w:t>F]-F-PSMA-1007 in prostate cancer patients: a retrospective single-center analysis</w:t>
      </w:r>
      <w:r>
        <w:t xml:space="preserve">. </w:t>
      </w:r>
      <w:r>
        <w:rPr>
          <w:i/>
          <w:iCs/>
        </w:rPr>
        <w:t>European Journal of Nuclear Medicine and Molecular Imaging Research</w:t>
      </w:r>
      <w:r>
        <w:t xml:space="preserve"> </w:t>
      </w:r>
      <w:r>
        <w:rPr>
          <w:b/>
          <w:bCs/>
        </w:rPr>
        <w:t>11</w:t>
      </w:r>
      <w:r>
        <w:t>(1):109.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709C6" w14:textId="77777777" w:rsidR="007D5A69" w:rsidRDefault="007D5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04EF" w14:textId="77777777" w:rsidR="007D5A69" w:rsidRDefault="007D5A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2926" w14:textId="77777777" w:rsidR="007D5A69" w:rsidRDefault="007D5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B74"/>
    <w:multiLevelType w:val="hybridMultilevel"/>
    <w:tmpl w:val="7152EEB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DF072F"/>
    <w:multiLevelType w:val="hybridMultilevel"/>
    <w:tmpl w:val="EEEA1262"/>
    <w:lvl w:ilvl="0" w:tplc="87263FBE">
      <w:numFmt w:val="bullet"/>
      <w:lvlText w:val="-"/>
      <w:lvlJc w:val="left"/>
      <w:pPr>
        <w:ind w:left="1074" w:hanging="360"/>
      </w:pPr>
      <w:rPr>
        <w:rFonts w:ascii="Franklin Gothic Book" w:eastAsiaTheme="minorHAnsi" w:hAnsi="Franklin Gothic Book" w:cstheme="minorBidi"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2" w15:restartNumberingAfterBreak="0">
    <w:nsid w:val="0E2B30B6"/>
    <w:multiLevelType w:val="hybridMultilevel"/>
    <w:tmpl w:val="08C6D86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FA02C43"/>
    <w:multiLevelType w:val="hybridMultilevel"/>
    <w:tmpl w:val="723841E4"/>
    <w:lvl w:ilvl="0" w:tplc="30A6DB3A">
      <w:start w:val="2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BD0E80"/>
    <w:multiLevelType w:val="hybridMultilevel"/>
    <w:tmpl w:val="0A4EB5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4B45E7"/>
    <w:multiLevelType w:val="hybridMultilevel"/>
    <w:tmpl w:val="FBE89B2C"/>
    <w:lvl w:ilvl="0" w:tplc="30A6DB3A">
      <w:start w:val="2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71445"/>
    <w:multiLevelType w:val="hybridMultilevel"/>
    <w:tmpl w:val="0E5C2E6E"/>
    <w:lvl w:ilvl="0" w:tplc="34982C26">
      <w:start w:val="2"/>
      <w:numFmt w:val="bullet"/>
      <w:lvlText w:val="-"/>
      <w:lvlJc w:val="left"/>
      <w:pPr>
        <w:ind w:left="720" w:hanging="36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560081"/>
    <w:multiLevelType w:val="hybridMultilevel"/>
    <w:tmpl w:val="2A38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25C97"/>
    <w:multiLevelType w:val="hybridMultilevel"/>
    <w:tmpl w:val="C1C8B43C"/>
    <w:lvl w:ilvl="0" w:tplc="04090001">
      <w:start w:val="1"/>
      <w:numFmt w:val="bullet"/>
      <w:lvlText w:val=""/>
      <w:lvlJc w:val="left"/>
      <w:pPr>
        <w:ind w:left="3645" w:hanging="360"/>
      </w:pPr>
      <w:rPr>
        <w:rFonts w:ascii="Symbol" w:hAnsi="Symbol" w:hint="default"/>
      </w:rPr>
    </w:lvl>
    <w:lvl w:ilvl="1" w:tplc="04090003">
      <w:start w:val="1"/>
      <w:numFmt w:val="bullet"/>
      <w:lvlText w:val="o"/>
      <w:lvlJc w:val="left"/>
      <w:pPr>
        <w:ind w:left="4365" w:hanging="360"/>
      </w:pPr>
      <w:rPr>
        <w:rFonts w:ascii="Courier New" w:hAnsi="Courier New" w:cs="Courier New" w:hint="default"/>
      </w:rPr>
    </w:lvl>
    <w:lvl w:ilvl="2" w:tplc="04090005">
      <w:start w:val="1"/>
      <w:numFmt w:val="bullet"/>
      <w:lvlText w:val=""/>
      <w:lvlJc w:val="left"/>
      <w:pPr>
        <w:ind w:left="5085" w:hanging="360"/>
      </w:pPr>
      <w:rPr>
        <w:rFonts w:ascii="Wingdings" w:hAnsi="Wingdings" w:hint="default"/>
      </w:rPr>
    </w:lvl>
    <w:lvl w:ilvl="3" w:tplc="04090001">
      <w:start w:val="1"/>
      <w:numFmt w:val="bullet"/>
      <w:lvlText w:val=""/>
      <w:lvlJc w:val="left"/>
      <w:pPr>
        <w:ind w:left="5805" w:hanging="360"/>
      </w:pPr>
      <w:rPr>
        <w:rFonts w:ascii="Symbol" w:hAnsi="Symbol" w:hint="default"/>
      </w:rPr>
    </w:lvl>
    <w:lvl w:ilvl="4" w:tplc="04090003">
      <w:start w:val="1"/>
      <w:numFmt w:val="bullet"/>
      <w:lvlText w:val="o"/>
      <w:lvlJc w:val="left"/>
      <w:pPr>
        <w:ind w:left="6525" w:hanging="360"/>
      </w:pPr>
      <w:rPr>
        <w:rFonts w:ascii="Courier New" w:hAnsi="Courier New" w:cs="Courier New" w:hint="default"/>
      </w:rPr>
    </w:lvl>
    <w:lvl w:ilvl="5" w:tplc="04090005">
      <w:start w:val="1"/>
      <w:numFmt w:val="bullet"/>
      <w:lvlText w:val=""/>
      <w:lvlJc w:val="left"/>
      <w:pPr>
        <w:ind w:left="7245" w:hanging="360"/>
      </w:pPr>
      <w:rPr>
        <w:rFonts w:ascii="Wingdings" w:hAnsi="Wingdings" w:hint="default"/>
      </w:rPr>
    </w:lvl>
    <w:lvl w:ilvl="6" w:tplc="04090001">
      <w:start w:val="1"/>
      <w:numFmt w:val="bullet"/>
      <w:lvlText w:val=""/>
      <w:lvlJc w:val="left"/>
      <w:pPr>
        <w:ind w:left="7965" w:hanging="360"/>
      </w:pPr>
      <w:rPr>
        <w:rFonts w:ascii="Symbol" w:hAnsi="Symbol" w:hint="default"/>
      </w:rPr>
    </w:lvl>
    <w:lvl w:ilvl="7" w:tplc="04090003">
      <w:start w:val="1"/>
      <w:numFmt w:val="bullet"/>
      <w:lvlText w:val="o"/>
      <w:lvlJc w:val="left"/>
      <w:pPr>
        <w:ind w:left="8685" w:hanging="360"/>
      </w:pPr>
      <w:rPr>
        <w:rFonts w:ascii="Courier New" w:hAnsi="Courier New" w:cs="Courier New" w:hint="default"/>
      </w:rPr>
    </w:lvl>
    <w:lvl w:ilvl="8" w:tplc="04090005">
      <w:start w:val="1"/>
      <w:numFmt w:val="bullet"/>
      <w:lvlText w:val=""/>
      <w:lvlJc w:val="left"/>
      <w:pPr>
        <w:ind w:left="9405" w:hanging="360"/>
      </w:pPr>
      <w:rPr>
        <w:rFonts w:ascii="Wingdings" w:hAnsi="Wingdings" w:hint="default"/>
      </w:rPr>
    </w:lvl>
  </w:abstractNum>
  <w:abstractNum w:abstractNumId="10" w15:restartNumberingAfterBreak="0">
    <w:nsid w:val="21B12D9C"/>
    <w:multiLevelType w:val="hybridMultilevel"/>
    <w:tmpl w:val="A080FB1E"/>
    <w:lvl w:ilvl="0" w:tplc="2DD6D1A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8B771E"/>
    <w:multiLevelType w:val="hybridMultilevel"/>
    <w:tmpl w:val="6B82FB44"/>
    <w:lvl w:ilvl="0" w:tplc="BAD2B2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3"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35011"/>
    <w:multiLevelType w:val="hybridMultilevel"/>
    <w:tmpl w:val="C166DB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8F9682E"/>
    <w:multiLevelType w:val="hybridMultilevel"/>
    <w:tmpl w:val="CE46DAA0"/>
    <w:lvl w:ilvl="0" w:tplc="0C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13563"/>
    <w:multiLevelType w:val="hybridMultilevel"/>
    <w:tmpl w:val="9D44C4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ED4295"/>
    <w:multiLevelType w:val="hybridMultilevel"/>
    <w:tmpl w:val="4172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53C04"/>
    <w:multiLevelType w:val="hybridMultilevel"/>
    <w:tmpl w:val="27A8A6D8"/>
    <w:lvl w:ilvl="0" w:tplc="30A6DB3A">
      <w:start w:val="2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D3F9F"/>
    <w:multiLevelType w:val="hybridMultilevel"/>
    <w:tmpl w:val="52DAD012"/>
    <w:lvl w:ilvl="0" w:tplc="9F3437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1752B2F"/>
    <w:multiLevelType w:val="hybridMultilevel"/>
    <w:tmpl w:val="A8B80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AD439A"/>
    <w:multiLevelType w:val="hybridMultilevel"/>
    <w:tmpl w:val="5FA232D2"/>
    <w:lvl w:ilvl="0" w:tplc="0C090001">
      <w:start w:val="1"/>
      <w:numFmt w:val="bullet"/>
      <w:lvlText w:val=""/>
      <w:lvlJc w:val="left"/>
      <w:pPr>
        <w:ind w:left="1223" w:hanging="360"/>
      </w:pPr>
      <w:rPr>
        <w:rFonts w:ascii="Symbol" w:hAnsi="Symbol" w:hint="default"/>
      </w:rPr>
    </w:lvl>
    <w:lvl w:ilvl="1" w:tplc="0C090003" w:tentative="1">
      <w:start w:val="1"/>
      <w:numFmt w:val="bullet"/>
      <w:lvlText w:val="o"/>
      <w:lvlJc w:val="left"/>
      <w:pPr>
        <w:ind w:left="1943" w:hanging="360"/>
      </w:pPr>
      <w:rPr>
        <w:rFonts w:ascii="Courier New" w:hAnsi="Courier New" w:cs="Courier New" w:hint="default"/>
      </w:rPr>
    </w:lvl>
    <w:lvl w:ilvl="2" w:tplc="0C090005" w:tentative="1">
      <w:start w:val="1"/>
      <w:numFmt w:val="bullet"/>
      <w:lvlText w:val=""/>
      <w:lvlJc w:val="left"/>
      <w:pPr>
        <w:ind w:left="2663" w:hanging="360"/>
      </w:pPr>
      <w:rPr>
        <w:rFonts w:ascii="Wingdings" w:hAnsi="Wingdings" w:hint="default"/>
      </w:rPr>
    </w:lvl>
    <w:lvl w:ilvl="3" w:tplc="0C090001" w:tentative="1">
      <w:start w:val="1"/>
      <w:numFmt w:val="bullet"/>
      <w:lvlText w:val=""/>
      <w:lvlJc w:val="left"/>
      <w:pPr>
        <w:ind w:left="3383" w:hanging="360"/>
      </w:pPr>
      <w:rPr>
        <w:rFonts w:ascii="Symbol" w:hAnsi="Symbol" w:hint="default"/>
      </w:rPr>
    </w:lvl>
    <w:lvl w:ilvl="4" w:tplc="0C090003" w:tentative="1">
      <w:start w:val="1"/>
      <w:numFmt w:val="bullet"/>
      <w:lvlText w:val="o"/>
      <w:lvlJc w:val="left"/>
      <w:pPr>
        <w:ind w:left="4103" w:hanging="360"/>
      </w:pPr>
      <w:rPr>
        <w:rFonts w:ascii="Courier New" w:hAnsi="Courier New" w:cs="Courier New" w:hint="default"/>
      </w:rPr>
    </w:lvl>
    <w:lvl w:ilvl="5" w:tplc="0C090005" w:tentative="1">
      <w:start w:val="1"/>
      <w:numFmt w:val="bullet"/>
      <w:lvlText w:val=""/>
      <w:lvlJc w:val="left"/>
      <w:pPr>
        <w:ind w:left="4823" w:hanging="360"/>
      </w:pPr>
      <w:rPr>
        <w:rFonts w:ascii="Wingdings" w:hAnsi="Wingdings" w:hint="default"/>
      </w:rPr>
    </w:lvl>
    <w:lvl w:ilvl="6" w:tplc="0C090001" w:tentative="1">
      <w:start w:val="1"/>
      <w:numFmt w:val="bullet"/>
      <w:lvlText w:val=""/>
      <w:lvlJc w:val="left"/>
      <w:pPr>
        <w:ind w:left="5543" w:hanging="360"/>
      </w:pPr>
      <w:rPr>
        <w:rFonts w:ascii="Symbol" w:hAnsi="Symbol" w:hint="default"/>
      </w:rPr>
    </w:lvl>
    <w:lvl w:ilvl="7" w:tplc="0C090003" w:tentative="1">
      <w:start w:val="1"/>
      <w:numFmt w:val="bullet"/>
      <w:lvlText w:val="o"/>
      <w:lvlJc w:val="left"/>
      <w:pPr>
        <w:ind w:left="6263" w:hanging="360"/>
      </w:pPr>
      <w:rPr>
        <w:rFonts w:ascii="Courier New" w:hAnsi="Courier New" w:cs="Courier New" w:hint="default"/>
      </w:rPr>
    </w:lvl>
    <w:lvl w:ilvl="8" w:tplc="0C090005" w:tentative="1">
      <w:start w:val="1"/>
      <w:numFmt w:val="bullet"/>
      <w:lvlText w:val=""/>
      <w:lvlJc w:val="left"/>
      <w:pPr>
        <w:ind w:left="6983" w:hanging="360"/>
      </w:pPr>
      <w:rPr>
        <w:rFonts w:ascii="Wingdings" w:hAnsi="Wingdings" w:hint="default"/>
      </w:rPr>
    </w:lvl>
  </w:abstractNum>
  <w:abstractNum w:abstractNumId="27" w15:restartNumberingAfterBreak="0">
    <w:nsid w:val="54D544EB"/>
    <w:multiLevelType w:val="hybridMultilevel"/>
    <w:tmpl w:val="81842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43329D"/>
    <w:multiLevelType w:val="hybridMultilevel"/>
    <w:tmpl w:val="F6CA5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DA268AB"/>
    <w:multiLevelType w:val="hybridMultilevel"/>
    <w:tmpl w:val="23CE13FA"/>
    <w:lvl w:ilvl="0" w:tplc="0C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750710"/>
    <w:multiLevelType w:val="hybridMultilevel"/>
    <w:tmpl w:val="3F7020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8A11B1"/>
    <w:multiLevelType w:val="hybridMultilevel"/>
    <w:tmpl w:val="AFFE1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A54A1"/>
    <w:multiLevelType w:val="hybridMultilevel"/>
    <w:tmpl w:val="94224C02"/>
    <w:lvl w:ilvl="0" w:tplc="23DC041A">
      <w:start w:val="3"/>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62833"/>
    <w:multiLevelType w:val="hybridMultilevel"/>
    <w:tmpl w:val="AEC078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66064FA0"/>
    <w:multiLevelType w:val="hybridMultilevel"/>
    <w:tmpl w:val="C11854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A44ABF"/>
    <w:multiLevelType w:val="hybridMultilevel"/>
    <w:tmpl w:val="973A27D6"/>
    <w:lvl w:ilvl="0" w:tplc="A148EBCE">
      <w:start w:val="1"/>
      <w:numFmt w:val="bullet"/>
      <w:lvlText w:val=""/>
      <w:lvlJc w:val="left"/>
      <w:pPr>
        <w:tabs>
          <w:tab w:val="num" w:pos="720"/>
        </w:tabs>
        <w:ind w:left="720" w:hanging="360"/>
      </w:pPr>
      <w:rPr>
        <w:rFonts w:ascii="Symbol" w:hAnsi="Symbol" w:hint="default"/>
      </w:rPr>
    </w:lvl>
    <w:lvl w:ilvl="1" w:tplc="F52EAB66">
      <w:start w:val="1"/>
      <w:numFmt w:val="bullet"/>
      <w:lvlText w:val=""/>
      <w:lvlJc w:val="left"/>
      <w:pPr>
        <w:tabs>
          <w:tab w:val="num" w:pos="1440"/>
        </w:tabs>
        <w:ind w:left="1440" w:hanging="360"/>
      </w:pPr>
      <w:rPr>
        <w:rFonts w:ascii="Symbol" w:hAnsi="Symbol" w:hint="default"/>
      </w:rPr>
    </w:lvl>
    <w:lvl w:ilvl="2" w:tplc="E0BAEC64" w:tentative="1">
      <w:start w:val="1"/>
      <w:numFmt w:val="bullet"/>
      <w:lvlText w:val=""/>
      <w:lvlJc w:val="left"/>
      <w:pPr>
        <w:tabs>
          <w:tab w:val="num" w:pos="2160"/>
        </w:tabs>
        <w:ind w:left="2160" w:hanging="360"/>
      </w:pPr>
      <w:rPr>
        <w:rFonts w:ascii="Symbol" w:hAnsi="Symbol" w:hint="default"/>
      </w:rPr>
    </w:lvl>
    <w:lvl w:ilvl="3" w:tplc="739CABD6" w:tentative="1">
      <w:start w:val="1"/>
      <w:numFmt w:val="bullet"/>
      <w:lvlText w:val=""/>
      <w:lvlJc w:val="left"/>
      <w:pPr>
        <w:tabs>
          <w:tab w:val="num" w:pos="2880"/>
        </w:tabs>
        <w:ind w:left="2880" w:hanging="360"/>
      </w:pPr>
      <w:rPr>
        <w:rFonts w:ascii="Symbol" w:hAnsi="Symbol" w:hint="default"/>
      </w:rPr>
    </w:lvl>
    <w:lvl w:ilvl="4" w:tplc="CBB6972A" w:tentative="1">
      <w:start w:val="1"/>
      <w:numFmt w:val="bullet"/>
      <w:lvlText w:val=""/>
      <w:lvlJc w:val="left"/>
      <w:pPr>
        <w:tabs>
          <w:tab w:val="num" w:pos="3600"/>
        </w:tabs>
        <w:ind w:left="3600" w:hanging="360"/>
      </w:pPr>
      <w:rPr>
        <w:rFonts w:ascii="Symbol" w:hAnsi="Symbol" w:hint="default"/>
      </w:rPr>
    </w:lvl>
    <w:lvl w:ilvl="5" w:tplc="9D1A57C2" w:tentative="1">
      <w:start w:val="1"/>
      <w:numFmt w:val="bullet"/>
      <w:lvlText w:val=""/>
      <w:lvlJc w:val="left"/>
      <w:pPr>
        <w:tabs>
          <w:tab w:val="num" w:pos="4320"/>
        </w:tabs>
        <w:ind w:left="4320" w:hanging="360"/>
      </w:pPr>
      <w:rPr>
        <w:rFonts w:ascii="Symbol" w:hAnsi="Symbol" w:hint="default"/>
      </w:rPr>
    </w:lvl>
    <w:lvl w:ilvl="6" w:tplc="0AE8B59A" w:tentative="1">
      <w:start w:val="1"/>
      <w:numFmt w:val="bullet"/>
      <w:lvlText w:val=""/>
      <w:lvlJc w:val="left"/>
      <w:pPr>
        <w:tabs>
          <w:tab w:val="num" w:pos="5040"/>
        </w:tabs>
        <w:ind w:left="5040" w:hanging="360"/>
      </w:pPr>
      <w:rPr>
        <w:rFonts w:ascii="Symbol" w:hAnsi="Symbol" w:hint="default"/>
      </w:rPr>
    </w:lvl>
    <w:lvl w:ilvl="7" w:tplc="7EE46000" w:tentative="1">
      <w:start w:val="1"/>
      <w:numFmt w:val="bullet"/>
      <w:lvlText w:val=""/>
      <w:lvlJc w:val="left"/>
      <w:pPr>
        <w:tabs>
          <w:tab w:val="num" w:pos="5760"/>
        </w:tabs>
        <w:ind w:left="5760" w:hanging="360"/>
      </w:pPr>
      <w:rPr>
        <w:rFonts w:ascii="Symbol" w:hAnsi="Symbol" w:hint="default"/>
      </w:rPr>
    </w:lvl>
    <w:lvl w:ilvl="8" w:tplc="6DF8585A"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FEF79F8"/>
    <w:multiLevelType w:val="hybridMultilevel"/>
    <w:tmpl w:val="C7D4CA14"/>
    <w:lvl w:ilvl="0" w:tplc="A3DCBA5E">
      <w:start w:val="1"/>
      <w:numFmt w:val="decimal"/>
      <w:lvlText w:val="%1."/>
      <w:lvlJc w:val="left"/>
      <w:pPr>
        <w:ind w:left="927" w:hanging="360"/>
      </w:pPr>
      <w:rPr>
        <w:rFonts w:ascii="Calibri" w:eastAsia="Times New Roman" w:hAnsi="Calibri" w:cs="Calibr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13">
      <w:start w:val="1"/>
      <w:numFmt w:val="upperRoman"/>
      <w:lvlText w:val="%4."/>
      <w:lvlJc w:val="righ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1">
      <w:start w:val="1"/>
      <w:numFmt w:val="bullet"/>
      <w:lvlText w:val=""/>
      <w:lvlJc w:val="left"/>
      <w:pPr>
        <w:ind w:left="5040" w:hanging="360"/>
      </w:pPr>
      <w:rPr>
        <w:rFonts w:ascii="Symbol" w:hAnsi="Symbol" w:hint="default"/>
      </w:r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707466BE"/>
    <w:multiLevelType w:val="hybridMultilevel"/>
    <w:tmpl w:val="8902A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1753F4"/>
    <w:multiLevelType w:val="hybridMultilevel"/>
    <w:tmpl w:val="E3E0C258"/>
    <w:lvl w:ilvl="0" w:tplc="0C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75697D"/>
    <w:multiLevelType w:val="hybridMultilevel"/>
    <w:tmpl w:val="82628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5E484A"/>
    <w:multiLevelType w:val="hybridMultilevel"/>
    <w:tmpl w:val="47C256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4B50EB0"/>
    <w:multiLevelType w:val="hybridMultilevel"/>
    <w:tmpl w:val="55AE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A107E5"/>
    <w:multiLevelType w:val="hybridMultilevel"/>
    <w:tmpl w:val="2C86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abstractNumId w:val="17"/>
  </w:num>
  <w:num w:numId="2">
    <w:abstractNumId w:val="44"/>
  </w:num>
  <w:num w:numId="3">
    <w:abstractNumId w:val="4"/>
  </w:num>
  <w:num w:numId="4">
    <w:abstractNumId w:val="12"/>
  </w:num>
  <w:num w:numId="5">
    <w:abstractNumId w:val="42"/>
  </w:num>
  <w:num w:numId="6">
    <w:abstractNumId w:val="13"/>
  </w:num>
  <w:num w:numId="7">
    <w:abstractNumId w:val="14"/>
  </w:num>
  <w:num w:numId="8">
    <w:abstractNumId w:val="15"/>
  </w:num>
  <w:num w:numId="9">
    <w:abstractNumId w:val="24"/>
  </w:num>
  <w:num w:numId="10">
    <w:abstractNumId w:val="11"/>
  </w:num>
  <w:num w:numId="11">
    <w:abstractNumId w:val="0"/>
  </w:num>
  <w:num w:numId="12">
    <w:abstractNumId w:val="8"/>
  </w:num>
  <w:num w:numId="13">
    <w:abstractNumId w:val="38"/>
  </w:num>
  <w:num w:numId="14">
    <w:abstractNumId w:val="29"/>
  </w:num>
  <w:num w:numId="15">
    <w:abstractNumId w:val="5"/>
  </w:num>
  <w:num w:numId="16">
    <w:abstractNumId w:val="28"/>
  </w:num>
  <w:num w:numId="17">
    <w:abstractNumId w:val="20"/>
  </w:num>
  <w:num w:numId="18">
    <w:abstractNumId w:val="31"/>
  </w:num>
  <w:num w:numId="19">
    <w:abstractNumId w:val="21"/>
  </w:num>
  <w:num w:numId="20">
    <w:abstractNumId w:val="16"/>
  </w:num>
  <w:num w:numId="21">
    <w:abstractNumId w:val="6"/>
  </w:num>
  <w:num w:numId="22">
    <w:abstractNumId w:val="3"/>
  </w:num>
  <w:num w:numId="23">
    <w:abstractNumId w:val="41"/>
  </w:num>
  <w:num w:numId="24">
    <w:abstractNumId w:val="34"/>
  </w:num>
  <w:num w:numId="25">
    <w:abstractNumId w:val="22"/>
  </w:num>
  <w:num w:numId="26">
    <w:abstractNumId w:val="32"/>
  </w:num>
  <w:num w:numId="27">
    <w:abstractNumId w:val="33"/>
  </w:num>
  <w:num w:numId="28">
    <w:abstractNumId w:val="43"/>
  </w:num>
  <w:num w:numId="29">
    <w:abstractNumId w:val="9"/>
  </w:num>
  <w:num w:numId="30">
    <w:abstractNumId w:val="1"/>
  </w:num>
  <w:num w:numId="31">
    <w:abstractNumId w:val="18"/>
  </w:num>
  <w:num w:numId="32">
    <w:abstractNumId w:val="36"/>
  </w:num>
  <w:num w:numId="33">
    <w:abstractNumId w:val="23"/>
  </w:num>
  <w:num w:numId="34">
    <w:abstractNumId w:val="19"/>
  </w:num>
  <w:num w:numId="35">
    <w:abstractNumId w:val="7"/>
  </w:num>
  <w:num w:numId="36">
    <w:abstractNumId w:val="35"/>
  </w:num>
  <w:num w:numId="37">
    <w:abstractNumId w:val="37"/>
  </w:num>
  <w:num w:numId="38">
    <w:abstractNumId w:val="39"/>
  </w:num>
  <w:num w:numId="39">
    <w:abstractNumId w:val="25"/>
  </w:num>
  <w:num w:numId="40">
    <w:abstractNumId w:val="30"/>
  </w:num>
  <w:num w:numId="41">
    <w:abstractNumId w:val="27"/>
  </w:num>
  <w:num w:numId="42">
    <w:abstractNumId w:val="26"/>
  </w:num>
  <w:num w:numId="43">
    <w:abstractNumId w:val="10"/>
  </w:num>
  <w:num w:numId="44">
    <w:abstractNumId w:val="17"/>
  </w:num>
  <w:num w:numId="45">
    <w:abstractNumId w:val="17"/>
  </w:num>
  <w:num w:numId="46">
    <w:abstractNumId w:val="2"/>
  </w:num>
  <w:num w:numId="47">
    <w:abstractNumId w:val="4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lename" w:val="AUL\AUL\85650435\1"/>
  </w:docVars>
  <w:rsids>
    <w:rsidRoot w:val="008157F1"/>
    <w:rsid w:val="0000109A"/>
    <w:rsid w:val="0000186B"/>
    <w:rsid w:val="00001AE6"/>
    <w:rsid w:val="00001D55"/>
    <w:rsid w:val="00002FE7"/>
    <w:rsid w:val="00004031"/>
    <w:rsid w:val="00004D69"/>
    <w:rsid w:val="00004F7F"/>
    <w:rsid w:val="000054C9"/>
    <w:rsid w:val="00006E41"/>
    <w:rsid w:val="00011568"/>
    <w:rsid w:val="0001171E"/>
    <w:rsid w:val="00011EF8"/>
    <w:rsid w:val="00013978"/>
    <w:rsid w:val="00014974"/>
    <w:rsid w:val="0001749B"/>
    <w:rsid w:val="000178D6"/>
    <w:rsid w:val="0002271C"/>
    <w:rsid w:val="000228B8"/>
    <w:rsid w:val="0002381B"/>
    <w:rsid w:val="00024EA5"/>
    <w:rsid w:val="00026075"/>
    <w:rsid w:val="0002755F"/>
    <w:rsid w:val="00030F8F"/>
    <w:rsid w:val="000332C0"/>
    <w:rsid w:val="0003423A"/>
    <w:rsid w:val="0003477F"/>
    <w:rsid w:val="00036999"/>
    <w:rsid w:val="00036AD8"/>
    <w:rsid w:val="00037037"/>
    <w:rsid w:val="00037302"/>
    <w:rsid w:val="00037B14"/>
    <w:rsid w:val="0004005D"/>
    <w:rsid w:val="00040ADF"/>
    <w:rsid w:val="00040B5F"/>
    <w:rsid w:val="00040FB4"/>
    <w:rsid w:val="0004178C"/>
    <w:rsid w:val="00041C48"/>
    <w:rsid w:val="00041F5D"/>
    <w:rsid w:val="00042FC0"/>
    <w:rsid w:val="000443A6"/>
    <w:rsid w:val="000449D1"/>
    <w:rsid w:val="00045B8D"/>
    <w:rsid w:val="00045CC5"/>
    <w:rsid w:val="00046B6A"/>
    <w:rsid w:val="00046CF1"/>
    <w:rsid w:val="000472D4"/>
    <w:rsid w:val="00050331"/>
    <w:rsid w:val="00052DD3"/>
    <w:rsid w:val="000531D0"/>
    <w:rsid w:val="0005326D"/>
    <w:rsid w:val="00053356"/>
    <w:rsid w:val="00053F6C"/>
    <w:rsid w:val="00054128"/>
    <w:rsid w:val="0006339C"/>
    <w:rsid w:val="00064770"/>
    <w:rsid w:val="00064783"/>
    <w:rsid w:val="000647C2"/>
    <w:rsid w:val="00064B33"/>
    <w:rsid w:val="00066DBF"/>
    <w:rsid w:val="0007021F"/>
    <w:rsid w:val="000709A0"/>
    <w:rsid w:val="000718B3"/>
    <w:rsid w:val="00073A7D"/>
    <w:rsid w:val="00074199"/>
    <w:rsid w:val="00080241"/>
    <w:rsid w:val="0008139A"/>
    <w:rsid w:val="00081778"/>
    <w:rsid w:val="00083B81"/>
    <w:rsid w:val="000850CC"/>
    <w:rsid w:val="000870B6"/>
    <w:rsid w:val="00090613"/>
    <w:rsid w:val="00090BD1"/>
    <w:rsid w:val="000915A7"/>
    <w:rsid w:val="00091857"/>
    <w:rsid w:val="00091C59"/>
    <w:rsid w:val="000926A6"/>
    <w:rsid w:val="00092A21"/>
    <w:rsid w:val="00093D9A"/>
    <w:rsid w:val="00094656"/>
    <w:rsid w:val="00095A01"/>
    <w:rsid w:val="00096B52"/>
    <w:rsid w:val="000971DF"/>
    <w:rsid w:val="000A0218"/>
    <w:rsid w:val="000A10BF"/>
    <w:rsid w:val="000A2ACD"/>
    <w:rsid w:val="000A2B65"/>
    <w:rsid w:val="000A2DA8"/>
    <w:rsid w:val="000A5C47"/>
    <w:rsid w:val="000A629E"/>
    <w:rsid w:val="000A6B30"/>
    <w:rsid w:val="000A73F0"/>
    <w:rsid w:val="000B3330"/>
    <w:rsid w:val="000B394C"/>
    <w:rsid w:val="000B4435"/>
    <w:rsid w:val="000B5D63"/>
    <w:rsid w:val="000B6CF0"/>
    <w:rsid w:val="000B720C"/>
    <w:rsid w:val="000B7377"/>
    <w:rsid w:val="000B7665"/>
    <w:rsid w:val="000C40D6"/>
    <w:rsid w:val="000C4D1F"/>
    <w:rsid w:val="000C612A"/>
    <w:rsid w:val="000C6A54"/>
    <w:rsid w:val="000C7443"/>
    <w:rsid w:val="000C7C46"/>
    <w:rsid w:val="000D0E84"/>
    <w:rsid w:val="000D1B52"/>
    <w:rsid w:val="000D4C1B"/>
    <w:rsid w:val="000D5523"/>
    <w:rsid w:val="000E03DC"/>
    <w:rsid w:val="000E1124"/>
    <w:rsid w:val="000E1FF2"/>
    <w:rsid w:val="000E2EF5"/>
    <w:rsid w:val="000E35AC"/>
    <w:rsid w:val="000E3854"/>
    <w:rsid w:val="000E51E3"/>
    <w:rsid w:val="000E5531"/>
    <w:rsid w:val="000E6410"/>
    <w:rsid w:val="000E678B"/>
    <w:rsid w:val="000F0410"/>
    <w:rsid w:val="000F104A"/>
    <w:rsid w:val="000F125F"/>
    <w:rsid w:val="000F19A1"/>
    <w:rsid w:val="000F2E01"/>
    <w:rsid w:val="000F40F4"/>
    <w:rsid w:val="000F5A54"/>
    <w:rsid w:val="000F6395"/>
    <w:rsid w:val="000F642B"/>
    <w:rsid w:val="000F6A91"/>
    <w:rsid w:val="000F755F"/>
    <w:rsid w:val="000F7987"/>
    <w:rsid w:val="0010051C"/>
    <w:rsid w:val="0010448B"/>
    <w:rsid w:val="001048B1"/>
    <w:rsid w:val="0010521F"/>
    <w:rsid w:val="0010625A"/>
    <w:rsid w:val="00107524"/>
    <w:rsid w:val="0010789C"/>
    <w:rsid w:val="00107DCD"/>
    <w:rsid w:val="00107EF0"/>
    <w:rsid w:val="00111417"/>
    <w:rsid w:val="0011211D"/>
    <w:rsid w:val="00113C60"/>
    <w:rsid w:val="00114C3B"/>
    <w:rsid w:val="00115691"/>
    <w:rsid w:val="0011689F"/>
    <w:rsid w:val="00117039"/>
    <w:rsid w:val="00117F04"/>
    <w:rsid w:val="00120BD3"/>
    <w:rsid w:val="00122385"/>
    <w:rsid w:val="0012263B"/>
    <w:rsid w:val="00122AE3"/>
    <w:rsid w:val="00122EE1"/>
    <w:rsid w:val="00123658"/>
    <w:rsid w:val="001237AF"/>
    <w:rsid w:val="00123ED9"/>
    <w:rsid w:val="001245B0"/>
    <w:rsid w:val="001247EB"/>
    <w:rsid w:val="00124F3C"/>
    <w:rsid w:val="00125B61"/>
    <w:rsid w:val="00126122"/>
    <w:rsid w:val="00131D45"/>
    <w:rsid w:val="001320F0"/>
    <w:rsid w:val="00132800"/>
    <w:rsid w:val="001336E0"/>
    <w:rsid w:val="00133F34"/>
    <w:rsid w:val="00135273"/>
    <w:rsid w:val="00135FC9"/>
    <w:rsid w:val="00143478"/>
    <w:rsid w:val="00143F2F"/>
    <w:rsid w:val="001450FE"/>
    <w:rsid w:val="001454B3"/>
    <w:rsid w:val="00146624"/>
    <w:rsid w:val="00150376"/>
    <w:rsid w:val="00151DBD"/>
    <w:rsid w:val="001531D6"/>
    <w:rsid w:val="00153ADE"/>
    <w:rsid w:val="001553F0"/>
    <w:rsid w:val="00155434"/>
    <w:rsid w:val="00155B8F"/>
    <w:rsid w:val="00155BDA"/>
    <w:rsid w:val="00156FA7"/>
    <w:rsid w:val="0016023A"/>
    <w:rsid w:val="00162AA8"/>
    <w:rsid w:val="00162DBF"/>
    <w:rsid w:val="00164CF8"/>
    <w:rsid w:val="001652F2"/>
    <w:rsid w:val="001653AE"/>
    <w:rsid w:val="00170D5B"/>
    <w:rsid w:val="001710AC"/>
    <w:rsid w:val="00171B09"/>
    <w:rsid w:val="00172B8F"/>
    <w:rsid w:val="001736F8"/>
    <w:rsid w:val="001738AE"/>
    <w:rsid w:val="00173D85"/>
    <w:rsid w:val="00174FD4"/>
    <w:rsid w:val="001805CC"/>
    <w:rsid w:val="00180619"/>
    <w:rsid w:val="00183C4A"/>
    <w:rsid w:val="00184BAE"/>
    <w:rsid w:val="001858AA"/>
    <w:rsid w:val="0019362A"/>
    <w:rsid w:val="0019474E"/>
    <w:rsid w:val="00195728"/>
    <w:rsid w:val="001964D7"/>
    <w:rsid w:val="001970C0"/>
    <w:rsid w:val="00197BE2"/>
    <w:rsid w:val="001A1CB7"/>
    <w:rsid w:val="001A32D7"/>
    <w:rsid w:val="001A40CB"/>
    <w:rsid w:val="001A420B"/>
    <w:rsid w:val="001A4B97"/>
    <w:rsid w:val="001A4F7D"/>
    <w:rsid w:val="001A7B42"/>
    <w:rsid w:val="001A7D8F"/>
    <w:rsid w:val="001B0C59"/>
    <w:rsid w:val="001B2A97"/>
    <w:rsid w:val="001B2CD4"/>
    <w:rsid w:val="001B362C"/>
    <w:rsid w:val="001B385A"/>
    <w:rsid w:val="001B4DEE"/>
    <w:rsid w:val="001B594E"/>
    <w:rsid w:val="001B6D69"/>
    <w:rsid w:val="001B7329"/>
    <w:rsid w:val="001B7515"/>
    <w:rsid w:val="001C09FC"/>
    <w:rsid w:val="001C174A"/>
    <w:rsid w:val="001C1D05"/>
    <w:rsid w:val="001C26DF"/>
    <w:rsid w:val="001C2A48"/>
    <w:rsid w:val="001C3AC3"/>
    <w:rsid w:val="001C5852"/>
    <w:rsid w:val="001C69E3"/>
    <w:rsid w:val="001C6DFD"/>
    <w:rsid w:val="001D32C0"/>
    <w:rsid w:val="001D3A64"/>
    <w:rsid w:val="001D5793"/>
    <w:rsid w:val="001D74A7"/>
    <w:rsid w:val="001E15F2"/>
    <w:rsid w:val="001E21DE"/>
    <w:rsid w:val="001E22F7"/>
    <w:rsid w:val="001E2488"/>
    <w:rsid w:val="001E276C"/>
    <w:rsid w:val="001E36E4"/>
    <w:rsid w:val="001E3C86"/>
    <w:rsid w:val="001E465F"/>
    <w:rsid w:val="001F0081"/>
    <w:rsid w:val="001F097D"/>
    <w:rsid w:val="001F0F36"/>
    <w:rsid w:val="001F2902"/>
    <w:rsid w:val="001F3F36"/>
    <w:rsid w:val="001F658C"/>
    <w:rsid w:val="001F675C"/>
    <w:rsid w:val="001F6F44"/>
    <w:rsid w:val="001F7563"/>
    <w:rsid w:val="001F758A"/>
    <w:rsid w:val="002004CD"/>
    <w:rsid w:val="00207754"/>
    <w:rsid w:val="00207F59"/>
    <w:rsid w:val="002102F3"/>
    <w:rsid w:val="00211DC3"/>
    <w:rsid w:val="002146A0"/>
    <w:rsid w:val="00215355"/>
    <w:rsid w:val="002155B6"/>
    <w:rsid w:val="002157E4"/>
    <w:rsid w:val="00215AFB"/>
    <w:rsid w:val="00215DEA"/>
    <w:rsid w:val="00220061"/>
    <w:rsid w:val="002200D8"/>
    <w:rsid w:val="00220AA0"/>
    <w:rsid w:val="00222351"/>
    <w:rsid w:val="00223664"/>
    <w:rsid w:val="00223A56"/>
    <w:rsid w:val="00225833"/>
    <w:rsid w:val="00226095"/>
    <w:rsid w:val="00226FB6"/>
    <w:rsid w:val="00227B89"/>
    <w:rsid w:val="00227F43"/>
    <w:rsid w:val="00227FBC"/>
    <w:rsid w:val="002338AB"/>
    <w:rsid w:val="00234640"/>
    <w:rsid w:val="0023649A"/>
    <w:rsid w:val="00240106"/>
    <w:rsid w:val="00240AB2"/>
    <w:rsid w:val="002411C7"/>
    <w:rsid w:val="00241618"/>
    <w:rsid w:val="00242F4E"/>
    <w:rsid w:val="00244E3E"/>
    <w:rsid w:val="002452A0"/>
    <w:rsid w:val="002463A6"/>
    <w:rsid w:val="00246ADB"/>
    <w:rsid w:val="00250B75"/>
    <w:rsid w:val="00250F8F"/>
    <w:rsid w:val="002517A5"/>
    <w:rsid w:val="00251F6C"/>
    <w:rsid w:val="00252358"/>
    <w:rsid w:val="0025249C"/>
    <w:rsid w:val="002539ED"/>
    <w:rsid w:val="00253DEF"/>
    <w:rsid w:val="0025440D"/>
    <w:rsid w:val="0025450E"/>
    <w:rsid w:val="002549BE"/>
    <w:rsid w:val="00255152"/>
    <w:rsid w:val="0025554E"/>
    <w:rsid w:val="00257726"/>
    <w:rsid w:val="002638F4"/>
    <w:rsid w:val="0026694A"/>
    <w:rsid w:val="0027160C"/>
    <w:rsid w:val="002732A0"/>
    <w:rsid w:val="002751D1"/>
    <w:rsid w:val="00275209"/>
    <w:rsid w:val="00276516"/>
    <w:rsid w:val="00282091"/>
    <w:rsid w:val="00284340"/>
    <w:rsid w:val="002847A2"/>
    <w:rsid w:val="002854E7"/>
    <w:rsid w:val="00286A6E"/>
    <w:rsid w:val="00287E78"/>
    <w:rsid w:val="00290676"/>
    <w:rsid w:val="00290AD1"/>
    <w:rsid w:val="00291462"/>
    <w:rsid w:val="00291572"/>
    <w:rsid w:val="00291FD7"/>
    <w:rsid w:val="0029412D"/>
    <w:rsid w:val="002959F8"/>
    <w:rsid w:val="002A04B4"/>
    <w:rsid w:val="002A0F23"/>
    <w:rsid w:val="002A145B"/>
    <w:rsid w:val="002A18BE"/>
    <w:rsid w:val="002A36F6"/>
    <w:rsid w:val="002A4084"/>
    <w:rsid w:val="002A4AD6"/>
    <w:rsid w:val="002A5FAE"/>
    <w:rsid w:val="002A6E7A"/>
    <w:rsid w:val="002A7196"/>
    <w:rsid w:val="002A76AE"/>
    <w:rsid w:val="002B1384"/>
    <w:rsid w:val="002B3681"/>
    <w:rsid w:val="002B546F"/>
    <w:rsid w:val="002B667C"/>
    <w:rsid w:val="002B710F"/>
    <w:rsid w:val="002C11CA"/>
    <w:rsid w:val="002C255B"/>
    <w:rsid w:val="002C45E8"/>
    <w:rsid w:val="002C70CE"/>
    <w:rsid w:val="002C725D"/>
    <w:rsid w:val="002D11CF"/>
    <w:rsid w:val="002D1C31"/>
    <w:rsid w:val="002D1CA3"/>
    <w:rsid w:val="002D5097"/>
    <w:rsid w:val="002D55E4"/>
    <w:rsid w:val="002D690D"/>
    <w:rsid w:val="002D76D8"/>
    <w:rsid w:val="002D7736"/>
    <w:rsid w:val="002E0BDF"/>
    <w:rsid w:val="002E2626"/>
    <w:rsid w:val="002E273D"/>
    <w:rsid w:val="002E5AFD"/>
    <w:rsid w:val="002E63BE"/>
    <w:rsid w:val="002E6F41"/>
    <w:rsid w:val="002E73A7"/>
    <w:rsid w:val="002E7775"/>
    <w:rsid w:val="002E7AD2"/>
    <w:rsid w:val="002E7D53"/>
    <w:rsid w:val="002F1399"/>
    <w:rsid w:val="002F32FB"/>
    <w:rsid w:val="002F5611"/>
    <w:rsid w:val="002F5797"/>
    <w:rsid w:val="002F59ED"/>
    <w:rsid w:val="002F5F5E"/>
    <w:rsid w:val="002F5F85"/>
    <w:rsid w:val="002F693F"/>
    <w:rsid w:val="003008CC"/>
    <w:rsid w:val="00301763"/>
    <w:rsid w:val="0030212F"/>
    <w:rsid w:val="00302252"/>
    <w:rsid w:val="00303C60"/>
    <w:rsid w:val="00303C6F"/>
    <w:rsid w:val="003048A3"/>
    <w:rsid w:val="00304FB8"/>
    <w:rsid w:val="00305143"/>
    <w:rsid w:val="00307299"/>
    <w:rsid w:val="003076EF"/>
    <w:rsid w:val="00307BC9"/>
    <w:rsid w:val="00310B9B"/>
    <w:rsid w:val="00310C3F"/>
    <w:rsid w:val="00311DC0"/>
    <w:rsid w:val="003128BB"/>
    <w:rsid w:val="003140D2"/>
    <w:rsid w:val="00314D08"/>
    <w:rsid w:val="00315875"/>
    <w:rsid w:val="00316AB8"/>
    <w:rsid w:val="00317714"/>
    <w:rsid w:val="0032077A"/>
    <w:rsid w:val="00320A17"/>
    <w:rsid w:val="00322DA9"/>
    <w:rsid w:val="00323AF6"/>
    <w:rsid w:val="00324551"/>
    <w:rsid w:val="003251C2"/>
    <w:rsid w:val="00325F56"/>
    <w:rsid w:val="00325FA0"/>
    <w:rsid w:val="00326F1C"/>
    <w:rsid w:val="00327162"/>
    <w:rsid w:val="00327D2C"/>
    <w:rsid w:val="00330A0A"/>
    <w:rsid w:val="00330EAA"/>
    <w:rsid w:val="003315F9"/>
    <w:rsid w:val="003328A9"/>
    <w:rsid w:val="00335EBB"/>
    <w:rsid w:val="003371B5"/>
    <w:rsid w:val="00337BAF"/>
    <w:rsid w:val="00340341"/>
    <w:rsid w:val="003417CB"/>
    <w:rsid w:val="00342969"/>
    <w:rsid w:val="003435A9"/>
    <w:rsid w:val="0034431B"/>
    <w:rsid w:val="00344649"/>
    <w:rsid w:val="00344E1F"/>
    <w:rsid w:val="00345496"/>
    <w:rsid w:val="00345B86"/>
    <w:rsid w:val="00345BCF"/>
    <w:rsid w:val="003466F9"/>
    <w:rsid w:val="00350092"/>
    <w:rsid w:val="00350836"/>
    <w:rsid w:val="003519AD"/>
    <w:rsid w:val="00351E0E"/>
    <w:rsid w:val="003531D7"/>
    <w:rsid w:val="00354EB4"/>
    <w:rsid w:val="00355A61"/>
    <w:rsid w:val="00356D29"/>
    <w:rsid w:val="003571C2"/>
    <w:rsid w:val="00360461"/>
    <w:rsid w:val="00361831"/>
    <w:rsid w:val="00361D77"/>
    <w:rsid w:val="003640A7"/>
    <w:rsid w:val="00364E19"/>
    <w:rsid w:val="00365447"/>
    <w:rsid w:val="00365548"/>
    <w:rsid w:val="00367728"/>
    <w:rsid w:val="0036794E"/>
    <w:rsid w:val="00367CDE"/>
    <w:rsid w:val="00372234"/>
    <w:rsid w:val="00374E23"/>
    <w:rsid w:val="00381171"/>
    <w:rsid w:val="0038146C"/>
    <w:rsid w:val="00382367"/>
    <w:rsid w:val="00382609"/>
    <w:rsid w:val="003836ED"/>
    <w:rsid w:val="00385B77"/>
    <w:rsid w:val="00386124"/>
    <w:rsid w:val="003864D5"/>
    <w:rsid w:val="00390567"/>
    <w:rsid w:val="00390DF0"/>
    <w:rsid w:val="00394268"/>
    <w:rsid w:val="00395A2E"/>
    <w:rsid w:val="003966F6"/>
    <w:rsid w:val="0039677D"/>
    <w:rsid w:val="00397117"/>
    <w:rsid w:val="003A0660"/>
    <w:rsid w:val="003A0D52"/>
    <w:rsid w:val="003A2ED1"/>
    <w:rsid w:val="003A4C47"/>
    <w:rsid w:val="003A5D8C"/>
    <w:rsid w:val="003A6510"/>
    <w:rsid w:val="003A6724"/>
    <w:rsid w:val="003A6E1A"/>
    <w:rsid w:val="003A7434"/>
    <w:rsid w:val="003A7AA6"/>
    <w:rsid w:val="003B0885"/>
    <w:rsid w:val="003B0BA1"/>
    <w:rsid w:val="003B191C"/>
    <w:rsid w:val="003B2260"/>
    <w:rsid w:val="003B4599"/>
    <w:rsid w:val="003B61B7"/>
    <w:rsid w:val="003C04C7"/>
    <w:rsid w:val="003C0C3A"/>
    <w:rsid w:val="003C1AE2"/>
    <w:rsid w:val="003C4F8F"/>
    <w:rsid w:val="003C5706"/>
    <w:rsid w:val="003C673A"/>
    <w:rsid w:val="003C6B59"/>
    <w:rsid w:val="003D127F"/>
    <w:rsid w:val="003D299E"/>
    <w:rsid w:val="003D3182"/>
    <w:rsid w:val="003D459E"/>
    <w:rsid w:val="003D55E1"/>
    <w:rsid w:val="003D641A"/>
    <w:rsid w:val="003D6A82"/>
    <w:rsid w:val="003D6EFD"/>
    <w:rsid w:val="003D71EB"/>
    <w:rsid w:val="003D754F"/>
    <w:rsid w:val="003E22CB"/>
    <w:rsid w:val="003E2343"/>
    <w:rsid w:val="003E406B"/>
    <w:rsid w:val="003E4CE0"/>
    <w:rsid w:val="003E4F96"/>
    <w:rsid w:val="003E5CCA"/>
    <w:rsid w:val="003E7773"/>
    <w:rsid w:val="003F0F9B"/>
    <w:rsid w:val="003F115E"/>
    <w:rsid w:val="003F14C2"/>
    <w:rsid w:val="003F2210"/>
    <w:rsid w:val="003F5126"/>
    <w:rsid w:val="003F535C"/>
    <w:rsid w:val="003F551A"/>
    <w:rsid w:val="003F7196"/>
    <w:rsid w:val="004008AF"/>
    <w:rsid w:val="00400B5F"/>
    <w:rsid w:val="004017D3"/>
    <w:rsid w:val="00401DBF"/>
    <w:rsid w:val="00401FB2"/>
    <w:rsid w:val="004033D9"/>
    <w:rsid w:val="004047B1"/>
    <w:rsid w:val="00404A94"/>
    <w:rsid w:val="0040551F"/>
    <w:rsid w:val="0040760E"/>
    <w:rsid w:val="0040771F"/>
    <w:rsid w:val="00407DE2"/>
    <w:rsid w:val="00407DFE"/>
    <w:rsid w:val="004108F2"/>
    <w:rsid w:val="004111F7"/>
    <w:rsid w:val="0041217D"/>
    <w:rsid w:val="004123F8"/>
    <w:rsid w:val="004125C6"/>
    <w:rsid w:val="0041275F"/>
    <w:rsid w:val="0041501A"/>
    <w:rsid w:val="00416772"/>
    <w:rsid w:val="00416B41"/>
    <w:rsid w:val="00417B3F"/>
    <w:rsid w:val="00417F6A"/>
    <w:rsid w:val="00420E99"/>
    <w:rsid w:val="00421362"/>
    <w:rsid w:val="00421497"/>
    <w:rsid w:val="00421A89"/>
    <w:rsid w:val="00421EBC"/>
    <w:rsid w:val="0042304B"/>
    <w:rsid w:val="00424084"/>
    <w:rsid w:val="0042408B"/>
    <w:rsid w:val="004273AD"/>
    <w:rsid w:val="004305AE"/>
    <w:rsid w:val="00431800"/>
    <w:rsid w:val="00432968"/>
    <w:rsid w:val="00433362"/>
    <w:rsid w:val="00433541"/>
    <w:rsid w:val="004351CF"/>
    <w:rsid w:val="00436514"/>
    <w:rsid w:val="00437FAE"/>
    <w:rsid w:val="00440DD1"/>
    <w:rsid w:val="004423F7"/>
    <w:rsid w:val="00442A49"/>
    <w:rsid w:val="00442A4F"/>
    <w:rsid w:val="00446334"/>
    <w:rsid w:val="0044690B"/>
    <w:rsid w:val="00446BBE"/>
    <w:rsid w:val="0044782C"/>
    <w:rsid w:val="0045093D"/>
    <w:rsid w:val="00450E52"/>
    <w:rsid w:val="00451645"/>
    <w:rsid w:val="00453BCE"/>
    <w:rsid w:val="004549D4"/>
    <w:rsid w:val="00454F8E"/>
    <w:rsid w:val="00457404"/>
    <w:rsid w:val="00462778"/>
    <w:rsid w:val="00464F6C"/>
    <w:rsid w:val="0046741C"/>
    <w:rsid w:val="0046773A"/>
    <w:rsid w:val="00470776"/>
    <w:rsid w:val="00471D0D"/>
    <w:rsid w:val="00473420"/>
    <w:rsid w:val="00474E01"/>
    <w:rsid w:val="004817AD"/>
    <w:rsid w:val="00482804"/>
    <w:rsid w:val="00482B47"/>
    <w:rsid w:val="0048323E"/>
    <w:rsid w:val="00484DC5"/>
    <w:rsid w:val="00485675"/>
    <w:rsid w:val="004856FF"/>
    <w:rsid w:val="0048595C"/>
    <w:rsid w:val="00487C85"/>
    <w:rsid w:val="0049091C"/>
    <w:rsid w:val="00490DC4"/>
    <w:rsid w:val="00492742"/>
    <w:rsid w:val="00494F64"/>
    <w:rsid w:val="0049584B"/>
    <w:rsid w:val="00496900"/>
    <w:rsid w:val="00497B9F"/>
    <w:rsid w:val="004A2084"/>
    <w:rsid w:val="004A4430"/>
    <w:rsid w:val="004A4FDF"/>
    <w:rsid w:val="004A5489"/>
    <w:rsid w:val="004A5E73"/>
    <w:rsid w:val="004A605B"/>
    <w:rsid w:val="004A7A52"/>
    <w:rsid w:val="004B19FE"/>
    <w:rsid w:val="004B20ED"/>
    <w:rsid w:val="004B2A4D"/>
    <w:rsid w:val="004B2F45"/>
    <w:rsid w:val="004B33C2"/>
    <w:rsid w:val="004B38D7"/>
    <w:rsid w:val="004B39F6"/>
    <w:rsid w:val="004B4090"/>
    <w:rsid w:val="004B4214"/>
    <w:rsid w:val="004B689D"/>
    <w:rsid w:val="004C02C8"/>
    <w:rsid w:val="004C0E97"/>
    <w:rsid w:val="004C48C8"/>
    <w:rsid w:val="004C598D"/>
    <w:rsid w:val="004D1CE9"/>
    <w:rsid w:val="004D2B36"/>
    <w:rsid w:val="004D3897"/>
    <w:rsid w:val="004D4425"/>
    <w:rsid w:val="004D7F99"/>
    <w:rsid w:val="004E1497"/>
    <w:rsid w:val="004E2BD6"/>
    <w:rsid w:val="004E3C3E"/>
    <w:rsid w:val="004E612B"/>
    <w:rsid w:val="004E783F"/>
    <w:rsid w:val="004F289D"/>
    <w:rsid w:val="004F559F"/>
    <w:rsid w:val="004F6AD3"/>
    <w:rsid w:val="004F6EE2"/>
    <w:rsid w:val="004F7939"/>
    <w:rsid w:val="00501015"/>
    <w:rsid w:val="00501386"/>
    <w:rsid w:val="00501813"/>
    <w:rsid w:val="00501BD9"/>
    <w:rsid w:val="00501C25"/>
    <w:rsid w:val="005027A6"/>
    <w:rsid w:val="00502DAE"/>
    <w:rsid w:val="00502FFB"/>
    <w:rsid w:val="005038A0"/>
    <w:rsid w:val="00504A82"/>
    <w:rsid w:val="00504AD6"/>
    <w:rsid w:val="00505E19"/>
    <w:rsid w:val="00510085"/>
    <w:rsid w:val="005103C5"/>
    <w:rsid w:val="00512B3A"/>
    <w:rsid w:val="00512C08"/>
    <w:rsid w:val="005131D3"/>
    <w:rsid w:val="0051352C"/>
    <w:rsid w:val="00514FC2"/>
    <w:rsid w:val="00515BFA"/>
    <w:rsid w:val="00517A86"/>
    <w:rsid w:val="00521141"/>
    <w:rsid w:val="0052349D"/>
    <w:rsid w:val="00524BE8"/>
    <w:rsid w:val="0052575D"/>
    <w:rsid w:val="00525765"/>
    <w:rsid w:val="00526C92"/>
    <w:rsid w:val="005275FC"/>
    <w:rsid w:val="0052768C"/>
    <w:rsid w:val="00530600"/>
    <w:rsid w:val="00530896"/>
    <w:rsid w:val="00530A37"/>
    <w:rsid w:val="00531007"/>
    <w:rsid w:val="005310AF"/>
    <w:rsid w:val="00531EA5"/>
    <w:rsid w:val="005342C3"/>
    <w:rsid w:val="00534817"/>
    <w:rsid w:val="005362F5"/>
    <w:rsid w:val="005369FD"/>
    <w:rsid w:val="0053725B"/>
    <w:rsid w:val="00537A51"/>
    <w:rsid w:val="00540C57"/>
    <w:rsid w:val="0054116B"/>
    <w:rsid w:val="00542B07"/>
    <w:rsid w:val="00542FA8"/>
    <w:rsid w:val="005432A4"/>
    <w:rsid w:val="00543E3C"/>
    <w:rsid w:val="005517AB"/>
    <w:rsid w:val="005531BD"/>
    <w:rsid w:val="00554CC6"/>
    <w:rsid w:val="00554E01"/>
    <w:rsid w:val="005550A7"/>
    <w:rsid w:val="005567B2"/>
    <w:rsid w:val="00557870"/>
    <w:rsid w:val="00560277"/>
    <w:rsid w:val="00560546"/>
    <w:rsid w:val="00560938"/>
    <w:rsid w:val="00560AF1"/>
    <w:rsid w:val="00561562"/>
    <w:rsid w:val="00563DE6"/>
    <w:rsid w:val="0056528D"/>
    <w:rsid w:val="0056628B"/>
    <w:rsid w:val="00566298"/>
    <w:rsid w:val="0057091E"/>
    <w:rsid w:val="005723D6"/>
    <w:rsid w:val="00574A6E"/>
    <w:rsid w:val="00575A51"/>
    <w:rsid w:val="005768BF"/>
    <w:rsid w:val="00577145"/>
    <w:rsid w:val="005773BE"/>
    <w:rsid w:val="00577BA3"/>
    <w:rsid w:val="00582365"/>
    <w:rsid w:val="005857B9"/>
    <w:rsid w:val="00585C1B"/>
    <w:rsid w:val="005866A7"/>
    <w:rsid w:val="00586C43"/>
    <w:rsid w:val="00587639"/>
    <w:rsid w:val="00592638"/>
    <w:rsid w:val="00593138"/>
    <w:rsid w:val="00593A33"/>
    <w:rsid w:val="005947B5"/>
    <w:rsid w:val="00595546"/>
    <w:rsid w:val="005960BB"/>
    <w:rsid w:val="00597407"/>
    <w:rsid w:val="005975B5"/>
    <w:rsid w:val="005A0496"/>
    <w:rsid w:val="005A4047"/>
    <w:rsid w:val="005A4384"/>
    <w:rsid w:val="005A7012"/>
    <w:rsid w:val="005A7A5E"/>
    <w:rsid w:val="005B1C07"/>
    <w:rsid w:val="005B33A7"/>
    <w:rsid w:val="005B3432"/>
    <w:rsid w:val="005B3BD6"/>
    <w:rsid w:val="005B4365"/>
    <w:rsid w:val="005B7D6C"/>
    <w:rsid w:val="005C0E9A"/>
    <w:rsid w:val="005C213C"/>
    <w:rsid w:val="005C2E7C"/>
    <w:rsid w:val="005C3B2D"/>
    <w:rsid w:val="005C54A2"/>
    <w:rsid w:val="005C5B10"/>
    <w:rsid w:val="005C7215"/>
    <w:rsid w:val="005C73C4"/>
    <w:rsid w:val="005D00EA"/>
    <w:rsid w:val="005D023B"/>
    <w:rsid w:val="005D02C4"/>
    <w:rsid w:val="005D0BF1"/>
    <w:rsid w:val="005D2304"/>
    <w:rsid w:val="005D32AA"/>
    <w:rsid w:val="005D3A04"/>
    <w:rsid w:val="005D48FE"/>
    <w:rsid w:val="005D6E11"/>
    <w:rsid w:val="005D7471"/>
    <w:rsid w:val="005D749D"/>
    <w:rsid w:val="005E0823"/>
    <w:rsid w:val="005E1782"/>
    <w:rsid w:val="005E2702"/>
    <w:rsid w:val="005E2FE6"/>
    <w:rsid w:val="005E39F1"/>
    <w:rsid w:val="005E5874"/>
    <w:rsid w:val="005E75D5"/>
    <w:rsid w:val="005F1555"/>
    <w:rsid w:val="005F2978"/>
    <w:rsid w:val="005F4721"/>
    <w:rsid w:val="005F6A83"/>
    <w:rsid w:val="005F720A"/>
    <w:rsid w:val="0060027A"/>
    <w:rsid w:val="00602F43"/>
    <w:rsid w:val="00603B08"/>
    <w:rsid w:val="006046E7"/>
    <w:rsid w:val="00605776"/>
    <w:rsid w:val="006063A4"/>
    <w:rsid w:val="0060671B"/>
    <w:rsid w:val="00610162"/>
    <w:rsid w:val="00610ABA"/>
    <w:rsid w:val="00613037"/>
    <w:rsid w:val="006135AB"/>
    <w:rsid w:val="006138E4"/>
    <w:rsid w:val="006144F6"/>
    <w:rsid w:val="00616407"/>
    <w:rsid w:val="00617F74"/>
    <w:rsid w:val="00620E5A"/>
    <w:rsid w:val="0062146B"/>
    <w:rsid w:val="00621F2C"/>
    <w:rsid w:val="00624A87"/>
    <w:rsid w:val="006250E9"/>
    <w:rsid w:val="006320D2"/>
    <w:rsid w:val="00632AA1"/>
    <w:rsid w:val="00633B2F"/>
    <w:rsid w:val="00634A8B"/>
    <w:rsid w:val="00640B4C"/>
    <w:rsid w:val="00640C31"/>
    <w:rsid w:val="006415EE"/>
    <w:rsid w:val="00643226"/>
    <w:rsid w:val="006459EF"/>
    <w:rsid w:val="00645EB1"/>
    <w:rsid w:val="006465F3"/>
    <w:rsid w:val="00646C9F"/>
    <w:rsid w:val="00646E1F"/>
    <w:rsid w:val="006534BF"/>
    <w:rsid w:val="006537D7"/>
    <w:rsid w:val="0065444A"/>
    <w:rsid w:val="00654F68"/>
    <w:rsid w:val="00655CF9"/>
    <w:rsid w:val="00655D45"/>
    <w:rsid w:val="00656575"/>
    <w:rsid w:val="0065714C"/>
    <w:rsid w:val="006576AA"/>
    <w:rsid w:val="00660A74"/>
    <w:rsid w:val="00662E5F"/>
    <w:rsid w:val="0066344E"/>
    <w:rsid w:val="00664434"/>
    <w:rsid w:val="0066561F"/>
    <w:rsid w:val="00665903"/>
    <w:rsid w:val="006669BE"/>
    <w:rsid w:val="00666A58"/>
    <w:rsid w:val="00666C7A"/>
    <w:rsid w:val="00670650"/>
    <w:rsid w:val="006712C0"/>
    <w:rsid w:val="00671D44"/>
    <w:rsid w:val="006744AC"/>
    <w:rsid w:val="00674636"/>
    <w:rsid w:val="00674C7D"/>
    <w:rsid w:val="006750BC"/>
    <w:rsid w:val="006759CF"/>
    <w:rsid w:val="006763ED"/>
    <w:rsid w:val="00676DF9"/>
    <w:rsid w:val="006806AA"/>
    <w:rsid w:val="00680B40"/>
    <w:rsid w:val="00681EC9"/>
    <w:rsid w:val="006822FA"/>
    <w:rsid w:val="0068288C"/>
    <w:rsid w:val="00683F36"/>
    <w:rsid w:val="00684576"/>
    <w:rsid w:val="00684D0D"/>
    <w:rsid w:val="00685589"/>
    <w:rsid w:val="00685D16"/>
    <w:rsid w:val="0068682C"/>
    <w:rsid w:val="0068723B"/>
    <w:rsid w:val="006938AA"/>
    <w:rsid w:val="006943B7"/>
    <w:rsid w:val="006944BB"/>
    <w:rsid w:val="0069474B"/>
    <w:rsid w:val="0069475D"/>
    <w:rsid w:val="00695D50"/>
    <w:rsid w:val="00695E5A"/>
    <w:rsid w:val="00696B88"/>
    <w:rsid w:val="006978CF"/>
    <w:rsid w:val="00697966"/>
    <w:rsid w:val="006A3A2B"/>
    <w:rsid w:val="006A5885"/>
    <w:rsid w:val="006A6BF1"/>
    <w:rsid w:val="006A6CAC"/>
    <w:rsid w:val="006B3032"/>
    <w:rsid w:val="006B4B4A"/>
    <w:rsid w:val="006B75C6"/>
    <w:rsid w:val="006C354C"/>
    <w:rsid w:val="006C3B76"/>
    <w:rsid w:val="006C4572"/>
    <w:rsid w:val="006C7B03"/>
    <w:rsid w:val="006C7DB2"/>
    <w:rsid w:val="006D0EC2"/>
    <w:rsid w:val="006D31AF"/>
    <w:rsid w:val="006D4858"/>
    <w:rsid w:val="006D4C72"/>
    <w:rsid w:val="006D4E4C"/>
    <w:rsid w:val="006D5585"/>
    <w:rsid w:val="006D5F76"/>
    <w:rsid w:val="006D6D96"/>
    <w:rsid w:val="006D6DF9"/>
    <w:rsid w:val="006D7211"/>
    <w:rsid w:val="006D75C8"/>
    <w:rsid w:val="006E1CC0"/>
    <w:rsid w:val="006E42B6"/>
    <w:rsid w:val="006E612A"/>
    <w:rsid w:val="006F08CF"/>
    <w:rsid w:val="006F0D46"/>
    <w:rsid w:val="006F23DD"/>
    <w:rsid w:val="006F256E"/>
    <w:rsid w:val="006F3B6C"/>
    <w:rsid w:val="006F5158"/>
    <w:rsid w:val="00700947"/>
    <w:rsid w:val="00700950"/>
    <w:rsid w:val="00701136"/>
    <w:rsid w:val="00703113"/>
    <w:rsid w:val="0070319A"/>
    <w:rsid w:val="00703CB4"/>
    <w:rsid w:val="00703F3F"/>
    <w:rsid w:val="00704163"/>
    <w:rsid w:val="00706748"/>
    <w:rsid w:val="0070708C"/>
    <w:rsid w:val="00707C18"/>
    <w:rsid w:val="007103A9"/>
    <w:rsid w:val="00713668"/>
    <w:rsid w:val="00716AD2"/>
    <w:rsid w:val="00717562"/>
    <w:rsid w:val="0071757F"/>
    <w:rsid w:val="007203CA"/>
    <w:rsid w:val="007226F5"/>
    <w:rsid w:val="00723B2C"/>
    <w:rsid w:val="00724DEC"/>
    <w:rsid w:val="00724ED0"/>
    <w:rsid w:val="00724F92"/>
    <w:rsid w:val="007253D6"/>
    <w:rsid w:val="0072578A"/>
    <w:rsid w:val="0072597A"/>
    <w:rsid w:val="00727DE1"/>
    <w:rsid w:val="007302FA"/>
    <w:rsid w:val="00735FC0"/>
    <w:rsid w:val="0073792C"/>
    <w:rsid w:val="00740EE7"/>
    <w:rsid w:val="00741CB2"/>
    <w:rsid w:val="0074257A"/>
    <w:rsid w:val="007450B3"/>
    <w:rsid w:val="007452C5"/>
    <w:rsid w:val="00747434"/>
    <w:rsid w:val="0074788B"/>
    <w:rsid w:val="0075137C"/>
    <w:rsid w:val="0075163C"/>
    <w:rsid w:val="0075418A"/>
    <w:rsid w:val="00761373"/>
    <w:rsid w:val="00761E17"/>
    <w:rsid w:val="007621B2"/>
    <w:rsid w:val="0076260D"/>
    <w:rsid w:val="0076331E"/>
    <w:rsid w:val="00763B77"/>
    <w:rsid w:val="00766D5A"/>
    <w:rsid w:val="0076702C"/>
    <w:rsid w:val="00767F6C"/>
    <w:rsid w:val="00772829"/>
    <w:rsid w:val="00773F4C"/>
    <w:rsid w:val="00776267"/>
    <w:rsid w:val="00777848"/>
    <w:rsid w:val="00777893"/>
    <w:rsid w:val="00781088"/>
    <w:rsid w:val="00783B61"/>
    <w:rsid w:val="0078432A"/>
    <w:rsid w:val="00784341"/>
    <w:rsid w:val="00784490"/>
    <w:rsid w:val="007852E9"/>
    <w:rsid w:val="0078536C"/>
    <w:rsid w:val="00790B15"/>
    <w:rsid w:val="00790F49"/>
    <w:rsid w:val="00791BC3"/>
    <w:rsid w:val="00791CEB"/>
    <w:rsid w:val="007924A0"/>
    <w:rsid w:val="007931CB"/>
    <w:rsid w:val="007932EA"/>
    <w:rsid w:val="007935C6"/>
    <w:rsid w:val="00794A18"/>
    <w:rsid w:val="007951D4"/>
    <w:rsid w:val="00796C46"/>
    <w:rsid w:val="0079722D"/>
    <w:rsid w:val="00797C2B"/>
    <w:rsid w:val="00797C46"/>
    <w:rsid w:val="007A19F6"/>
    <w:rsid w:val="007A2B65"/>
    <w:rsid w:val="007A5215"/>
    <w:rsid w:val="007A5617"/>
    <w:rsid w:val="007B0245"/>
    <w:rsid w:val="007B0484"/>
    <w:rsid w:val="007B083F"/>
    <w:rsid w:val="007B0880"/>
    <w:rsid w:val="007B0D01"/>
    <w:rsid w:val="007B2085"/>
    <w:rsid w:val="007B255B"/>
    <w:rsid w:val="007B2FDC"/>
    <w:rsid w:val="007B38A0"/>
    <w:rsid w:val="007B38B7"/>
    <w:rsid w:val="007B4F7B"/>
    <w:rsid w:val="007B583D"/>
    <w:rsid w:val="007B6684"/>
    <w:rsid w:val="007B6B21"/>
    <w:rsid w:val="007B7024"/>
    <w:rsid w:val="007C0390"/>
    <w:rsid w:val="007C14A2"/>
    <w:rsid w:val="007C24D5"/>
    <w:rsid w:val="007C300E"/>
    <w:rsid w:val="007C328D"/>
    <w:rsid w:val="007C336F"/>
    <w:rsid w:val="007C41B1"/>
    <w:rsid w:val="007C5455"/>
    <w:rsid w:val="007C683C"/>
    <w:rsid w:val="007D036F"/>
    <w:rsid w:val="007D1689"/>
    <w:rsid w:val="007D24DF"/>
    <w:rsid w:val="007D30B7"/>
    <w:rsid w:val="007D3C94"/>
    <w:rsid w:val="007D4822"/>
    <w:rsid w:val="007D49CB"/>
    <w:rsid w:val="007D5A69"/>
    <w:rsid w:val="007D738D"/>
    <w:rsid w:val="007E15AD"/>
    <w:rsid w:val="007E1612"/>
    <w:rsid w:val="007E17ED"/>
    <w:rsid w:val="007E25ED"/>
    <w:rsid w:val="007E2BC0"/>
    <w:rsid w:val="007E318E"/>
    <w:rsid w:val="007E52F9"/>
    <w:rsid w:val="007E62A7"/>
    <w:rsid w:val="007F018B"/>
    <w:rsid w:val="007F0D36"/>
    <w:rsid w:val="007F29BA"/>
    <w:rsid w:val="007F2C54"/>
    <w:rsid w:val="007F42D1"/>
    <w:rsid w:val="007F5E7E"/>
    <w:rsid w:val="007F67E9"/>
    <w:rsid w:val="007F7772"/>
    <w:rsid w:val="007F7C7B"/>
    <w:rsid w:val="00802BAF"/>
    <w:rsid w:val="008040A2"/>
    <w:rsid w:val="00804632"/>
    <w:rsid w:val="00804A2B"/>
    <w:rsid w:val="00804AB3"/>
    <w:rsid w:val="008054D9"/>
    <w:rsid w:val="00806688"/>
    <w:rsid w:val="00807A3E"/>
    <w:rsid w:val="00810338"/>
    <w:rsid w:val="008111EA"/>
    <w:rsid w:val="00812282"/>
    <w:rsid w:val="008148E4"/>
    <w:rsid w:val="008157F1"/>
    <w:rsid w:val="0081659D"/>
    <w:rsid w:val="00816A2A"/>
    <w:rsid w:val="00816EC2"/>
    <w:rsid w:val="008179AE"/>
    <w:rsid w:val="008202CF"/>
    <w:rsid w:val="008204B7"/>
    <w:rsid w:val="008230D4"/>
    <w:rsid w:val="008236E1"/>
    <w:rsid w:val="00824458"/>
    <w:rsid w:val="008249F7"/>
    <w:rsid w:val="00824B74"/>
    <w:rsid w:val="00827027"/>
    <w:rsid w:val="0083437E"/>
    <w:rsid w:val="00835EC9"/>
    <w:rsid w:val="00836A36"/>
    <w:rsid w:val="00841388"/>
    <w:rsid w:val="00841EFB"/>
    <w:rsid w:val="00841F44"/>
    <w:rsid w:val="00842A4C"/>
    <w:rsid w:val="00842C82"/>
    <w:rsid w:val="008436D7"/>
    <w:rsid w:val="008440F9"/>
    <w:rsid w:val="008440FE"/>
    <w:rsid w:val="00846119"/>
    <w:rsid w:val="008474E3"/>
    <w:rsid w:val="008506C2"/>
    <w:rsid w:val="008508F6"/>
    <w:rsid w:val="0085276A"/>
    <w:rsid w:val="008527ED"/>
    <w:rsid w:val="008537F7"/>
    <w:rsid w:val="008546BE"/>
    <w:rsid w:val="00856074"/>
    <w:rsid w:val="00856264"/>
    <w:rsid w:val="00857949"/>
    <w:rsid w:val="00861EBB"/>
    <w:rsid w:val="00862131"/>
    <w:rsid w:val="008621C2"/>
    <w:rsid w:val="00862FD3"/>
    <w:rsid w:val="00863965"/>
    <w:rsid w:val="008639FD"/>
    <w:rsid w:val="00866608"/>
    <w:rsid w:val="00867332"/>
    <w:rsid w:val="008715D5"/>
    <w:rsid w:val="008719C2"/>
    <w:rsid w:val="0087277A"/>
    <w:rsid w:val="00872A47"/>
    <w:rsid w:val="008736E2"/>
    <w:rsid w:val="00874565"/>
    <w:rsid w:val="008759F0"/>
    <w:rsid w:val="00877247"/>
    <w:rsid w:val="008801AE"/>
    <w:rsid w:val="00880AA3"/>
    <w:rsid w:val="0088421C"/>
    <w:rsid w:val="0088445B"/>
    <w:rsid w:val="00884B89"/>
    <w:rsid w:val="00886914"/>
    <w:rsid w:val="00886F90"/>
    <w:rsid w:val="00887D7F"/>
    <w:rsid w:val="00887F5D"/>
    <w:rsid w:val="00891AF6"/>
    <w:rsid w:val="00891BC3"/>
    <w:rsid w:val="00892CCD"/>
    <w:rsid w:val="008937C8"/>
    <w:rsid w:val="0089388C"/>
    <w:rsid w:val="008967C4"/>
    <w:rsid w:val="008979E1"/>
    <w:rsid w:val="008A0137"/>
    <w:rsid w:val="008A0D2A"/>
    <w:rsid w:val="008A1693"/>
    <w:rsid w:val="008A254F"/>
    <w:rsid w:val="008A2630"/>
    <w:rsid w:val="008A420C"/>
    <w:rsid w:val="008A5833"/>
    <w:rsid w:val="008A6F3E"/>
    <w:rsid w:val="008B0666"/>
    <w:rsid w:val="008B358C"/>
    <w:rsid w:val="008B3A88"/>
    <w:rsid w:val="008B4BFC"/>
    <w:rsid w:val="008B51B4"/>
    <w:rsid w:val="008B5B67"/>
    <w:rsid w:val="008B5D7A"/>
    <w:rsid w:val="008B5DC4"/>
    <w:rsid w:val="008B66E3"/>
    <w:rsid w:val="008B7848"/>
    <w:rsid w:val="008C1E05"/>
    <w:rsid w:val="008C34BB"/>
    <w:rsid w:val="008C3775"/>
    <w:rsid w:val="008C3CC4"/>
    <w:rsid w:val="008C45E2"/>
    <w:rsid w:val="008C5772"/>
    <w:rsid w:val="008C6FCF"/>
    <w:rsid w:val="008D0A59"/>
    <w:rsid w:val="008D1B20"/>
    <w:rsid w:val="008D3726"/>
    <w:rsid w:val="008D4CB0"/>
    <w:rsid w:val="008D6397"/>
    <w:rsid w:val="008D63C6"/>
    <w:rsid w:val="008D73C9"/>
    <w:rsid w:val="008D7896"/>
    <w:rsid w:val="008D7B5C"/>
    <w:rsid w:val="008E11F7"/>
    <w:rsid w:val="008E16BF"/>
    <w:rsid w:val="008E3049"/>
    <w:rsid w:val="008E35A3"/>
    <w:rsid w:val="008E5D99"/>
    <w:rsid w:val="008E65B9"/>
    <w:rsid w:val="008E7274"/>
    <w:rsid w:val="008F0562"/>
    <w:rsid w:val="008F1025"/>
    <w:rsid w:val="008F260B"/>
    <w:rsid w:val="008F4D84"/>
    <w:rsid w:val="008F525D"/>
    <w:rsid w:val="00900D2A"/>
    <w:rsid w:val="0090154C"/>
    <w:rsid w:val="009055EA"/>
    <w:rsid w:val="00906821"/>
    <w:rsid w:val="00906E65"/>
    <w:rsid w:val="009119F7"/>
    <w:rsid w:val="009144D5"/>
    <w:rsid w:val="00915F98"/>
    <w:rsid w:val="00915FA3"/>
    <w:rsid w:val="009217F8"/>
    <w:rsid w:val="00921F8A"/>
    <w:rsid w:val="0092470E"/>
    <w:rsid w:val="00925187"/>
    <w:rsid w:val="0092709C"/>
    <w:rsid w:val="0092717F"/>
    <w:rsid w:val="00927744"/>
    <w:rsid w:val="00927B05"/>
    <w:rsid w:val="00930F4E"/>
    <w:rsid w:val="009315B5"/>
    <w:rsid w:val="00931735"/>
    <w:rsid w:val="009319CA"/>
    <w:rsid w:val="00936062"/>
    <w:rsid w:val="00937CBE"/>
    <w:rsid w:val="00942BC4"/>
    <w:rsid w:val="00942C0C"/>
    <w:rsid w:val="00944087"/>
    <w:rsid w:val="00944E74"/>
    <w:rsid w:val="00945908"/>
    <w:rsid w:val="00947C4A"/>
    <w:rsid w:val="0095012E"/>
    <w:rsid w:val="00951934"/>
    <w:rsid w:val="0095207B"/>
    <w:rsid w:val="0095279C"/>
    <w:rsid w:val="00954C41"/>
    <w:rsid w:val="00954C8C"/>
    <w:rsid w:val="00956ACE"/>
    <w:rsid w:val="009572A0"/>
    <w:rsid w:val="00957D24"/>
    <w:rsid w:val="00960DCF"/>
    <w:rsid w:val="00960E0D"/>
    <w:rsid w:val="00961B53"/>
    <w:rsid w:val="00963264"/>
    <w:rsid w:val="0096389D"/>
    <w:rsid w:val="00965183"/>
    <w:rsid w:val="009671DF"/>
    <w:rsid w:val="009676C0"/>
    <w:rsid w:val="00967744"/>
    <w:rsid w:val="00970033"/>
    <w:rsid w:val="00971A02"/>
    <w:rsid w:val="00971C35"/>
    <w:rsid w:val="0097263A"/>
    <w:rsid w:val="00975643"/>
    <w:rsid w:val="009803A9"/>
    <w:rsid w:val="009803CB"/>
    <w:rsid w:val="009803D4"/>
    <w:rsid w:val="009807A2"/>
    <w:rsid w:val="00981110"/>
    <w:rsid w:val="0098199C"/>
    <w:rsid w:val="009820B5"/>
    <w:rsid w:val="00983464"/>
    <w:rsid w:val="009835E6"/>
    <w:rsid w:val="00983D23"/>
    <w:rsid w:val="0098676B"/>
    <w:rsid w:val="009873F3"/>
    <w:rsid w:val="00991092"/>
    <w:rsid w:val="00992548"/>
    <w:rsid w:val="00992FC1"/>
    <w:rsid w:val="00993EA6"/>
    <w:rsid w:val="00995E98"/>
    <w:rsid w:val="00996F15"/>
    <w:rsid w:val="00997BA8"/>
    <w:rsid w:val="009A06F4"/>
    <w:rsid w:val="009A1301"/>
    <w:rsid w:val="009A3778"/>
    <w:rsid w:val="009A3E2E"/>
    <w:rsid w:val="009A7F34"/>
    <w:rsid w:val="009B2245"/>
    <w:rsid w:val="009B258E"/>
    <w:rsid w:val="009B4ECE"/>
    <w:rsid w:val="009B5997"/>
    <w:rsid w:val="009B5BE7"/>
    <w:rsid w:val="009B6552"/>
    <w:rsid w:val="009B6B23"/>
    <w:rsid w:val="009B7ABD"/>
    <w:rsid w:val="009C1198"/>
    <w:rsid w:val="009C1D27"/>
    <w:rsid w:val="009C2D01"/>
    <w:rsid w:val="009C3BD9"/>
    <w:rsid w:val="009C46BD"/>
    <w:rsid w:val="009C5424"/>
    <w:rsid w:val="009C5B82"/>
    <w:rsid w:val="009C756E"/>
    <w:rsid w:val="009C7F13"/>
    <w:rsid w:val="009D0A45"/>
    <w:rsid w:val="009D0D3A"/>
    <w:rsid w:val="009D10C6"/>
    <w:rsid w:val="009D21BE"/>
    <w:rsid w:val="009D34DE"/>
    <w:rsid w:val="009D3C3D"/>
    <w:rsid w:val="009D5288"/>
    <w:rsid w:val="009D6FAD"/>
    <w:rsid w:val="009E257C"/>
    <w:rsid w:val="009E2AD3"/>
    <w:rsid w:val="009E47E5"/>
    <w:rsid w:val="009E5866"/>
    <w:rsid w:val="009E6BEE"/>
    <w:rsid w:val="009E7DF5"/>
    <w:rsid w:val="009F146F"/>
    <w:rsid w:val="009F3C75"/>
    <w:rsid w:val="009F7816"/>
    <w:rsid w:val="00A0037E"/>
    <w:rsid w:val="00A01303"/>
    <w:rsid w:val="00A01EAB"/>
    <w:rsid w:val="00A0232C"/>
    <w:rsid w:val="00A02C4F"/>
    <w:rsid w:val="00A02F8C"/>
    <w:rsid w:val="00A04A09"/>
    <w:rsid w:val="00A053EF"/>
    <w:rsid w:val="00A05821"/>
    <w:rsid w:val="00A05D1D"/>
    <w:rsid w:val="00A05EA2"/>
    <w:rsid w:val="00A076CC"/>
    <w:rsid w:val="00A07816"/>
    <w:rsid w:val="00A106CF"/>
    <w:rsid w:val="00A10D14"/>
    <w:rsid w:val="00A1165C"/>
    <w:rsid w:val="00A122B7"/>
    <w:rsid w:val="00A125D6"/>
    <w:rsid w:val="00A13F19"/>
    <w:rsid w:val="00A14E53"/>
    <w:rsid w:val="00A15580"/>
    <w:rsid w:val="00A16449"/>
    <w:rsid w:val="00A16814"/>
    <w:rsid w:val="00A16902"/>
    <w:rsid w:val="00A22011"/>
    <w:rsid w:val="00A22EFC"/>
    <w:rsid w:val="00A26389"/>
    <w:rsid w:val="00A30334"/>
    <w:rsid w:val="00A303B8"/>
    <w:rsid w:val="00A3162A"/>
    <w:rsid w:val="00A31F1F"/>
    <w:rsid w:val="00A321CF"/>
    <w:rsid w:val="00A33B96"/>
    <w:rsid w:val="00A34735"/>
    <w:rsid w:val="00A361C3"/>
    <w:rsid w:val="00A36562"/>
    <w:rsid w:val="00A411FA"/>
    <w:rsid w:val="00A44EC1"/>
    <w:rsid w:val="00A454B3"/>
    <w:rsid w:val="00A45E52"/>
    <w:rsid w:val="00A46652"/>
    <w:rsid w:val="00A46D15"/>
    <w:rsid w:val="00A4713D"/>
    <w:rsid w:val="00A4749F"/>
    <w:rsid w:val="00A475DC"/>
    <w:rsid w:val="00A5081C"/>
    <w:rsid w:val="00A521C1"/>
    <w:rsid w:val="00A5323B"/>
    <w:rsid w:val="00A54FB4"/>
    <w:rsid w:val="00A563E2"/>
    <w:rsid w:val="00A56DE0"/>
    <w:rsid w:val="00A609D0"/>
    <w:rsid w:val="00A61E03"/>
    <w:rsid w:val="00A63C18"/>
    <w:rsid w:val="00A63D9F"/>
    <w:rsid w:val="00A662DC"/>
    <w:rsid w:val="00A66E3D"/>
    <w:rsid w:val="00A66E7E"/>
    <w:rsid w:val="00A6741B"/>
    <w:rsid w:val="00A70D9D"/>
    <w:rsid w:val="00A7252C"/>
    <w:rsid w:val="00A730E5"/>
    <w:rsid w:val="00A74226"/>
    <w:rsid w:val="00A757B0"/>
    <w:rsid w:val="00A776A4"/>
    <w:rsid w:val="00A8049D"/>
    <w:rsid w:val="00A822C2"/>
    <w:rsid w:val="00A82990"/>
    <w:rsid w:val="00A86F4E"/>
    <w:rsid w:val="00A901F9"/>
    <w:rsid w:val="00A90401"/>
    <w:rsid w:val="00A90FF6"/>
    <w:rsid w:val="00A921E3"/>
    <w:rsid w:val="00A94D20"/>
    <w:rsid w:val="00A961A9"/>
    <w:rsid w:val="00A96BB3"/>
    <w:rsid w:val="00A9752B"/>
    <w:rsid w:val="00A97850"/>
    <w:rsid w:val="00AA2461"/>
    <w:rsid w:val="00AA2865"/>
    <w:rsid w:val="00AA3A9B"/>
    <w:rsid w:val="00AA3BF1"/>
    <w:rsid w:val="00AA5149"/>
    <w:rsid w:val="00AA5410"/>
    <w:rsid w:val="00AB124E"/>
    <w:rsid w:val="00AB21C6"/>
    <w:rsid w:val="00AB2841"/>
    <w:rsid w:val="00AB3860"/>
    <w:rsid w:val="00AB45FF"/>
    <w:rsid w:val="00AC053D"/>
    <w:rsid w:val="00AC28D3"/>
    <w:rsid w:val="00AC2F21"/>
    <w:rsid w:val="00AC6F7D"/>
    <w:rsid w:val="00AC7060"/>
    <w:rsid w:val="00AC720A"/>
    <w:rsid w:val="00AD00DC"/>
    <w:rsid w:val="00AD0E4E"/>
    <w:rsid w:val="00AD2F25"/>
    <w:rsid w:val="00AD60EA"/>
    <w:rsid w:val="00AD67D4"/>
    <w:rsid w:val="00AE0978"/>
    <w:rsid w:val="00AE2A62"/>
    <w:rsid w:val="00AE360D"/>
    <w:rsid w:val="00AE4331"/>
    <w:rsid w:val="00AE58FD"/>
    <w:rsid w:val="00AE614D"/>
    <w:rsid w:val="00AE6927"/>
    <w:rsid w:val="00AE7849"/>
    <w:rsid w:val="00AE7977"/>
    <w:rsid w:val="00AF1F10"/>
    <w:rsid w:val="00AF3D39"/>
    <w:rsid w:val="00AF497B"/>
    <w:rsid w:val="00AF69EA"/>
    <w:rsid w:val="00AF6A4C"/>
    <w:rsid w:val="00AF6EDF"/>
    <w:rsid w:val="00AF7A5B"/>
    <w:rsid w:val="00B02183"/>
    <w:rsid w:val="00B038B3"/>
    <w:rsid w:val="00B041B5"/>
    <w:rsid w:val="00B047C2"/>
    <w:rsid w:val="00B04CB1"/>
    <w:rsid w:val="00B05635"/>
    <w:rsid w:val="00B05AD9"/>
    <w:rsid w:val="00B07620"/>
    <w:rsid w:val="00B1191F"/>
    <w:rsid w:val="00B12775"/>
    <w:rsid w:val="00B1314F"/>
    <w:rsid w:val="00B1443D"/>
    <w:rsid w:val="00B151CF"/>
    <w:rsid w:val="00B1702C"/>
    <w:rsid w:val="00B20445"/>
    <w:rsid w:val="00B23476"/>
    <w:rsid w:val="00B247AD"/>
    <w:rsid w:val="00B25D05"/>
    <w:rsid w:val="00B26622"/>
    <w:rsid w:val="00B26669"/>
    <w:rsid w:val="00B276B4"/>
    <w:rsid w:val="00B27BA9"/>
    <w:rsid w:val="00B303F6"/>
    <w:rsid w:val="00B307B7"/>
    <w:rsid w:val="00B32887"/>
    <w:rsid w:val="00B36028"/>
    <w:rsid w:val="00B40064"/>
    <w:rsid w:val="00B41E58"/>
    <w:rsid w:val="00B44731"/>
    <w:rsid w:val="00B46E63"/>
    <w:rsid w:val="00B50A44"/>
    <w:rsid w:val="00B547D3"/>
    <w:rsid w:val="00B55524"/>
    <w:rsid w:val="00B56336"/>
    <w:rsid w:val="00B57251"/>
    <w:rsid w:val="00B575BF"/>
    <w:rsid w:val="00B612EA"/>
    <w:rsid w:val="00B612EE"/>
    <w:rsid w:val="00B61C66"/>
    <w:rsid w:val="00B61FF0"/>
    <w:rsid w:val="00B62604"/>
    <w:rsid w:val="00B62DF2"/>
    <w:rsid w:val="00B66A87"/>
    <w:rsid w:val="00B712D0"/>
    <w:rsid w:val="00B71B4E"/>
    <w:rsid w:val="00B72FFF"/>
    <w:rsid w:val="00B757E5"/>
    <w:rsid w:val="00B801A7"/>
    <w:rsid w:val="00B81F38"/>
    <w:rsid w:val="00B82E25"/>
    <w:rsid w:val="00B83B62"/>
    <w:rsid w:val="00B8535F"/>
    <w:rsid w:val="00B85F9E"/>
    <w:rsid w:val="00B86D25"/>
    <w:rsid w:val="00B878CD"/>
    <w:rsid w:val="00B87B87"/>
    <w:rsid w:val="00B91CB1"/>
    <w:rsid w:val="00B9249B"/>
    <w:rsid w:val="00B93D2C"/>
    <w:rsid w:val="00B9536C"/>
    <w:rsid w:val="00B9643D"/>
    <w:rsid w:val="00B97B05"/>
    <w:rsid w:val="00B97B5F"/>
    <w:rsid w:val="00BA1BBE"/>
    <w:rsid w:val="00BA1FFB"/>
    <w:rsid w:val="00BA2B3F"/>
    <w:rsid w:val="00BA2D14"/>
    <w:rsid w:val="00BA2F4E"/>
    <w:rsid w:val="00BA4E45"/>
    <w:rsid w:val="00BA5722"/>
    <w:rsid w:val="00BA59FB"/>
    <w:rsid w:val="00BA72DB"/>
    <w:rsid w:val="00BB14A3"/>
    <w:rsid w:val="00BB154A"/>
    <w:rsid w:val="00BB67E4"/>
    <w:rsid w:val="00BB6F7F"/>
    <w:rsid w:val="00BC130F"/>
    <w:rsid w:val="00BC15DE"/>
    <w:rsid w:val="00BC17C8"/>
    <w:rsid w:val="00BC2039"/>
    <w:rsid w:val="00BC369C"/>
    <w:rsid w:val="00BC4972"/>
    <w:rsid w:val="00BC6897"/>
    <w:rsid w:val="00BD0504"/>
    <w:rsid w:val="00BD112C"/>
    <w:rsid w:val="00BD1B8D"/>
    <w:rsid w:val="00BD2B53"/>
    <w:rsid w:val="00BD33D4"/>
    <w:rsid w:val="00BD40B1"/>
    <w:rsid w:val="00BD544D"/>
    <w:rsid w:val="00BD664E"/>
    <w:rsid w:val="00BD686B"/>
    <w:rsid w:val="00BE2212"/>
    <w:rsid w:val="00BE47BF"/>
    <w:rsid w:val="00BE5374"/>
    <w:rsid w:val="00BE627A"/>
    <w:rsid w:val="00BE6CE8"/>
    <w:rsid w:val="00BF6AA1"/>
    <w:rsid w:val="00BF7C54"/>
    <w:rsid w:val="00C016D9"/>
    <w:rsid w:val="00C01D5F"/>
    <w:rsid w:val="00C02586"/>
    <w:rsid w:val="00C0345A"/>
    <w:rsid w:val="00C03511"/>
    <w:rsid w:val="00C03833"/>
    <w:rsid w:val="00C04C3A"/>
    <w:rsid w:val="00C05700"/>
    <w:rsid w:val="00C06975"/>
    <w:rsid w:val="00C074CD"/>
    <w:rsid w:val="00C104C4"/>
    <w:rsid w:val="00C107C3"/>
    <w:rsid w:val="00C13520"/>
    <w:rsid w:val="00C13A34"/>
    <w:rsid w:val="00C1402A"/>
    <w:rsid w:val="00C14F9B"/>
    <w:rsid w:val="00C14FAB"/>
    <w:rsid w:val="00C15D25"/>
    <w:rsid w:val="00C15E02"/>
    <w:rsid w:val="00C15F42"/>
    <w:rsid w:val="00C1610B"/>
    <w:rsid w:val="00C1611D"/>
    <w:rsid w:val="00C16C9A"/>
    <w:rsid w:val="00C175E4"/>
    <w:rsid w:val="00C176E9"/>
    <w:rsid w:val="00C17719"/>
    <w:rsid w:val="00C21F60"/>
    <w:rsid w:val="00C232E0"/>
    <w:rsid w:val="00C24B5E"/>
    <w:rsid w:val="00C2534F"/>
    <w:rsid w:val="00C30058"/>
    <w:rsid w:val="00C30756"/>
    <w:rsid w:val="00C317A2"/>
    <w:rsid w:val="00C343FC"/>
    <w:rsid w:val="00C3651F"/>
    <w:rsid w:val="00C36633"/>
    <w:rsid w:val="00C36E9D"/>
    <w:rsid w:val="00C37535"/>
    <w:rsid w:val="00C37C86"/>
    <w:rsid w:val="00C4007D"/>
    <w:rsid w:val="00C412B1"/>
    <w:rsid w:val="00C4436C"/>
    <w:rsid w:val="00C461B2"/>
    <w:rsid w:val="00C47C8E"/>
    <w:rsid w:val="00C52FD1"/>
    <w:rsid w:val="00C531F2"/>
    <w:rsid w:val="00C5359B"/>
    <w:rsid w:val="00C53AF7"/>
    <w:rsid w:val="00C554B5"/>
    <w:rsid w:val="00C555B5"/>
    <w:rsid w:val="00C56EF2"/>
    <w:rsid w:val="00C570A6"/>
    <w:rsid w:val="00C579F3"/>
    <w:rsid w:val="00C600B3"/>
    <w:rsid w:val="00C60DE1"/>
    <w:rsid w:val="00C61464"/>
    <w:rsid w:val="00C61775"/>
    <w:rsid w:val="00C62657"/>
    <w:rsid w:val="00C63FD0"/>
    <w:rsid w:val="00C67C6B"/>
    <w:rsid w:val="00C67E8E"/>
    <w:rsid w:val="00C707E5"/>
    <w:rsid w:val="00C71BC1"/>
    <w:rsid w:val="00C72177"/>
    <w:rsid w:val="00C7285E"/>
    <w:rsid w:val="00C74B8C"/>
    <w:rsid w:val="00C8268F"/>
    <w:rsid w:val="00C82D52"/>
    <w:rsid w:val="00C8314E"/>
    <w:rsid w:val="00C83535"/>
    <w:rsid w:val="00C83D84"/>
    <w:rsid w:val="00C850F5"/>
    <w:rsid w:val="00C87436"/>
    <w:rsid w:val="00C875DB"/>
    <w:rsid w:val="00C91651"/>
    <w:rsid w:val="00C917A4"/>
    <w:rsid w:val="00C91934"/>
    <w:rsid w:val="00C922A2"/>
    <w:rsid w:val="00C927B2"/>
    <w:rsid w:val="00C9290E"/>
    <w:rsid w:val="00C93342"/>
    <w:rsid w:val="00C96A30"/>
    <w:rsid w:val="00C97CEE"/>
    <w:rsid w:val="00CA26EA"/>
    <w:rsid w:val="00CA2FB2"/>
    <w:rsid w:val="00CA32D6"/>
    <w:rsid w:val="00CA3D3A"/>
    <w:rsid w:val="00CA42D6"/>
    <w:rsid w:val="00CA5090"/>
    <w:rsid w:val="00CA528A"/>
    <w:rsid w:val="00CA5A6E"/>
    <w:rsid w:val="00CB0324"/>
    <w:rsid w:val="00CB15E9"/>
    <w:rsid w:val="00CB1B33"/>
    <w:rsid w:val="00CB2BD5"/>
    <w:rsid w:val="00CB5C55"/>
    <w:rsid w:val="00CB5D0A"/>
    <w:rsid w:val="00CB5E71"/>
    <w:rsid w:val="00CC13AC"/>
    <w:rsid w:val="00CC1D1A"/>
    <w:rsid w:val="00CC5956"/>
    <w:rsid w:val="00CC6260"/>
    <w:rsid w:val="00CD06DD"/>
    <w:rsid w:val="00CD1404"/>
    <w:rsid w:val="00CD5D29"/>
    <w:rsid w:val="00CD5E3C"/>
    <w:rsid w:val="00CE28E3"/>
    <w:rsid w:val="00CE2B66"/>
    <w:rsid w:val="00CE3F43"/>
    <w:rsid w:val="00CE4D40"/>
    <w:rsid w:val="00CE604A"/>
    <w:rsid w:val="00CF1A2D"/>
    <w:rsid w:val="00CF2913"/>
    <w:rsid w:val="00CF439F"/>
    <w:rsid w:val="00CF7120"/>
    <w:rsid w:val="00CF724C"/>
    <w:rsid w:val="00D001B4"/>
    <w:rsid w:val="00D003B7"/>
    <w:rsid w:val="00D00E36"/>
    <w:rsid w:val="00D01313"/>
    <w:rsid w:val="00D028E0"/>
    <w:rsid w:val="00D02F4F"/>
    <w:rsid w:val="00D0437F"/>
    <w:rsid w:val="00D049AB"/>
    <w:rsid w:val="00D04CB3"/>
    <w:rsid w:val="00D05BCB"/>
    <w:rsid w:val="00D06AB8"/>
    <w:rsid w:val="00D104DE"/>
    <w:rsid w:val="00D1384B"/>
    <w:rsid w:val="00D14B00"/>
    <w:rsid w:val="00D14E59"/>
    <w:rsid w:val="00D171E4"/>
    <w:rsid w:val="00D1774E"/>
    <w:rsid w:val="00D20031"/>
    <w:rsid w:val="00D225CA"/>
    <w:rsid w:val="00D266C1"/>
    <w:rsid w:val="00D27CBB"/>
    <w:rsid w:val="00D313B3"/>
    <w:rsid w:val="00D3292B"/>
    <w:rsid w:val="00D33F02"/>
    <w:rsid w:val="00D358F7"/>
    <w:rsid w:val="00D35F07"/>
    <w:rsid w:val="00D36376"/>
    <w:rsid w:val="00D363DA"/>
    <w:rsid w:val="00D36E67"/>
    <w:rsid w:val="00D37EF5"/>
    <w:rsid w:val="00D4110A"/>
    <w:rsid w:val="00D419C9"/>
    <w:rsid w:val="00D428B9"/>
    <w:rsid w:val="00D43246"/>
    <w:rsid w:val="00D4391B"/>
    <w:rsid w:val="00D4454C"/>
    <w:rsid w:val="00D45750"/>
    <w:rsid w:val="00D457EA"/>
    <w:rsid w:val="00D45C42"/>
    <w:rsid w:val="00D47442"/>
    <w:rsid w:val="00D47902"/>
    <w:rsid w:val="00D522DE"/>
    <w:rsid w:val="00D52E54"/>
    <w:rsid w:val="00D52FF5"/>
    <w:rsid w:val="00D56DFA"/>
    <w:rsid w:val="00D57C45"/>
    <w:rsid w:val="00D60E22"/>
    <w:rsid w:val="00D61302"/>
    <w:rsid w:val="00D62F4D"/>
    <w:rsid w:val="00D6447A"/>
    <w:rsid w:val="00D646DD"/>
    <w:rsid w:val="00D64906"/>
    <w:rsid w:val="00D652D9"/>
    <w:rsid w:val="00D67692"/>
    <w:rsid w:val="00D67A95"/>
    <w:rsid w:val="00D70DDA"/>
    <w:rsid w:val="00D73AD9"/>
    <w:rsid w:val="00D75832"/>
    <w:rsid w:val="00D806CE"/>
    <w:rsid w:val="00D809B3"/>
    <w:rsid w:val="00D80C29"/>
    <w:rsid w:val="00D80E8F"/>
    <w:rsid w:val="00D82725"/>
    <w:rsid w:val="00D8316D"/>
    <w:rsid w:val="00D83B51"/>
    <w:rsid w:val="00D84ECA"/>
    <w:rsid w:val="00D8525E"/>
    <w:rsid w:val="00D85E18"/>
    <w:rsid w:val="00D86713"/>
    <w:rsid w:val="00D9041B"/>
    <w:rsid w:val="00D90DBB"/>
    <w:rsid w:val="00D9141D"/>
    <w:rsid w:val="00D92DC0"/>
    <w:rsid w:val="00D9463D"/>
    <w:rsid w:val="00D946C9"/>
    <w:rsid w:val="00D94A98"/>
    <w:rsid w:val="00D94CF3"/>
    <w:rsid w:val="00D967A8"/>
    <w:rsid w:val="00D97BA6"/>
    <w:rsid w:val="00DA0100"/>
    <w:rsid w:val="00DA0259"/>
    <w:rsid w:val="00DA058E"/>
    <w:rsid w:val="00DA512C"/>
    <w:rsid w:val="00DA521B"/>
    <w:rsid w:val="00DA6765"/>
    <w:rsid w:val="00DA6D58"/>
    <w:rsid w:val="00DA7604"/>
    <w:rsid w:val="00DA7A12"/>
    <w:rsid w:val="00DB003C"/>
    <w:rsid w:val="00DB005C"/>
    <w:rsid w:val="00DB1C02"/>
    <w:rsid w:val="00DB1E91"/>
    <w:rsid w:val="00DB4410"/>
    <w:rsid w:val="00DB5117"/>
    <w:rsid w:val="00DB51C2"/>
    <w:rsid w:val="00DB5E79"/>
    <w:rsid w:val="00DB6031"/>
    <w:rsid w:val="00DB664A"/>
    <w:rsid w:val="00DB7463"/>
    <w:rsid w:val="00DC14AF"/>
    <w:rsid w:val="00DC1720"/>
    <w:rsid w:val="00DC3633"/>
    <w:rsid w:val="00DC4108"/>
    <w:rsid w:val="00DC4121"/>
    <w:rsid w:val="00DC4EC7"/>
    <w:rsid w:val="00DC4F64"/>
    <w:rsid w:val="00DC50C5"/>
    <w:rsid w:val="00DC52F2"/>
    <w:rsid w:val="00DC59CA"/>
    <w:rsid w:val="00DC64A7"/>
    <w:rsid w:val="00DD0953"/>
    <w:rsid w:val="00DD09A6"/>
    <w:rsid w:val="00DD1A95"/>
    <w:rsid w:val="00DD2C81"/>
    <w:rsid w:val="00DD39E0"/>
    <w:rsid w:val="00DD4B15"/>
    <w:rsid w:val="00DD5AB7"/>
    <w:rsid w:val="00DD7DB1"/>
    <w:rsid w:val="00DE0419"/>
    <w:rsid w:val="00DE074D"/>
    <w:rsid w:val="00DE2346"/>
    <w:rsid w:val="00DE2496"/>
    <w:rsid w:val="00DE3E35"/>
    <w:rsid w:val="00DE7099"/>
    <w:rsid w:val="00DF0FAA"/>
    <w:rsid w:val="00DF1C95"/>
    <w:rsid w:val="00DF341B"/>
    <w:rsid w:val="00DF369A"/>
    <w:rsid w:val="00DF39E9"/>
    <w:rsid w:val="00DF431B"/>
    <w:rsid w:val="00DF5994"/>
    <w:rsid w:val="00DF74D9"/>
    <w:rsid w:val="00DF7727"/>
    <w:rsid w:val="00E00C09"/>
    <w:rsid w:val="00E0360B"/>
    <w:rsid w:val="00E03A96"/>
    <w:rsid w:val="00E03B3A"/>
    <w:rsid w:val="00E04EB8"/>
    <w:rsid w:val="00E05AC9"/>
    <w:rsid w:val="00E05D56"/>
    <w:rsid w:val="00E06D5B"/>
    <w:rsid w:val="00E079B8"/>
    <w:rsid w:val="00E105A9"/>
    <w:rsid w:val="00E10686"/>
    <w:rsid w:val="00E10F3F"/>
    <w:rsid w:val="00E12710"/>
    <w:rsid w:val="00E1497E"/>
    <w:rsid w:val="00E15056"/>
    <w:rsid w:val="00E15DB1"/>
    <w:rsid w:val="00E17552"/>
    <w:rsid w:val="00E2049E"/>
    <w:rsid w:val="00E21B03"/>
    <w:rsid w:val="00E22445"/>
    <w:rsid w:val="00E231AE"/>
    <w:rsid w:val="00E2476C"/>
    <w:rsid w:val="00E26047"/>
    <w:rsid w:val="00E260A3"/>
    <w:rsid w:val="00E26D15"/>
    <w:rsid w:val="00E27DDB"/>
    <w:rsid w:val="00E31702"/>
    <w:rsid w:val="00E31B75"/>
    <w:rsid w:val="00E3242E"/>
    <w:rsid w:val="00E330C9"/>
    <w:rsid w:val="00E3330E"/>
    <w:rsid w:val="00E3351F"/>
    <w:rsid w:val="00E335F3"/>
    <w:rsid w:val="00E33992"/>
    <w:rsid w:val="00E33AA7"/>
    <w:rsid w:val="00E346CC"/>
    <w:rsid w:val="00E361FF"/>
    <w:rsid w:val="00E40ACF"/>
    <w:rsid w:val="00E40DAE"/>
    <w:rsid w:val="00E40F62"/>
    <w:rsid w:val="00E43249"/>
    <w:rsid w:val="00E436A2"/>
    <w:rsid w:val="00E44E18"/>
    <w:rsid w:val="00E4559E"/>
    <w:rsid w:val="00E458D8"/>
    <w:rsid w:val="00E518A7"/>
    <w:rsid w:val="00E521A7"/>
    <w:rsid w:val="00E529F5"/>
    <w:rsid w:val="00E5356B"/>
    <w:rsid w:val="00E53E00"/>
    <w:rsid w:val="00E54221"/>
    <w:rsid w:val="00E54C9B"/>
    <w:rsid w:val="00E550F4"/>
    <w:rsid w:val="00E55577"/>
    <w:rsid w:val="00E55675"/>
    <w:rsid w:val="00E5650A"/>
    <w:rsid w:val="00E56D35"/>
    <w:rsid w:val="00E57123"/>
    <w:rsid w:val="00E574EC"/>
    <w:rsid w:val="00E57F9C"/>
    <w:rsid w:val="00E615F9"/>
    <w:rsid w:val="00E6193C"/>
    <w:rsid w:val="00E62577"/>
    <w:rsid w:val="00E62696"/>
    <w:rsid w:val="00E62BC2"/>
    <w:rsid w:val="00E62C0C"/>
    <w:rsid w:val="00E63DAA"/>
    <w:rsid w:val="00E7221D"/>
    <w:rsid w:val="00E73A3A"/>
    <w:rsid w:val="00E74227"/>
    <w:rsid w:val="00E7615F"/>
    <w:rsid w:val="00E764D6"/>
    <w:rsid w:val="00E76AE0"/>
    <w:rsid w:val="00E76E0B"/>
    <w:rsid w:val="00E81A87"/>
    <w:rsid w:val="00E8228C"/>
    <w:rsid w:val="00E83948"/>
    <w:rsid w:val="00E83CF9"/>
    <w:rsid w:val="00E85748"/>
    <w:rsid w:val="00E90205"/>
    <w:rsid w:val="00E92832"/>
    <w:rsid w:val="00E92974"/>
    <w:rsid w:val="00E92F98"/>
    <w:rsid w:val="00E9331D"/>
    <w:rsid w:val="00E95322"/>
    <w:rsid w:val="00E95490"/>
    <w:rsid w:val="00E968C1"/>
    <w:rsid w:val="00E971F6"/>
    <w:rsid w:val="00E97F05"/>
    <w:rsid w:val="00EA0E54"/>
    <w:rsid w:val="00EA1769"/>
    <w:rsid w:val="00EA3671"/>
    <w:rsid w:val="00EB0DEA"/>
    <w:rsid w:val="00EB1787"/>
    <w:rsid w:val="00EB1F63"/>
    <w:rsid w:val="00EB27BC"/>
    <w:rsid w:val="00EB6A32"/>
    <w:rsid w:val="00EB6A74"/>
    <w:rsid w:val="00EB7EE9"/>
    <w:rsid w:val="00EC0F4D"/>
    <w:rsid w:val="00EC18A5"/>
    <w:rsid w:val="00EC2098"/>
    <w:rsid w:val="00EC33A0"/>
    <w:rsid w:val="00EC4836"/>
    <w:rsid w:val="00EC5088"/>
    <w:rsid w:val="00EC7AC9"/>
    <w:rsid w:val="00EC7EBE"/>
    <w:rsid w:val="00ED21B7"/>
    <w:rsid w:val="00ED5E38"/>
    <w:rsid w:val="00ED6AD6"/>
    <w:rsid w:val="00ED6EB6"/>
    <w:rsid w:val="00EE32A2"/>
    <w:rsid w:val="00EE3985"/>
    <w:rsid w:val="00EE4490"/>
    <w:rsid w:val="00EE4EEF"/>
    <w:rsid w:val="00EE6832"/>
    <w:rsid w:val="00EF0ADA"/>
    <w:rsid w:val="00EF1755"/>
    <w:rsid w:val="00EF1961"/>
    <w:rsid w:val="00EF2216"/>
    <w:rsid w:val="00EF29EC"/>
    <w:rsid w:val="00EF3B3C"/>
    <w:rsid w:val="00EF3D58"/>
    <w:rsid w:val="00EF7063"/>
    <w:rsid w:val="00EF7084"/>
    <w:rsid w:val="00F0387C"/>
    <w:rsid w:val="00F03B39"/>
    <w:rsid w:val="00F04052"/>
    <w:rsid w:val="00F04FED"/>
    <w:rsid w:val="00F06673"/>
    <w:rsid w:val="00F068F4"/>
    <w:rsid w:val="00F06961"/>
    <w:rsid w:val="00F1066F"/>
    <w:rsid w:val="00F12B33"/>
    <w:rsid w:val="00F1415F"/>
    <w:rsid w:val="00F14201"/>
    <w:rsid w:val="00F1508C"/>
    <w:rsid w:val="00F151F3"/>
    <w:rsid w:val="00F1578E"/>
    <w:rsid w:val="00F16CBC"/>
    <w:rsid w:val="00F175DF"/>
    <w:rsid w:val="00F20763"/>
    <w:rsid w:val="00F22591"/>
    <w:rsid w:val="00F227C8"/>
    <w:rsid w:val="00F23033"/>
    <w:rsid w:val="00F23479"/>
    <w:rsid w:val="00F23672"/>
    <w:rsid w:val="00F23CB7"/>
    <w:rsid w:val="00F257B5"/>
    <w:rsid w:val="00F2720E"/>
    <w:rsid w:val="00F27642"/>
    <w:rsid w:val="00F2776D"/>
    <w:rsid w:val="00F30593"/>
    <w:rsid w:val="00F346E6"/>
    <w:rsid w:val="00F34F53"/>
    <w:rsid w:val="00F3651D"/>
    <w:rsid w:val="00F36F42"/>
    <w:rsid w:val="00F37E00"/>
    <w:rsid w:val="00F4038D"/>
    <w:rsid w:val="00F40864"/>
    <w:rsid w:val="00F43324"/>
    <w:rsid w:val="00F439D5"/>
    <w:rsid w:val="00F44895"/>
    <w:rsid w:val="00F47D88"/>
    <w:rsid w:val="00F50585"/>
    <w:rsid w:val="00F516E3"/>
    <w:rsid w:val="00F51FCD"/>
    <w:rsid w:val="00F52F26"/>
    <w:rsid w:val="00F52F83"/>
    <w:rsid w:val="00F54832"/>
    <w:rsid w:val="00F5623B"/>
    <w:rsid w:val="00F57885"/>
    <w:rsid w:val="00F6008C"/>
    <w:rsid w:val="00F60C73"/>
    <w:rsid w:val="00F61403"/>
    <w:rsid w:val="00F62EA1"/>
    <w:rsid w:val="00F638EE"/>
    <w:rsid w:val="00F66144"/>
    <w:rsid w:val="00F6713F"/>
    <w:rsid w:val="00F67887"/>
    <w:rsid w:val="00F74398"/>
    <w:rsid w:val="00F74B51"/>
    <w:rsid w:val="00F75ACC"/>
    <w:rsid w:val="00F8103E"/>
    <w:rsid w:val="00F81362"/>
    <w:rsid w:val="00F854EE"/>
    <w:rsid w:val="00F91353"/>
    <w:rsid w:val="00F91F81"/>
    <w:rsid w:val="00F93412"/>
    <w:rsid w:val="00F938A9"/>
    <w:rsid w:val="00F9684A"/>
    <w:rsid w:val="00FA0825"/>
    <w:rsid w:val="00FA08AD"/>
    <w:rsid w:val="00FA09FD"/>
    <w:rsid w:val="00FA0D42"/>
    <w:rsid w:val="00FA1C25"/>
    <w:rsid w:val="00FA2F27"/>
    <w:rsid w:val="00FA4150"/>
    <w:rsid w:val="00FA5766"/>
    <w:rsid w:val="00FA7D7D"/>
    <w:rsid w:val="00FB359A"/>
    <w:rsid w:val="00FB620D"/>
    <w:rsid w:val="00FB6F67"/>
    <w:rsid w:val="00FC0AD7"/>
    <w:rsid w:val="00FC10DE"/>
    <w:rsid w:val="00FC1CB9"/>
    <w:rsid w:val="00FC1F71"/>
    <w:rsid w:val="00FC2D5F"/>
    <w:rsid w:val="00FC49AA"/>
    <w:rsid w:val="00FC5603"/>
    <w:rsid w:val="00FC67FE"/>
    <w:rsid w:val="00FC6E60"/>
    <w:rsid w:val="00FC6EAC"/>
    <w:rsid w:val="00FD02E8"/>
    <w:rsid w:val="00FD0B28"/>
    <w:rsid w:val="00FD17BA"/>
    <w:rsid w:val="00FD1A94"/>
    <w:rsid w:val="00FD2C9D"/>
    <w:rsid w:val="00FD2F74"/>
    <w:rsid w:val="00FD3B94"/>
    <w:rsid w:val="00FD40DD"/>
    <w:rsid w:val="00FD43B3"/>
    <w:rsid w:val="00FD4681"/>
    <w:rsid w:val="00FD4CB4"/>
    <w:rsid w:val="00FD5CCC"/>
    <w:rsid w:val="00FD6295"/>
    <w:rsid w:val="00FE1118"/>
    <w:rsid w:val="00FE40E5"/>
    <w:rsid w:val="00FE4739"/>
    <w:rsid w:val="00FE4DB2"/>
    <w:rsid w:val="00FE681D"/>
    <w:rsid w:val="00FE74DF"/>
    <w:rsid w:val="00FF0363"/>
    <w:rsid w:val="00FF0DBD"/>
    <w:rsid w:val="00FF2100"/>
    <w:rsid w:val="00FF2D2D"/>
    <w:rsid w:val="00FF3A07"/>
    <w:rsid w:val="00FF3FEA"/>
    <w:rsid w:val="00FF4C68"/>
    <w:rsid w:val="00FF6944"/>
    <w:rsid w:val="00FF6A6D"/>
    <w:rsid w:val="00FF6DF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paragraph" w:styleId="Heading5">
    <w:name w:val="heading 5"/>
    <w:basedOn w:val="Normal"/>
    <w:next w:val="Normal"/>
    <w:link w:val="Heading5Char"/>
    <w:uiPriority w:val="9"/>
    <w:semiHidden/>
    <w:unhideWhenUsed/>
    <w:qFormat/>
    <w:rsid w:val="00D806C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1"/>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uiPriority w:val="1"/>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HealthConsult,PBAC table,HTAtableplain,Lash Style Table"/>
    <w:basedOn w:val="TableNormal"/>
    <w:uiPriority w:val="59"/>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Styl moj,Akapit z listą1,Figure_name"/>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link w:val="TableHeadingChar0"/>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Arial Narrow" w:hAnsi="Arial Narrow"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Arial Narrow" w:hAnsi="Arial Narrow"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Arial Narrow" w:hAnsi="Arial Narrow"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iPriority w:val="99"/>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9"/>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customStyle="1" w:styleId="Heading5Char">
    <w:name w:val="Heading 5 Char"/>
    <w:basedOn w:val="DefaultParagraphFont"/>
    <w:link w:val="Heading5"/>
    <w:uiPriority w:val="9"/>
    <w:rsid w:val="00D806CE"/>
    <w:rPr>
      <w:rFonts w:asciiTheme="majorHAnsi" w:eastAsiaTheme="majorEastAsia" w:hAnsiTheme="majorHAnsi" w:cstheme="majorBidi"/>
      <w:color w:val="2E74B5" w:themeColor="accent1" w:themeShade="BF"/>
    </w:rPr>
  </w:style>
  <w:style w:type="table" w:customStyle="1" w:styleId="HealthConsult1">
    <w:name w:val="HealthConsult1"/>
    <w:basedOn w:val="TableNormal"/>
    <w:next w:val="TableGrid"/>
    <w:uiPriority w:val="39"/>
    <w:rsid w:val="00D806CE"/>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0">
    <w:name w:val="Table Heading Char"/>
    <w:basedOn w:val="DefaultParagraphFont"/>
    <w:link w:val="TableHeading0"/>
    <w:locked/>
    <w:rsid w:val="00D806CE"/>
    <w:rPr>
      <w:rFonts w:ascii="Arial Narrow" w:hAnsi="Arial Narrow"/>
      <w:b/>
      <w:sz w:val="20"/>
    </w:rPr>
  </w:style>
  <w:style w:type="paragraph" w:styleId="BodyText">
    <w:name w:val="Body Text"/>
    <w:basedOn w:val="Normal"/>
    <w:link w:val="BodyTextChar"/>
    <w:uiPriority w:val="99"/>
    <w:unhideWhenUsed/>
    <w:qFormat/>
    <w:rsid w:val="001F758A"/>
    <w:pPr>
      <w:jc w:val="both"/>
    </w:pPr>
    <w:rPr>
      <w:rFonts w:asciiTheme="minorHAnsi" w:hAnsiTheme="minorHAnsi"/>
    </w:rPr>
  </w:style>
  <w:style w:type="character" w:customStyle="1" w:styleId="BodyTextChar">
    <w:name w:val="Body Text Char"/>
    <w:basedOn w:val="DefaultParagraphFont"/>
    <w:link w:val="BodyText"/>
    <w:uiPriority w:val="99"/>
    <w:rsid w:val="001F758A"/>
  </w:style>
  <w:style w:type="table" w:customStyle="1" w:styleId="AZTable11">
    <w:name w:val="AZ Table11"/>
    <w:basedOn w:val="TableNormal"/>
    <w:uiPriority w:val="99"/>
    <w:rsid w:val="00291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paragraph" w:customStyle="1" w:styleId="TableBullet">
    <w:name w:val="TableBullet"/>
    <w:basedOn w:val="TableText1"/>
    <w:rsid w:val="00D57C45"/>
    <w:pPr>
      <w:numPr>
        <w:numId w:val="33"/>
      </w:numPr>
      <w:tabs>
        <w:tab w:val="left" w:pos="216"/>
      </w:tabs>
      <w:spacing w:before="60" w:after="60" w:line="240" w:lineRule="auto"/>
      <w:ind w:left="216" w:hanging="216"/>
      <w:jc w:val="left"/>
    </w:pPr>
    <w:rPr>
      <w:rFonts w:ascii="Times New Roman" w:hAnsi="Times New Roman" w:cs="Times New Roman"/>
      <w:color w:val="000000"/>
      <w:sz w:val="21"/>
      <w:szCs w:val="21"/>
    </w:rPr>
  </w:style>
  <w:style w:type="table" w:customStyle="1" w:styleId="HTAtableplain1">
    <w:name w:val="HTAtableplain1"/>
    <w:basedOn w:val="TableNormal"/>
    <w:uiPriority w:val="59"/>
    <w:rsid w:val="00D57C4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ll1">
    <w:name w:val="null1"/>
    <w:basedOn w:val="DefaultParagraphFont"/>
    <w:rsid w:val="00252358"/>
  </w:style>
  <w:style w:type="character" w:styleId="UnresolvedMention">
    <w:name w:val="Unresolved Mention"/>
    <w:basedOn w:val="DefaultParagraphFont"/>
    <w:uiPriority w:val="99"/>
    <w:semiHidden/>
    <w:unhideWhenUsed/>
    <w:rsid w:val="00B038B3"/>
    <w:rPr>
      <w:color w:val="605E5C"/>
      <w:shd w:val="clear" w:color="auto" w:fill="E1DFDD"/>
    </w:rPr>
  </w:style>
  <w:style w:type="paragraph" w:customStyle="1" w:styleId="Default">
    <w:name w:val="Default"/>
    <w:rsid w:val="006669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FigNotes18">
    <w:name w:val="TableFigNotes+18"/>
    <w:basedOn w:val="ListParagraph"/>
    <w:next w:val="BodyText"/>
    <w:uiPriority w:val="4"/>
    <w:qFormat/>
    <w:rsid w:val="007D738D"/>
    <w:pPr>
      <w:spacing w:before="0" w:after="0" w:line="240" w:lineRule="auto"/>
      <w:ind w:left="284" w:hanging="284"/>
      <w:contextualSpacing w:val="0"/>
      <w:jc w:val="both"/>
    </w:pPr>
    <w:rPr>
      <w:rFonts w:ascii="Calibri Light" w:eastAsia="Calibri" w:hAnsi="Calibri Light" w:cs="Calibri"/>
      <w:bCs/>
      <w:iCs/>
      <w:sz w:val="16"/>
      <w:szCs w:val="20"/>
    </w:rPr>
  </w:style>
  <w:style w:type="paragraph" w:customStyle="1" w:styleId="Tabletext9pt">
    <w:name w:val="Table text 9pt"/>
    <w:basedOn w:val="Tabletext0"/>
    <w:qFormat/>
    <w:rsid w:val="007D738D"/>
    <w:pPr>
      <w:keepNext/>
      <w:spacing w:before="20" w:after="20"/>
      <w:ind w:left="113" w:right="113"/>
    </w:pPr>
    <w:rPr>
      <w:rFonts w:ascii="Calibri Light" w:eastAsia="Calibri" w:hAnsi="Calibri Light" w:cs="Calibri"/>
      <w:bCs/>
      <w:sz w:val="18"/>
      <w:szCs w:val="14"/>
      <w:lang w:eastAsia="en-US"/>
    </w:rPr>
  </w:style>
  <w:style w:type="paragraph" w:customStyle="1" w:styleId="Pic">
    <w:name w:val="Pic"/>
    <w:next w:val="ListParagraph"/>
    <w:uiPriority w:val="9"/>
    <w:qFormat/>
    <w:rsid w:val="007D738D"/>
    <w:pPr>
      <w:keepNext/>
      <w:spacing w:after="0" w:line="240" w:lineRule="auto"/>
    </w:pPr>
    <w:rPr>
      <w:rFonts w:ascii="Calibri" w:eastAsia="Calibri" w:hAnsi="Calibri" w:cs="Calibri"/>
      <w:sz w:val="20"/>
      <w:szCs w:val="20"/>
    </w:rPr>
  </w:style>
  <w:style w:type="character" w:customStyle="1" w:styleId="cf01">
    <w:name w:val="cf01"/>
    <w:basedOn w:val="DefaultParagraphFont"/>
    <w:rsid w:val="0086660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03619127">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22200135">
      <w:bodyDiv w:val="1"/>
      <w:marLeft w:val="0"/>
      <w:marRight w:val="0"/>
      <w:marTop w:val="0"/>
      <w:marBottom w:val="0"/>
      <w:divBdr>
        <w:top w:val="none" w:sz="0" w:space="0" w:color="auto"/>
        <w:left w:val="none" w:sz="0" w:space="0" w:color="auto"/>
        <w:bottom w:val="none" w:sz="0" w:space="0" w:color="auto"/>
        <w:right w:val="none" w:sz="0" w:space="0" w:color="auto"/>
      </w:divBdr>
    </w:div>
    <w:div w:id="334916863">
      <w:bodyDiv w:val="1"/>
      <w:marLeft w:val="0"/>
      <w:marRight w:val="0"/>
      <w:marTop w:val="0"/>
      <w:marBottom w:val="0"/>
      <w:divBdr>
        <w:top w:val="none" w:sz="0" w:space="0" w:color="auto"/>
        <w:left w:val="none" w:sz="0" w:space="0" w:color="auto"/>
        <w:bottom w:val="none" w:sz="0" w:space="0" w:color="auto"/>
        <w:right w:val="none" w:sz="0" w:space="0" w:color="auto"/>
      </w:divBdr>
    </w:div>
    <w:div w:id="337579759">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04114309">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651375830">
      <w:bodyDiv w:val="1"/>
      <w:marLeft w:val="0"/>
      <w:marRight w:val="0"/>
      <w:marTop w:val="0"/>
      <w:marBottom w:val="0"/>
      <w:divBdr>
        <w:top w:val="none" w:sz="0" w:space="0" w:color="auto"/>
        <w:left w:val="none" w:sz="0" w:space="0" w:color="auto"/>
        <w:bottom w:val="none" w:sz="0" w:space="0" w:color="auto"/>
        <w:right w:val="none" w:sz="0" w:space="0" w:color="auto"/>
      </w:divBdr>
    </w:div>
    <w:div w:id="666589302">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59349005">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30382707">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1158769">
      <w:bodyDiv w:val="1"/>
      <w:marLeft w:val="0"/>
      <w:marRight w:val="0"/>
      <w:marTop w:val="0"/>
      <w:marBottom w:val="0"/>
      <w:divBdr>
        <w:top w:val="none" w:sz="0" w:space="0" w:color="auto"/>
        <w:left w:val="none" w:sz="0" w:space="0" w:color="auto"/>
        <w:bottom w:val="none" w:sz="0" w:space="0" w:color="auto"/>
        <w:right w:val="none" w:sz="0" w:space="0" w:color="auto"/>
      </w:divBdr>
      <w:divsChild>
        <w:div w:id="232207530">
          <w:marLeft w:val="547"/>
          <w:marRight w:val="0"/>
          <w:marTop w:val="120"/>
          <w:marBottom w:val="160"/>
          <w:divBdr>
            <w:top w:val="none" w:sz="0" w:space="0" w:color="auto"/>
            <w:left w:val="none" w:sz="0" w:space="0" w:color="auto"/>
            <w:bottom w:val="none" w:sz="0" w:space="0" w:color="auto"/>
            <w:right w:val="none" w:sz="0" w:space="0" w:color="auto"/>
          </w:divBdr>
        </w:div>
        <w:div w:id="78798912">
          <w:marLeft w:val="547"/>
          <w:marRight w:val="0"/>
          <w:marTop w:val="120"/>
          <w:marBottom w:val="160"/>
          <w:divBdr>
            <w:top w:val="none" w:sz="0" w:space="0" w:color="auto"/>
            <w:left w:val="none" w:sz="0" w:space="0" w:color="auto"/>
            <w:bottom w:val="none" w:sz="0" w:space="0" w:color="auto"/>
            <w:right w:val="none" w:sz="0" w:space="0" w:color="auto"/>
          </w:divBdr>
        </w:div>
        <w:div w:id="240258182">
          <w:marLeft w:val="547"/>
          <w:marRight w:val="0"/>
          <w:marTop w:val="120"/>
          <w:marBottom w:val="160"/>
          <w:divBdr>
            <w:top w:val="none" w:sz="0" w:space="0" w:color="auto"/>
            <w:left w:val="none" w:sz="0" w:space="0" w:color="auto"/>
            <w:bottom w:val="none" w:sz="0" w:space="0" w:color="auto"/>
            <w:right w:val="none" w:sz="0" w:space="0" w:color="auto"/>
          </w:divBdr>
        </w:div>
        <w:div w:id="474564714">
          <w:marLeft w:val="547"/>
          <w:marRight w:val="0"/>
          <w:marTop w:val="120"/>
          <w:marBottom w:val="160"/>
          <w:divBdr>
            <w:top w:val="none" w:sz="0" w:space="0" w:color="auto"/>
            <w:left w:val="none" w:sz="0" w:space="0" w:color="auto"/>
            <w:bottom w:val="none" w:sz="0" w:space="0" w:color="auto"/>
            <w:right w:val="none" w:sz="0" w:space="0" w:color="auto"/>
          </w:divBdr>
        </w:div>
        <w:div w:id="1785074911">
          <w:marLeft w:val="547"/>
          <w:marRight w:val="0"/>
          <w:marTop w:val="360"/>
          <w:marBottom w:val="120"/>
          <w:divBdr>
            <w:top w:val="none" w:sz="0" w:space="0" w:color="auto"/>
            <w:left w:val="none" w:sz="0" w:space="0" w:color="auto"/>
            <w:bottom w:val="none" w:sz="0" w:space="0" w:color="auto"/>
            <w:right w:val="none" w:sz="0" w:space="0" w:color="auto"/>
          </w:divBdr>
        </w:div>
        <w:div w:id="652681213">
          <w:marLeft w:val="547"/>
          <w:marRight w:val="0"/>
          <w:marTop w:val="360"/>
          <w:marBottom w:val="120"/>
          <w:divBdr>
            <w:top w:val="none" w:sz="0" w:space="0" w:color="auto"/>
            <w:left w:val="none" w:sz="0" w:space="0" w:color="auto"/>
            <w:bottom w:val="none" w:sz="0" w:space="0" w:color="auto"/>
            <w:right w:val="none" w:sz="0" w:space="0" w:color="auto"/>
          </w:divBdr>
        </w:div>
        <w:div w:id="1963150296">
          <w:marLeft w:val="547"/>
          <w:marRight w:val="0"/>
          <w:marTop w:val="120"/>
          <w:marBottom w:val="160"/>
          <w:divBdr>
            <w:top w:val="none" w:sz="0" w:space="0" w:color="auto"/>
            <w:left w:val="none" w:sz="0" w:space="0" w:color="auto"/>
            <w:bottom w:val="none" w:sz="0" w:space="0" w:color="auto"/>
            <w:right w:val="none" w:sz="0" w:space="0" w:color="auto"/>
          </w:divBdr>
        </w:div>
      </w:divsChild>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66377585">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
    <w:div w:id="1536846361">
      <w:bodyDiv w:val="1"/>
      <w:marLeft w:val="0"/>
      <w:marRight w:val="0"/>
      <w:marTop w:val="0"/>
      <w:marBottom w:val="0"/>
      <w:divBdr>
        <w:top w:val="none" w:sz="0" w:space="0" w:color="auto"/>
        <w:left w:val="none" w:sz="0" w:space="0" w:color="auto"/>
        <w:bottom w:val="none" w:sz="0" w:space="0" w:color="auto"/>
        <w:right w:val="none" w:sz="0" w:space="0" w:color="auto"/>
      </w:divBdr>
    </w:div>
    <w:div w:id="1583445638">
      <w:bodyDiv w:val="1"/>
      <w:marLeft w:val="0"/>
      <w:marRight w:val="0"/>
      <w:marTop w:val="0"/>
      <w:marBottom w:val="0"/>
      <w:divBdr>
        <w:top w:val="none" w:sz="0" w:space="0" w:color="auto"/>
        <w:left w:val="none" w:sz="0" w:space="0" w:color="auto"/>
        <w:bottom w:val="none" w:sz="0" w:space="0" w:color="auto"/>
        <w:right w:val="none" w:sz="0" w:space="0" w:color="auto"/>
      </w:divBdr>
    </w:div>
    <w:div w:id="1590428569">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685134346">
      <w:bodyDiv w:val="1"/>
      <w:marLeft w:val="0"/>
      <w:marRight w:val="0"/>
      <w:marTop w:val="0"/>
      <w:marBottom w:val="0"/>
      <w:divBdr>
        <w:top w:val="none" w:sz="0" w:space="0" w:color="auto"/>
        <w:left w:val="none" w:sz="0" w:space="0" w:color="auto"/>
        <w:bottom w:val="none" w:sz="0" w:space="0" w:color="auto"/>
        <w:right w:val="none" w:sz="0" w:space="0" w:color="auto"/>
      </w:divBdr>
    </w:div>
    <w:div w:id="1736121597">
      <w:bodyDiv w:val="1"/>
      <w:marLeft w:val="0"/>
      <w:marRight w:val="0"/>
      <w:marTop w:val="0"/>
      <w:marBottom w:val="0"/>
      <w:divBdr>
        <w:top w:val="none" w:sz="0" w:space="0" w:color="auto"/>
        <w:left w:val="none" w:sz="0" w:space="0" w:color="auto"/>
        <w:bottom w:val="none" w:sz="0" w:space="0" w:color="auto"/>
        <w:right w:val="none" w:sz="0" w:space="0" w:color="auto"/>
      </w:divBdr>
    </w:div>
    <w:div w:id="1756320963">
      <w:bodyDiv w:val="1"/>
      <w:marLeft w:val="0"/>
      <w:marRight w:val="0"/>
      <w:marTop w:val="0"/>
      <w:marBottom w:val="0"/>
      <w:divBdr>
        <w:top w:val="none" w:sz="0" w:space="0" w:color="auto"/>
        <w:left w:val="none" w:sz="0" w:space="0" w:color="auto"/>
        <w:bottom w:val="none" w:sz="0" w:space="0" w:color="auto"/>
        <w:right w:val="none" w:sz="0" w:space="0" w:color="auto"/>
      </w:divBdr>
    </w:div>
    <w:div w:id="1772360292">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790319037">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1980840710">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45208466">
      <w:bodyDiv w:val="1"/>
      <w:marLeft w:val="0"/>
      <w:marRight w:val="0"/>
      <w:marTop w:val="0"/>
      <w:marBottom w:val="0"/>
      <w:divBdr>
        <w:top w:val="none" w:sz="0" w:space="0" w:color="auto"/>
        <w:left w:val="none" w:sz="0" w:space="0" w:color="auto"/>
        <w:bottom w:val="none" w:sz="0" w:space="0" w:color="auto"/>
        <w:right w:val="none" w:sz="0" w:space="0" w:color="auto"/>
      </w:divBdr>
      <w:divsChild>
        <w:div w:id="2068332978">
          <w:marLeft w:val="547"/>
          <w:marRight w:val="0"/>
          <w:marTop w:val="120"/>
          <w:marBottom w:val="160"/>
          <w:divBdr>
            <w:top w:val="none" w:sz="0" w:space="0" w:color="auto"/>
            <w:left w:val="none" w:sz="0" w:space="0" w:color="auto"/>
            <w:bottom w:val="none" w:sz="0" w:space="0" w:color="auto"/>
            <w:right w:val="none" w:sz="0" w:space="0" w:color="auto"/>
          </w:divBdr>
        </w:div>
        <w:div w:id="1176766819">
          <w:marLeft w:val="547"/>
          <w:marRight w:val="0"/>
          <w:marTop w:val="120"/>
          <w:marBottom w:val="160"/>
          <w:divBdr>
            <w:top w:val="none" w:sz="0" w:space="0" w:color="auto"/>
            <w:left w:val="none" w:sz="0" w:space="0" w:color="auto"/>
            <w:bottom w:val="none" w:sz="0" w:space="0" w:color="auto"/>
            <w:right w:val="none" w:sz="0" w:space="0" w:color="auto"/>
          </w:divBdr>
        </w:div>
        <w:div w:id="326176782">
          <w:marLeft w:val="547"/>
          <w:marRight w:val="0"/>
          <w:marTop w:val="120"/>
          <w:marBottom w:val="160"/>
          <w:divBdr>
            <w:top w:val="none" w:sz="0" w:space="0" w:color="auto"/>
            <w:left w:val="none" w:sz="0" w:space="0" w:color="auto"/>
            <w:bottom w:val="none" w:sz="0" w:space="0" w:color="auto"/>
            <w:right w:val="none" w:sz="0" w:space="0" w:color="auto"/>
          </w:divBdr>
        </w:div>
        <w:div w:id="1056585474">
          <w:marLeft w:val="547"/>
          <w:marRight w:val="0"/>
          <w:marTop w:val="120"/>
          <w:marBottom w:val="160"/>
          <w:divBdr>
            <w:top w:val="none" w:sz="0" w:space="0" w:color="auto"/>
            <w:left w:val="none" w:sz="0" w:space="0" w:color="auto"/>
            <w:bottom w:val="none" w:sz="0" w:space="0" w:color="auto"/>
            <w:right w:val="none" w:sz="0" w:space="0" w:color="auto"/>
          </w:divBdr>
        </w:div>
        <w:div w:id="1890454395">
          <w:marLeft w:val="547"/>
          <w:marRight w:val="0"/>
          <w:marTop w:val="360"/>
          <w:marBottom w:val="120"/>
          <w:divBdr>
            <w:top w:val="none" w:sz="0" w:space="0" w:color="auto"/>
            <w:left w:val="none" w:sz="0" w:space="0" w:color="auto"/>
            <w:bottom w:val="none" w:sz="0" w:space="0" w:color="auto"/>
            <w:right w:val="none" w:sz="0" w:space="0" w:color="auto"/>
          </w:divBdr>
        </w:div>
        <w:div w:id="1063137371">
          <w:marLeft w:val="547"/>
          <w:marRight w:val="0"/>
          <w:marTop w:val="360"/>
          <w:marBottom w:val="120"/>
          <w:divBdr>
            <w:top w:val="none" w:sz="0" w:space="0" w:color="auto"/>
            <w:left w:val="none" w:sz="0" w:space="0" w:color="auto"/>
            <w:bottom w:val="none" w:sz="0" w:space="0" w:color="auto"/>
            <w:right w:val="none" w:sz="0" w:space="0" w:color="auto"/>
          </w:divBdr>
        </w:div>
        <w:div w:id="1041591300">
          <w:marLeft w:val="547"/>
          <w:marRight w:val="0"/>
          <w:marTop w:val="120"/>
          <w:marBottom w:val="160"/>
          <w:divBdr>
            <w:top w:val="none" w:sz="0" w:space="0" w:color="auto"/>
            <w:left w:val="none" w:sz="0" w:space="0" w:color="auto"/>
            <w:bottom w:val="none" w:sz="0" w:space="0" w:color="auto"/>
            <w:right w:val="none" w:sz="0" w:space="0" w:color="auto"/>
          </w:divBdr>
        </w:div>
      </w:divsChild>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082559428">
      <w:bodyDiv w:val="1"/>
      <w:marLeft w:val="0"/>
      <w:marRight w:val="0"/>
      <w:marTop w:val="0"/>
      <w:marBottom w:val="0"/>
      <w:divBdr>
        <w:top w:val="none" w:sz="0" w:space="0" w:color="auto"/>
        <w:left w:val="none" w:sz="0" w:space="0" w:color="auto"/>
        <w:bottom w:val="none" w:sz="0" w:space="0" w:color="auto"/>
        <w:right w:val="none" w:sz="0" w:space="0" w:color="auto"/>
      </w:divBdr>
    </w:div>
    <w:div w:id="209531902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ascopubs.org/doi/abs/10.1200/JCO.2022.40.16_suppl.5000"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ascopubs.org/doi/abs/10.1200/JCO.2022.40.16_suppl.5000"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scopubs.org/doi/abs/10.1200/JCO.2022.40.16_suppl.5000" TargetMode="External"/><Relationship Id="rId20" Type="http://schemas.openxmlformats.org/officeDocument/2006/relationships/hyperlink" Target="http://www.msac.gov.au/internet/msac/publishing.nsf/Content/46EBF5FE4400662ECA25876100090CF4/$File/1686%20Redacted%20Application%20Form.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copubs.org/doi/abs/10.1200/JCO.2022.40.16_suppl.5000"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msac.gov.au/" TargetMode="External"/><Relationship Id="rId19"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msac.gov.au/internet/msac/publishing.nsf/Content/Home-1"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scopubs.org/doi/abs/10.1200/JCO.2022.40.16_suppl.500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MSAC%20current\MSAC%201686%20-%20ADAR\Attachment%207%20-%20LuPSMA_CUA_7Feb22_SZ.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177Lu PSMA OS VISION</c:v>
          </c:tx>
          <c:spPr>
            <a:ln w="19050" cap="rnd">
              <a:solidFill>
                <a:schemeClr val="accent1"/>
              </a:solidFill>
              <a:round/>
            </a:ln>
            <a:effectLst/>
          </c:spPr>
          <c:marker>
            <c:symbol val="none"/>
          </c:marker>
          <c:xVal>
            <c:strRef>
              <c:f>Sheet1!$A$2:$A$1045</c:f>
              <c:strCache>
                <c:ptCount val="525"/>
                <c:pt idx="0">
                  <c:v>Cycle (weeks)</c:v>
                </c:pt>
                <c:pt idx="3">
                  <c:v>0.000</c:v>
                </c:pt>
                <c:pt idx="4">
                  <c:v>1.000</c:v>
                </c:pt>
                <c:pt idx="5">
                  <c:v>2.000</c:v>
                </c:pt>
                <c:pt idx="6">
                  <c:v>3.000</c:v>
                </c:pt>
                <c:pt idx="7">
                  <c:v>4.000</c:v>
                </c:pt>
                <c:pt idx="8">
                  <c:v>5.000</c:v>
                </c:pt>
                <c:pt idx="9">
                  <c:v>6.000</c:v>
                </c:pt>
                <c:pt idx="10">
                  <c:v>7.000</c:v>
                </c:pt>
                <c:pt idx="11">
                  <c:v>8.000</c:v>
                </c:pt>
                <c:pt idx="12">
                  <c:v>9.000</c:v>
                </c:pt>
                <c:pt idx="13">
                  <c:v>10.000</c:v>
                </c:pt>
                <c:pt idx="14">
                  <c:v>11.000</c:v>
                </c:pt>
                <c:pt idx="15">
                  <c:v>12.000</c:v>
                </c:pt>
                <c:pt idx="16">
                  <c:v>13.000</c:v>
                </c:pt>
                <c:pt idx="17">
                  <c:v>14.000</c:v>
                </c:pt>
                <c:pt idx="18">
                  <c:v>15.000</c:v>
                </c:pt>
                <c:pt idx="19">
                  <c:v>16.000</c:v>
                </c:pt>
                <c:pt idx="20">
                  <c:v>17.000</c:v>
                </c:pt>
                <c:pt idx="21">
                  <c:v>18.000</c:v>
                </c:pt>
                <c:pt idx="22">
                  <c:v>19.000</c:v>
                </c:pt>
                <c:pt idx="23">
                  <c:v>20.000</c:v>
                </c:pt>
                <c:pt idx="24">
                  <c:v>21.000</c:v>
                </c:pt>
                <c:pt idx="25">
                  <c:v>22.000</c:v>
                </c:pt>
                <c:pt idx="26">
                  <c:v>23.000</c:v>
                </c:pt>
                <c:pt idx="27">
                  <c:v>24.000</c:v>
                </c:pt>
                <c:pt idx="28">
                  <c:v>25.000</c:v>
                </c:pt>
                <c:pt idx="29">
                  <c:v>26.000</c:v>
                </c:pt>
                <c:pt idx="30">
                  <c:v>27.000</c:v>
                </c:pt>
                <c:pt idx="31">
                  <c:v>28.000</c:v>
                </c:pt>
                <c:pt idx="32">
                  <c:v>29.000</c:v>
                </c:pt>
                <c:pt idx="33">
                  <c:v>30.000</c:v>
                </c:pt>
                <c:pt idx="34">
                  <c:v>31.000</c:v>
                </c:pt>
                <c:pt idx="35">
                  <c:v>32.000</c:v>
                </c:pt>
                <c:pt idx="36">
                  <c:v>33.000</c:v>
                </c:pt>
                <c:pt idx="37">
                  <c:v>34.000</c:v>
                </c:pt>
                <c:pt idx="38">
                  <c:v>35.000</c:v>
                </c:pt>
                <c:pt idx="39">
                  <c:v>36.000</c:v>
                </c:pt>
                <c:pt idx="40">
                  <c:v>37.000</c:v>
                </c:pt>
                <c:pt idx="41">
                  <c:v>38.000</c:v>
                </c:pt>
                <c:pt idx="42">
                  <c:v>39.000</c:v>
                </c:pt>
                <c:pt idx="43">
                  <c:v>40.000</c:v>
                </c:pt>
                <c:pt idx="44">
                  <c:v>41.000</c:v>
                </c:pt>
                <c:pt idx="45">
                  <c:v>42.000</c:v>
                </c:pt>
                <c:pt idx="46">
                  <c:v>43.000</c:v>
                </c:pt>
                <c:pt idx="47">
                  <c:v>44.000</c:v>
                </c:pt>
                <c:pt idx="48">
                  <c:v>45.000</c:v>
                </c:pt>
                <c:pt idx="49">
                  <c:v>46.000</c:v>
                </c:pt>
                <c:pt idx="50">
                  <c:v>47.000</c:v>
                </c:pt>
                <c:pt idx="51">
                  <c:v>48.000</c:v>
                </c:pt>
                <c:pt idx="52">
                  <c:v>49.000</c:v>
                </c:pt>
                <c:pt idx="53">
                  <c:v>50.000</c:v>
                </c:pt>
                <c:pt idx="54">
                  <c:v>51.000</c:v>
                </c:pt>
                <c:pt idx="55">
                  <c:v>52.000</c:v>
                </c:pt>
                <c:pt idx="56">
                  <c:v>53.000</c:v>
                </c:pt>
                <c:pt idx="57">
                  <c:v>54.000</c:v>
                </c:pt>
                <c:pt idx="58">
                  <c:v>55.000</c:v>
                </c:pt>
                <c:pt idx="59">
                  <c:v>56.000</c:v>
                </c:pt>
                <c:pt idx="60">
                  <c:v>57.000</c:v>
                </c:pt>
                <c:pt idx="61">
                  <c:v>58.000</c:v>
                </c:pt>
                <c:pt idx="62">
                  <c:v>59.000</c:v>
                </c:pt>
                <c:pt idx="63">
                  <c:v>60.000</c:v>
                </c:pt>
                <c:pt idx="64">
                  <c:v>61.000</c:v>
                </c:pt>
                <c:pt idx="65">
                  <c:v>62.000</c:v>
                </c:pt>
                <c:pt idx="66">
                  <c:v>63.000</c:v>
                </c:pt>
                <c:pt idx="67">
                  <c:v>64.000</c:v>
                </c:pt>
                <c:pt idx="68">
                  <c:v>65.000</c:v>
                </c:pt>
                <c:pt idx="69">
                  <c:v>66.000</c:v>
                </c:pt>
                <c:pt idx="70">
                  <c:v>67.000</c:v>
                </c:pt>
                <c:pt idx="71">
                  <c:v>68.000</c:v>
                </c:pt>
                <c:pt idx="72">
                  <c:v>69.000</c:v>
                </c:pt>
                <c:pt idx="73">
                  <c:v>70.000</c:v>
                </c:pt>
                <c:pt idx="74">
                  <c:v>71.000</c:v>
                </c:pt>
                <c:pt idx="75">
                  <c:v>72.000</c:v>
                </c:pt>
                <c:pt idx="76">
                  <c:v>73.000</c:v>
                </c:pt>
                <c:pt idx="77">
                  <c:v>74.000</c:v>
                </c:pt>
                <c:pt idx="78">
                  <c:v>75.000</c:v>
                </c:pt>
                <c:pt idx="79">
                  <c:v>76.000</c:v>
                </c:pt>
                <c:pt idx="80">
                  <c:v>77.000</c:v>
                </c:pt>
                <c:pt idx="81">
                  <c:v>78.000</c:v>
                </c:pt>
                <c:pt idx="82">
                  <c:v>79.000</c:v>
                </c:pt>
                <c:pt idx="83">
                  <c:v>80.000</c:v>
                </c:pt>
                <c:pt idx="84">
                  <c:v>81.000</c:v>
                </c:pt>
                <c:pt idx="85">
                  <c:v>82.000</c:v>
                </c:pt>
                <c:pt idx="86">
                  <c:v>83.000</c:v>
                </c:pt>
                <c:pt idx="87">
                  <c:v>84.000</c:v>
                </c:pt>
                <c:pt idx="88">
                  <c:v>85.000</c:v>
                </c:pt>
                <c:pt idx="89">
                  <c:v>86.000</c:v>
                </c:pt>
                <c:pt idx="90">
                  <c:v>87.000</c:v>
                </c:pt>
                <c:pt idx="91">
                  <c:v>88.000</c:v>
                </c:pt>
                <c:pt idx="92">
                  <c:v>89.000</c:v>
                </c:pt>
                <c:pt idx="93">
                  <c:v>90.000</c:v>
                </c:pt>
                <c:pt idx="94">
                  <c:v>91.000</c:v>
                </c:pt>
                <c:pt idx="95">
                  <c:v>92.000</c:v>
                </c:pt>
                <c:pt idx="96">
                  <c:v>93.000</c:v>
                </c:pt>
                <c:pt idx="97">
                  <c:v>94.000</c:v>
                </c:pt>
                <c:pt idx="98">
                  <c:v>95.000</c:v>
                </c:pt>
                <c:pt idx="99">
                  <c:v>96.000</c:v>
                </c:pt>
                <c:pt idx="100">
                  <c:v>97.000</c:v>
                </c:pt>
                <c:pt idx="101">
                  <c:v>98.000</c:v>
                </c:pt>
                <c:pt idx="102">
                  <c:v>99.000</c:v>
                </c:pt>
                <c:pt idx="103">
                  <c:v>100.000</c:v>
                </c:pt>
                <c:pt idx="104">
                  <c:v>101.000</c:v>
                </c:pt>
                <c:pt idx="105">
                  <c:v>102.000</c:v>
                </c:pt>
                <c:pt idx="106">
                  <c:v>103.000</c:v>
                </c:pt>
                <c:pt idx="107">
                  <c:v>104.000</c:v>
                </c:pt>
                <c:pt idx="108">
                  <c:v>105.000</c:v>
                </c:pt>
                <c:pt idx="109">
                  <c:v>106.000</c:v>
                </c:pt>
                <c:pt idx="110">
                  <c:v>107.000</c:v>
                </c:pt>
                <c:pt idx="111">
                  <c:v>108.000</c:v>
                </c:pt>
                <c:pt idx="112">
                  <c:v>109.000</c:v>
                </c:pt>
                <c:pt idx="113">
                  <c:v>110.000</c:v>
                </c:pt>
                <c:pt idx="114">
                  <c:v>111.000</c:v>
                </c:pt>
                <c:pt idx="115">
                  <c:v>112.000</c:v>
                </c:pt>
                <c:pt idx="116">
                  <c:v>113.000</c:v>
                </c:pt>
                <c:pt idx="117">
                  <c:v>114.000</c:v>
                </c:pt>
                <c:pt idx="118">
                  <c:v>115.000</c:v>
                </c:pt>
                <c:pt idx="119">
                  <c:v>116.000</c:v>
                </c:pt>
                <c:pt idx="120">
                  <c:v>117.000</c:v>
                </c:pt>
                <c:pt idx="121">
                  <c:v>118.000</c:v>
                </c:pt>
                <c:pt idx="122">
                  <c:v>119.000</c:v>
                </c:pt>
                <c:pt idx="123">
                  <c:v>120.000</c:v>
                </c:pt>
                <c:pt idx="124">
                  <c:v>121.000</c:v>
                </c:pt>
                <c:pt idx="125">
                  <c:v>122.000</c:v>
                </c:pt>
                <c:pt idx="126">
                  <c:v>123.000</c:v>
                </c:pt>
                <c:pt idx="127">
                  <c:v>124.000</c:v>
                </c:pt>
                <c:pt idx="128">
                  <c:v>125.000</c:v>
                </c:pt>
                <c:pt idx="129">
                  <c:v>126.000</c:v>
                </c:pt>
                <c:pt idx="130">
                  <c:v>127.000</c:v>
                </c:pt>
                <c:pt idx="131">
                  <c:v>128.000</c:v>
                </c:pt>
                <c:pt idx="132">
                  <c:v>129.000</c:v>
                </c:pt>
                <c:pt idx="133">
                  <c:v>130.000</c:v>
                </c:pt>
                <c:pt idx="134">
                  <c:v>131.000</c:v>
                </c:pt>
                <c:pt idx="135">
                  <c:v>132.000</c:v>
                </c:pt>
                <c:pt idx="136">
                  <c:v>133.000</c:v>
                </c:pt>
                <c:pt idx="137">
                  <c:v>134.000</c:v>
                </c:pt>
                <c:pt idx="138">
                  <c:v>135.000</c:v>
                </c:pt>
                <c:pt idx="139">
                  <c:v>136.000</c:v>
                </c:pt>
                <c:pt idx="140">
                  <c:v>137.000</c:v>
                </c:pt>
                <c:pt idx="141">
                  <c:v>138.000</c:v>
                </c:pt>
                <c:pt idx="142">
                  <c:v>139.000</c:v>
                </c:pt>
                <c:pt idx="143">
                  <c:v>140.000</c:v>
                </c:pt>
                <c:pt idx="144">
                  <c:v>141.000</c:v>
                </c:pt>
                <c:pt idx="145">
                  <c:v>142.000</c:v>
                </c:pt>
                <c:pt idx="146">
                  <c:v>143.000</c:v>
                </c:pt>
                <c:pt idx="147">
                  <c:v>144.000</c:v>
                </c:pt>
                <c:pt idx="148">
                  <c:v>145.000</c:v>
                </c:pt>
                <c:pt idx="149">
                  <c:v>146.000</c:v>
                </c:pt>
                <c:pt idx="150">
                  <c:v>147.000</c:v>
                </c:pt>
                <c:pt idx="151">
                  <c:v>148.000</c:v>
                </c:pt>
                <c:pt idx="152">
                  <c:v>149.000</c:v>
                </c:pt>
                <c:pt idx="153">
                  <c:v>150.000</c:v>
                </c:pt>
                <c:pt idx="154">
                  <c:v>151.000</c:v>
                </c:pt>
                <c:pt idx="155">
                  <c:v>152.000</c:v>
                </c:pt>
                <c:pt idx="156">
                  <c:v>153.000</c:v>
                </c:pt>
                <c:pt idx="157">
                  <c:v>154.000</c:v>
                </c:pt>
                <c:pt idx="158">
                  <c:v>155.000</c:v>
                </c:pt>
                <c:pt idx="159">
                  <c:v>156.000</c:v>
                </c:pt>
                <c:pt idx="160">
                  <c:v>157.000</c:v>
                </c:pt>
                <c:pt idx="161">
                  <c:v>158.000</c:v>
                </c:pt>
                <c:pt idx="162">
                  <c:v>159.000</c:v>
                </c:pt>
                <c:pt idx="163">
                  <c:v>160.000</c:v>
                </c:pt>
                <c:pt idx="164">
                  <c:v>161.000</c:v>
                </c:pt>
                <c:pt idx="165">
                  <c:v>162.000</c:v>
                </c:pt>
                <c:pt idx="166">
                  <c:v>163.000</c:v>
                </c:pt>
                <c:pt idx="167">
                  <c:v>164.000</c:v>
                </c:pt>
                <c:pt idx="168">
                  <c:v>165.000</c:v>
                </c:pt>
                <c:pt idx="169">
                  <c:v>166.000</c:v>
                </c:pt>
                <c:pt idx="170">
                  <c:v>167.000</c:v>
                </c:pt>
                <c:pt idx="171">
                  <c:v>168.000</c:v>
                </c:pt>
                <c:pt idx="172">
                  <c:v>169.000</c:v>
                </c:pt>
                <c:pt idx="173">
                  <c:v>170.000</c:v>
                </c:pt>
                <c:pt idx="174">
                  <c:v>171.000</c:v>
                </c:pt>
                <c:pt idx="175">
                  <c:v>172.000</c:v>
                </c:pt>
                <c:pt idx="176">
                  <c:v>173.000</c:v>
                </c:pt>
                <c:pt idx="177">
                  <c:v>174.000</c:v>
                </c:pt>
                <c:pt idx="178">
                  <c:v>175.000</c:v>
                </c:pt>
                <c:pt idx="179">
                  <c:v>176.000</c:v>
                </c:pt>
                <c:pt idx="180">
                  <c:v>177.000</c:v>
                </c:pt>
                <c:pt idx="181">
                  <c:v>178.000</c:v>
                </c:pt>
                <c:pt idx="182">
                  <c:v>179.000</c:v>
                </c:pt>
                <c:pt idx="183">
                  <c:v>180.000</c:v>
                </c:pt>
                <c:pt idx="184">
                  <c:v>181.000</c:v>
                </c:pt>
                <c:pt idx="185">
                  <c:v>182.000</c:v>
                </c:pt>
                <c:pt idx="186">
                  <c:v>183.000</c:v>
                </c:pt>
                <c:pt idx="187">
                  <c:v>184.000</c:v>
                </c:pt>
                <c:pt idx="188">
                  <c:v>185.000</c:v>
                </c:pt>
                <c:pt idx="189">
                  <c:v>186.000</c:v>
                </c:pt>
                <c:pt idx="190">
                  <c:v>187.000</c:v>
                </c:pt>
                <c:pt idx="191">
                  <c:v>188.000</c:v>
                </c:pt>
                <c:pt idx="192">
                  <c:v>189.000</c:v>
                </c:pt>
                <c:pt idx="193">
                  <c:v>190.000</c:v>
                </c:pt>
                <c:pt idx="194">
                  <c:v>191.000</c:v>
                </c:pt>
                <c:pt idx="195">
                  <c:v>192.000</c:v>
                </c:pt>
                <c:pt idx="196">
                  <c:v>193.000</c:v>
                </c:pt>
                <c:pt idx="197">
                  <c:v>194.000</c:v>
                </c:pt>
                <c:pt idx="198">
                  <c:v>195.000</c:v>
                </c:pt>
                <c:pt idx="199">
                  <c:v>196.000</c:v>
                </c:pt>
                <c:pt idx="200">
                  <c:v>197.000</c:v>
                </c:pt>
                <c:pt idx="201">
                  <c:v>198.000</c:v>
                </c:pt>
                <c:pt idx="202">
                  <c:v>199.000</c:v>
                </c:pt>
                <c:pt idx="203">
                  <c:v>200.000</c:v>
                </c:pt>
                <c:pt idx="204">
                  <c:v>201.000</c:v>
                </c:pt>
                <c:pt idx="205">
                  <c:v>202.000</c:v>
                </c:pt>
                <c:pt idx="206">
                  <c:v>203.000</c:v>
                </c:pt>
                <c:pt idx="207">
                  <c:v>204.000</c:v>
                </c:pt>
                <c:pt idx="208">
                  <c:v>205.000</c:v>
                </c:pt>
                <c:pt idx="209">
                  <c:v>206.000</c:v>
                </c:pt>
                <c:pt idx="210">
                  <c:v>207.000</c:v>
                </c:pt>
                <c:pt idx="211">
                  <c:v>208.000</c:v>
                </c:pt>
                <c:pt idx="212">
                  <c:v>209.000</c:v>
                </c:pt>
                <c:pt idx="213">
                  <c:v>210.000</c:v>
                </c:pt>
                <c:pt idx="214">
                  <c:v>211.000</c:v>
                </c:pt>
                <c:pt idx="215">
                  <c:v>212.000</c:v>
                </c:pt>
                <c:pt idx="216">
                  <c:v>213.000</c:v>
                </c:pt>
                <c:pt idx="217">
                  <c:v>214.000</c:v>
                </c:pt>
                <c:pt idx="218">
                  <c:v>215.000</c:v>
                </c:pt>
                <c:pt idx="219">
                  <c:v>216.000</c:v>
                </c:pt>
                <c:pt idx="220">
                  <c:v>217.000</c:v>
                </c:pt>
                <c:pt idx="221">
                  <c:v>218.000</c:v>
                </c:pt>
                <c:pt idx="222">
                  <c:v>219.000</c:v>
                </c:pt>
                <c:pt idx="223">
                  <c:v>220.000</c:v>
                </c:pt>
                <c:pt idx="224">
                  <c:v>221.000</c:v>
                </c:pt>
                <c:pt idx="225">
                  <c:v>222.000</c:v>
                </c:pt>
                <c:pt idx="226">
                  <c:v>223.000</c:v>
                </c:pt>
                <c:pt idx="227">
                  <c:v>224.000</c:v>
                </c:pt>
                <c:pt idx="228">
                  <c:v>225.000</c:v>
                </c:pt>
                <c:pt idx="229">
                  <c:v>226.000</c:v>
                </c:pt>
                <c:pt idx="230">
                  <c:v>227.000</c:v>
                </c:pt>
                <c:pt idx="231">
                  <c:v>228.000</c:v>
                </c:pt>
                <c:pt idx="232">
                  <c:v>229.000</c:v>
                </c:pt>
                <c:pt idx="233">
                  <c:v>230.000</c:v>
                </c:pt>
                <c:pt idx="234">
                  <c:v>231.000</c:v>
                </c:pt>
                <c:pt idx="235">
                  <c:v>232.000</c:v>
                </c:pt>
                <c:pt idx="236">
                  <c:v>233.000</c:v>
                </c:pt>
                <c:pt idx="237">
                  <c:v>234.000</c:v>
                </c:pt>
                <c:pt idx="238">
                  <c:v>235.000</c:v>
                </c:pt>
                <c:pt idx="239">
                  <c:v>236.000</c:v>
                </c:pt>
                <c:pt idx="240">
                  <c:v>237.000</c:v>
                </c:pt>
                <c:pt idx="241">
                  <c:v>238.000</c:v>
                </c:pt>
                <c:pt idx="242">
                  <c:v>239.000</c:v>
                </c:pt>
                <c:pt idx="243">
                  <c:v>240.000</c:v>
                </c:pt>
                <c:pt idx="244">
                  <c:v>241.000</c:v>
                </c:pt>
                <c:pt idx="245">
                  <c:v>242.000</c:v>
                </c:pt>
                <c:pt idx="246">
                  <c:v>243.000</c:v>
                </c:pt>
                <c:pt idx="247">
                  <c:v>244.000</c:v>
                </c:pt>
                <c:pt idx="248">
                  <c:v>245.000</c:v>
                </c:pt>
                <c:pt idx="249">
                  <c:v>246.000</c:v>
                </c:pt>
                <c:pt idx="250">
                  <c:v>247.000</c:v>
                </c:pt>
                <c:pt idx="251">
                  <c:v>248.000</c:v>
                </c:pt>
                <c:pt idx="252">
                  <c:v>249.000</c:v>
                </c:pt>
                <c:pt idx="253">
                  <c:v>250.000</c:v>
                </c:pt>
                <c:pt idx="254">
                  <c:v>251.000</c:v>
                </c:pt>
                <c:pt idx="255">
                  <c:v>252.000</c:v>
                </c:pt>
                <c:pt idx="256">
                  <c:v>253.000</c:v>
                </c:pt>
                <c:pt idx="257">
                  <c:v>254.000</c:v>
                </c:pt>
                <c:pt idx="258">
                  <c:v>255.000</c:v>
                </c:pt>
                <c:pt idx="259">
                  <c:v>256.000</c:v>
                </c:pt>
                <c:pt idx="260">
                  <c:v>257.000</c:v>
                </c:pt>
                <c:pt idx="261">
                  <c:v>258.000</c:v>
                </c:pt>
                <c:pt idx="262">
                  <c:v>259.000</c:v>
                </c:pt>
                <c:pt idx="263">
                  <c:v>260.000</c:v>
                </c:pt>
                <c:pt idx="264">
                  <c:v>261.000</c:v>
                </c:pt>
                <c:pt idx="265">
                  <c:v>262.000</c:v>
                </c:pt>
                <c:pt idx="266">
                  <c:v>263.000</c:v>
                </c:pt>
                <c:pt idx="267">
                  <c:v>264.000</c:v>
                </c:pt>
                <c:pt idx="268">
                  <c:v>265.000</c:v>
                </c:pt>
                <c:pt idx="269">
                  <c:v>266.000</c:v>
                </c:pt>
                <c:pt idx="270">
                  <c:v>267.000</c:v>
                </c:pt>
                <c:pt idx="271">
                  <c:v>268.000</c:v>
                </c:pt>
                <c:pt idx="272">
                  <c:v>269.000</c:v>
                </c:pt>
                <c:pt idx="273">
                  <c:v>270.000</c:v>
                </c:pt>
                <c:pt idx="274">
                  <c:v>271.000</c:v>
                </c:pt>
                <c:pt idx="275">
                  <c:v>272.000</c:v>
                </c:pt>
                <c:pt idx="276">
                  <c:v>273.000</c:v>
                </c:pt>
                <c:pt idx="277">
                  <c:v>274.000</c:v>
                </c:pt>
                <c:pt idx="278">
                  <c:v>275.000</c:v>
                </c:pt>
                <c:pt idx="279">
                  <c:v>276.000</c:v>
                </c:pt>
                <c:pt idx="280">
                  <c:v>277.000</c:v>
                </c:pt>
                <c:pt idx="281">
                  <c:v>278.000</c:v>
                </c:pt>
                <c:pt idx="282">
                  <c:v>279.000</c:v>
                </c:pt>
                <c:pt idx="283">
                  <c:v>280.000</c:v>
                </c:pt>
                <c:pt idx="284">
                  <c:v>281.000</c:v>
                </c:pt>
                <c:pt idx="285">
                  <c:v>282.000</c:v>
                </c:pt>
                <c:pt idx="286">
                  <c:v>283.000</c:v>
                </c:pt>
                <c:pt idx="287">
                  <c:v>284.000</c:v>
                </c:pt>
                <c:pt idx="288">
                  <c:v>285.000</c:v>
                </c:pt>
                <c:pt idx="289">
                  <c:v>286.000</c:v>
                </c:pt>
                <c:pt idx="290">
                  <c:v>287.000</c:v>
                </c:pt>
                <c:pt idx="291">
                  <c:v>288.000</c:v>
                </c:pt>
                <c:pt idx="292">
                  <c:v>289.000</c:v>
                </c:pt>
                <c:pt idx="293">
                  <c:v>290.000</c:v>
                </c:pt>
                <c:pt idx="294">
                  <c:v>291.000</c:v>
                </c:pt>
                <c:pt idx="295">
                  <c:v>292.000</c:v>
                </c:pt>
                <c:pt idx="296">
                  <c:v>293.000</c:v>
                </c:pt>
                <c:pt idx="297">
                  <c:v>294.000</c:v>
                </c:pt>
                <c:pt idx="298">
                  <c:v>295.000</c:v>
                </c:pt>
                <c:pt idx="299">
                  <c:v>296.000</c:v>
                </c:pt>
                <c:pt idx="300">
                  <c:v>297.000</c:v>
                </c:pt>
                <c:pt idx="301">
                  <c:v>298.000</c:v>
                </c:pt>
                <c:pt idx="302">
                  <c:v>299.000</c:v>
                </c:pt>
                <c:pt idx="303">
                  <c:v>300.000</c:v>
                </c:pt>
                <c:pt idx="304">
                  <c:v>301.000</c:v>
                </c:pt>
                <c:pt idx="305">
                  <c:v>302.000</c:v>
                </c:pt>
                <c:pt idx="306">
                  <c:v>303.000</c:v>
                </c:pt>
                <c:pt idx="307">
                  <c:v>304.000</c:v>
                </c:pt>
                <c:pt idx="308">
                  <c:v>305.000</c:v>
                </c:pt>
                <c:pt idx="309">
                  <c:v>306.000</c:v>
                </c:pt>
                <c:pt idx="310">
                  <c:v>307.000</c:v>
                </c:pt>
                <c:pt idx="311">
                  <c:v>308.000</c:v>
                </c:pt>
                <c:pt idx="312">
                  <c:v>309.000</c:v>
                </c:pt>
                <c:pt idx="313">
                  <c:v>310.000</c:v>
                </c:pt>
                <c:pt idx="314">
                  <c:v>311.000</c:v>
                </c:pt>
                <c:pt idx="315">
                  <c:v>312.000</c:v>
                </c:pt>
                <c:pt idx="316">
                  <c:v>313.000</c:v>
                </c:pt>
                <c:pt idx="317">
                  <c:v>314.000</c:v>
                </c:pt>
                <c:pt idx="318">
                  <c:v>315.000</c:v>
                </c:pt>
                <c:pt idx="319">
                  <c:v>316.000</c:v>
                </c:pt>
                <c:pt idx="320">
                  <c:v>317.000</c:v>
                </c:pt>
                <c:pt idx="321">
                  <c:v>318.000</c:v>
                </c:pt>
                <c:pt idx="322">
                  <c:v>319.000</c:v>
                </c:pt>
                <c:pt idx="323">
                  <c:v>320.000</c:v>
                </c:pt>
                <c:pt idx="324">
                  <c:v>321.000</c:v>
                </c:pt>
                <c:pt idx="325">
                  <c:v>322.000</c:v>
                </c:pt>
                <c:pt idx="326">
                  <c:v>323.000</c:v>
                </c:pt>
                <c:pt idx="327">
                  <c:v>324.000</c:v>
                </c:pt>
                <c:pt idx="328">
                  <c:v>325.000</c:v>
                </c:pt>
                <c:pt idx="329">
                  <c:v>326.000</c:v>
                </c:pt>
                <c:pt idx="330">
                  <c:v>327.000</c:v>
                </c:pt>
                <c:pt idx="331">
                  <c:v>328.000</c:v>
                </c:pt>
                <c:pt idx="332">
                  <c:v>329.000</c:v>
                </c:pt>
                <c:pt idx="333">
                  <c:v>330.000</c:v>
                </c:pt>
                <c:pt idx="334">
                  <c:v>331.000</c:v>
                </c:pt>
                <c:pt idx="335">
                  <c:v>332.000</c:v>
                </c:pt>
                <c:pt idx="336">
                  <c:v>333.000</c:v>
                </c:pt>
                <c:pt idx="337">
                  <c:v>334.000</c:v>
                </c:pt>
                <c:pt idx="338">
                  <c:v>335.000</c:v>
                </c:pt>
                <c:pt idx="339">
                  <c:v>336.000</c:v>
                </c:pt>
                <c:pt idx="340">
                  <c:v>337.000</c:v>
                </c:pt>
                <c:pt idx="341">
                  <c:v>338.000</c:v>
                </c:pt>
                <c:pt idx="342">
                  <c:v>339.000</c:v>
                </c:pt>
                <c:pt idx="343">
                  <c:v>340.000</c:v>
                </c:pt>
                <c:pt idx="344">
                  <c:v>341.000</c:v>
                </c:pt>
                <c:pt idx="345">
                  <c:v>342.000</c:v>
                </c:pt>
                <c:pt idx="346">
                  <c:v>343.000</c:v>
                </c:pt>
                <c:pt idx="347">
                  <c:v>344.000</c:v>
                </c:pt>
                <c:pt idx="348">
                  <c:v>345.000</c:v>
                </c:pt>
                <c:pt idx="349">
                  <c:v>346.000</c:v>
                </c:pt>
                <c:pt idx="350">
                  <c:v>347.000</c:v>
                </c:pt>
                <c:pt idx="351">
                  <c:v>348.000</c:v>
                </c:pt>
                <c:pt idx="352">
                  <c:v>349.000</c:v>
                </c:pt>
                <c:pt idx="353">
                  <c:v>350.000</c:v>
                </c:pt>
                <c:pt idx="354">
                  <c:v>351.000</c:v>
                </c:pt>
                <c:pt idx="355">
                  <c:v>352.000</c:v>
                </c:pt>
                <c:pt idx="356">
                  <c:v>353.000</c:v>
                </c:pt>
                <c:pt idx="357">
                  <c:v>354.000</c:v>
                </c:pt>
                <c:pt idx="358">
                  <c:v>355.000</c:v>
                </c:pt>
                <c:pt idx="359">
                  <c:v>356.000</c:v>
                </c:pt>
                <c:pt idx="360">
                  <c:v>357.000</c:v>
                </c:pt>
                <c:pt idx="361">
                  <c:v>358.000</c:v>
                </c:pt>
                <c:pt idx="362">
                  <c:v>359.000</c:v>
                </c:pt>
                <c:pt idx="363">
                  <c:v>360.000</c:v>
                </c:pt>
                <c:pt idx="364">
                  <c:v>361.000</c:v>
                </c:pt>
                <c:pt idx="365">
                  <c:v>362.000</c:v>
                </c:pt>
                <c:pt idx="366">
                  <c:v>363.000</c:v>
                </c:pt>
                <c:pt idx="367">
                  <c:v>364.000</c:v>
                </c:pt>
                <c:pt idx="368">
                  <c:v>365.000</c:v>
                </c:pt>
                <c:pt idx="369">
                  <c:v>366.000</c:v>
                </c:pt>
                <c:pt idx="370">
                  <c:v>367.000</c:v>
                </c:pt>
                <c:pt idx="371">
                  <c:v>368.000</c:v>
                </c:pt>
                <c:pt idx="372">
                  <c:v>369.000</c:v>
                </c:pt>
                <c:pt idx="373">
                  <c:v>370.000</c:v>
                </c:pt>
                <c:pt idx="374">
                  <c:v>371.000</c:v>
                </c:pt>
                <c:pt idx="375">
                  <c:v>372.000</c:v>
                </c:pt>
                <c:pt idx="376">
                  <c:v>373.000</c:v>
                </c:pt>
                <c:pt idx="377">
                  <c:v>374.000</c:v>
                </c:pt>
                <c:pt idx="378">
                  <c:v>375.000</c:v>
                </c:pt>
                <c:pt idx="379">
                  <c:v>376.000</c:v>
                </c:pt>
                <c:pt idx="380">
                  <c:v>377.000</c:v>
                </c:pt>
                <c:pt idx="381">
                  <c:v>378.000</c:v>
                </c:pt>
                <c:pt idx="382">
                  <c:v>379.000</c:v>
                </c:pt>
                <c:pt idx="383">
                  <c:v>380.000</c:v>
                </c:pt>
                <c:pt idx="384">
                  <c:v>381.000</c:v>
                </c:pt>
                <c:pt idx="385">
                  <c:v>382.000</c:v>
                </c:pt>
                <c:pt idx="386">
                  <c:v>383.000</c:v>
                </c:pt>
                <c:pt idx="387">
                  <c:v>384.000</c:v>
                </c:pt>
                <c:pt idx="388">
                  <c:v>385.000</c:v>
                </c:pt>
                <c:pt idx="389">
                  <c:v>386.000</c:v>
                </c:pt>
                <c:pt idx="390">
                  <c:v>387.000</c:v>
                </c:pt>
                <c:pt idx="391">
                  <c:v>388.000</c:v>
                </c:pt>
                <c:pt idx="392">
                  <c:v>389.000</c:v>
                </c:pt>
                <c:pt idx="393">
                  <c:v>390.000</c:v>
                </c:pt>
                <c:pt idx="394">
                  <c:v>391.000</c:v>
                </c:pt>
                <c:pt idx="395">
                  <c:v>392.000</c:v>
                </c:pt>
                <c:pt idx="396">
                  <c:v>393.000</c:v>
                </c:pt>
                <c:pt idx="397">
                  <c:v>394.000</c:v>
                </c:pt>
                <c:pt idx="398">
                  <c:v>395.000</c:v>
                </c:pt>
                <c:pt idx="399">
                  <c:v>396.000</c:v>
                </c:pt>
                <c:pt idx="400">
                  <c:v>397.000</c:v>
                </c:pt>
                <c:pt idx="401">
                  <c:v>398.000</c:v>
                </c:pt>
                <c:pt idx="402">
                  <c:v>399.000</c:v>
                </c:pt>
                <c:pt idx="403">
                  <c:v>400.000</c:v>
                </c:pt>
                <c:pt idx="404">
                  <c:v>401.000</c:v>
                </c:pt>
                <c:pt idx="405">
                  <c:v>402.000</c:v>
                </c:pt>
                <c:pt idx="406">
                  <c:v>403.000</c:v>
                </c:pt>
                <c:pt idx="407">
                  <c:v>404.000</c:v>
                </c:pt>
                <c:pt idx="408">
                  <c:v>405.000</c:v>
                </c:pt>
                <c:pt idx="409">
                  <c:v>406.000</c:v>
                </c:pt>
                <c:pt idx="410">
                  <c:v>407.000</c:v>
                </c:pt>
                <c:pt idx="411">
                  <c:v>408.000</c:v>
                </c:pt>
                <c:pt idx="412">
                  <c:v>409.000</c:v>
                </c:pt>
                <c:pt idx="413">
                  <c:v>410.000</c:v>
                </c:pt>
                <c:pt idx="414">
                  <c:v>411.000</c:v>
                </c:pt>
                <c:pt idx="415">
                  <c:v>412.000</c:v>
                </c:pt>
                <c:pt idx="416">
                  <c:v>413.000</c:v>
                </c:pt>
                <c:pt idx="417">
                  <c:v>414.000</c:v>
                </c:pt>
                <c:pt idx="418">
                  <c:v>415.000</c:v>
                </c:pt>
                <c:pt idx="419">
                  <c:v>416.000</c:v>
                </c:pt>
                <c:pt idx="420">
                  <c:v>417.000</c:v>
                </c:pt>
                <c:pt idx="421">
                  <c:v>418.000</c:v>
                </c:pt>
                <c:pt idx="422">
                  <c:v>419.000</c:v>
                </c:pt>
                <c:pt idx="423">
                  <c:v>420.000</c:v>
                </c:pt>
                <c:pt idx="424">
                  <c:v>421.000</c:v>
                </c:pt>
                <c:pt idx="425">
                  <c:v>422.000</c:v>
                </c:pt>
                <c:pt idx="426">
                  <c:v>423.000</c:v>
                </c:pt>
                <c:pt idx="427">
                  <c:v>424.000</c:v>
                </c:pt>
                <c:pt idx="428">
                  <c:v>425.000</c:v>
                </c:pt>
                <c:pt idx="429">
                  <c:v>426.000</c:v>
                </c:pt>
                <c:pt idx="430">
                  <c:v>427.000</c:v>
                </c:pt>
                <c:pt idx="431">
                  <c:v>428.000</c:v>
                </c:pt>
                <c:pt idx="432">
                  <c:v>429.000</c:v>
                </c:pt>
                <c:pt idx="433">
                  <c:v>430.000</c:v>
                </c:pt>
                <c:pt idx="434">
                  <c:v>431.000</c:v>
                </c:pt>
                <c:pt idx="435">
                  <c:v>432.000</c:v>
                </c:pt>
                <c:pt idx="436">
                  <c:v>433.000</c:v>
                </c:pt>
                <c:pt idx="437">
                  <c:v>434.000</c:v>
                </c:pt>
                <c:pt idx="438">
                  <c:v>435.000</c:v>
                </c:pt>
                <c:pt idx="439">
                  <c:v>436.000</c:v>
                </c:pt>
                <c:pt idx="440">
                  <c:v>437.000</c:v>
                </c:pt>
                <c:pt idx="441">
                  <c:v>438.000</c:v>
                </c:pt>
                <c:pt idx="442">
                  <c:v>439.000</c:v>
                </c:pt>
                <c:pt idx="443">
                  <c:v>440.000</c:v>
                </c:pt>
                <c:pt idx="444">
                  <c:v>441.000</c:v>
                </c:pt>
                <c:pt idx="445">
                  <c:v>442.000</c:v>
                </c:pt>
                <c:pt idx="446">
                  <c:v>443.000</c:v>
                </c:pt>
                <c:pt idx="447">
                  <c:v>444.000</c:v>
                </c:pt>
                <c:pt idx="448">
                  <c:v>445.000</c:v>
                </c:pt>
                <c:pt idx="449">
                  <c:v>446.000</c:v>
                </c:pt>
                <c:pt idx="450">
                  <c:v>447.000</c:v>
                </c:pt>
                <c:pt idx="451">
                  <c:v>448.000</c:v>
                </c:pt>
                <c:pt idx="452">
                  <c:v>449.000</c:v>
                </c:pt>
                <c:pt idx="453">
                  <c:v>450.000</c:v>
                </c:pt>
                <c:pt idx="454">
                  <c:v>451.000</c:v>
                </c:pt>
                <c:pt idx="455">
                  <c:v>452.000</c:v>
                </c:pt>
                <c:pt idx="456">
                  <c:v>453.000</c:v>
                </c:pt>
                <c:pt idx="457">
                  <c:v>454.000</c:v>
                </c:pt>
                <c:pt idx="458">
                  <c:v>455.000</c:v>
                </c:pt>
                <c:pt idx="459">
                  <c:v>456.000</c:v>
                </c:pt>
                <c:pt idx="460">
                  <c:v>457.000</c:v>
                </c:pt>
                <c:pt idx="461">
                  <c:v>458.000</c:v>
                </c:pt>
                <c:pt idx="462">
                  <c:v>459.000</c:v>
                </c:pt>
                <c:pt idx="463">
                  <c:v>460.000</c:v>
                </c:pt>
                <c:pt idx="464">
                  <c:v>461.000</c:v>
                </c:pt>
                <c:pt idx="465">
                  <c:v>462.000</c:v>
                </c:pt>
                <c:pt idx="466">
                  <c:v>463.000</c:v>
                </c:pt>
                <c:pt idx="467">
                  <c:v>464.000</c:v>
                </c:pt>
                <c:pt idx="468">
                  <c:v>465.000</c:v>
                </c:pt>
                <c:pt idx="469">
                  <c:v>466.000</c:v>
                </c:pt>
                <c:pt idx="470">
                  <c:v>467.000</c:v>
                </c:pt>
                <c:pt idx="471">
                  <c:v>468.000</c:v>
                </c:pt>
                <c:pt idx="472">
                  <c:v>469.000</c:v>
                </c:pt>
                <c:pt idx="473">
                  <c:v>470.000</c:v>
                </c:pt>
                <c:pt idx="474">
                  <c:v>471.000</c:v>
                </c:pt>
                <c:pt idx="475">
                  <c:v>472.000</c:v>
                </c:pt>
                <c:pt idx="476">
                  <c:v>473.000</c:v>
                </c:pt>
                <c:pt idx="477">
                  <c:v>474.000</c:v>
                </c:pt>
                <c:pt idx="478">
                  <c:v>475.000</c:v>
                </c:pt>
                <c:pt idx="479">
                  <c:v>476.000</c:v>
                </c:pt>
                <c:pt idx="480">
                  <c:v>477.000</c:v>
                </c:pt>
                <c:pt idx="481">
                  <c:v>478.000</c:v>
                </c:pt>
                <c:pt idx="482">
                  <c:v>479.000</c:v>
                </c:pt>
                <c:pt idx="483">
                  <c:v>480.000</c:v>
                </c:pt>
                <c:pt idx="484">
                  <c:v>481.000</c:v>
                </c:pt>
                <c:pt idx="485">
                  <c:v>482.000</c:v>
                </c:pt>
                <c:pt idx="486">
                  <c:v>483.000</c:v>
                </c:pt>
                <c:pt idx="487">
                  <c:v>484.000</c:v>
                </c:pt>
                <c:pt idx="488">
                  <c:v>485.000</c:v>
                </c:pt>
                <c:pt idx="489">
                  <c:v>486.000</c:v>
                </c:pt>
                <c:pt idx="490">
                  <c:v>487.000</c:v>
                </c:pt>
                <c:pt idx="491">
                  <c:v>488.000</c:v>
                </c:pt>
                <c:pt idx="492">
                  <c:v>489.000</c:v>
                </c:pt>
                <c:pt idx="493">
                  <c:v>490.000</c:v>
                </c:pt>
                <c:pt idx="494">
                  <c:v>491.000</c:v>
                </c:pt>
                <c:pt idx="495">
                  <c:v>492.000</c:v>
                </c:pt>
                <c:pt idx="496">
                  <c:v>493.000</c:v>
                </c:pt>
                <c:pt idx="497">
                  <c:v>494.000</c:v>
                </c:pt>
                <c:pt idx="498">
                  <c:v>495.000</c:v>
                </c:pt>
                <c:pt idx="499">
                  <c:v>496.000</c:v>
                </c:pt>
                <c:pt idx="500">
                  <c:v>497.000</c:v>
                </c:pt>
                <c:pt idx="501">
                  <c:v>498.000</c:v>
                </c:pt>
                <c:pt idx="502">
                  <c:v>499.000</c:v>
                </c:pt>
                <c:pt idx="503">
                  <c:v>500.000</c:v>
                </c:pt>
                <c:pt idx="504">
                  <c:v>501.000</c:v>
                </c:pt>
                <c:pt idx="505">
                  <c:v>502.000</c:v>
                </c:pt>
                <c:pt idx="506">
                  <c:v>503.000</c:v>
                </c:pt>
                <c:pt idx="507">
                  <c:v>504.000</c:v>
                </c:pt>
                <c:pt idx="508">
                  <c:v>505.000</c:v>
                </c:pt>
                <c:pt idx="509">
                  <c:v>506.000</c:v>
                </c:pt>
                <c:pt idx="510">
                  <c:v>507.000</c:v>
                </c:pt>
                <c:pt idx="511">
                  <c:v>508.000</c:v>
                </c:pt>
                <c:pt idx="512">
                  <c:v>509.000</c:v>
                </c:pt>
                <c:pt idx="513">
                  <c:v>510.000</c:v>
                </c:pt>
                <c:pt idx="514">
                  <c:v>511.000</c:v>
                </c:pt>
                <c:pt idx="515">
                  <c:v>512.000</c:v>
                </c:pt>
                <c:pt idx="516">
                  <c:v>513.000</c:v>
                </c:pt>
                <c:pt idx="517">
                  <c:v>514.000</c:v>
                </c:pt>
                <c:pt idx="518">
                  <c:v>515.000</c:v>
                </c:pt>
                <c:pt idx="519">
                  <c:v>516.000</c:v>
                </c:pt>
                <c:pt idx="520">
                  <c:v>517.000</c:v>
                </c:pt>
                <c:pt idx="521">
                  <c:v>518.000</c:v>
                </c:pt>
                <c:pt idx="522">
                  <c:v>519.000</c:v>
                </c:pt>
                <c:pt idx="523">
                  <c:v>520.000</c:v>
                </c:pt>
                <c:pt idx="524">
                  <c:v>521.000</c:v>
                </c:pt>
              </c:strCache>
            </c:strRef>
          </c:xVal>
          <c:yVal>
            <c:numRef>
              <c:f>Sheet1!$B$2:$B$1045</c:f>
              <c:numCache>
                <c:formatCode>General</c:formatCode>
                <c:ptCount val="1044"/>
                <c:pt idx="0">
                  <c:v>0</c:v>
                </c:pt>
                <c:pt idx="3" formatCode="0.00000000">
                  <c:v>1</c:v>
                </c:pt>
                <c:pt idx="4" formatCode="0.00000000">
                  <c:v>1</c:v>
                </c:pt>
                <c:pt idx="5" formatCode="0.00000000">
                  <c:v>1</c:v>
                </c:pt>
                <c:pt idx="6" formatCode="0.00000000">
                  <c:v>0.99818181818181817</c:v>
                </c:pt>
                <c:pt idx="7" formatCode="0.00000000">
                  <c:v>0.99454545454545462</c:v>
                </c:pt>
                <c:pt idx="8" formatCode="0.00000000">
                  <c:v>0.99454545454545462</c:v>
                </c:pt>
                <c:pt idx="9" formatCode="0.00000000">
                  <c:v>0.99090243090243102</c:v>
                </c:pt>
                <c:pt idx="10" formatCode="0.00000000">
                  <c:v>0.99090243090243102</c:v>
                </c:pt>
                <c:pt idx="11" formatCode="0.00000000">
                  <c:v>0.97630350006040623</c:v>
                </c:pt>
                <c:pt idx="12" formatCode="0.00000000">
                  <c:v>0.97447863370515309</c:v>
                </c:pt>
                <c:pt idx="13" formatCode="0.00000000">
                  <c:v>0.97265376734989994</c:v>
                </c:pt>
                <c:pt idx="14" formatCode="0.00000000">
                  <c:v>0.968997174239562</c:v>
                </c:pt>
                <c:pt idx="15" formatCode="0.00000000">
                  <c:v>0.96716542154723761</c:v>
                </c:pt>
                <c:pt idx="16" formatCode="0.00000000">
                  <c:v>0.96533366885491323</c:v>
                </c:pt>
                <c:pt idx="17" formatCode="0.00000000">
                  <c:v>0.95982796351923882</c:v>
                </c:pt>
                <c:pt idx="18" formatCode="0.00000000">
                  <c:v>0.95247295996736736</c:v>
                </c:pt>
                <c:pt idx="19" formatCode="0.00000000">
                  <c:v>0.94326142263692858</c:v>
                </c:pt>
                <c:pt idx="20" formatCode="0.00000000">
                  <c:v>0.93403185881464934</c:v>
                </c:pt>
                <c:pt idx="21" formatCode="0.00000000">
                  <c:v>0.92664820775682599</c:v>
                </c:pt>
                <c:pt idx="22">
                  <c:v>0.92111046946345854</c:v>
                </c:pt>
                <c:pt idx="23">
                  <c:v>0.91556161121367874</c:v>
                </c:pt>
                <c:pt idx="24">
                  <c:v>0.90816313354730549</c:v>
                </c:pt>
                <c:pt idx="25">
                  <c:v>0.90445634524711238</c:v>
                </c:pt>
                <c:pt idx="26">
                  <c:v>0.89518937449662972</c:v>
                </c:pt>
                <c:pt idx="27">
                  <c:v>0.8877757978962435</c:v>
                </c:pt>
                <c:pt idx="28">
                  <c:v>0.87663216863394766</c:v>
                </c:pt>
                <c:pt idx="29">
                  <c:v>0.87291762554651564</c:v>
                </c:pt>
                <c:pt idx="30">
                  <c:v>0.8654885393716516</c:v>
                </c:pt>
                <c:pt idx="31">
                  <c:v>0.8562021816530716</c:v>
                </c:pt>
                <c:pt idx="32">
                  <c:v>0.85063036702192363</c:v>
                </c:pt>
                <c:pt idx="33">
                  <c:v>0.84134400930334374</c:v>
                </c:pt>
                <c:pt idx="34">
                  <c:v>0.83762946621591172</c:v>
                </c:pt>
                <c:pt idx="35">
                  <c:v>0.82834310849733173</c:v>
                </c:pt>
                <c:pt idx="36">
                  <c:v>0.81719947923503578</c:v>
                </c:pt>
                <c:pt idx="37">
                  <c:v>0.79676949225415983</c:v>
                </c:pt>
                <c:pt idx="38">
                  <c:v>0.78376859144814781</c:v>
                </c:pt>
                <c:pt idx="39">
                  <c:v>0.78005404836071579</c:v>
                </c:pt>
                <c:pt idx="40">
                  <c:v>0.7707455274972228</c:v>
                </c:pt>
                <c:pt idx="41">
                  <c:v>0.7632987108064283</c:v>
                </c:pt>
                <c:pt idx="42">
                  <c:v>0.75769994275650343</c:v>
                </c:pt>
                <c:pt idx="43">
                  <c:v>0.73899130219461451</c:v>
                </c:pt>
                <c:pt idx="44">
                  <c:v>0.72773762754190463</c:v>
                </c:pt>
                <c:pt idx="45">
                  <c:v>0.72209625058421545</c:v>
                </c:pt>
                <c:pt idx="46">
                  <c:v>0.71078403778132959</c:v>
                </c:pt>
                <c:pt idx="47">
                  <c:v>0.70135719377892469</c:v>
                </c:pt>
                <c:pt idx="48">
                  <c:v>0.69004498097603884</c:v>
                </c:pt>
                <c:pt idx="49">
                  <c:v>0.67684739937267191</c:v>
                </c:pt>
                <c:pt idx="50">
                  <c:v>0.66553518656978605</c:v>
                </c:pt>
                <c:pt idx="51">
                  <c:v>0.65987908016834307</c:v>
                </c:pt>
                <c:pt idx="52">
                  <c:v>0.65045223616593817</c:v>
                </c:pt>
                <c:pt idx="53">
                  <c:v>0.64856686736545721</c:v>
                </c:pt>
                <c:pt idx="54">
                  <c:v>0.63725465456257135</c:v>
                </c:pt>
                <c:pt idx="55">
                  <c:v>0.6165155977572806</c:v>
                </c:pt>
                <c:pt idx="56">
                  <c:v>0.6070887537548757</c:v>
                </c:pt>
                <c:pt idx="57">
                  <c:v>0.59952378486073399</c:v>
                </c:pt>
                <c:pt idx="58">
                  <c:v>0.59572933052617238</c:v>
                </c:pt>
                <c:pt idx="59">
                  <c:v>0.58811617614245126</c:v>
                </c:pt>
                <c:pt idx="60">
                  <c:v>0.58047830372501685</c:v>
                </c:pt>
                <c:pt idx="61">
                  <c:v>0.5785625337457263</c:v>
                </c:pt>
                <c:pt idx="62">
                  <c:v>0.5708739950912981</c:v>
                </c:pt>
                <c:pt idx="63">
                  <c:v>0.56701673836770827</c:v>
                </c:pt>
                <c:pt idx="64">
                  <c:v>0.54959984196733502</c:v>
                </c:pt>
                <c:pt idx="65">
                  <c:v>0.54959984196733502</c:v>
                </c:pt>
                <c:pt idx="66">
                  <c:v>0.5320311760353954</c:v>
                </c:pt>
                <c:pt idx="67">
                  <c:v>0.52414923268672287</c:v>
                </c:pt>
                <c:pt idx="68">
                  <c:v>0.51620757764601499</c:v>
                </c:pt>
                <c:pt idx="69">
                  <c:v>0.50620355482341783</c:v>
                </c:pt>
                <c:pt idx="70">
                  <c:v>0.49816857776272871</c:v>
                </c:pt>
                <c:pt idx="71">
                  <c:v>0.49010107043053869</c:v>
                </c:pt>
                <c:pt idx="72">
                  <c:v>0.48603384163028529</c:v>
                </c:pt>
                <c:pt idx="73">
                  <c:v>0.47988151452104122</c:v>
                </c:pt>
                <c:pt idx="74">
                  <c:v>0.47988151452104122</c:v>
                </c:pt>
                <c:pt idx="75">
                  <c:v>0.46709214524883791</c:v>
                </c:pt>
                <c:pt idx="76">
                  <c:v>0.46486789693812919</c:v>
                </c:pt>
                <c:pt idx="77">
                  <c:v>0.45803160433609791</c:v>
                </c:pt>
                <c:pt idx="78">
                  <c:v>0.45102091651462711</c:v>
                </c:pt>
                <c:pt idx="79">
                  <c:v>0.44624820840336121</c:v>
                </c:pt>
                <c:pt idx="80">
                  <c:v>0.44126188190644983</c:v>
                </c:pt>
                <c:pt idx="81">
                  <c:v>0.43613092979125861</c:v>
                </c:pt>
                <c:pt idx="82">
                  <c:v>0.42824904551792248</c:v>
                </c:pt>
                <c:pt idx="83">
                  <c:v>0.42289593244894852</c:v>
                </c:pt>
                <c:pt idx="84">
                  <c:v>0.41465769999864432</c:v>
                </c:pt>
                <c:pt idx="85">
                  <c:v>0.40897745753290943</c:v>
                </c:pt>
                <c:pt idx="86">
                  <c:v>0.40313492242529653</c:v>
                </c:pt>
                <c:pt idx="87">
                  <c:v>0.4001264528549584</c:v>
                </c:pt>
                <c:pt idx="88">
                  <c:v>0.39387447702909972</c:v>
                </c:pt>
                <c:pt idx="89">
                  <c:v>0.39064599770918901</c:v>
                </c:pt>
                <c:pt idx="90">
                  <c:v>0.38036267480151181</c:v>
                </c:pt>
                <c:pt idx="91">
                  <c:v>0.38036267480151181</c:v>
                </c:pt>
                <c:pt idx="92">
                  <c:v>0.37311767147195912</c:v>
                </c:pt>
                <c:pt idx="93">
                  <c:v>0.36550302511538851</c:v>
                </c:pt>
                <c:pt idx="94">
                  <c:v>0.36148650835587881</c:v>
                </c:pt>
                <c:pt idx="95">
                  <c:v>0.353176473681031</c:v>
                </c:pt>
                <c:pt idx="96">
                  <c:v>0.34434706183900521</c:v>
                </c:pt>
                <c:pt idx="97">
                  <c:v>0.33491289576122418</c:v>
                </c:pt>
                <c:pt idx="98">
                  <c:v>0.33491289576122418</c:v>
                </c:pt>
                <c:pt idx="99">
                  <c:v>0.32460292686814179</c:v>
                </c:pt>
                <c:pt idx="100">
                  <c:v>0.32460292686814179</c:v>
                </c:pt>
                <c:pt idx="101">
                  <c:v>0.31910118234495288</c:v>
                </c:pt>
                <c:pt idx="102">
                  <c:v>0.31329934266595377</c:v>
                </c:pt>
                <c:pt idx="103">
                  <c:v>0.31329934266595377</c:v>
                </c:pt>
                <c:pt idx="104">
                  <c:v>0.31329934266595377</c:v>
                </c:pt>
                <c:pt idx="105">
                  <c:v>0.31329934266595377</c:v>
                </c:pt>
                <c:pt idx="106">
                  <c:v>0.2909208181898143</c:v>
                </c:pt>
                <c:pt idx="107">
                  <c:v>0.2909208181898143</c:v>
                </c:pt>
                <c:pt idx="108">
                  <c:v>0.2909208181898143</c:v>
                </c:pt>
                <c:pt idx="109">
                  <c:v>0.2909208181898143</c:v>
                </c:pt>
                <c:pt idx="110">
                  <c:v>0.2909208181898143</c:v>
                </c:pt>
                <c:pt idx="111">
                  <c:v>0.2909208181898143</c:v>
                </c:pt>
                <c:pt idx="112">
                  <c:v>0.27008564022927062</c:v>
                </c:pt>
                <c:pt idx="113">
                  <c:v>0.27008564022927062</c:v>
                </c:pt>
                <c:pt idx="114">
                  <c:v>0.25834278630625879</c:v>
                </c:pt>
                <c:pt idx="115">
                  <c:v>0.2439904092892444</c:v>
                </c:pt>
                <c:pt idx="116">
                  <c:v>0.2439904092892444</c:v>
                </c:pt>
                <c:pt idx="117">
                  <c:v>0.2439904092892444</c:v>
                </c:pt>
                <c:pt idx="118">
                  <c:v>0.2439904092892444</c:v>
                </c:pt>
                <c:pt idx="119">
                  <c:v>0.2439904092892444</c:v>
                </c:pt>
                <c:pt idx="120">
                  <c:v>0.22365787518180741</c:v>
                </c:pt>
                <c:pt idx="121">
                  <c:v>0.22365787518180741</c:v>
                </c:pt>
                <c:pt idx="122">
                  <c:v>0.22365787518180741</c:v>
                </c:pt>
                <c:pt idx="123">
                  <c:v>0.22365787518180741</c:v>
                </c:pt>
                <c:pt idx="124">
                  <c:v>0.19170675015583491</c:v>
                </c:pt>
                <c:pt idx="125">
                  <c:v>0.19170675015583491</c:v>
                </c:pt>
                <c:pt idx="126">
                  <c:v>0.19170675015583491</c:v>
                </c:pt>
                <c:pt idx="127">
                  <c:v>0.19170675015583491</c:v>
                </c:pt>
                <c:pt idx="128">
                  <c:v>0.19170675015583491</c:v>
                </c:pt>
                <c:pt idx="129">
                  <c:v>0.19170675015583491</c:v>
                </c:pt>
                <c:pt idx="130">
                  <c:v>0.19170675015583491</c:v>
                </c:pt>
                <c:pt idx="131">
                  <c:v>0.19170675015583491</c:v>
                </c:pt>
                <c:pt idx="132">
                  <c:v>0.19170675015583491</c:v>
                </c:pt>
                <c:pt idx="133">
                  <c:v>0.19170675015583491</c:v>
                </c:pt>
                <c:pt idx="134">
                  <c:v>0.19170675015583491</c:v>
                </c:pt>
                <c:pt idx="135">
                  <c:v>0.19170675015583491</c:v>
                </c:pt>
                <c:pt idx="136">
                  <c:v>0.19170675015583491</c:v>
                </c:pt>
                <c:pt idx="137">
                  <c:v>0.19170675015583491</c:v>
                </c:pt>
                <c:pt idx="138">
                  <c:v>0.19170675015583491</c:v>
                </c:pt>
                <c:pt idx="139">
                  <c:v>0.19170675015583491</c:v>
                </c:pt>
                <c:pt idx="140">
                  <c:v>0.19170675015583491</c:v>
                </c:pt>
                <c:pt idx="141">
                  <c:v>0.19170675015583491</c:v>
                </c:pt>
                <c:pt idx="142">
                  <c:v>0.19170675015583491</c:v>
                </c:pt>
                <c:pt idx="143">
                  <c:v>0.19170675015583491</c:v>
                </c:pt>
              </c:numCache>
            </c:numRef>
          </c:yVal>
          <c:smooth val="1"/>
          <c:extLst>
            <c:ext xmlns:c16="http://schemas.microsoft.com/office/drawing/2014/chart" uri="{C3380CC4-5D6E-409C-BE32-E72D297353CC}">
              <c16:uniqueId val="{00000000-C447-4449-B3B4-76E1E113F735}"/>
            </c:ext>
          </c:extLst>
        </c:ser>
        <c:ser>
          <c:idx val="1"/>
          <c:order val="1"/>
          <c:tx>
            <c:v>177 Lu PSMA OS Modelled</c:v>
          </c:tx>
          <c:spPr>
            <a:ln w="19050" cap="rnd">
              <a:solidFill>
                <a:schemeClr val="accent2"/>
              </a:solidFill>
              <a:round/>
            </a:ln>
            <a:effectLst/>
          </c:spPr>
          <c:marker>
            <c:symbol val="none"/>
          </c:marker>
          <c:xVal>
            <c:strRef>
              <c:f>Sheet1!$A$2:$A$1045</c:f>
              <c:strCache>
                <c:ptCount val="525"/>
                <c:pt idx="0">
                  <c:v>Cycle (weeks)</c:v>
                </c:pt>
                <c:pt idx="3">
                  <c:v>0.000</c:v>
                </c:pt>
                <c:pt idx="4">
                  <c:v>1.000</c:v>
                </c:pt>
                <c:pt idx="5">
                  <c:v>2.000</c:v>
                </c:pt>
                <c:pt idx="6">
                  <c:v>3.000</c:v>
                </c:pt>
                <c:pt idx="7">
                  <c:v>4.000</c:v>
                </c:pt>
                <c:pt idx="8">
                  <c:v>5.000</c:v>
                </c:pt>
                <c:pt idx="9">
                  <c:v>6.000</c:v>
                </c:pt>
                <c:pt idx="10">
                  <c:v>7.000</c:v>
                </c:pt>
                <c:pt idx="11">
                  <c:v>8.000</c:v>
                </c:pt>
                <c:pt idx="12">
                  <c:v>9.000</c:v>
                </c:pt>
                <c:pt idx="13">
                  <c:v>10.000</c:v>
                </c:pt>
                <c:pt idx="14">
                  <c:v>11.000</c:v>
                </c:pt>
                <c:pt idx="15">
                  <c:v>12.000</c:v>
                </c:pt>
                <c:pt idx="16">
                  <c:v>13.000</c:v>
                </c:pt>
                <c:pt idx="17">
                  <c:v>14.000</c:v>
                </c:pt>
                <c:pt idx="18">
                  <c:v>15.000</c:v>
                </c:pt>
                <c:pt idx="19">
                  <c:v>16.000</c:v>
                </c:pt>
                <c:pt idx="20">
                  <c:v>17.000</c:v>
                </c:pt>
                <c:pt idx="21">
                  <c:v>18.000</c:v>
                </c:pt>
                <c:pt idx="22">
                  <c:v>19.000</c:v>
                </c:pt>
                <c:pt idx="23">
                  <c:v>20.000</c:v>
                </c:pt>
                <c:pt idx="24">
                  <c:v>21.000</c:v>
                </c:pt>
                <c:pt idx="25">
                  <c:v>22.000</c:v>
                </c:pt>
                <c:pt idx="26">
                  <c:v>23.000</c:v>
                </c:pt>
                <c:pt idx="27">
                  <c:v>24.000</c:v>
                </c:pt>
                <c:pt idx="28">
                  <c:v>25.000</c:v>
                </c:pt>
                <c:pt idx="29">
                  <c:v>26.000</c:v>
                </c:pt>
                <c:pt idx="30">
                  <c:v>27.000</c:v>
                </c:pt>
                <c:pt idx="31">
                  <c:v>28.000</c:v>
                </c:pt>
                <c:pt idx="32">
                  <c:v>29.000</c:v>
                </c:pt>
                <c:pt idx="33">
                  <c:v>30.000</c:v>
                </c:pt>
                <c:pt idx="34">
                  <c:v>31.000</c:v>
                </c:pt>
                <c:pt idx="35">
                  <c:v>32.000</c:v>
                </c:pt>
                <c:pt idx="36">
                  <c:v>33.000</c:v>
                </c:pt>
                <c:pt idx="37">
                  <c:v>34.000</c:v>
                </c:pt>
                <c:pt idx="38">
                  <c:v>35.000</c:v>
                </c:pt>
                <c:pt idx="39">
                  <c:v>36.000</c:v>
                </c:pt>
                <c:pt idx="40">
                  <c:v>37.000</c:v>
                </c:pt>
                <c:pt idx="41">
                  <c:v>38.000</c:v>
                </c:pt>
                <c:pt idx="42">
                  <c:v>39.000</c:v>
                </c:pt>
                <c:pt idx="43">
                  <c:v>40.000</c:v>
                </c:pt>
                <c:pt idx="44">
                  <c:v>41.000</c:v>
                </c:pt>
                <c:pt idx="45">
                  <c:v>42.000</c:v>
                </c:pt>
                <c:pt idx="46">
                  <c:v>43.000</c:v>
                </c:pt>
                <c:pt idx="47">
                  <c:v>44.000</c:v>
                </c:pt>
                <c:pt idx="48">
                  <c:v>45.000</c:v>
                </c:pt>
                <c:pt idx="49">
                  <c:v>46.000</c:v>
                </c:pt>
                <c:pt idx="50">
                  <c:v>47.000</c:v>
                </c:pt>
                <c:pt idx="51">
                  <c:v>48.000</c:v>
                </c:pt>
                <c:pt idx="52">
                  <c:v>49.000</c:v>
                </c:pt>
                <c:pt idx="53">
                  <c:v>50.000</c:v>
                </c:pt>
                <c:pt idx="54">
                  <c:v>51.000</c:v>
                </c:pt>
                <c:pt idx="55">
                  <c:v>52.000</c:v>
                </c:pt>
                <c:pt idx="56">
                  <c:v>53.000</c:v>
                </c:pt>
                <c:pt idx="57">
                  <c:v>54.000</c:v>
                </c:pt>
                <c:pt idx="58">
                  <c:v>55.000</c:v>
                </c:pt>
                <c:pt idx="59">
                  <c:v>56.000</c:v>
                </c:pt>
                <c:pt idx="60">
                  <c:v>57.000</c:v>
                </c:pt>
                <c:pt idx="61">
                  <c:v>58.000</c:v>
                </c:pt>
                <c:pt idx="62">
                  <c:v>59.000</c:v>
                </c:pt>
                <c:pt idx="63">
                  <c:v>60.000</c:v>
                </c:pt>
                <c:pt idx="64">
                  <c:v>61.000</c:v>
                </c:pt>
                <c:pt idx="65">
                  <c:v>62.000</c:v>
                </c:pt>
                <c:pt idx="66">
                  <c:v>63.000</c:v>
                </c:pt>
                <c:pt idx="67">
                  <c:v>64.000</c:v>
                </c:pt>
                <c:pt idx="68">
                  <c:v>65.000</c:v>
                </c:pt>
                <c:pt idx="69">
                  <c:v>66.000</c:v>
                </c:pt>
                <c:pt idx="70">
                  <c:v>67.000</c:v>
                </c:pt>
                <c:pt idx="71">
                  <c:v>68.000</c:v>
                </c:pt>
                <c:pt idx="72">
                  <c:v>69.000</c:v>
                </c:pt>
                <c:pt idx="73">
                  <c:v>70.000</c:v>
                </c:pt>
                <c:pt idx="74">
                  <c:v>71.000</c:v>
                </c:pt>
                <c:pt idx="75">
                  <c:v>72.000</c:v>
                </c:pt>
                <c:pt idx="76">
                  <c:v>73.000</c:v>
                </c:pt>
                <c:pt idx="77">
                  <c:v>74.000</c:v>
                </c:pt>
                <c:pt idx="78">
                  <c:v>75.000</c:v>
                </c:pt>
                <c:pt idx="79">
                  <c:v>76.000</c:v>
                </c:pt>
                <c:pt idx="80">
                  <c:v>77.000</c:v>
                </c:pt>
                <c:pt idx="81">
                  <c:v>78.000</c:v>
                </c:pt>
                <c:pt idx="82">
                  <c:v>79.000</c:v>
                </c:pt>
                <c:pt idx="83">
                  <c:v>80.000</c:v>
                </c:pt>
                <c:pt idx="84">
                  <c:v>81.000</c:v>
                </c:pt>
                <c:pt idx="85">
                  <c:v>82.000</c:v>
                </c:pt>
                <c:pt idx="86">
                  <c:v>83.000</c:v>
                </c:pt>
                <c:pt idx="87">
                  <c:v>84.000</c:v>
                </c:pt>
                <c:pt idx="88">
                  <c:v>85.000</c:v>
                </c:pt>
                <c:pt idx="89">
                  <c:v>86.000</c:v>
                </c:pt>
                <c:pt idx="90">
                  <c:v>87.000</c:v>
                </c:pt>
                <c:pt idx="91">
                  <c:v>88.000</c:v>
                </c:pt>
                <c:pt idx="92">
                  <c:v>89.000</c:v>
                </c:pt>
                <c:pt idx="93">
                  <c:v>90.000</c:v>
                </c:pt>
                <c:pt idx="94">
                  <c:v>91.000</c:v>
                </c:pt>
                <c:pt idx="95">
                  <c:v>92.000</c:v>
                </c:pt>
                <c:pt idx="96">
                  <c:v>93.000</c:v>
                </c:pt>
                <c:pt idx="97">
                  <c:v>94.000</c:v>
                </c:pt>
                <c:pt idx="98">
                  <c:v>95.000</c:v>
                </c:pt>
                <c:pt idx="99">
                  <c:v>96.000</c:v>
                </c:pt>
                <c:pt idx="100">
                  <c:v>97.000</c:v>
                </c:pt>
                <c:pt idx="101">
                  <c:v>98.000</c:v>
                </c:pt>
                <c:pt idx="102">
                  <c:v>99.000</c:v>
                </c:pt>
                <c:pt idx="103">
                  <c:v>100.000</c:v>
                </c:pt>
                <c:pt idx="104">
                  <c:v>101.000</c:v>
                </c:pt>
                <c:pt idx="105">
                  <c:v>102.000</c:v>
                </c:pt>
                <c:pt idx="106">
                  <c:v>103.000</c:v>
                </c:pt>
                <c:pt idx="107">
                  <c:v>104.000</c:v>
                </c:pt>
                <c:pt idx="108">
                  <c:v>105.000</c:v>
                </c:pt>
                <c:pt idx="109">
                  <c:v>106.000</c:v>
                </c:pt>
                <c:pt idx="110">
                  <c:v>107.000</c:v>
                </c:pt>
                <c:pt idx="111">
                  <c:v>108.000</c:v>
                </c:pt>
                <c:pt idx="112">
                  <c:v>109.000</c:v>
                </c:pt>
                <c:pt idx="113">
                  <c:v>110.000</c:v>
                </c:pt>
                <c:pt idx="114">
                  <c:v>111.000</c:v>
                </c:pt>
                <c:pt idx="115">
                  <c:v>112.000</c:v>
                </c:pt>
                <c:pt idx="116">
                  <c:v>113.000</c:v>
                </c:pt>
                <c:pt idx="117">
                  <c:v>114.000</c:v>
                </c:pt>
                <c:pt idx="118">
                  <c:v>115.000</c:v>
                </c:pt>
                <c:pt idx="119">
                  <c:v>116.000</c:v>
                </c:pt>
                <c:pt idx="120">
                  <c:v>117.000</c:v>
                </c:pt>
                <c:pt idx="121">
                  <c:v>118.000</c:v>
                </c:pt>
                <c:pt idx="122">
                  <c:v>119.000</c:v>
                </c:pt>
                <c:pt idx="123">
                  <c:v>120.000</c:v>
                </c:pt>
                <c:pt idx="124">
                  <c:v>121.000</c:v>
                </c:pt>
                <c:pt idx="125">
                  <c:v>122.000</c:v>
                </c:pt>
                <c:pt idx="126">
                  <c:v>123.000</c:v>
                </c:pt>
                <c:pt idx="127">
                  <c:v>124.000</c:v>
                </c:pt>
                <c:pt idx="128">
                  <c:v>125.000</c:v>
                </c:pt>
                <c:pt idx="129">
                  <c:v>126.000</c:v>
                </c:pt>
                <c:pt idx="130">
                  <c:v>127.000</c:v>
                </c:pt>
                <c:pt idx="131">
                  <c:v>128.000</c:v>
                </c:pt>
                <c:pt idx="132">
                  <c:v>129.000</c:v>
                </c:pt>
                <c:pt idx="133">
                  <c:v>130.000</c:v>
                </c:pt>
                <c:pt idx="134">
                  <c:v>131.000</c:v>
                </c:pt>
                <c:pt idx="135">
                  <c:v>132.000</c:v>
                </c:pt>
                <c:pt idx="136">
                  <c:v>133.000</c:v>
                </c:pt>
                <c:pt idx="137">
                  <c:v>134.000</c:v>
                </c:pt>
                <c:pt idx="138">
                  <c:v>135.000</c:v>
                </c:pt>
                <c:pt idx="139">
                  <c:v>136.000</c:v>
                </c:pt>
                <c:pt idx="140">
                  <c:v>137.000</c:v>
                </c:pt>
                <c:pt idx="141">
                  <c:v>138.000</c:v>
                </c:pt>
                <c:pt idx="142">
                  <c:v>139.000</c:v>
                </c:pt>
                <c:pt idx="143">
                  <c:v>140.000</c:v>
                </c:pt>
                <c:pt idx="144">
                  <c:v>141.000</c:v>
                </c:pt>
                <c:pt idx="145">
                  <c:v>142.000</c:v>
                </c:pt>
                <c:pt idx="146">
                  <c:v>143.000</c:v>
                </c:pt>
                <c:pt idx="147">
                  <c:v>144.000</c:v>
                </c:pt>
                <c:pt idx="148">
                  <c:v>145.000</c:v>
                </c:pt>
                <c:pt idx="149">
                  <c:v>146.000</c:v>
                </c:pt>
                <c:pt idx="150">
                  <c:v>147.000</c:v>
                </c:pt>
                <c:pt idx="151">
                  <c:v>148.000</c:v>
                </c:pt>
                <c:pt idx="152">
                  <c:v>149.000</c:v>
                </c:pt>
                <c:pt idx="153">
                  <c:v>150.000</c:v>
                </c:pt>
                <c:pt idx="154">
                  <c:v>151.000</c:v>
                </c:pt>
                <c:pt idx="155">
                  <c:v>152.000</c:v>
                </c:pt>
                <c:pt idx="156">
                  <c:v>153.000</c:v>
                </c:pt>
                <c:pt idx="157">
                  <c:v>154.000</c:v>
                </c:pt>
                <c:pt idx="158">
                  <c:v>155.000</c:v>
                </c:pt>
                <c:pt idx="159">
                  <c:v>156.000</c:v>
                </c:pt>
                <c:pt idx="160">
                  <c:v>157.000</c:v>
                </c:pt>
                <c:pt idx="161">
                  <c:v>158.000</c:v>
                </c:pt>
                <c:pt idx="162">
                  <c:v>159.000</c:v>
                </c:pt>
                <c:pt idx="163">
                  <c:v>160.000</c:v>
                </c:pt>
                <c:pt idx="164">
                  <c:v>161.000</c:v>
                </c:pt>
                <c:pt idx="165">
                  <c:v>162.000</c:v>
                </c:pt>
                <c:pt idx="166">
                  <c:v>163.000</c:v>
                </c:pt>
                <c:pt idx="167">
                  <c:v>164.000</c:v>
                </c:pt>
                <c:pt idx="168">
                  <c:v>165.000</c:v>
                </c:pt>
                <c:pt idx="169">
                  <c:v>166.000</c:v>
                </c:pt>
                <c:pt idx="170">
                  <c:v>167.000</c:v>
                </c:pt>
                <c:pt idx="171">
                  <c:v>168.000</c:v>
                </c:pt>
                <c:pt idx="172">
                  <c:v>169.000</c:v>
                </c:pt>
                <c:pt idx="173">
                  <c:v>170.000</c:v>
                </c:pt>
                <c:pt idx="174">
                  <c:v>171.000</c:v>
                </c:pt>
                <c:pt idx="175">
                  <c:v>172.000</c:v>
                </c:pt>
                <c:pt idx="176">
                  <c:v>173.000</c:v>
                </c:pt>
                <c:pt idx="177">
                  <c:v>174.000</c:v>
                </c:pt>
                <c:pt idx="178">
                  <c:v>175.000</c:v>
                </c:pt>
                <c:pt idx="179">
                  <c:v>176.000</c:v>
                </c:pt>
                <c:pt idx="180">
                  <c:v>177.000</c:v>
                </c:pt>
                <c:pt idx="181">
                  <c:v>178.000</c:v>
                </c:pt>
                <c:pt idx="182">
                  <c:v>179.000</c:v>
                </c:pt>
                <c:pt idx="183">
                  <c:v>180.000</c:v>
                </c:pt>
                <c:pt idx="184">
                  <c:v>181.000</c:v>
                </c:pt>
                <c:pt idx="185">
                  <c:v>182.000</c:v>
                </c:pt>
                <c:pt idx="186">
                  <c:v>183.000</c:v>
                </c:pt>
                <c:pt idx="187">
                  <c:v>184.000</c:v>
                </c:pt>
                <c:pt idx="188">
                  <c:v>185.000</c:v>
                </c:pt>
                <c:pt idx="189">
                  <c:v>186.000</c:v>
                </c:pt>
                <c:pt idx="190">
                  <c:v>187.000</c:v>
                </c:pt>
                <c:pt idx="191">
                  <c:v>188.000</c:v>
                </c:pt>
                <c:pt idx="192">
                  <c:v>189.000</c:v>
                </c:pt>
                <c:pt idx="193">
                  <c:v>190.000</c:v>
                </c:pt>
                <c:pt idx="194">
                  <c:v>191.000</c:v>
                </c:pt>
                <c:pt idx="195">
                  <c:v>192.000</c:v>
                </c:pt>
                <c:pt idx="196">
                  <c:v>193.000</c:v>
                </c:pt>
                <c:pt idx="197">
                  <c:v>194.000</c:v>
                </c:pt>
                <c:pt idx="198">
                  <c:v>195.000</c:v>
                </c:pt>
                <c:pt idx="199">
                  <c:v>196.000</c:v>
                </c:pt>
                <c:pt idx="200">
                  <c:v>197.000</c:v>
                </c:pt>
                <c:pt idx="201">
                  <c:v>198.000</c:v>
                </c:pt>
                <c:pt idx="202">
                  <c:v>199.000</c:v>
                </c:pt>
                <c:pt idx="203">
                  <c:v>200.000</c:v>
                </c:pt>
                <c:pt idx="204">
                  <c:v>201.000</c:v>
                </c:pt>
                <c:pt idx="205">
                  <c:v>202.000</c:v>
                </c:pt>
                <c:pt idx="206">
                  <c:v>203.000</c:v>
                </c:pt>
                <c:pt idx="207">
                  <c:v>204.000</c:v>
                </c:pt>
                <c:pt idx="208">
                  <c:v>205.000</c:v>
                </c:pt>
                <c:pt idx="209">
                  <c:v>206.000</c:v>
                </c:pt>
                <c:pt idx="210">
                  <c:v>207.000</c:v>
                </c:pt>
                <c:pt idx="211">
                  <c:v>208.000</c:v>
                </c:pt>
                <c:pt idx="212">
                  <c:v>209.000</c:v>
                </c:pt>
                <c:pt idx="213">
                  <c:v>210.000</c:v>
                </c:pt>
                <c:pt idx="214">
                  <c:v>211.000</c:v>
                </c:pt>
                <c:pt idx="215">
                  <c:v>212.000</c:v>
                </c:pt>
                <c:pt idx="216">
                  <c:v>213.000</c:v>
                </c:pt>
                <c:pt idx="217">
                  <c:v>214.000</c:v>
                </c:pt>
                <c:pt idx="218">
                  <c:v>215.000</c:v>
                </c:pt>
                <c:pt idx="219">
                  <c:v>216.000</c:v>
                </c:pt>
                <c:pt idx="220">
                  <c:v>217.000</c:v>
                </c:pt>
                <c:pt idx="221">
                  <c:v>218.000</c:v>
                </c:pt>
                <c:pt idx="222">
                  <c:v>219.000</c:v>
                </c:pt>
                <c:pt idx="223">
                  <c:v>220.000</c:v>
                </c:pt>
                <c:pt idx="224">
                  <c:v>221.000</c:v>
                </c:pt>
                <c:pt idx="225">
                  <c:v>222.000</c:v>
                </c:pt>
                <c:pt idx="226">
                  <c:v>223.000</c:v>
                </c:pt>
                <c:pt idx="227">
                  <c:v>224.000</c:v>
                </c:pt>
                <c:pt idx="228">
                  <c:v>225.000</c:v>
                </c:pt>
                <c:pt idx="229">
                  <c:v>226.000</c:v>
                </c:pt>
                <c:pt idx="230">
                  <c:v>227.000</c:v>
                </c:pt>
                <c:pt idx="231">
                  <c:v>228.000</c:v>
                </c:pt>
                <c:pt idx="232">
                  <c:v>229.000</c:v>
                </c:pt>
                <c:pt idx="233">
                  <c:v>230.000</c:v>
                </c:pt>
                <c:pt idx="234">
                  <c:v>231.000</c:v>
                </c:pt>
                <c:pt idx="235">
                  <c:v>232.000</c:v>
                </c:pt>
                <c:pt idx="236">
                  <c:v>233.000</c:v>
                </c:pt>
                <c:pt idx="237">
                  <c:v>234.000</c:v>
                </c:pt>
                <c:pt idx="238">
                  <c:v>235.000</c:v>
                </c:pt>
                <c:pt idx="239">
                  <c:v>236.000</c:v>
                </c:pt>
                <c:pt idx="240">
                  <c:v>237.000</c:v>
                </c:pt>
                <c:pt idx="241">
                  <c:v>238.000</c:v>
                </c:pt>
                <c:pt idx="242">
                  <c:v>239.000</c:v>
                </c:pt>
                <c:pt idx="243">
                  <c:v>240.000</c:v>
                </c:pt>
                <c:pt idx="244">
                  <c:v>241.000</c:v>
                </c:pt>
                <c:pt idx="245">
                  <c:v>242.000</c:v>
                </c:pt>
                <c:pt idx="246">
                  <c:v>243.000</c:v>
                </c:pt>
                <c:pt idx="247">
                  <c:v>244.000</c:v>
                </c:pt>
                <c:pt idx="248">
                  <c:v>245.000</c:v>
                </c:pt>
                <c:pt idx="249">
                  <c:v>246.000</c:v>
                </c:pt>
                <c:pt idx="250">
                  <c:v>247.000</c:v>
                </c:pt>
                <c:pt idx="251">
                  <c:v>248.000</c:v>
                </c:pt>
                <c:pt idx="252">
                  <c:v>249.000</c:v>
                </c:pt>
                <c:pt idx="253">
                  <c:v>250.000</c:v>
                </c:pt>
                <c:pt idx="254">
                  <c:v>251.000</c:v>
                </c:pt>
                <c:pt idx="255">
                  <c:v>252.000</c:v>
                </c:pt>
                <c:pt idx="256">
                  <c:v>253.000</c:v>
                </c:pt>
                <c:pt idx="257">
                  <c:v>254.000</c:v>
                </c:pt>
                <c:pt idx="258">
                  <c:v>255.000</c:v>
                </c:pt>
                <c:pt idx="259">
                  <c:v>256.000</c:v>
                </c:pt>
                <c:pt idx="260">
                  <c:v>257.000</c:v>
                </c:pt>
                <c:pt idx="261">
                  <c:v>258.000</c:v>
                </c:pt>
                <c:pt idx="262">
                  <c:v>259.000</c:v>
                </c:pt>
                <c:pt idx="263">
                  <c:v>260.000</c:v>
                </c:pt>
                <c:pt idx="264">
                  <c:v>261.000</c:v>
                </c:pt>
                <c:pt idx="265">
                  <c:v>262.000</c:v>
                </c:pt>
                <c:pt idx="266">
                  <c:v>263.000</c:v>
                </c:pt>
                <c:pt idx="267">
                  <c:v>264.000</c:v>
                </c:pt>
                <c:pt idx="268">
                  <c:v>265.000</c:v>
                </c:pt>
                <c:pt idx="269">
                  <c:v>266.000</c:v>
                </c:pt>
                <c:pt idx="270">
                  <c:v>267.000</c:v>
                </c:pt>
                <c:pt idx="271">
                  <c:v>268.000</c:v>
                </c:pt>
                <c:pt idx="272">
                  <c:v>269.000</c:v>
                </c:pt>
                <c:pt idx="273">
                  <c:v>270.000</c:v>
                </c:pt>
                <c:pt idx="274">
                  <c:v>271.000</c:v>
                </c:pt>
                <c:pt idx="275">
                  <c:v>272.000</c:v>
                </c:pt>
                <c:pt idx="276">
                  <c:v>273.000</c:v>
                </c:pt>
                <c:pt idx="277">
                  <c:v>274.000</c:v>
                </c:pt>
                <c:pt idx="278">
                  <c:v>275.000</c:v>
                </c:pt>
                <c:pt idx="279">
                  <c:v>276.000</c:v>
                </c:pt>
                <c:pt idx="280">
                  <c:v>277.000</c:v>
                </c:pt>
                <c:pt idx="281">
                  <c:v>278.000</c:v>
                </c:pt>
                <c:pt idx="282">
                  <c:v>279.000</c:v>
                </c:pt>
                <c:pt idx="283">
                  <c:v>280.000</c:v>
                </c:pt>
                <c:pt idx="284">
                  <c:v>281.000</c:v>
                </c:pt>
                <c:pt idx="285">
                  <c:v>282.000</c:v>
                </c:pt>
                <c:pt idx="286">
                  <c:v>283.000</c:v>
                </c:pt>
                <c:pt idx="287">
                  <c:v>284.000</c:v>
                </c:pt>
                <c:pt idx="288">
                  <c:v>285.000</c:v>
                </c:pt>
                <c:pt idx="289">
                  <c:v>286.000</c:v>
                </c:pt>
                <c:pt idx="290">
                  <c:v>287.000</c:v>
                </c:pt>
                <c:pt idx="291">
                  <c:v>288.000</c:v>
                </c:pt>
                <c:pt idx="292">
                  <c:v>289.000</c:v>
                </c:pt>
                <c:pt idx="293">
                  <c:v>290.000</c:v>
                </c:pt>
                <c:pt idx="294">
                  <c:v>291.000</c:v>
                </c:pt>
                <c:pt idx="295">
                  <c:v>292.000</c:v>
                </c:pt>
                <c:pt idx="296">
                  <c:v>293.000</c:v>
                </c:pt>
                <c:pt idx="297">
                  <c:v>294.000</c:v>
                </c:pt>
                <c:pt idx="298">
                  <c:v>295.000</c:v>
                </c:pt>
                <c:pt idx="299">
                  <c:v>296.000</c:v>
                </c:pt>
                <c:pt idx="300">
                  <c:v>297.000</c:v>
                </c:pt>
                <c:pt idx="301">
                  <c:v>298.000</c:v>
                </c:pt>
                <c:pt idx="302">
                  <c:v>299.000</c:v>
                </c:pt>
                <c:pt idx="303">
                  <c:v>300.000</c:v>
                </c:pt>
                <c:pt idx="304">
                  <c:v>301.000</c:v>
                </c:pt>
                <c:pt idx="305">
                  <c:v>302.000</c:v>
                </c:pt>
                <c:pt idx="306">
                  <c:v>303.000</c:v>
                </c:pt>
                <c:pt idx="307">
                  <c:v>304.000</c:v>
                </c:pt>
                <c:pt idx="308">
                  <c:v>305.000</c:v>
                </c:pt>
                <c:pt idx="309">
                  <c:v>306.000</c:v>
                </c:pt>
                <c:pt idx="310">
                  <c:v>307.000</c:v>
                </c:pt>
                <c:pt idx="311">
                  <c:v>308.000</c:v>
                </c:pt>
                <c:pt idx="312">
                  <c:v>309.000</c:v>
                </c:pt>
                <c:pt idx="313">
                  <c:v>310.000</c:v>
                </c:pt>
                <c:pt idx="314">
                  <c:v>311.000</c:v>
                </c:pt>
                <c:pt idx="315">
                  <c:v>312.000</c:v>
                </c:pt>
                <c:pt idx="316">
                  <c:v>313.000</c:v>
                </c:pt>
                <c:pt idx="317">
                  <c:v>314.000</c:v>
                </c:pt>
                <c:pt idx="318">
                  <c:v>315.000</c:v>
                </c:pt>
                <c:pt idx="319">
                  <c:v>316.000</c:v>
                </c:pt>
                <c:pt idx="320">
                  <c:v>317.000</c:v>
                </c:pt>
                <c:pt idx="321">
                  <c:v>318.000</c:v>
                </c:pt>
                <c:pt idx="322">
                  <c:v>319.000</c:v>
                </c:pt>
                <c:pt idx="323">
                  <c:v>320.000</c:v>
                </c:pt>
                <c:pt idx="324">
                  <c:v>321.000</c:v>
                </c:pt>
                <c:pt idx="325">
                  <c:v>322.000</c:v>
                </c:pt>
                <c:pt idx="326">
                  <c:v>323.000</c:v>
                </c:pt>
                <c:pt idx="327">
                  <c:v>324.000</c:v>
                </c:pt>
                <c:pt idx="328">
                  <c:v>325.000</c:v>
                </c:pt>
                <c:pt idx="329">
                  <c:v>326.000</c:v>
                </c:pt>
                <c:pt idx="330">
                  <c:v>327.000</c:v>
                </c:pt>
                <c:pt idx="331">
                  <c:v>328.000</c:v>
                </c:pt>
                <c:pt idx="332">
                  <c:v>329.000</c:v>
                </c:pt>
                <c:pt idx="333">
                  <c:v>330.000</c:v>
                </c:pt>
                <c:pt idx="334">
                  <c:v>331.000</c:v>
                </c:pt>
                <c:pt idx="335">
                  <c:v>332.000</c:v>
                </c:pt>
                <c:pt idx="336">
                  <c:v>333.000</c:v>
                </c:pt>
                <c:pt idx="337">
                  <c:v>334.000</c:v>
                </c:pt>
                <c:pt idx="338">
                  <c:v>335.000</c:v>
                </c:pt>
                <c:pt idx="339">
                  <c:v>336.000</c:v>
                </c:pt>
                <c:pt idx="340">
                  <c:v>337.000</c:v>
                </c:pt>
                <c:pt idx="341">
                  <c:v>338.000</c:v>
                </c:pt>
                <c:pt idx="342">
                  <c:v>339.000</c:v>
                </c:pt>
                <c:pt idx="343">
                  <c:v>340.000</c:v>
                </c:pt>
                <c:pt idx="344">
                  <c:v>341.000</c:v>
                </c:pt>
                <c:pt idx="345">
                  <c:v>342.000</c:v>
                </c:pt>
                <c:pt idx="346">
                  <c:v>343.000</c:v>
                </c:pt>
                <c:pt idx="347">
                  <c:v>344.000</c:v>
                </c:pt>
                <c:pt idx="348">
                  <c:v>345.000</c:v>
                </c:pt>
                <c:pt idx="349">
                  <c:v>346.000</c:v>
                </c:pt>
                <c:pt idx="350">
                  <c:v>347.000</c:v>
                </c:pt>
                <c:pt idx="351">
                  <c:v>348.000</c:v>
                </c:pt>
                <c:pt idx="352">
                  <c:v>349.000</c:v>
                </c:pt>
                <c:pt idx="353">
                  <c:v>350.000</c:v>
                </c:pt>
                <c:pt idx="354">
                  <c:v>351.000</c:v>
                </c:pt>
                <c:pt idx="355">
                  <c:v>352.000</c:v>
                </c:pt>
                <c:pt idx="356">
                  <c:v>353.000</c:v>
                </c:pt>
                <c:pt idx="357">
                  <c:v>354.000</c:v>
                </c:pt>
                <c:pt idx="358">
                  <c:v>355.000</c:v>
                </c:pt>
                <c:pt idx="359">
                  <c:v>356.000</c:v>
                </c:pt>
                <c:pt idx="360">
                  <c:v>357.000</c:v>
                </c:pt>
                <c:pt idx="361">
                  <c:v>358.000</c:v>
                </c:pt>
                <c:pt idx="362">
                  <c:v>359.000</c:v>
                </c:pt>
                <c:pt idx="363">
                  <c:v>360.000</c:v>
                </c:pt>
                <c:pt idx="364">
                  <c:v>361.000</c:v>
                </c:pt>
                <c:pt idx="365">
                  <c:v>362.000</c:v>
                </c:pt>
                <c:pt idx="366">
                  <c:v>363.000</c:v>
                </c:pt>
                <c:pt idx="367">
                  <c:v>364.000</c:v>
                </c:pt>
                <c:pt idx="368">
                  <c:v>365.000</c:v>
                </c:pt>
                <c:pt idx="369">
                  <c:v>366.000</c:v>
                </c:pt>
                <c:pt idx="370">
                  <c:v>367.000</c:v>
                </c:pt>
                <c:pt idx="371">
                  <c:v>368.000</c:v>
                </c:pt>
                <c:pt idx="372">
                  <c:v>369.000</c:v>
                </c:pt>
                <c:pt idx="373">
                  <c:v>370.000</c:v>
                </c:pt>
                <c:pt idx="374">
                  <c:v>371.000</c:v>
                </c:pt>
                <c:pt idx="375">
                  <c:v>372.000</c:v>
                </c:pt>
                <c:pt idx="376">
                  <c:v>373.000</c:v>
                </c:pt>
                <c:pt idx="377">
                  <c:v>374.000</c:v>
                </c:pt>
                <c:pt idx="378">
                  <c:v>375.000</c:v>
                </c:pt>
                <c:pt idx="379">
                  <c:v>376.000</c:v>
                </c:pt>
                <c:pt idx="380">
                  <c:v>377.000</c:v>
                </c:pt>
                <c:pt idx="381">
                  <c:v>378.000</c:v>
                </c:pt>
                <c:pt idx="382">
                  <c:v>379.000</c:v>
                </c:pt>
                <c:pt idx="383">
                  <c:v>380.000</c:v>
                </c:pt>
                <c:pt idx="384">
                  <c:v>381.000</c:v>
                </c:pt>
                <c:pt idx="385">
                  <c:v>382.000</c:v>
                </c:pt>
                <c:pt idx="386">
                  <c:v>383.000</c:v>
                </c:pt>
                <c:pt idx="387">
                  <c:v>384.000</c:v>
                </c:pt>
                <c:pt idx="388">
                  <c:v>385.000</c:v>
                </c:pt>
                <c:pt idx="389">
                  <c:v>386.000</c:v>
                </c:pt>
                <c:pt idx="390">
                  <c:v>387.000</c:v>
                </c:pt>
                <c:pt idx="391">
                  <c:v>388.000</c:v>
                </c:pt>
                <c:pt idx="392">
                  <c:v>389.000</c:v>
                </c:pt>
                <c:pt idx="393">
                  <c:v>390.000</c:v>
                </c:pt>
                <c:pt idx="394">
                  <c:v>391.000</c:v>
                </c:pt>
                <c:pt idx="395">
                  <c:v>392.000</c:v>
                </c:pt>
                <c:pt idx="396">
                  <c:v>393.000</c:v>
                </c:pt>
                <c:pt idx="397">
                  <c:v>394.000</c:v>
                </c:pt>
                <c:pt idx="398">
                  <c:v>395.000</c:v>
                </c:pt>
                <c:pt idx="399">
                  <c:v>396.000</c:v>
                </c:pt>
                <c:pt idx="400">
                  <c:v>397.000</c:v>
                </c:pt>
                <c:pt idx="401">
                  <c:v>398.000</c:v>
                </c:pt>
                <c:pt idx="402">
                  <c:v>399.000</c:v>
                </c:pt>
                <c:pt idx="403">
                  <c:v>400.000</c:v>
                </c:pt>
                <c:pt idx="404">
                  <c:v>401.000</c:v>
                </c:pt>
                <c:pt idx="405">
                  <c:v>402.000</c:v>
                </c:pt>
                <c:pt idx="406">
                  <c:v>403.000</c:v>
                </c:pt>
                <c:pt idx="407">
                  <c:v>404.000</c:v>
                </c:pt>
                <c:pt idx="408">
                  <c:v>405.000</c:v>
                </c:pt>
                <c:pt idx="409">
                  <c:v>406.000</c:v>
                </c:pt>
                <c:pt idx="410">
                  <c:v>407.000</c:v>
                </c:pt>
                <c:pt idx="411">
                  <c:v>408.000</c:v>
                </c:pt>
                <c:pt idx="412">
                  <c:v>409.000</c:v>
                </c:pt>
                <c:pt idx="413">
                  <c:v>410.000</c:v>
                </c:pt>
                <c:pt idx="414">
                  <c:v>411.000</c:v>
                </c:pt>
                <c:pt idx="415">
                  <c:v>412.000</c:v>
                </c:pt>
                <c:pt idx="416">
                  <c:v>413.000</c:v>
                </c:pt>
                <c:pt idx="417">
                  <c:v>414.000</c:v>
                </c:pt>
                <c:pt idx="418">
                  <c:v>415.000</c:v>
                </c:pt>
                <c:pt idx="419">
                  <c:v>416.000</c:v>
                </c:pt>
                <c:pt idx="420">
                  <c:v>417.000</c:v>
                </c:pt>
                <c:pt idx="421">
                  <c:v>418.000</c:v>
                </c:pt>
                <c:pt idx="422">
                  <c:v>419.000</c:v>
                </c:pt>
                <c:pt idx="423">
                  <c:v>420.000</c:v>
                </c:pt>
                <c:pt idx="424">
                  <c:v>421.000</c:v>
                </c:pt>
                <c:pt idx="425">
                  <c:v>422.000</c:v>
                </c:pt>
                <c:pt idx="426">
                  <c:v>423.000</c:v>
                </c:pt>
                <c:pt idx="427">
                  <c:v>424.000</c:v>
                </c:pt>
                <c:pt idx="428">
                  <c:v>425.000</c:v>
                </c:pt>
                <c:pt idx="429">
                  <c:v>426.000</c:v>
                </c:pt>
                <c:pt idx="430">
                  <c:v>427.000</c:v>
                </c:pt>
                <c:pt idx="431">
                  <c:v>428.000</c:v>
                </c:pt>
                <c:pt idx="432">
                  <c:v>429.000</c:v>
                </c:pt>
                <c:pt idx="433">
                  <c:v>430.000</c:v>
                </c:pt>
                <c:pt idx="434">
                  <c:v>431.000</c:v>
                </c:pt>
                <c:pt idx="435">
                  <c:v>432.000</c:v>
                </c:pt>
                <c:pt idx="436">
                  <c:v>433.000</c:v>
                </c:pt>
                <c:pt idx="437">
                  <c:v>434.000</c:v>
                </c:pt>
                <c:pt idx="438">
                  <c:v>435.000</c:v>
                </c:pt>
                <c:pt idx="439">
                  <c:v>436.000</c:v>
                </c:pt>
                <c:pt idx="440">
                  <c:v>437.000</c:v>
                </c:pt>
                <c:pt idx="441">
                  <c:v>438.000</c:v>
                </c:pt>
                <c:pt idx="442">
                  <c:v>439.000</c:v>
                </c:pt>
                <c:pt idx="443">
                  <c:v>440.000</c:v>
                </c:pt>
                <c:pt idx="444">
                  <c:v>441.000</c:v>
                </c:pt>
                <c:pt idx="445">
                  <c:v>442.000</c:v>
                </c:pt>
                <c:pt idx="446">
                  <c:v>443.000</c:v>
                </c:pt>
                <c:pt idx="447">
                  <c:v>444.000</c:v>
                </c:pt>
                <c:pt idx="448">
                  <c:v>445.000</c:v>
                </c:pt>
                <c:pt idx="449">
                  <c:v>446.000</c:v>
                </c:pt>
                <c:pt idx="450">
                  <c:v>447.000</c:v>
                </c:pt>
                <c:pt idx="451">
                  <c:v>448.000</c:v>
                </c:pt>
                <c:pt idx="452">
                  <c:v>449.000</c:v>
                </c:pt>
                <c:pt idx="453">
                  <c:v>450.000</c:v>
                </c:pt>
                <c:pt idx="454">
                  <c:v>451.000</c:v>
                </c:pt>
                <c:pt idx="455">
                  <c:v>452.000</c:v>
                </c:pt>
                <c:pt idx="456">
                  <c:v>453.000</c:v>
                </c:pt>
                <c:pt idx="457">
                  <c:v>454.000</c:v>
                </c:pt>
                <c:pt idx="458">
                  <c:v>455.000</c:v>
                </c:pt>
                <c:pt idx="459">
                  <c:v>456.000</c:v>
                </c:pt>
                <c:pt idx="460">
                  <c:v>457.000</c:v>
                </c:pt>
                <c:pt idx="461">
                  <c:v>458.000</c:v>
                </c:pt>
                <c:pt idx="462">
                  <c:v>459.000</c:v>
                </c:pt>
                <c:pt idx="463">
                  <c:v>460.000</c:v>
                </c:pt>
                <c:pt idx="464">
                  <c:v>461.000</c:v>
                </c:pt>
                <c:pt idx="465">
                  <c:v>462.000</c:v>
                </c:pt>
                <c:pt idx="466">
                  <c:v>463.000</c:v>
                </c:pt>
                <c:pt idx="467">
                  <c:v>464.000</c:v>
                </c:pt>
                <c:pt idx="468">
                  <c:v>465.000</c:v>
                </c:pt>
                <c:pt idx="469">
                  <c:v>466.000</c:v>
                </c:pt>
                <c:pt idx="470">
                  <c:v>467.000</c:v>
                </c:pt>
                <c:pt idx="471">
                  <c:v>468.000</c:v>
                </c:pt>
                <c:pt idx="472">
                  <c:v>469.000</c:v>
                </c:pt>
                <c:pt idx="473">
                  <c:v>470.000</c:v>
                </c:pt>
                <c:pt idx="474">
                  <c:v>471.000</c:v>
                </c:pt>
                <c:pt idx="475">
                  <c:v>472.000</c:v>
                </c:pt>
                <c:pt idx="476">
                  <c:v>473.000</c:v>
                </c:pt>
                <c:pt idx="477">
                  <c:v>474.000</c:v>
                </c:pt>
                <c:pt idx="478">
                  <c:v>475.000</c:v>
                </c:pt>
                <c:pt idx="479">
                  <c:v>476.000</c:v>
                </c:pt>
                <c:pt idx="480">
                  <c:v>477.000</c:v>
                </c:pt>
                <c:pt idx="481">
                  <c:v>478.000</c:v>
                </c:pt>
                <c:pt idx="482">
                  <c:v>479.000</c:v>
                </c:pt>
                <c:pt idx="483">
                  <c:v>480.000</c:v>
                </c:pt>
                <c:pt idx="484">
                  <c:v>481.000</c:v>
                </c:pt>
                <c:pt idx="485">
                  <c:v>482.000</c:v>
                </c:pt>
                <c:pt idx="486">
                  <c:v>483.000</c:v>
                </c:pt>
                <c:pt idx="487">
                  <c:v>484.000</c:v>
                </c:pt>
                <c:pt idx="488">
                  <c:v>485.000</c:v>
                </c:pt>
                <c:pt idx="489">
                  <c:v>486.000</c:v>
                </c:pt>
                <c:pt idx="490">
                  <c:v>487.000</c:v>
                </c:pt>
                <c:pt idx="491">
                  <c:v>488.000</c:v>
                </c:pt>
                <c:pt idx="492">
                  <c:v>489.000</c:v>
                </c:pt>
                <c:pt idx="493">
                  <c:v>490.000</c:v>
                </c:pt>
                <c:pt idx="494">
                  <c:v>491.000</c:v>
                </c:pt>
                <c:pt idx="495">
                  <c:v>492.000</c:v>
                </c:pt>
                <c:pt idx="496">
                  <c:v>493.000</c:v>
                </c:pt>
                <c:pt idx="497">
                  <c:v>494.000</c:v>
                </c:pt>
                <c:pt idx="498">
                  <c:v>495.000</c:v>
                </c:pt>
                <c:pt idx="499">
                  <c:v>496.000</c:v>
                </c:pt>
                <c:pt idx="500">
                  <c:v>497.000</c:v>
                </c:pt>
                <c:pt idx="501">
                  <c:v>498.000</c:v>
                </c:pt>
                <c:pt idx="502">
                  <c:v>499.000</c:v>
                </c:pt>
                <c:pt idx="503">
                  <c:v>500.000</c:v>
                </c:pt>
                <c:pt idx="504">
                  <c:v>501.000</c:v>
                </c:pt>
                <c:pt idx="505">
                  <c:v>502.000</c:v>
                </c:pt>
                <c:pt idx="506">
                  <c:v>503.000</c:v>
                </c:pt>
                <c:pt idx="507">
                  <c:v>504.000</c:v>
                </c:pt>
                <c:pt idx="508">
                  <c:v>505.000</c:v>
                </c:pt>
                <c:pt idx="509">
                  <c:v>506.000</c:v>
                </c:pt>
                <c:pt idx="510">
                  <c:v>507.000</c:v>
                </c:pt>
                <c:pt idx="511">
                  <c:v>508.000</c:v>
                </c:pt>
                <c:pt idx="512">
                  <c:v>509.000</c:v>
                </c:pt>
                <c:pt idx="513">
                  <c:v>510.000</c:v>
                </c:pt>
                <c:pt idx="514">
                  <c:v>511.000</c:v>
                </c:pt>
                <c:pt idx="515">
                  <c:v>512.000</c:v>
                </c:pt>
                <c:pt idx="516">
                  <c:v>513.000</c:v>
                </c:pt>
                <c:pt idx="517">
                  <c:v>514.000</c:v>
                </c:pt>
                <c:pt idx="518">
                  <c:v>515.000</c:v>
                </c:pt>
                <c:pt idx="519">
                  <c:v>516.000</c:v>
                </c:pt>
                <c:pt idx="520">
                  <c:v>517.000</c:v>
                </c:pt>
                <c:pt idx="521">
                  <c:v>518.000</c:v>
                </c:pt>
                <c:pt idx="522">
                  <c:v>519.000</c:v>
                </c:pt>
                <c:pt idx="523">
                  <c:v>520.000</c:v>
                </c:pt>
                <c:pt idx="524">
                  <c:v>521.000</c:v>
                </c:pt>
              </c:strCache>
            </c:strRef>
          </c:xVal>
          <c:yVal>
            <c:numRef>
              <c:f>Sheet1!$C$2:$C$1045</c:f>
              <c:numCache>
                <c:formatCode>General</c:formatCode>
                <c:ptCount val="1044"/>
                <c:pt idx="0">
                  <c:v>0</c:v>
                </c:pt>
                <c:pt idx="3" formatCode="0.000">
                  <c:v>1</c:v>
                </c:pt>
                <c:pt idx="4" formatCode="0.000">
                  <c:v>1</c:v>
                </c:pt>
                <c:pt idx="5" formatCode="0.000">
                  <c:v>1</c:v>
                </c:pt>
                <c:pt idx="6" formatCode="0.000">
                  <c:v>0.99807092705052836</c:v>
                </c:pt>
                <c:pt idx="7" formatCode="0.000">
                  <c:v>0.99421375908502507</c:v>
                </c:pt>
                <c:pt idx="8" formatCode="0.000">
                  <c:v>0.99421375908502507</c:v>
                </c:pt>
                <c:pt idx="9" formatCode="0.000">
                  <c:v>0.9903508357470967</c:v>
                </c:pt>
                <c:pt idx="10" formatCode="0.000">
                  <c:v>0.9903508357470967</c:v>
                </c:pt>
                <c:pt idx="11" formatCode="0.000">
                  <c:v>0.97488386961507056</c:v>
                </c:pt>
                <c:pt idx="12" formatCode="0.000">
                  <c:v>0.97295198643278846</c:v>
                </c:pt>
                <c:pt idx="13" formatCode="0.000">
                  <c:v>0.9710204346208372</c:v>
                </c:pt>
                <c:pt idx="14" formatCode="0.000">
                  <c:v>0.96715106771832204</c:v>
                </c:pt>
                <c:pt idx="15" formatCode="0.000">
                  <c:v>0.96521322817620669</c:v>
                </c:pt>
                <c:pt idx="16" formatCode="0.000">
                  <c:v>0.96327572348507728</c:v>
                </c:pt>
                <c:pt idx="17" formatCode="0.000">
                  <c:v>0.95745417727276982</c:v>
                </c:pt>
                <c:pt idx="18" formatCode="0.000">
                  <c:v>0.94968198085888234</c:v>
                </c:pt>
                <c:pt idx="19" formatCode="0.000">
                  <c:v>0.93995560565556069</c:v>
                </c:pt>
                <c:pt idx="20" formatCode="0.000">
                  <c:v>0.93021877207976256</c:v>
                </c:pt>
                <c:pt idx="21" formatCode="0.000">
                  <c:v>0.92243550767669424</c:v>
                </c:pt>
                <c:pt idx="22" formatCode="0.000">
                  <c:v>0.91660168859499769</c:v>
                </c:pt>
                <c:pt idx="23" formatCode="0.000">
                  <c:v>0.91075928320845123</c:v>
                </c:pt>
                <c:pt idx="24" formatCode="0.000">
                  <c:v>0.90297429299088228</c:v>
                </c:pt>
                <c:pt idx="25" formatCode="0.000">
                  <c:v>0.89907595764629578</c:v>
                </c:pt>
                <c:pt idx="26" formatCode="0.000">
                  <c:v>0.88933628107609208</c:v>
                </c:pt>
                <c:pt idx="27" formatCode="0.000">
                  <c:v>0.88155089624010574</c:v>
                </c:pt>
                <c:pt idx="28" formatCode="0.000">
                  <c:v>0.86985906030576121</c:v>
                </c:pt>
                <c:pt idx="29" formatCode="0.000">
                  <c:v>0.86596463930741607</c:v>
                </c:pt>
                <c:pt idx="30" formatCode="0.000">
                  <c:v>0.8581800978784816</c:v>
                </c:pt>
                <c:pt idx="31" formatCode="0.000">
                  <c:v>0.84845750919419605</c:v>
                </c:pt>
                <c:pt idx="32" formatCode="0.000">
                  <c:v>0.84262828406398715</c:v>
                </c:pt>
                <c:pt idx="33" formatCode="0.000">
                  <c:v>0.83292014869606013</c:v>
                </c:pt>
                <c:pt idx="34" formatCode="0.000">
                  <c:v>0.82903943567999105</c:v>
                </c:pt>
                <c:pt idx="35" formatCode="0.000">
                  <c:v>0.81934402776785986</c:v>
                </c:pt>
                <c:pt idx="36" formatCode="0.000">
                  <c:v>0.8077216041582731</c:v>
                </c:pt>
                <c:pt idx="37" formatCode="0.000">
                  <c:v>0.78644823484910276</c:v>
                </c:pt>
                <c:pt idx="38" formatCode="0.000">
                  <c:v>0.77293398568354232</c:v>
                </c:pt>
                <c:pt idx="39" formatCode="0.000">
                  <c:v>0.76907612744999165</c:v>
                </c:pt>
                <c:pt idx="40" formatCode="0.000">
                  <c:v>0.75941504369707746</c:v>
                </c:pt>
                <c:pt idx="41" formatCode="0.000">
                  <c:v>0.75169297252395428</c:v>
                </c:pt>
                <c:pt idx="42" formatCode="0.000">
                  <c:v>0.7458912519250156</c:v>
                </c:pt>
                <c:pt idx="43" formatCode="0.000">
                  <c:v>0.72652942903803819</c:v>
                </c:pt>
                <c:pt idx="44" formatCode="0.000">
                  <c:v>0.71490149854144602</c:v>
                </c:pt>
                <c:pt idx="45" formatCode="0.000">
                  <c:v>0.7090778143291977</c:v>
                </c:pt>
                <c:pt idx="46" formatCode="0.000">
                  <c:v>0.69741076170066052</c:v>
                </c:pt>
                <c:pt idx="47" formatCode="0.000">
                  <c:v>0.68769920481473701</c:v>
                </c:pt>
                <c:pt idx="48" formatCode="0.000">
                  <c:v>0.67605859837355331</c:v>
                </c:pt>
                <c:pt idx="49" formatCode="0.000">
                  <c:v>0.66249629174031299</c:v>
                </c:pt>
                <c:pt idx="50" formatCode="0.000">
                  <c:v>0.65088733670780663</c:v>
                </c:pt>
                <c:pt idx="51" formatCode="0.000">
                  <c:v>0.64508838771602495</c:v>
                </c:pt>
                <c:pt idx="52" formatCode="0.000">
                  <c:v>0.63543170530562876</c:v>
                </c:pt>
                <c:pt idx="53" formatCode="0.000">
                  <c:v>0.63350160783703424</c:v>
                </c:pt>
                <c:pt idx="54" formatCode="0.000">
                  <c:v>0.62192973522325101</c:v>
                </c:pt>
                <c:pt idx="55" formatCode="0.000">
                  <c:v>0.60075369280934487</c:v>
                </c:pt>
                <c:pt idx="56" formatCode="0.000">
                  <c:v>0.59114507118979609</c:v>
                </c:pt>
                <c:pt idx="57" formatCode="0.000">
                  <c:v>0.58344190532216667</c:v>
                </c:pt>
                <c:pt idx="58" formatCode="0.000">
                  <c:v>0.5795807199090488</c:v>
                </c:pt>
                <c:pt idx="59" formatCode="0.000">
                  <c:v>0.57183890904400436</c:v>
                </c:pt>
                <c:pt idx="60" formatCode="0.000">
                  <c:v>0.56407900923706145</c:v>
                </c:pt>
                <c:pt idx="61" formatCode="0.000">
                  <c:v>0.56213374314009645</c:v>
                </c:pt>
                <c:pt idx="62" formatCode="0.000">
                  <c:v>0.55433132936268947</c:v>
                </c:pt>
                <c:pt idx="63" formatCode="0.000">
                  <c:v>0.55041966571379919</c:v>
                </c:pt>
                <c:pt idx="64" formatCode="0.000">
                  <c:v>0.53277990774907413</c:v>
                </c:pt>
                <c:pt idx="65" formatCode="0.000">
                  <c:v>0.53277990774907413</c:v>
                </c:pt>
                <c:pt idx="66" formatCode="0.000">
                  <c:v>0.51502461203395644</c:v>
                </c:pt>
                <c:pt idx="67" formatCode="0.000">
                  <c:v>0.50707152583017556</c:v>
                </c:pt>
                <c:pt idx="68" formatCode="0.000">
                  <c:v>0.49906613775185155</c:v>
                </c:pt>
                <c:pt idx="69" formatCode="0.000">
                  <c:v>0.48899325996531584</c:v>
                </c:pt>
                <c:pt idx="70" formatCode="0.000">
                  <c:v>0.48091226820136485</c:v>
                </c:pt>
                <c:pt idx="71" formatCode="0.000">
                  <c:v>0.47280694019670177</c:v>
                </c:pt>
                <c:pt idx="72" formatCode="0.000">
                  <c:v>0.46872384479055124</c:v>
                </c:pt>
                <c:pt idx="73" formatCode="0.000">
                  <c:v>0.46255161406004941</c:v>
                </c:pt>
                <c:pt idx="74" formatCode="0.000">
                  <c:v>0.46255161406004941</c:v>
                </c:pt>
                <c:pt idx="75" formatCode="0.000">
                  <c:v>0.44973675343091263</c:v>
                </c:pt>
                <c:pt idx="76" formatCode="0.000">
                  <c:v>0.44751027403704602</c:v>
                </c:pt>
                <c:pt idx="77" formatCode="0.000">
                  <c:v>0.44067123359345545</c:v>
                </c:pt>
                <c:pt idx="78" formatCode="0.000">
                  <c:v>0.4336641975153534</c:v>
                </c:pt>
                <c:pt idx="79" formatCode="0.000">
                  <c:v>0.42889774328925412</c:v>
                </c:pt>
                <c:pt idx="80" formatCode="0.000">
                  <c:v>0.42392122655975151</c:v>
                </c:pt>
                <c:pt idx="81" formatCode="0.000">
                  <c:v>0.41880387863842927</c:v>
                </c:pt>
                <c:pt idx="82" formatCode="0.000">
                  <c:v>0.41094986407299144</c:v>
                </c:pt>
                <c:pt idx="83" formatCode="0.000">
                  <c:v>0.40562052144771621</c:v>
                </c:pt>
                <c:pt idx="84" formatCode="0.000">
                  <c:v>0.39742657349143429</c:v>
                </c:pt>
                <c:pt idx="85" formatCode="0.000">
                  <c:v>0.39178233631351628</c:v>
                </c:pt>
                <c:pt idx="86" formatCode="0.000">
                  <c:v>0.38598152302360711</c:v>
                </c:pt>
                <c:pt idx="87" formatCode="0.000">
                  <c:v>0.38299639981140354</c:v>
                </c:pt>
                <c:pt idx="88" formatCode="0.000">
                  <c:v>0.37679701040869462</c:v>
                </c:pt>
                <c:pt idx="89" formatCode="0.000">
                  <c:v>0.37359784665950879</c:v>
                </c:pt>
                <c:pt idx="90" formatCode="0.000">
                  <c:v>0.36341777047863782</c:v>
                </c:pt>
                <c:pt idx="91" formatCode="0.000">
                  <c:v>0.36341777047863782</c:v>
                </c:pt>
                <c:pt idx="92" formatCode="0.000">
                  <c:v>0.35625459343861926</c:v>
                </c:pt>
                <c:pt idx="93" formatCode="0.000">
                  <c:v>0.34873411276290339</c:v>
                </c:pt>
                <c:pt idx="94" formatCode="0.000">
                  <c:v>0.34368533596649919</c:v>
                </c:pt>
                <c:pt idx="95" formatCode="0.000">
                  <c:v>0.33872704956248173</c:v>
                </c:pt>
                <c:pt idx="96" formatCode="0.000">
                  <c:v>0.33385771278625032</c:v>
                </c:pt>
                <c:pt idx="97" formatCode="0.000">
                  <c:v>0.32907578990096159</c:v>
                </c:pt>
                <c:pt idx="98" formatCode="0.000">
                  <c:v>0.32437975215306564</c:v>
                </c:pt>
                <c:pt idx="99" formatCode="0.000">
                  <c:v>0.31976807955113173</c:v>
                </c:pt>
                <c:pt idx="100" formatCode="0.000">
                  <c:v>0.31523926247936623</c:v>
                </c:pt>
                <c:pt idx="101" formatCode="0.000">
                  <c:v>0.31079180315665755</c:v>
                </c:pt>
                <c:pt idx="102" formatCode="0.000">
                  <c:v>0.30642421695143046</c:v>
                </c:pt>
                <c:pt idx="103" formatCode="0.000">
                  <c:v>0.3021350335620529</c:v>
                </c:pt>
                <c:pt idx="104" formatCode="0.000">
                  <c:v>0.29792279807201505</c:v>
                </c:pt>
                <c:pt idx="105" formatCode="0.000">
                  <c:v>0.29378607188859568</c:v>
                </c:pt>
                <c:pt idx="106" formatCode="0.000">
                  <c:v>0.28972343357324315</c:v>
                </c:pt>
                <c:pt idx="107" formatCode="0.000">
                  <c:v>0.28573347957142903</c:v>
                </c:pt>
                <c:pt idx="108" formatCode="0.000">
                  <c:v>0.28181482484928499</c:v>
                </c:pt>
                <c:pt idx="109" formatCode="0.000">
                  <c:v>0.27796610344389722</c:v>
                </c:pt>
                <c:pt idx="110" formatCode="0.000">
                  <c:v>0.27418596893372693</c:v>
                </c:pt>
                <c:pt idx="111" formatCode="0.000">
                  <c:v>0.2704730948352288</c:v>
                </c:pt>
                <c:pt idx="112" formatCode="0.000">
                  <c:v>0.26682617493136496</c:v>
                </c:pt>
                <c:pt idx="113" formatCode="0.000">
                  <c:v>0.2632439235373582</c:v>
                </c:pt>
                <c:pt idx="114" formatCode="0.000">
                  <c:v>0.25972507570868675</c:v>
                </c:pt>
                <c:pt idx="115" formatCode="0.000">
                  <c:v>0.25626838739600571</c:v>
                </c:pt>
                <c:pt idx="116" formatCode="0.000">
                  <c:v>0.2528726355513739</c:v>
                </c:pt>
                <c:pt idx="117" formatCode="0.000">
                  <c:v>0.24953661818987719</c:v>
                </c:pt>
                <c:pt idx="118" formatCode="0.000">
                  <c:v>0.24625915441047047</c:v>
                </c:pt>
                <c:pt idx="119" formatCode="0.000">
                  <c:v>0.24303908437960142</c:v>
                </c:pt>
                <c:pt idx="120" formatCode="0.000">
                  <c:v>0.23987526928093722</c:v>
                </c:pt>
                <c:pt idx="121" formatCode="0.000">
                  <c:v>0.23676659123428953</c:v>
                </c:pt>
                <c:pt idx="122" formatCode="0.000">
                  <c:v>0.23371195318661631</c:v>
                </c:pt>
                <c:pt idx="123" formatCode="0.000">
                  <c:v>0.23071027877777844</c:v>
                </c:pt>
                <c:pt idx="124" formatCode="0.000">
                  <c:v>0.22776051218353935</c:v>
                </c:pt>
                <c:pt idx="125" formatCode="0.000">
                  <c:v>0.22486161793811646</c:v>
                </c:pt>
                <c:pt idx="126" formatCode="0.000">
                  <c:v>0.22201258073842808</c:v>
                </c:pt>
                <c:pt idx="127" formatCode="0.000">
                  <c:v>0.21921240523202143</c:v>
                </c:pt>
                <c:pt idx="128" formatCode="0.000">
                  <c:v>0.21646011579051999</c:v>
                </c:pt>
                <c:pt idx="129" formatCode="0.000">
                  <c:v>0.21375475627029272</c:v>
                </c:pt>
                <c:pt idx="130" formatCode="0.000">
                  <c:v>0.21109538976191738</c:v>
                </c:pt>
                <c:pt idx="131" formatCode="0.000">
                  <c:v>0.20848109832989017</c:v>
                </c:pt>
                <c:pt idx="132" formatCode="0.000">
                  <c:v>0.20591098274392178</c:v>
                </c:pt>
                <c:pt idx="133" formatCode="0.000">
                  <c:v>0.20338416220305494</c:v>
                </c:pt>
                <c:pt idx="134" formatCode="0.000">
                  <c:v>0.20089977405373993</c:v>
                </c:pt>
                <c:pt idx="135" formatCode="0.000">
                  <c:v>0.19845697350291322</c:v>
                </c:pt>
                <c:pt idx="136" formatCode="0.000">
                  <c:v>0.19605493332703977</c:v>
                </c:pt>
                <c:pt idx="137" formatCode="0.000">
                  <c:v>0.19369284357799865</c:v>
                </c:pt>
                <c:pt idx="138" formatCode="0.000">
                  <c:v>0.1913699112866194</c:v>
                </c:pt>
                <c:pt idx="139" formatCode="0.000">
                  <c:v>0.18908536016460628</c:v>
                </c:pt>
                <c:pt idx="140" formatCode="0.000">
                  <c:v>0.18683843030552322</c:v>
                </c:pt>
                <c:pt idx="141" formatCode="0.000">
                  <c:v>0.18462837788545561</c:v>
                </c:pt>
                <c:pt idx="142" formatCode="0.000">
                  <c:v>0.18245447486390437</c:v>
                </c:pt>
                <c:pt idx="143" formatCode="0.000">
                  <c:v>0.18031600868542316</c:v>
                </c:pt>
                <c:pt idx="144" formatCode="0.000">
                  <c:v>0.17821228198245465</c:v>
                </c:pt>
                <c:pt idx="145" formatCode="0.000">
                  <c:v>0.176142612279785</c:v>
                </c:pt>
                <c:pt idx="146" formatCode="0.000">
                  <c:v>0.17410633170098763</c:v>
                </c:pt>
                <c:pt idx="147" formatCode="0.000">
                  <c:v>0.17210278667719495</c:v>
                </c:pt>
                <c:pt idx="148" formatCode="0.000">
                  <c:v>0.1701313376584985</c:v>
                </c:pt>
                <c:pt idx="149" formatCode="0.000">
                  <c:v>0.16819135882824682</c:v>
                </c:pt>
                <c:pt idx="150" formatCode="0.000">
                  <c:v>0.1662822378204796</c:v>
                </c:pt>
                <c:pt idx="151" formatCode="0.000">
                  <c:v>0.16440337544070993</c:v>
                </c:pt>
                <c:pt idx="152" formatCode="0.000">
                  <c:v>0.16255418539023922</c:v>
                </c:pt>
                <c:pt idx="153" formatCode="0.000">
                  <c:v>0.16073409399416846</c:v>
                </c:pt>
                <c:pt idx="154" formatCode="0.000">
                  <c:v>0.15894253993324456</c:v>
                </c:pt>
                <c:pt idx="155" formatCode="0.000">
                  <c:v>0.15717897397966363</c:v>
                </c:pt>
                <c:pt idx="156" formatCode="0.000">
                  <c:v>0.15544285873693167</c:v>
                </c:pt>
                <c:pt idx="157" formatCode="0.000">
                  <c:v>0.15373366838387029</c:v>
                </c:pt>
                <c:pt idx="158" formatCode="0.000">
                  <c:v>0.15205088842283399</c:v>
                </c:pt>
                <c:pt idx="159" formatCode="0.000">
                  <c:v>0.15039401543219755</c:v>
                </c:pt>
                <c:pt idx="160" formatCode="0.000">
                  <c:v>0.14876255682315462</c:v>
                </c:pt>
                <c:pt idx="161" formatCode="0.000">
                  <c:v>0.14715603060085783</c:v>
                </c:pt>
                <c:pt idx="162" formatCode="0.000">
                  <c:v>0.14557396512992238</c:v>
                </c:pt>
                <c:pt idx="163" formatCode="0.000">
                  <c:v>0.14401589890430061</c:v>
                </c:pt>
                <c:pt idx="164" formatCode="0.000">
                  <c:v>0.14248138032153118</c:v>
                </c:pt>
                <c:pt idx="165" formatCode="0.000">
                  <c:v>0.14096996746135387</c:v>
                </c:pt>
                <c:pt idx="166" formatCode="0.000">
                  <c:v>0.1394812278686772</c:v>
                </c:pt>
                <c:pt idx="167" formatCode="0.000">
                  <c:v>0.13801473834087682</c:v>
                </c:pt>
                <c:pt idx="168" formatCode="0.000">
                  <c:v>0.13657008471939894</c:v>
                </c:pt>
                <c:pt idx="169" formatCode="0.000">
                  <c:v>0.13514686168563464</c:v>
                </c:pt>
                <c:pt idx="170" formatCode="0.000">
                  <c:v>0.13374467256103012</c:v>
                </c:pt>
                <c:pt idx="171" formatCode="0.000">
                  <c:v>0.13236312911138945</c:v>
                </c:pt>
                <c:pt idx="172" formatCode="0.000">
                  <c:v>0.13100185135532599</c:v>
                </c:pt>
                <c:pt idx="173" formatCode="0.000">
                  <c:v>0.12966046737681278</c:v>
                </c:pt>
                <c:pt idx="174" formatCode="0.000">
                  <c:v>0.12833861314178119</c:v>
                </c:pt>
                <c:pt idx="175" formatCode="0.000">
                  <c:v>0.12703593231871266</c:v>
                </c:pt>
                <c:pt idx="176" formatCode="0.000">
                  <c:v>0.12575207610316783</c:v>
                </c:pt>
                <c:pt idx="177" formatCode="0.000">
                  <c:v>0.12448670304619418</c:v>
                </c:pt>
                <c:pt idx="178" formatCode="0.000">
                  <c:v>0.12323947888655223</c:v>
                </c:pt>
                <c:pt idx="179" formatCode="0.000">
                  <c:v>0.12201007638669874</c:v>
                </c:pt>
                <c:pt idx="180" formatCode="0.000">
                  <c:v>0.12079817517246443</c:v>
                </c:pt>
                <c:pt idx="181" formatCode="0.000">
                  <c:v>0.1196034615763629</c:v>
                </c:pt>
                <c:pt idx="182" formatCode="0.000">
                  <c:v>0.11842562848446588</c:v>
                </c:pt>
                <c:pt idx="183" formatCode="0.000">
                  <c:v>0.11726437518678064</c:v>
                </c:pt>
                <c:pt idx="184" formatCode="0.000">
                  <c:v>0.11611940723106455</c:v>
                </c:pt>
                <c:pt idx="185" formatCode="0.000">
                  <c:v>0.11499043628001097</c:v>
                </c:pt>
                <c:pt idx="186" formatCode="0.000">
                  <c:v>0.11387717997174138</c:v>
                </c:pt>
                <c:pt idx="187" formatCode="0.000">
                  <c:v>0.11277936178353884</c:v>
                </c:pt>
                <c:pt idx="188" formatCode="0.000">
                  <c:v>0.11169671089875702</c:v>
                </c:pt>
                <c:pt idx="189" formatCode="0.000">
                  <c:v>0.11062896207684059</c:v>
                </c:pt>
                <c:pt idx="190" formatCode="0.000">
                  <c:v>0.10957585552639217</c:v>
                </c:pt>
                <c:pt idx="191" formatCode="0.000">
                  <c:v>0.10853713678122251</c:v>
                </c:pt>
                <c:pt idx="192" formatCode="0.000">
                  <c:v>0.10751255657931955</c:v>
                </c:pt>
                <c:pt idx="193" formatCode="0.000">
                  <c:v>0.10650187074467465</c:v>
                </c:pt>
                <c:pt idx="194" formatCode="0.000">
                  <c:v>0.10550484007190312</c:v>
                </c:pt>
                <c:pt idx="195" formatCode="0.000">
                  <c:v>0.10452123021359842</c:v>
                </c:pt>
                <c:pt idx="196" formatCode="0.000">
                  <c:v>0.10355081157035849</c:v>
                </c:pt>
                <c:pt idx="197" formatCode="0.000">
                  <c:v>0.10259335918342562</c:v>
                </c:pt>
                <c:pt idx="198" formatCode="0.000">
                  <c:v>0.10164865262987985</c:v>
                </c:pt>
                <c:pt idx="199" formatCode="0.000">
                  <c:v>0.10071647592032885</c:v>
                </c:pt>
                <c:pt idx="200" formatCode="0.000">
                  <c:v>9.9796617399036711E-2</c:v>
                </c:pt>
                <c:pt idx="201" formatCode="0.000">
                  <c:v>9.8888869646434757E-2</c:v>
                </c:pt>
                <c:pt idx="202" formatCode="0.000">
                  <c:v>9.7993029383961011E-2</c:v>
                </c:pt>
                <c:pt idx="203" formatCode="0.000">
                  <c:v>9.7108897381172232E-2</c:v>
                </c:pt>
                <c:pt idx="204" formatCode="0.000">
                  <c:v>9.6236278365075992E-2</c:v>
                </c:pt>
                <c:pt idx="205" formatCode="0.000">
                  <c:v>9.5374980931630618E-2</c:v>
                </c:pt>
                <c:pt idx="206" formatCode="0.000">
                  <c:v>9.4524817459361588E-2</c:v>
                </c:pt>
                <c:pt idx="207" formatCode="0.000">
                  <c:v>9.3685604025043723E-2</c:v>
                </c:pt>
                <c:pt idx="208" formatCode="0.000">
                  <c:v>9.2857160321400206E-2</c:v>
                </c:pt>
                <c:pt idx="209" formatCode="0.000">
                  <c:v>9.2039309576770326E-2</c:v>
                </c:pt>
                <c:pt idx="210" formatCode="0.000">
                  <c:v>9.1231878476697725E-2</c:v>
                </c:pt>
                <c:pt idx="211" formatCode="0.000">
                  <c:v>9.0434697087393892E-2</c:v>
                </c:pt>
                <c:pt idx="212" formatCode="0.000">
                  <c:v>8.9647598781030596E-2</c:v>
                </c:pt>
                <c:pt idx="213" formatCode="0.000">
                  <c:v>8.8870420162817418E-2</c:v>
                </c:pt>
                <c:pt idx="214" formatCode="0.000">
                  <c:v>8.810300099982081E-2</c:v>
                </c:pt>
                <c:pt idx="215" formatCode="0.000">
                  <c:v>8.7345184151482E-2</c:v>
                </c:pt>
                <c:pt idx="216" formatCode="0.000">
                  <c:v>8.6596815501792435E-2</c:v>
                </c:pt>
                <c:pt idx="217" formatCode="0.000">
                  <c:v>8.5857743893085939E-2</c:v>
                </c:pt>
                <c:pt idx="218" formatCode="0.000">
                  <c:v>8.5127821061408288E-2</c:v>
                </c:pt>
                <c:pt idx="219" formatCode="0.000">
                  <c:v>8.4406901573424759E-2</c:v>
                </c:pt>
                <c:pt idx="220" formatCode="0.000">
                  <c:v>8.3694842764828484E-2</c:v>
                </c:pt>
                <c:pt idx="221" formatCode="0.000">
                  <c:v>8.2991504680211867E-2</c:v>
                </c:pt>
                <c:pt idx="222" formatCode="0.000">
                  <c:v>8.2296750014365885E-2</c:v>
                </c:pt>
                <c:pt idx="223" formatCode="0.000">
                  <c:v>8.1610444054970629E-2</c:v>
                </c:pt>
                <c:pt idx="224" formatCode="0.000">
                  <c:v>8.093245462664421E-2</c:v>
                </c:pt>
                <c:pt idx="225" formatCode="0.000">
                  <c:v>8.0262652036315038E-2</c:v>
                </c:pt>
                <c:pt idx="226" formatCode="0.000">
                  <c:v>7.9600909019885438E-2</c:v>
                </c:pt>
                <c:pt idx="227" formatCode="0.000">
                  <c:v>7.8947100690154218E-2</c:v>
                </c:pt>
                <c:pt idx="228" formatCode="0.000">
                  <c:v>7.8301104485967526E-2</c:v>
                </c:pt>
                <c:pt idx="229" formatCode="0.000">
                  <c:v>7.7662800122566072E-2</c:v>
                </c:pt>
                <c:pt idx="230" formatCode="0.000">
                  <c:v>7.7032069543101156E-2</c:v>
                </c:pt>
                <c:pt idx="231" formatCode="0.000">
                  <c:v>7.6408796871288279E-2</c:v>
                </c:pt>
                <c:pt idx="232" formatCode="0.000">
                  <c:v>7.5792868365171615E-2</c:v>
                </c:pt>
                <c:pt idx="233" formatCode="0.000">
                  <c:v>7.5184172371971114E-2</c:v>
                </c:pt>
                <c:pt idx="234" formatCode="0.000">
                  <c:v>7.4582599283985057E-2</c:v>
                </c:pt>
                <c:pt idx="235" formatCode="0.000">
                  <c:v>7.3988041495522544E-2</c:v>
                </c:pt>
                <c:pt idx="236" formatCode="0.000">
                  <c:v>7.3400393360839825E-2</c:v>
                </c:pt>
                <c:pt idx="237" formatCode="0.000">
                  <c:v>7.2819551153055745E-2</c:v>
                </c:pt>
                <c:pt idx="238" formatCode="0.000">
                  <c:v>7.2245413024021404E-2</c:v>
                </c:pt>
                <c:pt idx="239" formatCode="0.000">
                  <c:v>7.1677878965121872E-2</c:v>
                </c:pt>
                <c:pt idx="240" formatCode="0.000">
                  <c:v>7.1116850768984705E-2</c:v>
                </c:pt>
                <c:pt idx="241" formatCode="0.000">
                  <c:v>7.0562231992074606E-2</c:v>
                </c:pt>
                <c:pt idx="242" formatCode="0.000">
                  <c:v>7.0013927918151184E-2</c:v>
                </c:pt>
                <c:pt idx="243" formatCode="0.000">
                  <c:v>6.9471845522568965E-2</c:v>
                </c:pt>
                <c:pt idx="244" formatCode="0.000">
                  <c:v>6.893589343739856E-2</c:v>
                </c:pt>
                <c:pt idx="245" formatCode="0.000">
                  <c:v>6.8405981917348757E-2</c:v>
                </c:pt>
                <c:pt idx="246" formatCode="0.000">
                  <c:v>6.7882022806469627E-2</c:v>
                </c:pt>
                <c:pt idx="247" formatCode="0.000">
                  <c:v>6.7363929505617676E-2</c:v>
                </c:pt>
                <c:pt idx="248" formatCode="0.000">
                  <c:v>6.6851616940663758E-2</c:v>
                </c:pt>
                <c:pt idx="249" formatCode="0.000">
                  <c:v>6.6345001531425876E-2</c:v>
                </c:pt>
                <c:pt idx="250" formatCode="0.000">
                  <c:v>6.5844001161308841E-2</c:v>
                </c:pt>
                <c:pt idx="251" formatCode="0.000">
                  <c:v>6.5348535147633391E-2</c:v>
                </c:pt>
                <c:pt idx="252" formatCode="0.000">
                  <c:v>6.4858524212637506E-2</c:v>
                </c:pt>
                <c:pt idx="253" formatCode="0.000">
                  <c:v>6.4373890455134475E-2</c:v>
                </c:pt>
                <c:pt idx="254" formatCode="0.000">
                  <c:v>6.3894557322810103E-2</c:v>
                </c:pt>
                <c:pt idx="255" formatCode="0.000">
                  <c:v>6.3420449585144645E-2</c:v>
                </c:pt>
                <c:pt idx="256" formatCode="0.000">
                  <c:v>6.295149330694351E-2</c:v>
                </c:pt>
                <c:pt idx="257" formatCode="0.000">
                  <c:v>6.2487615822462275E-2</c:v>
                </c:pt>
                <c:pt idx="258" formatCode="0.000">
                  <c:v>6.2028745710110945E-2</c:v>
                </c:pt>
                <c:pt idx="259" formatCode="0.000">
                  <c:v>6.1574812767724099E-2</c:v>
                </c:pt>
                <c:pt idx="260" formatCode="0.000">
                  <c:v>6.1125747988382509E-2</c:v>
                </c:pt>
                <c:pt idx="261" formatCode="0.000">
                  <c:v>6.0681483536772871E-2</c:v>
                </c:pt>
                <c:pt idx="262" formatCode="0.000">
                  <c:v>6.0241952726073363E-2</c:v>
                </c:pt>
                <c:pt idx="263" formatCode="0.000">
                  <c:v>5.9807089995351052E-2</c:v>
                </c:pt>
                <c:pt idx="264" formatCode="0.000">
                  <c:v>5.9376830887459923E-2</c:v>
                </c:pt>
                <c:pt idx="265" formatCode="0.000">
                  <c:v>5.895111202742627E-2</c:v>
                </c:pt>
                <c:pt idx="266" formatCode="0.000">
                  <c:v>5.8529871101311297E-2</c:v>
                </c:pt>
                <c:pt idx="267" formatCode="0.000">
                  <c:v>5.8113046835537405E-2</c:v>
                </c:pt>
                <c:pt idx="268" formatCode="0.000">
                  <c:v>5.7700578976668859E-2</c:v>
                </c:pt>
                <c:pt idx="269" formatCode="0.000">
                  <c:v>5.729240827163478E-2</c:v>
                </c:pt>
                <c:pt idx="270" formatCode="0.000">
                  <c:v>5.6888476448384136E-2</c:v>
                </c:pt>
                <c:pt idx="271" formatCode="0.000">
                  <c:v>5.6488726196962685E-2</c:v>
                </c:pt>
                <c:pt idx="272" formatCode="0.000">
                  <c:v>5.6093101151001488E-2</c:v>
                </c:pt>
                <c:pt idx="273" formatCode="0.000">
                  <c:v>5.5701545869607058E-2</c:v>
                </c:pt>
                <c:pt idx="274" formatCode="0.000">
                  <c:v>5.5314005819644005E-2</c:v>
                </c:pt>
                <c:pt idx="275" formatCode="0.000">
                  <c:v>5.4930427358400348E-2</c:v>
                </c:pt>
                <c:pt idx="276" formatCode="0.000">
                  <c:v>5.4550757716626819E-2</c:v>
                </c:pt>
                <c:pt idx="277" formatCode="0.000">
                  <c:v>5.4174944981941052E-2</c:v>
                </c:pt>
                <c:pt idx="278" formatCode="0.000">
                  <c:v>5.3802938082588084E-2</c:v>
                </c:pt>
                <c:pt idx="279" formatCode="0.000">
                  <c:v>5.3434686771548744E-2</c:v>
                </c:pt>
                <c:pt idx="280" formatCode="0.000">
                  <c:v>5.3070141610987748E-2</c:v>
                </c:pt>
                <c:pt idx="281" formatCode="0.000">
                  <c:v>5.2709253957033506E-2</c:v>
                </c:pt>
                <c:pt idx="282" formatCode="0.000">
                  <c:v>5.2351975944881883E-2</c:v>
                </c:pt>
                <c:pt idx="283" formatCode="0.000">
                  <c:v>5.1998260474216039E-2</c:v>
                </c:pt>
                <c:pt idx="284" formatCode="0.000">
                  <c:v>5.1648061194935424E-2</c:v>
                </c:pt>
                <c:pt idx="285" formatCode="0.000">
                  <c:v>5.130133249318649E-2</c:v>
                </c:pt>
                <c:pt idx="286" formatCode="0.000">
                  <c:v>5.0958029477687607E-2</c:v>
                </c:pt>
                <c:pt idx="287" formatCode="0.000">
                  <c:v>5.0618107966342245E-2</c:v>
                </c:pt>
                <c:pt idx="288" formatCode="0.000">
                  <c:v>5.028152447313311E-2</c:v>
                </c:pt>
                <c:pt idx="289" formatCode="0.000">
                  <c:v>4.9948236195290714E-2</c:v>
                </c:pt>
                <c:pt idx="290" formatCode="0.000">
                  <c:v>4.9618201000730243E-2</c:v>
                </c:pt>
                <c:pt idx="291" formatCode="0.000">
                  <c:v>4.9291377415750452E-2</c:v>
                </c:pt>
                <c:pt idx="292" formatCode="0.000">
                  <c:v>4.8967724612988602E-2</c:v>
                </c:pt>
                <c:pt idx="293" formatCode="0.000">
                  <c:v>4.864720239962525E-2</c:v>
                </c:pt>
                <c:pt idx="294" formatCode="0.000">
                  <c:v>4.8329771205833733E-2</c:v>
                </c:pt>
                <c:pt idx="295" formatCode="0.000">
                  <c:v>4.8015392073467833E-2</c:v>
                </c:pt>
                <c:pt idx="296" formatCode="0.000">
                  <c:v>4.7704026644983417E-2</c:v>
                </c:pt>
                <c:pt idx="297" formatCode="0.000">
                  <c:v>4.7395637152587274E-2</c:v>
                </c:pt>
                <c:pt idx="298" formatCode="0.000">
                  <c:v>4.7090186407609307E-2</c:v>
                </c:pt>
                <c:pt idx="299" formatCode="0.000">
                  <c:v>4.6787637790092013E-2</c:v>
                </c:pt>
                <c:pt idx="300" formatCode="0.000">
                  <c:v>4.648795523859281E-2</c:v>
                </c:pt>
                <c:pt idx="301" formatCode="0.000">
                  <c:v>4.6191103240194223E-2</c:v>
                </c:pt>
                <c:pt idx="302" formatCode="0.000">
                  <c:v>4.5897046820717421E-2</c:v>
                </c:pt>
                <c:pt idx="303" formatCode="0.000">
                  <c:v>4.5605751535134124E-2</c:v>
                </c:pt>
                <c:pt idx="304" formatCode="0.000">
                  <c:v>4.5317183458172906E-2</c:v>
                </c:pt>
                <c:pt idx="305" formatCode="0.000">
                  <c:v>4.5031309175115046E-2</c:v>
                </c:pt>
                <c:pt idx="306" formatCode="0.000">
                  <c:v>4.4748095772775998E-2</c:v>
                </c:pt>
                <c:pt idx="307" formatCode="0.000">
                  <c:v>4.4467510830668258E-2</c:v>
                </c:pt>
                <c:pt idx="308" formatCode="0.000">
                  <c:v>4.4189522412341461E-2</c:v>
                </c:pt>
                <c:pt idx="309" formatCode="0.000">
                  <c:v>4.3914099056895903E-2</c:v>
                </c:pt>
                <c:pt idx="310" formatCode="0.000">
                  <c:v>4.3641209770665448E-2</c:v>
                </c:pt>
                <c:pt idx="311" formatCode="0.000">
                  <c:v>4.3370824019066209E-2</c:v>
                </c:pt>
                <c:pt idx="312" formatCode="0.000">
                  <c:v>4.310291171860741E-2</c:v>
                </c:pt>
                <c:pt idx="313" formatCode="0.000">
                  <c:v>4.2837443229060523E-2</c:v>
                </c:pt>
                <c:pt idx="314" formatCode="0.000">
                  <c:v>4.2574389345783392E-2</c:v>
                </c:pt>
                <c:pt idx="315" formatCode="0.000">
                  <c:v>4.2313721292196189E-2</c:v>
                </c:pt>
                <c:pt idx="316" formatCode="0.000">
                  <c:v>4.2055410712405115E-2</c:v>
                </c:pt>
                <c:pt idx="317" formatCode="0.000">
                  <c:v>4.1799429663971516E-2</c:v>
                </c:pt>
                <c:pt idx="318" formatCode="0.000">
                  <c:v>4.1545750610822503E-2</c:v>
                </c:pt>
                <c:pt idx="319" formatCode="0.000">
                  <c:v>4.1294346416300517E-2</c:v>
                </c:pt>
                <c:pt idx="320" formatCode="0.000">
                  <c:v>4.1045190336348243E-2</c:v>
                </c:pt>
                <c:pt idx="321" formatCode="0.000">
                  <c:v>4.0798256012826613E-2</c:v>
                </c:pt>
                <c:pt idx="322" formatCode="0.000">
                  <c:v>4.0553517466962237E-2</c:v>
                </c:pt>
                <c:pt idx="323" formatCode="0.000">
                  <c:v>4.0310949092922349E-2</c:v>
                </c:pt>
                <c:pt idx="324" formatCode="0.000">
                  <c:v>4.0070525651513512E-2</c:v>
                </c:pt>
                <c:pt idx="325" formatCode="0.000">
                  <c:v>3.9832222264002362E-2</c:v>
                </c:pt>
                <c:pt idx="326" formatCode="0.000">
                  <c:v>3.9596014406054987E-2</c:v>
                </c:pt>
                <c:pt idx="327" formatCode="0.000">
                  <c:v>3.9361877901792894E-2</c:v>
                </c:pt>
                <c:pt idx="328" formatCode="0.000">
                  <c:v>3.9129788917963031E-2</c:v>
                </c:pt>
                <c:pt idx="329" formatCode="0.000">
                  <c:v>3.8899723958218876E-2</c:v>
                </c:pt>
                <c:pt idx="330" formatCode="0.000">
                  <c:v>3.8671659857511025E-2</c:v>
                </c:pt>
                <c:pt idx="331" formatCode="0.000">
                  <c:v>3.8445573776584502E-2</c:v>
                </c:pt>
                <c:pt idx="332" formatCode="0.000">
                  <c:v>3.8221443196580288E-2</c:v>
                </c:pt>
                <c:pt idx="333" formatCode="0.000">
                  <c:v>3.7999245913739481E-2</c:v>
                </c:pt>
                <c:pt idx="334" formatCode="0.000">
                  <c:v>3.7778960034207401E-2</c:v>
                </c:pt>
                <c:pt idx="335" formatCode="0.000">
                  <c:v>3.7560563968935735E-2</c:v>
                </c:pt>
                <c:pt idx="336" formatCode="0.000">
                  <c:v>3.7344036428680637E-2</c:v>
                </c:pt>
                <c:pt idx="337" formatCode="0.000">
                  <c:v>3.7129356419094615E-2</c:v>
                </c:pt>
                <c:pt idx="338" formatCode="0.000">
                  <c:v>3.6916503235910739E-2</c:v>
                </c:pt>
                <c:pt idx="339" formatCode="0.000">
                  <c:v>3.6705456460216321E-2</c:v>
                </c:pt>
                <c:pt idx="340" formatCode="0.000">
                  <c:v>3.6496195953815182E-2</c:v>
                </c:pt>
                <c:pt idx="341" formatCode="0.000">
                  <c:v>3.6288701854676017E-2</c:v>
                </c:pt>
                <c:pt idx="342" formatCode="0.000">
                  <c:v>3.6082954572465339E-2</c:v>
                </c:pt>
                <c:pt idx="343" formatCode="0.000">
                  <c:v>3.5878934784163048E-2</c:v>
                </c:pt>
                <c:pt idx="344" formatCode="0.000">
                  <c:v>3.5676623429759177E-2</c:v>
                </c:pt>
                <c:pt idx="345" formatCode="0.000">
                  <c:v>3.5476001708029864E-2</c:v>
                </c:pt>
                <c:pt idx="346" formatCode="0.000">
                  <c:v>3.5277051072391132E-2</c:v>
                </c:pt>
                <c:pt idx="347" formatCode="0.000">
                  <c:v>3.5079753226828735E-2</c:v>
                </c:pt>
                <c:pt idx="348" formatCode="0.000">
                  <c:v>3.4884090121902522E-2</c:v>
                </c:pt>
                <c:pt idx="349" formatCode="0.000">
                  <c:v>3.4690043950823903E-2</c:v>
                </c:pt>
                <c:pt idx="350" formatCode="0.000">
                  <c:v>3.4497597145604686E-2</c:v>
                </c:pt>
                <c:pt idx="351" formatCode="0.000">
                  <c:v>3.4306732373276194E-2</c:v>
                </c:pt>
                <c:pt idx="352" formatCode="0.000">
                  <c:v>3.4117432532176813E-2</c:v>
                </c:pt>
                <c:pt idx="353" formatCode="0.000">
                  <c:v>3.3929680748306754E-2</c:v>
                </c:pt>
                <c:pt idx="354" formatCode="0.000">
                  <c:v>3.3743460371748996E-2</c:v>
                </c:pt>
                <c:pt idx="355" formatCode="0.000">
                  <c:v>3.3558754973154394E-2</c:v>
                </c:pt>
                <c:pt idx="356" formatCode="0.000">
                  <c:v>3.3375548340290169E-2</c:v>
                </c:pt>
                <c:pt idx="357" formatCode="0.000">
                  <c:v>3.3193824474650323E-2</c:v>
                </c:pt>
                <c:pt idx="358" formatCode="0.000">
                  <c:v>3.3013567588126923E-2</c:v>
                </c:pt>
                <c:pt idx="359" formatCode="0.000">
                  <c:v>3.2834762099740539E-2</c:v>
                </c:pt>
                <c:pt idx="360" formatCode="0.000">
                  <c:v>3.2657392632429297E-2</c:v>
                </c:pt>
                <c:pt idx="361" formatCode="0.000">
                  <c:v>3.2481444009894875E-2</c:v>
                </c:pt>
                <c:pt idx="362" formatCode="0.000">
                  <c:v>3.230690125350455E-2</c:v>
                </c:pt>
                <c:pt idx="363" formatCode="0.000">
                  <c:v>3.2133749579248055E-2</c:v>
                </c:pt>
                <c:pt idx="364" formatCode="0.000">
                  <c:v>3.1961974394748287E-2</c:v>
                </c:pt>
                <c:pt idx="365" formatCode="0.000">
                  <c:v>3.1791561296324738E-2</c:v>
                </c:pt>
                <c:pt idx="366" formatCode="0.000">
                  <c:v>3.1622496066108473E-2</c:v>
                </c:pt>
                <c:pt idx="367" formatCode="0.000">
                  <c:v>3.1454764669207894E-2</c:v>
                </c:pt>
                <c:pt idx="368" formatCode="0.000">
                  <c:v>3.1288353250924016E-2</c:v>
                </c:pt>
                <c:pt idx="369" formatCode="0.000">
                  <c:v>3.1123248134014573E-2</c:v>
                </c:pt>
                <c:pt idx="370" formatCode="0.000">
                  <c:v>3.0959435816005739E-2</c:v>
                </c:pt>
                <c:pt idx="371" formatCode="0.000">
                  <c:v>3.0796902966550584E-2</c:v>
                </c:pt>
                <c:pt idx="372" formatCode="0.000">
                  <c:v>3.0635636424833485E-2</c:v>
                </c:pt>
                <c:pt idx="373" formatCode="0.000">
                  <c:v>3.0475623197019502E-2</c:v>
                </c:pt>
                <c:pt idx="374" formatCode="0.000">
                  <c:v>3.0316850453747782E-2</c:v>
                </c:pt>
                <c:pt idx="375" formatCode="0.000">
                  <c:v>3.0159305527668309E-2</c:v>
                </c:pt>
                <c:pt idx="376" formatCode="0.000">
                  <c:v>3.0002975911020868E-2</c:v>
                </c:pt>
                <c:pt idx="377" formatCode="0.000">
                  <c:v>2.9847849253255797E-2</c:v>
                </c:pt>
                <c:pt idx="378" formatCode="0.000">
                  <c:v>2.9693913358695423E-2</c:v>
                </c:pt>
                <c:pt idx="379" formatCode="0.000">
                  <c:v>2.9541156184235421E-2</c:v>
                </c:pt>
                <c:pt idx="380" formatCode="0.000">
                  <c:v>2.9389565837085484E-2</c:v>
                </c:pt>
                <c:pt idx="381" formatCode="0.000">
                  <c:v>2.9239130572548438E-2</c:v>
                </c:pt>
                <c:pt idx="382" formatCode="0.000">
                  <c:v>2.908983879183712E-2</c:v>
                </c:pt>
                <c:pt idx="383" formatCode="0.000">
                  <c:v>2.8941679039928149E-2</c:v>
                </c:pt>
                <c:pt idx="384" formatCode="0.000">
                  <c:v>2.8794640003452113E-2</c:v>
                </c:pt>
                <c:pt idx="385" formatCode="0.000">
                  <c:v>2.8648710508619394E-2</c:v>
                </c:pt>
                <c:pt idx="386" formatCode="0.000">
                  <c:v>2.8503879519180746E-2</c:v>
                </c:pt>
                <c:pt idx="387" formatCode="0.000">
                  <c:v>2.8360136134422408E-2</c:v>
                </c:pt>
                <c:pt idx="388" formatCode="0.000">
                  <c:v>2.8217469587194576E-2</c:v>
                </c:pt>
                <c:pt idx="389" formatCode="0.000">
                  <c:v>2.807586924197308E-2</c:v>
                </c:pt>
                <c:pt idx="390" formatCode="0.000">
                  <c:v>2.7935324592953292E-2</c:v>
                </c:pt>
                <c:pt idx="391" formatCode="0.000">
                  <c:v>2.7795825262175892E-2</c:v>
                </c:pt>
                <c:pt idx="392" formatCode="0.000">
                  <c:v>2.7657360997683726E-2</c:v>
                </c:pt>
                <c:pt idx="393" formatCode="0.000">
                  <c:v>2.7519921671709247E-2</c:v>
                </c:pt>
                <c:pt idx="394" formatCode="0.000">
                  <c:v>2.7383497278892027E-2</c:v>
                </c:pt>
                <c:pt idx="395" formatCode="0.000">
                  <c:v>2.724807793452563E-2</c:v>
                </c:pt>
                <c:pt idx="396" formatCode="0.000">
                  <c:v>2.7113653872833501E-2</c:v>
                </c:pt>
                <c:pt idx="397" formatCode="0.000">
                  <c:v>2.6980215445273129E-2</c:v>
                </c:pt>
                <c:pt idx="398" formatCode="0.000">
                  <c:v>2.6847753118868053E-2</c:v>
                </c:pt>
                <c:pt idx="399" formatCode="0.000">
                  <c:v>2.6716257474567198E-2</c:v>
                </c:pt>
                <c:pt idx="400" formatCode="0.000">
                  <c:v>2.658571920563112E-2</c:v>
                </c:pt>
                <c:pt idx="401" formatCode="0.000">
                  <c:v>2.6456129116044436E-2</c:v>
                </c:pt>
                <c:pt idx="402" formatCode="0.000">
                  <c:v>2.6327478118954195E-2</c:v>
                </c:pt>
                <c:pt idx="403" formatCode="0.000">
                  <c:v>2.6199757235133566E-2</c:v>
                </c:pt>
                <c:pt idx="404" formatCode="0.000">
                  <c:v>2.6072957591470443E-2</c:v>
                </c:pt>
                <c:pt idx="405" formatCode="0.000">
                  <c:v>2.5947070419480547E-2</c:v>
                </c:pt>
                <c:pt idx="406" formatCode="0.000">
                  <c:v>2.5822087053844416E-2</c:v>
                </c:pt>
                <c:pt idx="407" formatCode="0.000">
                  <c:v>2.5697998930968097E-2</c:v>
                </c:pt>
                <c:pt idx="408" formatCode="0.000">
                  <c:v>2.5574797587566821E-2</c:v>
                </c:pt>
                <c:pt idx="409" formatCode="0.000">
                  <c:v>2.5452474659271612E-2</c:v>
                </c:pt>
                <c:pt idx="410" formatCode="0.000">
                  <c:v>2.533102187925795E-2</c:v>
                </c:pt>
                <c:pt idx="411" formatCode="0.000">
                  <c:v>2.5210431076896498E-2</c:v>
                </c:pt>
                <c:pt idx="412" formatCode="0.000">
                  <c:v>2.5090694176425336E-2</c:v>
                </c:pt>
                <c:pt idx="413" formatCode="0.000">
                  <c:v>2.4971803195643259E-2</c:v>
                </c:pt>
                <c:pt idx="414" formatCode="0.000">
                  <c:v>2.4853750244623812E-2</c:v>
                </c:pt>
                <c:pt idx="415" formatCode="0.000">
                  <c:v>2.473652752444979E-2</c:v>
                </c:pt>
                <c:pt idx="416" formatCode="0.000">
                  <c:v>2.4620127325967665E-2</c:v>
                </c:pt>
                <c:pt idx="417" formatCode="0.000">
                  <c:v>2.450454202856164E-2</c:v>
                </c:pt>
                <c:pt idx="418" formatCode="0.000">
                  <c:v>2.4389764098947067E-2</c:v>
                </c:pt>
                <c:pt idx="419" formatCode="0.000">
                  <c:v>2.4275786089982862E-2</c:v>
                </c:pt>
                <c:pt idx="420" formatCode="0.000">
                  <c:v>2.4162600639502416E-2</c:v>
                </c:pt>
                <c:pt idx="421" formatCode="0.000">
                  <c:v>2.4050200469162869E-2</c:v>
                </c:pt>
                <c:pt idx="422" formatCode="0.000">
                  <c:v>2.3938578383312415E-2</c:v>
                </c:pt>
                <c:pt idx="423" formatCode="0.000">
                  <c:v>2.3827727267875076E-2</c:v>
                </c:pt>
                <c:pt idx="424" formatCode="0.000">
                  <c:v>2.371764008925312E-2</c:v>
                </c:pt>
                <c:pt idx="425" formatCode="0.000">
                  <c:v>2.3608309893246117E-2</c:v>
                </c:pt>
                <c:pt idx="426" formatCode="0.000">
                  <c:v>2.3499729803987152E-2</c:v>
                </c:pt>
                <c:pt idx="427" formatCode="0.000">
                  <c:v>2.3391893022895155E-2</c:v>
                </c:pt>
                <c:pt idx="428" formatCode="0.000">
                  <c:v>2.3284792827643546E-2</c:v>
                </c:pt>
                <c:pt idx="429" formatCode="0.000">
                  <c:v>2.3178422571144792E-2</c:v>
                </c:pt>
                <c:pt idx="430" formatCode="0.000">
                  <c:v>2.3072775680550425E-2</c:v>
                </c:pt>
                <c:pt idx="431" formatCode="0.000">
                  <c:v>2.2967845656266521E-2</c:v>
                </c:pt>
                <c:pt idx="432" formatCode="0.000">
                  <c:v>2.2863626070984171E-2</c:v>
                </c:pt>
                <c:pt idx="433" formatCode="0.000">
                  <c:v>2.2760110568724814E-2</c:v>
                </c:pt>
                <c:pt idx="434" formatCode="0.000">
                  <c:v>2.2657292863900055E-2</c:v>
                </c:pt>
                <c:pt idx="435" formatCode="0.000">
                  <c:v>2.2555166740385834E-2</c:v>
                </c:pt>
                <c:pt idx="436" formatCode="0.000">
                  <c:v>2.245372605061061E-2</c:v>
                </c:pt>
                <c:pt idx="437" formatCode="0.000">
                  <c:v>2.2352964714657406E-2</c:v>
                </c:pt>
                <c:pt idx="438" formatCode="0.000">
                  <c:v>2.225287671937938E-2</c:v>
                </c:pt>
                <c:pt idx="439" formatCode="0.000">
                  <c:v>2.2153456117528756E-2</c:v>
                </c:pt>
                <c:pt idx="440" formatCode="0.000">
                  <c:v>2.2054697026898926E-2</c:v>
                </c:pt>
                <c:pt idx="441" formatCode="0.000">
                  <c:v>2.1956593629479344E-2</c:v>
                </c:pt>
                <c:pt idx="442" formatCode="0.000">
                  <c:v>2.1859140170623147E-2</c:v>
                </c:pt>
                <c:pt idx="443" formatCode="0.000">
                  <c:v>2.1762330958227289E-2</c:v>
                </c:pt>
                <c:pt idx="444" formatCode="0.000">
                  <c:v>2.1666160361924848E-2</c:v>
                </c:pt>
                <c:pt idx="445" formatCode="0.000">
                  <c:v>2.1570622812289358E-2</c:v>
                </c:pt>
                <c:pt idx="446" formatCode="0.000">
                  <c:v>2.1475712800051078E-2</c:v>
                </c:pt>
                <c:pt idx="447" formatCode="0.000">
                  <c:v>2.1381424875324836E-2</c:v>
                </c:pt>
                <c:pt idx="448" formatCode="0.000">
                  <c:v>2.1287753646849279E-2</c:v>
                </c:pt>
                <c:pt idx="449" formatCode="0.000">
                  <c:v>2.1194693781237482E-2</c:v>
                </c:pt>
                <c:pt idx="450" formatCode="0.000">
                  <c:v>2.1102240002238554E-2</c:v>
                </c:pt>
                <c:pt idx="451" formatCode="0.000">
                  <c:v>2.1010387090010081E-2</c:v>
                </c:pt>
                <c:pt idx="452" formatCode="0.000">
                  <c:v>2.0919129880401382E-2</c:v>
                </c:pt>
                <c:pt idx="453" formatCode="0.000">
                  <c:v>2.0828463264247199E-2</c:v>
                </c:pt>
                <c:pt idx="454" formatCode="0.000">
                  <c:v>2.0738382186671744E-2</c:v>
                </c:pt>
                <c:pt idx="455" formatCode="0.000">
                  <c:v>2.0648881646402953E-2</c:v>
                </c:pt>
                <c:pt idx="456" formatCode="0.000">
                  <c:v>2.0559956695096734E-2</c:v>
                </c:pt>
                <c:pt idx="457" formatCode="0.000">
                  <c:v>2.0471602436671024E-2</c:v>
                </c:pt>
                <c:pt idx="458" formatCode="0.000">
                  <c:v>2.0383814026649578E-2</c:v>
                </c:pt>
                <c:pt idx="459" formatCode="0.000">
                  <c:v>2.0296586671515224E-2</c:v>
                </c:pt>
                <c:pt idx="460" formatCode="0.000">
                  <c:v>2.0209915628072544E-2</c:v>
                </c:pt>
                <c:pt idx="461" formatCode="0.000">
                  <c:v>2.0123796202819701E-2</c:v>
                </c:pt>
                <c:pt idx="462" formatCode="0.000">
                  <c:v>2.0038223751329388E-2</c:v>
                </c:pt>
                <c:pt idx="463" formatCode="0.000">
                  <c:v>1.9953193677638599E-2</c:v>
                </c:pt>
                <c:pt idx="464" formatCode="0.000">
                  <c:v>1.9868701433647325E-2</c:v>
                </c:pt>
                <c:pt idx="465" formatCode="0.000">
                  <c:v>1.9784742518525654E-2</c:v>
                </c:pt>
                <c:pt idx="466" formatCode="0.000">
                  <c:v>1.9701312478129569E-2</c:v>
                </c:pt>
                <c:pt idx="467" formatCode="0.000">
                  <c:v>1.9618406904424956E-2</c:v>
                </c:pt>
                <c:pt idx="468" formatCode="0.000">
                  <c:v>1.9536021434919906E-2</c:v>
                </c:pt>
                <c:pt idx="469" formatCode="0.000">
                  <c:v>1.9454151752105013E-2</c:v>
                </c:pt>
                <c:pt idx="470" formatCode="0.000">
                  <c:v>1.9372793582901671E-2</c:v>
                </c:pt>
                <c:pt idx="471" formatCode="0.000">
                  <c:v>1.929194269811824E-2</c:v>
                </c:pt>
                <c:pt idx="472" formatCode="0.000">
                  <c:v>1.9211594911913807E-2</c:v>
                </c:pt>
                <c:pt idx="473" formatCode="0.000">
                  <c:v>1.91317460812696E-2</c:v>
                </c:pt>
                <c:pt idx="474" formatCode="0.000">
                  <c:v>1.9052392105467823E-2</c:v>
                </c:pt>
                <c:pt idx="475" formatCode="0.000">
                  <c:v>1.8973528925577778E-2</c:v>
                </c:pt>
                <c:pt idx="476" formatCode="0.000">
                  <c:v>1.8895152523949323E-2</c:v>
                </c:pt>
                <c:pt idx="477" formatCode="0.000">
                  <c:v>1.8817258923713311E-2</c:v>
                </c:pt>
                <c:pt idx="478" formatCode="0.000">
                  <c:v>1.8739844188289081E-2</c:v>
                </c:pt>
                <c:pt idx="479" formatCode="0.000">
                  <c:v>1.8662904420898827E-2</c:v>
                </c:pt>
                <c:pt idx="480" formatCode="0.000">
                  <c:v>1.8586435764088676E-2</c:v>
                </c:pt>
                <c:pt idx="481" formatCode="0.000">
                  <c:v>1.8510434399256509E-2</c:v>
                </c:pt>
                <c:pt idx="482" formatCode="0.000">
                  <c:v>1.8434896546186325E-2</c:v>
                </c:pt>
                <c:pt idx="483" formatCode="0.000">
                  <c:v>1.8359818462588998E-2</c:v>
                </c:pt>
                <c:pt idx="484" formatCode="0.000">
                  <c:v>1.8285196443649419E-2</c:v>
                </c:pt>
                <c:pt idx="485" formatCode="0.000">
                  <c:v>1.8211026821579941E-2</c:v>
                </c:pt>
                <c:pt idx="486" formatCode="0.000">
                  <c:v>1.8137305965179946E-2</c:v>
                </c:pt>
                <c:pt idx="487" formatCode="0.000">
                  <c:v>1.8064030279401389E-2</c:v>
                </c:pt>
                <c:pt idx="488" formatCode="0.000">
                  <c:v>1.799119620492047E-2</c:v>
                </c:pt>
                <c:pt idx="489" formatCode="0.000">
                  <c:v>1.7918800217715029E-2</c:v>
                </c:pt>
                <c:pt idx="490" formatCode="0.000">
                  <c:v>1.7846838828647859E-2</c:v>
                </c:pt>
                <c:pt idx="491" formatCode="0.000">
                  <c:v>1.7775308583055517E-2</c:v>
                </c:pt>
                <c:pt idx="492" formatCode="0.000">
                  <c:v>1.7704206060342984E-2</c:v>
                </c:pt>
                <c:pt idx="493" formatCode="0.000">
                  <c:v>1.763352787358366E-2</c:v>
                </c:pt>
                <c:pt idx="494" formatCode="0.000">
                  <c:v>1.7563270669124817E-2</c:v>
                </c:pt>
                <c:pt idx="495" formatCode="0.000">
                  <c:v>1.7493431126198476E-2</c:v>
                </c:pt>
                <c:pt idx="496" formatCode="0.000">
                  <c:v>1.7424005956537494E-2</c:v>
                </c:pt>
                <c:pt idx="497" formatCode="0.000">
                  <c:v>1.735499190399686E-2</c:v>
                </c:pt>
                <c:pt idx="498" formatCode="0.000">
                  <c:v>1.7286385744180042E-2</c:v>
                </c:pt>
                <c:pt idx="499" formatCode="0.000">
                  <c:v>1.7218184284070456E-2</c:v>
                </c:pt>
                <c:pt idx="500" formatCode="0.000">
                  <c:v>1.7150384361667787E-2</c:v>
                </c:pt>
                <c:pt idx="501" formatCode="0.000">
                  <c:v>1.7082982845629289E-2</c:v>
                </c:pt>
                <c:pt idx="502" formatCode="0.000">
                  <c:v>1.7015976634915771E-2</c:v>
                </c:pt>
                <c:pt idx="503" formatCode="0.000">
                  <c:v>1.6949362658442452E-2</c:v>
                </c:pt>
                <c:pt idx="504" formatCode="0.000">
                  <c:v>1.6883137874734323E-2</c:v>
                </c:pt>
                <c:pt idx="505" formatCode="0.000">
                  <c:v>1.6817299271586185E-2</c:v>
                </c:pt>
                <c:pt idx="506" formatCode="0.000">
                  <c:v>1.6751843865727228E-2</c:v>
                </c:pt>
                <c:pt idx="507" formatCode="0.000">
                  <c:v>1.6686768702489977E-2</c:v>
                </c:pt>
                <c:pt idx="508" formatCode="0.000">
                  <c:v>1.6622070855483704E-2</c:v>
                </c:pt>
                <c:pt idx="509" formatCode="0.000">
                  <c:v>1.6557747426272047E-2</c:v>
                </c:pt>
                <c:pt idx="510" formatCode="0.000">
                  <c:v>1.6493795544055074E-2</c:v>
                </c:pt>
                <c:pt idx="511" formatCode="0.000">
                  <c:v>1.6430212365355253E-2</c:v>
                </c:pt>
                <c:pt idx="512" formatCode="0.000">
                  <c:v>1.63669950737079E-2</c:v>
                </c:pt>
                <c:pt idx="513" formatCode="0.000">
                  <c:v>1.630414087935534E-2</c:v>
                </c:pt>
                <c:pt idx="514" formatCode="0.000">
                  <c:v>1.6241647018945312E-2</c:v>
                </c:pt>
                <c:pt idx="515" formatCode="0.000">
                  <c:v>1.6179510755233214E-2</c:v>
                </c:pt>
                <c:pt idx="516" formatCode="0.000">
                  <c:v>1.6117729376788317E-2</c:v>
                </c:pt>
                <c:pt idx="517" formatCode="0.000">
                  <c:v>1.6056300197703655E-2</c:v>
                </c:pt>
                <c:pt idx="518" formatCode="0.000">
                  <c:v>1.5995220557309894E-2</c:v>
                </c:pt>
                <c:pt idx="519" formatCode="0.000">
                  <c:v>1.593448781989271E-2</c:v>
                </c:pt>
                <c:pt idx="520" formatCode="0.000">
                  <c:v>1.5874099374414037E-2</c:v>
                </c:pt>
                <c:pt idx="521" formatCode="0.000">
                  <c:v>1.5814052634236707E-2</c:v>
                </c:pt>
                <c:pt idx="522" formatCode="0.000">
                  <c:v>1.5754345036852822E-2</c:v>
                </c:pt>
                <c:pt idx="523" formatCode="0.000">
                  <c:v>1.5694974043615514E-2</c:v>
                </c:pt>
                <c:pt idx="524" formatCode="0.000">
                  <c:v>1.5635937139474282E-2</c:v>
                </c:pt>
              </c:numCache>
            </c:numRef>
          </c:yVal>
          <c:smooth val="1"/>
          <c:extLst>
            <c:ext xmlns:c16="http://schemas.microsoft.com/office/drawing/2014/chart" uri="{C3380CC4-5D6E-409C-BE32-E72D297353CC}">
              <c16:uniqueId val="{00000001-C447-4449-B3B4-76E1E113F735}"/>
            </c:ext>
          </c:extLst>
        </c:ser>
        <c:ser>
          <c:idx val="2"/>
          <c:order val="2"/>
          <c:tx>
            <c:v>Comparator OS Modelled</c:v>
          </c:tx>
          <c:spPr>
            <a:ln w="19050" cap="rnd">
              <a:solidFill>
                <a:schemeClr val="accent3"/>
              </a:solidFill>
              <a:round/>
            </a:ln>
            <a:effectLst/>
          </c:spPr>
          <c:marker>
            <c:symbol val="none"/>
          </c:marker>
          <c:xVal>
            <c:strRef>
              <c:f>Sheet1!$A$2:$A$1045</c:f>
              <c:strCache>
                <c:ptCount val="525"/>
                <c:pt idx="0">
                  <c:v>Cycle (weeks)</c:v>
                </c:pt>
                <c:pt idx="3">
                  <c:v>0.000</c:v>
                </c:pt>
                <c:pt idx="4">
                  <c:v>1.000</c:v>
                </c:pt>
                <c:pt idx="5">
                  <c:v>2.000</c:v>
                </c:pt>
                <c:pt idx="6">
                  <c:v>3.000</c:v>
                </c:pt>
                <c:pt idx="7">
                  <c:v>4.000</c:v>
                </c:pt>
                <c:pt idx="8">
                  <c:v>5.000</c:v>
                </c:pt>
                <c:pt idx="9">
                  <c:v>6.000</c:v>
                </c:pt>
                <c:pt idx="10">
                  <c:v>7.000</c:v>
                </c:pt>
                <c:pt idx="11">
                  <c:v>8.000</c:v>
                </c:pt>
                <c:pt idx="12">
                  <c:v>9.000</c:v>
                </c:pt>
                <c:pt idx="13">
                  <c:v>10.000</c:v>
                </c:pt>
                <c:pt idx="14">
                  <c:v>11.000</c:v>
                </c:pt>
                <c:pt idx="15">
                  <c:v>12.000</c:v>
                </c:pt>
                <c:pt idx="16">
                  <c:v>13.000</c:v>
                </c:pt>
                <c:pt idx="17">
                  <c:v>14.000</c:v>
                </c:pt>
                <c:pt idx="18">
                  <c:v>15.000</c:v>
                </c:pt>
                <c:pt idx="19">
                  <c:v>16.000</c:v>
                </c:pt>
                <c:pt idx="20">
                  <c:v>17.000</c:v>
                </c:pt>
                <c:pt idx="21">
                  <c:v>18.000</c:v>
                </c:pt>
                <c:pt idx="22">
                  <c:v>19.000</c:v>
                </c:pt>
                <c:pt idx="23">
                  <c:v>20.000</c:v>
                </c:pt>
                <c:pt idx="24">
                  <c:v>21.000</c:v>
                </c:pt>
                <c:pt idx="25">
                  <c:v>22.000</c:v>
                </c:pt>
                <c:pt idx="26">
                  <c:v>23.000</c:v>
                </c:pt>
                <c:pt idx="27">
                  <c:v>24.000</c:v>
                </c:pt>
                <c:pt idx="28">
                  <c:v>25.000</c:v>
                </c:pt>
                <c:pt idx="29">
                  <c:v>26.000</c:v>
                </c:pt>
                <c:pt idx="30">
                  <c:v>27.000</c:v>
                </c:pt>
                <c:pt idx="31">
                  <c:v>28.000</c:v>
                </c:pt>
                <c:pt idx="32">
                  <c:v>29.000</c:v>
                </c:pt>
                <c:pt idx="33">
                  <c:v>30.000</c:v>
                </c:pt>
                <c:pt idx="34">
                  <c:v>31.000</c:v>
                </c:pt>
                <c:pt idx="35">
                  <c:v>32.000</c:v>
                </c:pt>
                <c:pt idx="36">
                  <c:v>33.000</c:v>
                </c:pt>
                <c:pt idx="37">
                  <c:v>34.000</c:v>
                </c:pt>
                <c:pt idx="38">
                  <c:v>35.000</c:v>
                </c:pt>
                <c:pt idx="39">
                  <c:v>36.000</c:v>
                </c:pt>
                <c:pt idx="40">
                  <c:v>37.000</c:v>
                </c:pt>
                <c:pt idx="41">
                  <c:v>38.000</c:v>
                </c:pt>
                <c:pt idx="42">
                  <c:v>39.000</c:v>
                </c:pt>
                <c:pt idx="43">
                  <c:v>40.000</c:v>
                </c:pt>
                <c:pt idx="44">
                  <c:v>41.000</c:v>
                </c:pt>
                <c:pt idx="45">
                  <c:v>42.000</c:v>
                </c:pt>
                <c:pt idx="46">
                  <c:v>43.000</c:v>
                </c:pt>
                <c:pt idx="47">
                  <c:v>44.000</c:v>
                </c:pt>
                <c:pt idx="48">
                  <c:v>45.000</c:v>
                </c:pt>
                <c:pt idx="49">
                  <c:v>46.000</c:v>
                </c:pt>
                <c:pt idx="50">
                  <c:v>47.000</c:v>
                </c:pt>
                <c:pt idx="51">
                  <c:v>48.000</c:v>
                </c:pt>
                <c:pt idx="52">
                  <c:v>49.000</c:v>
                </c:pt>
                <c:pt idx="53">
                  <c:v>50.000</c:v>
                </c:pt>
                <c:pt idx="54">
                  <c:v>51.000</c:v>
                </c:pt>
                <c:pt idx="55">
                  <c:v>52.000</c:v>
                </c:pt>
                <c:pt idx="56">
                  <c:v>53.000</c:v>
                </c:pt>
                <c:pt idx="57">
                  <c:v>54.000</c:v>
                </c:pt>
                <c:pt idx="58">
                  <c:v>55.000</c:v>
                </c:pt>
                <c:pt idx="59">
                  <c:v>56.000</c:v>
                </c:pt>
                <c:pt idx="60">
                  <c:v>57.000</c:v>
                </c:pt>
                <c:pt idx="61">
                  <c:v>58.000</c:v>
                </c:pt>
                <c:pt idx="62">
                  <c:v>59.000</c:v>
                </c:pt>
                <c:pt idx="63">
                  <c:v>60.000</c:v>
                </c:pt>
                <c:pt idx="64">
                  <c:v>61.000</c:v>
                </c:pt>
                <c:pt idx="65">
                  <c:v>62.000</c:v>
                </c:pt>
                <c:pt idx="66">
                  <c:v>63.000</c:v>
                </c:pt>
                <c:pt idx="67">
                  <c:v>64.000</c:v>
                </c:pt>
                <c:pt idx="68">
                  <c:v>65.000</c:v>
                </c:pt>
                <c:pt idx="69">
                  <c:v>66.000</c:v>
                </c:pt>
                <c:pt idx="70">
                  <c:v>67.000</c:v>
                </c:pt>
                <c:pt idx="71">
                  <c:v>68.000</c:v>
                </c:pt>
                <c:pt idx="72">
                  <c:v>69.000</c:v>
                </c:pt>
                <c:pt idx="73">
                  <c:v>70.000</c:v>
                </c:pt>
                <c:pt idx="74">
                  <c:v>71.000</c:v>
                </c:pt>
                <c:pt idx="75">
                  <c:v>72.000</c:v>
                </c:pt>
                <c:pt idx="76">
                  <c:v>73.000</c:v>
                </c:pt>
                <c:pt idx="77">
                  <c:v>74.000</c:v>
                </c:pt>
                <c:pt idx="78">
                  <c:v>75.000</c:v>
                </c:pt>
                <c:pt idx="79">
                  <c:v>76.000</c:v>
                </c:pt>
                <c:pt idx="80">
                  <c:v>77.000</c:v>
                </c:pt>
                <c:pt idx="81">
                  <c:v>78.000</c:v>
                </c:pt>
                <c:pt idx="82">
                  <c:v>79.000</c:v>
                </c:pt>
                <c:pt idx="83">
                  <c:v>80.000</c:v>
                </c:pt>
                <c:pt idx="84">
                  <c:v>81.000</c:v>
                </c:pt>
                <c:pt idx="85">
                  <c:v>82.000</c:v>
                </c:pt>
                <c:pt idx="86">
                  <c:v>83.000</c:v>
                </c:pt>
                <c:pt idx="87">
                  <c:v>84.000</c:v>
                </c:pt>
                <c:pt idx="88">
                  <c:v>85.000</c:v>
                </c:pt>
                <c:pt idx="89">
                  <c:v>86.000</c:v>
                </c:pt>
                <c:pt idx="90">
                  <c:v>87.000</c:v>
                </c:pt>
                <c:pt idx="91">
                  <c:v>88.000</c:v>
                </c:pt>
                <c:pt idx="92">
                  <c:v>89.000</c:v>
                </c:pt>
                <c:pt idx="93">
                  <c:v>90.000</c:v>
                </c:pt>
                <c:pt idx="94">
                  <c:v>91.000</c:v>
                </c:pt>
                <c:pt idx="95">
                  <c:v>92.000</c:v>
                </c:pt>
                <c:pt idx="96">
                  <c:v>93.000</c:v>
                </c:pt>
                <c:pt idx="97">
                  <c:v>94.000</c:v>
                </c:pt>
                <c:pt idx="98">
                  <c:v>95.000</c:v>
                </c:pt>
                <c:pt idx="99">
                  <c:v>96.000</c:v>
                </c:pt>
                <c:pt idx="100">
                  <c:v>97.000</c:v>
                </c:pt>
                <c:pt idx="101">
                  <c:v>98.000</c:v>
                </c:pt>
                <c:pt idx="102">
                  <c:v>99.000</c:v>
                </c:pt>
                <c:pt idx="103">
                  <c:v>100.000</c:v>
                </c:pt>
                <c:pt idx="104">
                  <c:v>101.000</c:v>
                </c:pt>
                <c:pt idx="105">
                  <c:v>102.000</c:v>
                </c:pt>
                <c:pt idx="106">
                  <c:v>103.000</c:v>
                </c:pt>
                <c:pt idx="107">
                  <c:v>104.000</c:v>
                </c:pt>
                <c:pt idx="108">
                  <c:v>105.000</c:v>
                </c:pt>
                <c:pt idx="109">
                  <c:v>106.000</c:v>
                </c:pt>
                <c:pt idx="110">
                  <c:v>107.000</c:v>
                </c:pt>
                <c:pt idx="111">
                  <c:v>108.000</c:v>
                </c:pt>
                <c:pt idx="112">
                  <c:v>109.000</c:v>
                </c:pt>
                <c:pt idx="113">
                  <c:v>110.000</c:v>
                </c:pt>
                <c:pt idx="114">
                  <c:v>111.000</c:v>
                </c:pt>
                <c:pt idx="115">
                  <c:v>112.000</c:v>
                </c:pt>
                <c:pt idx="116">
                  <c:v>113.000</c:v>
                </c:pt>
                <c:pt idx="117">
                  <c:v>114.000</c:v>
                </c:pt>
                <c:pt idx="118">
                  <c:v>115.000</c:v>
                </c:pt>
                <c:pt idx="119">
                  <c:v>116.000</c:v>
                </c:pt>
                <c:pt idx="120">
                  <c:v>117.000</c:v>
                </c:pt>
                <c:pt idx="121">
                  <c:v>118.000</c:v>
                </c:pt>
                <c:pt idx="122">
                  <c:v>119.000</c:v>
                </c:pt>
                <c:pt idx="123">
                  <c:v>120.000</c:v>
                </c:pt>
                <c:pt idx="124">
                  <c:v>121.000</c:v>
                </c:pt>
                <c:pt idx="125">
                  <c:v>122.000</c:v>
                </c:pt>
                <c:pt idx="126">
                  <c:v>123.000</c:v>
                </c:pt>
                <c:pt idx="127">
                  <c:v>124.000</c:v>
                </c:pt>
                <c:pt idx="128">
                  <c:v>125.000</c:v>
                </c:pt>
                <c:pt idx="129">
                  <c:v>126.000</c:v>
                </c:pt>
                <c:pt idx="130">
                  <c:v>127.000</c:v>
                </c:pt>
                <c:pt idx="131">
                  <c:v>128.000</c:v>
                </c:pt>
                <c:pt idx="132">
                  <c:v>129.000</c:v>
                </c:pt>
                <c:pt idx="133">
                  <c:v>130.000</c:v>
                </c:pt>
                <c:pt idx="134">
                  <c:v>131.000</c:v>
                </c:pt>
                <c:pt idx="135">
                  <c:v>132.000</c:v>
                </c:pt>
                <c:pt idx="136">
                  <c:v>133.000</c:v>
                </c:pt>
                <c:pt idx="137">
                  <c:v>134.000</c:v>
                </c:pt>
                <c:pt idx="138">
                  <c:v>135.000</c:v>
                </c:pt>
                <c:pt idx="139">
                  <c:v>136.000</c:v>
                </c:pt>
                <c:pt idx="140">
                  <c:v>137.000</c:v>
                </c:pt>
                <c:pt idx="141">
                  <c:v>138.000</c:v>
                </c:pt>
                <c:pt idx="142">
                  <c:v>139.000</c:v>
                </c:pt>
                <c:pt idx="143">
                  <c:v>140.000</c:v>
                </c:pt>
                <c:pt idx="144">
                  <c:v>141.000</c:v>
                </c:pt>
                <c:pt idx="145">
                  <c:v>142.000</c:v>
                </c:pt>
                <c:pt idx="146">
                  <c:v>143.000</c:v>
                </c:pt>
                <c:pt idx="147">
                  <c:v>144.000</c:v>
                </c:pt>
                <c:pt idx="148">
                  <c:v>145.000</c:v>
                </c:pt>
                <c:pt idx="149">
                  <c:v>146.000</c:v>
                </c:pt>
                <c:pt idx="150">
                  <c:v>147.000</c:v>
                </c:pt>
                <c:pt idx="151">
                  <c:v>148.000</c:v>
                </c:pt>
                <c:pt idx="152">
                  <c:v>149.000</c:v>
                </c:pt>
                <c:pt idx="153">
                  <c:v>150.000</c:v>
                </c:pt>
                <c:pt idx="154">
                  <c:v>151.000</c:v>
                </c:pt>
                <c:pt idx="155">
                  <c:v>152.000</c:v>
                </c:pt>
                <c:pt idx="156">
                  <c:v>153.000</c:v>
                </c:pt>
                <c:pt idx="157">
                  <c:v>154.000</c:v>
                </c:pt>
                <c:pt idx="158">
                  <c:v>155.000</c:v>
                </c:pt>
                <c:pt idx="159">
                  <c:v>156.000</c:v>
                </c:pt>
                <c:pt idx="160">
                  <c:v>157.000</c:v>
                </c:pt>
                <c:pt idx="161">
                  <c:v>158.000</c:v>
                </c:pt>
                <c:pt idx="162">
                  <c:v>159.000</c:v>
                </c:pt>
                <c:pt idx="163">
                  <c:v>160.000</c:v>
                </c:pt>
                <c:pt idx="164">
                  <c:v>161.000</c:v>
                </c:pt>
                <c:pt idx="165">
                  <c:v>162.000</c:v>
                </c:pt>
                <c:pt idx="166">
                  <c:v>163.000</c:v>
                </c:pt>
                <c:pt idx="167">
                  <c:v>164.000</c:v>
                </c:pt>
                <c:pt idx="168">
                  <c:v>165.000</c:v>
                </c:pt>
                <c:pt idx="169">
                  <c:v>166.000</c:v>
                </c:pt>
                <c:pt idx="170">
                  <c:v>167.000</c:v>
                </c:pt>
                <c:pt idx="171">
                  <c:v>168.000</c:v>
                </c:pt>
                <c:pt idx="172">
                  <c:v>169.000</c:v>
                </c:pt>
                <c:pt idx="173">
                  <c:v>170.000</c:v>
                </c:pt>
                <c:pt idx="174">
                  <c:v>171.000</c:v>
                </c:pt>
                <c:pt idx="175">
                  <c:v>172.000</c:v>
                </c:pt>
                <c:pt idx="176">
                  <c:v>173.000</c:v>
                </c:pt>
                <c:pt idx="177">
                  <c:v>174.000</c:v>
                </c:pt>
                <c:pt idx="178">
                  <c:v>175.000</c:v>
                </c:pt>
                <c:pt idx="179">
                  <c:v>176.000</c:v>
                </c:pt>
                <c:pt idx="180">
                  <c:v>177.000</c:v>
                </c:pt>
                <c:pt idx="181">
                  <c:v>178.000</c:v>
                </c:pt>
                <c:pt idx="182">
                  <c:v>179.000</c:v>
                </c:pt>
                <c:pt idx="183">
                  <c:v>180.000</c:v>
                </c:pt>
                <c:pt idx="184">
                  <c:v>181.000</c:v>
                </c:pt>
                <c:pt idx="185">
                  <c:v>182.000</c:v>
                </c:pt>
                <c:pt idx="186">
                  <c:v>183.000</c:v>
                </c:pt>
                <c:pt idx="187">
                  <c:v>184.000</c:v>
                </c:pt>
                <c:pt idx="188">
                  <c:v>185.000</c:v>
                </c:pt>
                <c:pt idx="189">
                  <c:v>186.000</c:v>
                </c:pt>
                <c:pt idx="190">
                  <c:v>187.000</c:v>
                </c:pt>
                <c:pt idx="191">
                  <c:v>188.000</c:v>
                </c:pt>
                <c:pt idx="192">
                  <c:v>189.000</c:v>
                </c:pt>
                <c:pt idx="193">
                  <c:v>190.000</c:v>
                </c:pt>
                <c:pt idx="194">
                  <c:v>191.000</c:v>
                </c:pt>
                <c:pt idx="195">
                  <c:v>192.000</c:v>
                </c:pt>
                <c:pt idx="196">
                  <c:v>193.000</c:v>
                </c:pt>
                <c:pt idx="197">
                  <c:v>194.000</c:v>
                </c:pt>
                <c:pt idx="198">
                  <c:v>195.000</c:v>
                </c:pt>
                <c:pt idx="199">
                  <c:v>196.000</c:v>
                </c:pt>
                <c:pt idx="200">
                  <c:v>197.000</c:v>
                </c:pt>
                <c:pt idx="201">
                  <c:v>198.000</c:v>
                </c:pt>
                <c:pt idx="202">
                  <c:v>199.000</c:v>
                </c:pt>
                <c:pt idx="203">
                  <c:v>200.000</c:v>
                </c:pt>
                <c:pt idx="204">
                  <c:v>201.000</c:v>
                </c:pt>
                <c:pt idx="205">
                  <c:v>202.000</c:v>
                </c:pt>
                <c:pt idx="206">
                  <c:v>203.000</c:v>
                </c:pt>
                <c:pt idx="207">
                  <c:v>204.000</c:v>
                </c:pt>
                <c:pt idx="208">
                  <c:v>205.000</c:v>
                </c:pt>
                <c:pt idx="209">
                  <c:v>206.000</c:v>
                </c:pt>
                <c:pt idx="210">
                  <c:v>207.000</c:v>
                </c:pt>
                <c:pt idx="211">
                  <c:v>208.000</c:v>
                </c:pt>
                <c:pt idx="212">
                  <c:v>209.000</c:v>
                </c:pt>
                <c:pt idx="213">
                  <c:v>210.000</c:v>
                </c:pt>
                <c:pt idx="214">
                  <c:v>211.000</c:v>
                </c:pt>
                <c:pt idx="215">
                  <c:v>212.000</c:v>
                </c:pt>
                <c:pt idx="216">
                  <c:v>213.000</c:v>
                </c:pt>
                <c:pt idx="217">
                  <c:v>214.000</c:v>
                </c:pt>
                <c:pt idx="218">
                  <c:v>215.000</c:v>
                </c:pt>
                <c:pt idx="219">
                  <c:v>216.000</c:v>
                </c:pt>
                <c:pt idx="220">
                  <c:v>217.000</c:v>
                </c:pt>
                <c:pt idx="221">
                  <c:v>218.000</c:v>
                </c:pt>
                <c:pt idx="222">
                  <c:v>219.000</c:v>
                </c:pt>
                <c:pt idx="223">
                  <c:v>220.000</c:v>
                </c:pt>
                <c:pt idx="224">
                  <c:v>221.000</c:v>
                </c:pt>
                <c:pt idx="225">
                  <c:v>222.000</c:v>
                </c:pt>
                <c:pt idx="226">
                  <c:v>223.000</c:v>
                </c:pt>
                <c:pt idx="227">
                  <c:v>224.000</c:v>
                </c:pt>
                <c:pt idx="228">
                  <c:v>225.000</c:v>
                </c:pt>
                <c:pt idx="229">
                  <c:v>226.000</c:v>
                </c:pt>
                <c:pt idx="230">
                  <c:v>227.000</c:v>
                </c:pt>
                <c:pt idx="231">
                  <c:v>228.000</c:v>
                </c:pt>
                <c:pt idx="232">
                  <c:v>229.000</c:v>
                </c:pt>
                <c:pt idx="233">
                  <c:v>230.000</c:v>
                </c:pt>
                <c:pt idx="234">
                  <c:v>231.000</c:v>
                </c:pt>
                <c:pt idx="235">
                  <c:v>232.000</c:v>
                </c:pt>
                <c:pt idx="236">
                  <c:v>233.000</c:v>
                </c:pt>
                <c:pt idx="237">
                  <c:v>234.000</c:v>
                </c:pt>
                <c:pt idx="238">
                  <c:v>235.000</c:v>
                </c:pt>
                <c:pt idx="239">
                  <c:v>236.000</c:v>
                </c:pt>
                <c:pt idx="240">
                  <c:v>237.000</c:v>
                </c:pt>
                <c:pt idx="241">
                  <c:v>238.000</c:v>
                </c:pt>
                <c:pt idx="242">
                  <c:v>239.000</c:v>
                </c:pt>
                <c:pt idx="243">
                  <c:v>240.000</c:v>
                </c:pt>
                <c:pt idx="244">
                  <c:v>241.000</c:v>
                </c:pt>
                <c:pt idx="245">
                  <c:v>242.000</c:v>
                </c:pt>
                <c:pt idx="246">
                  <c:v>243.000</c:v>
                </c:pt>
                <c:pt idx="247">
                  <c:v>244.000</c:v>
                </c:pt>
                <c:pt idx="248">
                  <c:v>245.000</c:v>
                </c:pt>
                <c:pt idx="249">
                  <c:v>246.000</c:v>
                </c:pt>
                <c:pt idx="250">
                  <c:v>247.000</c:v>
                </c:pt>
                <c:pt idx="251">
                  <c:v>248.000</c:v>
                </c:pt>
                <c:pt idx="252">
                  <c:v>249.000</c:v>
                </c:pt>
                <c:pt idx="253">
                  <c:v>250.000</c:v>
                </c:pt>
                <c:pt idx="254">
                  <c:v>251.000</c:v>
                </c:pt>
                <c:pt idx="255">
                  <c:v>252.000</c:v>
                </c:pt>
                <c:pt idx="256">
                  <c:v>253.000</c:v>
                </c:pt>
                <c:pt idx="257">
                  <c:v>254.000</c:v>
                </c:pt>
                <c:pt idx="258">
                  <c:v>255.000</c:v>
                </c:pt>
                <c:pt idx="259">
                  <c:v>256.000</c:v>
                </c:pt>
                <c:pt idx="260">
                  <c:v>257.000</c:v>
                </c:pt>
                <c:pt idx="261">
                  <c:v>258.000</c:v>
                </c:pt>
                <c:pt idx="262">
                  <c:v>259.000</c:v>
                </c:pt>
                <c:pt idx="263">
                  <c:v>260.000</c:v>
                </c:pt>
                <c:pt idx="264">
                  <c:v>261.000</c:v>
                </c:pt>
                <c:pt idx="265">
                  <c:v>262.000</c:v>
                </c:pt>
                <c:pt idx="266">
                  <c:v>263.000</c:v>
                </c:pt>
                <c:pt idx="267">
                  <c:v>264.000</c:v>
                </c:pt>
                <c:pt idx="268">
                  <c:v>265.000</c:v>
                </c:pt>
                <c:pt idx="269">
                  <c:v>266.000</c:v>
                </c:pt>
                <c:pt idx="270">
                  <c:v>267.000</c:v>
                </c:pt>
                <c:pt idx="271">
                  <c:v>268.000</c:v>
                </c:pt>
                <c:pt idx="272">
                  <c:v>269.000</c:v>
                </c:pt>
                <c:pt idx="273">
                  <c:v>270.000</c:v>
                </c:pt>
                <c:pt idx="274">
                  <c:v>271.000</c:v>
                </c:pt>
                <c:pt idx="275">
                  <c:v>272.000</c:v>
                </c:pt>
                <c:pt idx="276">
                  <c:v>273.000</c:v>
                </c:pt>
                <c:pt idx="277">
                  <c:v>274.000</c:v>
                </c:pt>
                <c:pt idx="278">
                  <c:v>275.000</c:v>
                </c:pt>
                <c:pt idx="279">
                  <c:v>276.000</c:v>
                </c:pt>
                <c:pt idx="280">
                  <c:v>277.000</c:v>
                </c:pt>
                <c:pt idx="281">
                  <c:v>278.000</c:v>
                </c:pt>
                <c:pt idx="282">
                  <c:v>279.000</c:v>
                </c:pt>
                <c:pt idx="283">
                  <c:v>280.000</c:v>
                </c:pt>
                <c:pt idx="284">
                  <c:v>281.000</c:v>
                </c:pt>
                <c:pt idx="285">
                  <c:v>282.000</c:v>
                </c:pt>
                <c:pt idx="286">
                  <c:v>283.000</c:v>
                </c:pt>
                <c:pt idx="287">
                  <c:v>284.000</c:v>
                </c:pt>
                <c:pt idx="288">
                  <c:v>285.000</c:v>
                </c:pt>
                <c:pt idx="289">
                  <c:v>286.000</c:v>
                </c:pt>
                <c:pt idx="290">
                  <c:v>287.000</c:v>
                </c:pt>
                <c:pt idx="291">
                  <c:v>288.000</c:v>
                </c:pt>
                <c:pt idx="292">
                  <c:v>289.000</c:v>
                </c:pt>
                <c:pt idx="293">
                  <c:v>290.000</c:v>
                </c:pt>
                <c:pt idx="294">
                  <c:v>291.000</c:v>
                </c:pt>
                <c:pt idx="295">
                  <c:v>292.000</c:v>
                </c:pt>
                <c:pt idx="296">
                  <c:v>293.000</c:v>
                </c:pt>
                <c:pt idx="297">
                  <c:v>294.000</c:v>
                </c:pt>
                <c:pt idx="298">
                  <c:v>295.000</c:v>
                </c:pt>
                <c:pt idx="299">
                  <c:v>296.000</c:v>
                </c:pt>
                <c:pt idx="300">
                  <c:v>297.000</c:v>
                </c:pt>
                <c:pt idx="301">
                  <c:v>298.000</c:v>
                </c:pt>
                <c:pt idx="302">
                  <c:v>299.000</c:v>
                </c:pt>
                <c:pt idx="303">
                  <c:v>300.000</c:v>
                </c:pt>
                <c:pt idx="304">
                  <c:v>301.000</c:v>
                </c:pt>
                <c:pt idx="305">
                  <c:v>302.000</c:v>
                </c:pt>
                <c:pt idx="306">
                  <c:v>303.000</c:v>
                </c:pt>
                <c:pt idx="307">
                  <c:v>304.000</c:v>
                </c:pt>
                <c:pt idx="308">
                  <c:v>305.000</c:v>
                </c:pt>
                <c:pt idx="309">
                  <c:v>306.000</c:v>
                </c:pt>
                <c:pt idx="310">
                  <c:v>307.000</c:v>
                </c:pt>
                <c:pt idx="311">
                  <c:v>308.000</c:v>
                </c:pt>
                <c:pt idx="312">
                  <c:v>309.000</c:v>
                </c:pt>
                <c:pt idx="313">
                  <c:v>310.000</c:v>
                </c:pt>
                <c:pt idx="314">
                  <c:v>311.000</c:v>
                </c:pt>
                <c:pt idx="315">
                  <c:v>312.000</c:v>
                </c:pt>
                <c:pt idx="316">
                  <c:v>313.000</c:v>
                </c:pt>
                <c:pt idx="317">
                  <c:v>314.000</c:v>
                </c:pt>
                <c:pt idx="318">
                  <c:v>315.000</c:v>
                </c:pt>
                <c:pt idx="319">
                  <c:v>316.000</c:v>
                </c:pt>
                <c:pt idx="320">
                  <c:v>317.000</c:v>
                </c:pt>
                <c:pt idx="321">
                  <c:v>318.000</c:v>
                </c:pt>
                <c:pt idx="322">
                  <c:v>319.000</c:v>
                </c:pt>
                <c:pt idx="323">
                  <c:v>320.000</c:v>
                </c:pt>
                <c:pt idx="324">
                  <c:v>321.000</c:v>
                </c:pt>
                <c:pt idx="325">
                  <c:v>322.000</c:v>
                </c:pt>
                <c:pt idx="326">
                  <c:v>323.000</c:v>
                </c:pt>
                <c:pt idx="327">
                  <c:v>324.000</c:v>
                </c:pt>
                <c:pt idx="328">
                  <c:v>325.000</c:v>
                </c:pt>
                <c:pt idx="329">
                  <c:v>326.000</c:v>
                </c:pt>
                <c:pt idx="330">
                  <c:v>327.000</c:v>
                </c:pt>
                <c:pt idx="331">
                  <c:v>328.000</c:v>
                </c:pt>
                <c:pt idx="332">
                  <c:v>329.000</c:v>
                </c:pt>
                <c:pt idx="333">
                  <c:v>330.000</c:v>
                </c:pt>
                <c:pt idx="334">
                  <c:v>331.000</c:v>
                </c:pt>
                <c:pt idx="335">
                  <c:v>332.000</c:v>
                </c:pt>
                <c:pt idx="336">
                  <c:v>333.000</c:v>
                </c:pt>
                <c:pt idx="337">
                  <c:v>334.000</c:v>
                </c:pt>
                <c:pt idx="338">
                  <c:v>335.000</c:v>
                </c:pt>
                <c:pt idx="339">
                  <c:v>336.000</c:v>
                </c:pt>
                <c:pt idx="340">
                  <c:v>337.000</c:v>
                </c:pt>
                <c:pt idx="341">
                  <c:v>338.000</c:v>
                </c:pt>
                <c:pt idx="342">
                  <c:v>339.000</c:v>
                </c:pt>
                <c:pt idx="343">
                  <c:v>340.000</c:v>
                </c:pt>
                <c:pt idx="344">
                  <c:v>341.000</c:v>
                </c:pt>
                <c:pt idx="345">
                  <c:v>342.000</c:v>
                </c:pt>
                <c:pt idx="346">
                  <c:v>343.000</c:v>
                </c:pt>
                <c:pt idx="347">
                  <c:v>344.000</c:v>
                </c:pt>
                <c:pt idx="348">
                  <c:v>345.000</c:v>
                </c:pt>
                <c:pt idx="349">
                  <c:v>346.000</c:v>
                </c:pt>
                <c:pt idx="350">
                  <c:v>347.000</c:v>
                </c:pt>
                <c:pt idx="351">
                  <c:v>348.000</c:v>
                </c:pt>
                <c:pt idx="352">
                  <c:v>349.000</c:v>
                </c:pt>
                <c:pt idx="353">
                  <c:v>350.000</c:v>
                </c:pt>
                <c:pt idx="354">
                  <c:v>351.000</c:v>
                </c:pt>
                <c:pt idx="355">
                  <c:v>352.000</c:v>
                </c:pt>
                <c:pt idx="356">
                  <c:v>353.000</c:v>
                </c:pt>
                <c:pt idx="357">
                  <c:v>354.000</c:v>
                </c:pt>
                <c:pt idx="358">
                  <c:v>355.000</c:v>
                </c:pt>
                <c:pt idx="359">
                  <c:v>356.000</c:v>
                </c:pt>
                <c:pt idx="360">
                  <c:v>357.000</c:v>
                </c:pt>
                <c:pt idx="361">
                  <c:v>358.000</c:v>
                </c:pt>
                <c:pt idx="362">
                  <c:v>359.000</c:v>
                </c:pt>
                <c:pt idx="363">
                  <c:v>360.000</c:v>
                </c:pt>
                <c:pt idx="364">
                  <c:v>361.000</c:v>
                </c:pt>
                <c:pt idx="365">
                  <c:v>362.000</c:v>
                </c:pt>
                <c:pt idx="366">
                  <c:v>363.000</c:v>
                </c:pt>
                <c:pt idx="367">
                  <c:v>364.000</c:v>
                </c:pt>
                <c:pt idx="368">
                  <c:v>365.000</c:v>
                </c:pt>
                <c:pt idx="369">
                  <c:v>366.000</c:v>
                </c:pt>
                <c:pt idx="370">
                  <c:v>367.000</c:v>
                </c:pt>
                <c:pt idx="371">
                  <c:v>368.000</c:v>
                </c:pt>
                <c:pt idx="372">
                  <c:v>369.000</c:v>
                </c:pt>
                <c:pt idx="373">
                  <c:v>370.000</c:v>
                </c:pt>
                <c:pt idx="374">
                  <c:v>371.000</c:v>
                </c:pt>
                <c:pt idx="375">
                  <c:v>372.000</c:v>
                </c:pt>
                <c:pt idx="376">
                  <c:v>373.000</c:v>
                </c:pt>
                <c:pt idx="377">
                  <c:v>374.000</c:v>
                </c:pt>
                <c:pt idx="378">
                  <c:v>375.000</c:v>
                </c:pt>
                <c:pt idx="379">
                  <c:v>376.000</c:v>
                </c:pt>
                <c:pt idx="380">
                  <c:v>377.000</c:v>
                </c:pt>
                <c:pt idx="381">
                  <c:v>378.000</c:v>
                </c:pt>
                <c:pt idx="382">
                  <c:v>379.000</c:v>
                </c:pt>
                <c:pt idx="383">
                  <c:v>380.000</c:v>
                </c:pt>
                <c:pt idx="384">
                  <c:v>381.000</c:v>
                </c:pt>
                <c:pt idx="385">
                  <c:v>382.000</c:v>
                </c:pt>
                <c:pt idx="386">
                  <c:v>383.000</c:v>
                </c:pt>
                <c:pt idx="387">
                  <c:v>384.000</c:v>
                </c:pt>
                <c:pt idx="388">
                  <c:v>385.000</c:v>
                </c:pt>
                <c:pt idx="389">
                  <c:v>386.000</c:v>
                </c:pt>
                <c:pt idx="390">
                  <c:v>387.000</c:v>
                </c:pt>
                <c:pt idx="391">
                  <c:v>388.000</c:v>
                </c:pt>
                <c:pt idx="392">
                  <c:v>389.000</c:v>
                </c:pt>
                <c:pt idx="393">
                  <c:v>390.000</c:v>
                </c:pt>
                <c:pt idx="394">
                  <c:v>391.000</c:v>
                </c:pt>
                <c:pt idx="395">
                  <c:v>392.000</c:v>
                </c:pt>
                <c:pt idx="396">
                  <c:v>393.000</c:v>
                </c:pt>
                <c:pt idx="397">
                  <c:v>394.000</c:v>
                </c:pt>
                <c:pt idx="398">
                  <c:v>395.000</c:v>
                </c:pt>
                <c:pt idx="399">
                  <c:v>396.000</c:v>
                </c:pt>
                <c:pt idx="400">
                  <c:v>397.000</c:v>
                </c:pt>
                <c:pt idx="401">
                  <c:v>398.000</c:v>
                </c:pt>
                <c:pt idx="402">
                  <c:v>399.000</c:v>
                </c:pt>
                <c:pt idx="403">
                  <c:v>400.000</c:v>
                </c:pt>
                <c:pt idx="404">
                  <c:v>401.000</c:v>
                </c:pt>
                <c:pt idx="405">
                  <c:v>402.000</c:v>
                </c:pt>
                <c:pt idx="406">
                  <c:v>403.000</c:v>
                </c:pt>
                <c:pt idx="407">
                  <c:v>404.000</c:v>
                </c:pt>
                <c:pt idx="408">
                  <c:v>405.000</c:v>
                </c:pt>
                <c:pt idx="409">
                  <c:v>406.000</c:v>
                </c:pt>
                <c:pt idx="410">
                  <c:v>407.000</c:v>
                </c:pt>
                <c:pt idx="411">
                  <c:v>408.000</c:v>
                </c:pt>
                <c:pt idx="412">
                  <c:v>409.000</c:v>
                </c:pt>
                <c:pt idx="413">
                  <c:v>410.000</c:v>
                </c:pt>
                <c:pt idx="414">
                  <c:v>411.000</c:v>
                </c:pt>
                <c:pt idx="415">
                  <c:v>412.000</c:v>
                </c:pt>
                <c:pt idx="416">
                  <c:v>413.000</c:v>
                </c:pt>
                <c:pt idx="417">
                  <c:v>414.000</c:v>
                </c:pt>
                <c:pt idx="418">
                  <c:v>415.000</c:v>
                </c:pt>
                <c:pt idx="419">
                  <c:v>416.000</c:v>
                </c:pt>
                <c:pt idx="420">
                  <c:v>417.000</c:v>
                </c:pt>
                <c:pt idx="421">
                  <c:v>418.000</c:v>
                </c:pt>
                <c:pt idx="422">
                  <c:v>419.000</c:v>
                </c:pt>
                <c:pt idx="423">
                  <c:v>420.000</c:v>
                </c:pt>
                <c:pt idx="424">
                  <c:v>421.000</c:v>
                </c:pt>
                <c:pt idx="425">
                  <c:v>422.000</c:v>
                </c:pt>
                <c:pt idx="426">
                  <c:v>423.000</c:v>
                </c:pt>
                <c:pt idx="427">
                  <c:v>424.000</c:v>
                </c:pt>
                <c:pt idx="428">
                  <c:v>425.000</c:v>
                </c:pt>
                <c:pt idx="429">
                  <c:v>426.000</c:v>
                </c:pt>
                <c:pt idx="430">
                  <c:v>427.000</c:v>
                </c:pt>
                <c:pt idx="431">
                  <c:v>428.000</c:v>
                </c:pt>
                <c:pt idx="432">
                  <c:v>429.000</c:v>
                </c:pt>
                <c:pt idx="433">
                  <c:v>430.000</c:v>
                </c:pt>
                <c:pt idx="434">
                  <c:v>431.000</c:v>
                </c:pt>
                <c:pt idx="435">
                  <c:v>432.000</c:v>
                </c:pt>
                <c:pt idx="436">
                  <c:v>433.000</c:v>
                </c:pt>
                <c:pt idx="437">
                  <c:v>434.000</c:v>
                </c:pt>
                <c:pt idx="438">
                  <c:v>435.000</c:v>
                </c:pt>
                <c:pt idx="439">
                  <c:v>436.000</c:v>
                </c:pt>
                <c:pt idx="440">
                  <c:v>437.000</c:v>
                </c:pt>
                <c:pt idx="441">
                  <c:v>438.000</c:v>
                </c:pt>
                <c:pt idx="442">
                  <c:v>439.000</c:v>
                </c:pt>
                <c:pt idx="443">
                  <c:v>440.000</c:v>
                </c:pt>
                <c:pt idx="444">
                  <c:v>441.000</c:v>
                </c:pt>
                <c:pt idx="445">
                  <c:v>442.000</c:v>
                </c:pt>
                <c:pt idx="446">
                  <c:v>443.000</c:v>
                </c:pt>
                <c:pt idx="447">
                  <c:v>444.000</c:v>
                </c:pt>
                <c:pt idx="448">
                  <c:v>445.000</c:v>
                </c:pt>
                <c:pt idx="449">
                  <c:v>446.000</c:v>
                </c:pt>
                <c:pt idx="450">
                  <c:v>447.000</c:v>
                </c:pt>
                <c:pt idx="451">
                  <c:v>448.000</c:v>
                </c:pt>
                <c:pt idx="452">
                  <c:v>449.000</c:v>
                </c:pt>
                <c:pt idx="453">
                  <c:v>450.000</c:v>
                </c:pt>
                <c:pt idx="454">
                  <c:v>451.000</c:v>
                </c:pt>
                <c:pt idx="455">
                  <c:v>452.000</c:v>
                </c:pt>
                <c:pt idx="456">
                  <c:v>453.000</c:v>
                </c:pt>
                <c:pt idx="457">
                  <c:v>454.000</c:v>
                </c:pt>
                <c:pt idx="458">
                  <c:v>455.000</c:v>
                </c:pt>
                <c:pt idx="459">
                  <c:v>456.000</c:v>
                </c:pt>
                <c:pt idx="460">
                  <c:v>457.000</c:v>
                </c:pt>
                <c:pt idx="461">
                  <c:v>458.000</c:v>
                </c:pt>
                <c:pt idx="462">
                  <c:v>459.000</c:v>
                </c:pt>
                <c:pt idx="463">
                  <c:v>460.000</c:v>
                </c:pt>
                <c:pt idx="464">
                  <c:v>461.000</c:v>
                </c:pt>
                <c:pt idx="465">
                  <c:v>462.000</c:v>
                </c:pt>
                <c:pt idx="466">
                  <c:v>463.000</c:v>
                </c:pt>
                <c:pt idx="467">
                  <c:v>464.000</c:v>
                </c:pt>
                <c:pt idx="468">
                  <c:v>465.000</c:v>
                </c:pt>
                <c:pt idx="469">
                  <c:v>466.000</c:v>
                </c:pt>
                <c:pt idx="470">
                  <c:v>467.000</c:v>
                </c:pt>
                <c:pt idx="471">
                  <c:v>468.000</c:v>
                </c:pt>
                <c:pt idx="472">
                  <c:v>469.000</c:v>
                </c:pt>
                <c:pt idx="473">
                  <c:v>470.000</c:v>
                </c:pt>
                <c:pt idx="474">
                  <c:v>471.000</c:v>
                </c:pt>
                <c:pt idx="475">
                  <c:v>472.000</c:v>
                </c:pt>
                <c:pt idx="476">
                  <c:v>473.000</c:v>
                </c:pt>
                <c:pt idx="477">
                  <c:v>474.000</c:v>
                </c:pt>
                <c:pt idx="478">
                  <c:v>475.000</c:v>
                </c:pt>
                <c:pt idx="479">
                  <c:v>476.000</c:v>
                </c:pt>
                <c:pt idx="480">
                  <c:v>477.000</c:v>
                </c:pt>
                <c:pt idx="481">
                  <c:v>478.000</c:v>
                </c:pt>
                <c:pt idx="482">
                  <c:v>479.000</c:v>
                </c:pt>
                <c:pt idx="483">
                  <c:v>480.000</c:v>
                </c:pt>
                <c:pt idx="484">
                  <c:v>481.000</c:v>
                </c:pt>
                <c:pt idx="485">
                  <c:v>482.000</c:v>
                </c:pt>
                <c:pt idx="486">
                  <c:v>483.000</c:v>
                </c:pt>
                <c:pt idx="487">
                  <c:v>484.000</c:v>
                </c:pt>
                <c:pt idx="488">
                  <c:v>485.000</c:v>
                </c:pt>
                <c:pt idx="489">
                  <c:v>486.000</c:v>
                </c:pt>
                <c:pt idx="490">
                  <c:v>487.000</c:v>
                </c:pt>
                <c:pt idx="491">
                  <c:v>488.000</c:v>
                </c:pt>
                <c:pt idx="492">
                  <c:v>489.000</c:v>
                </c:pt>
                <c:pt idx="493">
                  <c:v>490.000</c:v>
                </c:pt>
                <c:pt idx="494">
                  <c:v>491.000</c:v>
                </c:pt>
                <c:pt idx="495">
                  <c:v>492.000</c:v>
                </c:pt>
                <c:pt idx="496">
                  <c:v>493.000</c:v>
                </c:pt>
                <c:pt idx="497">
                  <c:v>494.000</c:v>
                </c:pt>
                <c:pt idx="498">
                  <c:v>495.000</c:v>
                </c:pt>
                <c:pt idx="499">
                  <c:v>496.000</c:v>
                </c:pt>
                <c:pt idx="500">
                  <c:v>497.000</c:v>
                </c:pt>
                <c:pt idx="501">
                  <c:v>498.000</c:v>
                </c:pt>
                <c:pt idx="502">
                  <c:v>499.000</c:v>
                </c:pt>
                <c:pt idx="503">
                  <c:v>500.000</c:v>
                </c:pt>
                <c:pt idx="504">
                  <c:v>501.000</c:v>
                </c:pt>
                <c:pt idx="505">
                  <c:v>502.000</c:v>
                </c:pt>
                <c:pt idx="506">
                  <c:v>503.000</c:v>
                </c:pt>
                <c:pt idx="507">
                  <c:v>504.000</c:v>
                </c:pt>
                <c:pt idx="508">
                  <c:v>505.000</c:v>
                </c:pt>
                <c:pt idx="509">
                  <c:v>506.000</c:v>
                </c:pt>
                <c:pt idx="510">
                  <c:v>507.000</c:v>
                </c:pt>
                <c:pt idx="511">
                  <c:v>508.000</c:v>
                </c:pt>
                <c:pt idx="512">
                  <c:v>509.000</c:v>
                </c:pt>
                <c:pt idx="513">
                  <c:v>510.000</c:v>
                </c:pt>
                <c:pt idx="514">
                  <c:v>511.000</c:v>
                </c:pt>
                <c:pt idx="515">
                  <c:v>512.000</c:v>
                </c:pt>
                <c:pt idx="516">
                  <c:v>513.000</c:v>
                </c:pt>
                <c:pt idx="517">
                  <c:v>514.000</c:v>
                </c:pt>
                <c:pt idx="518">
                  <c:v>515.000</c:v>
                </c:pt>
                <c:pt idx="519">
                  <c:v>516.000</c:v>
                </c:pt>
                <c:pt idx="520">
                  <c:v>517.000</c:v>
                </c:pt>
                <c:pt idx="521">
                  <c:v>518.000</c:v>
                </c:pt>
                <c:pt idx="522">
                  <c:v>519.000</c:v>
                </c:pt>
                <c:pt idx="523">
                  <c:v>520.000</c:v>
                </c:pt>
                <c:pt idx="524">
                  <c:v>521.000</c:v>
                </c:pt>
              </c:strCache>
            </c:strRef>
          </c:xVal>
          <c:yVal>
            <c:numRef>
              <c:f>Sheet1!$D$2:$D$1045</c:f>
              <c:numCache>
                <c:formatCode>General</c:formatCode>
                <c:ptCount val="1044"/>
                <c:pt idx="0">
                  <c:v>0</c:v>
                </c:pt>
                <c:pt idx="3">
                  <c:v>1</c:v>
                </c:pt>
                <c:pt idx="4">
                  <c:v>1</c:v>
                </c:pt>
                <c:pt idx="5">
                  <c:v>1</c:v>
                </c:pt>
                <c:pt idx="6">
                  <c:v>0.99706908303680664</c:v>
                </c:pt>
                <c:pt idx="7">
                  <c:v>0.99121706216666072</c:v>
                </c:pt>
                <c:pt idx="8">
                  <c:v>0.99121706216666072</c:v>
                </c:pt>
                <c:pt idx="9">
                  <c:v>0.98536745882649091</c:v>
                </c:pt>
                <c:pt idx="10">
                  <c:v>0.98536745882649091</c:v>
                </c:pt>
                <c:pt idx="11">
                  <c:v>0.96205824283307229</c:v>
                </c:pt>
                <c:pt idx="12">
                  <c:v>0.95915951797211474</c:v>
                </c:pt>
                <c:pt idx="13">
                  <c:v>0.95626411824102875</c:v>
                </c:pt>
                <c:pt idx="14">
                  <c:v>0.95047245018160209</c:v>
                </c:pt>
                <c:pt idx="15">
                  <c:v>0.94757617082413415</c:v>
                </c:pt>
                <c:pt idx="16">
                  <c:v>0.94468325152311083</c:v>
                </c:pt>
                <c:pt idx="17">
                  <c:v>0.93600824635639424</c:v>
                </c:pt>
                <c:pt idx="18">
                  <c:v>0.92446692822360355</c:v>
                </c:pt>
                <c:pt idx="19">
                  <c:v>0.91008925913423711</c:v>
                </c:pt>
                <c:pt idx="20">
                  <c:v>0.89576950571630276</c:v>
                </c:pt>
                <c:pt idx="21">
                  <c:v>0.88437594143550369</c:v>
                </c:pt>
                <c:pt idx="22">
                  <c:v>0.8758671855764899</c:v>
                </c:pt>
                <c:pt idx="23">
                  <c:v>0.86737273364398271</c:v>
                </c:pt>
                <c:pt idx="24">
                  <c:v>0.85609580244664507</c:v>
                </c:pt>
                <c:pt idx="25">
                  <c:v>0.85046693863202083</c:v>
                </c:pt>
                <c:pt idx="26">
                  <c:v>0.83645660948364853</c:v>
                </c:pt>
                <c:pt idx="27">
                  <c:v>0.82531212955361988</c:v>
                </c:pt>
                <c:pt idx="28">
                  <c:v>0.80866752989249069</c:v>
                </c:pt>
                <c:pt idx="29">
                  <c:v>0.80314800500934413</c:v>
                </c:pt>
                <c:pt idx="30">
                  <c:v>0.79215210921604917</c:v>
                </c:pt>
                <c:pt idx="31">
                  <c:v>0.77848839939332104</c:v>
                </c:pt>
                <c:pt idx="32">
                  <c:v>0.77033360354745806</c:v>
                </c:pt>
                <c:pt idx="33">
                  <c:v>0.75681492527853222</c:v>
                </c:pt>
                <c:pt idx="34">
                  <c:v>0.75143295290719014</c:v>
                </c:pt>
                <c:pt idx="35">
                  <c:v>0.73804198807401089</c:v>
                </c:pt>
                <c:pt idx="36">
                  <c:v>0.72209390518890015</c:v>
                </c:pt>
                <c:pt idx="37">
                  <c:v>0.69320101277582824</c:v>
                </c:pt>
                <c:pt idx="38">
                  <c:v>0.67504892670676109</c:v>
                </c:pt>
                <c:pt idx="39">
                  <c:v>0.66989629025655306</c:v>
                </c:pt>
                <c:pt idx="40">
                  <c:v>0.65704998315783358</c:v>
                </c:pt>
                <c:pt idx="41">
                  <c:v>0.64684113010987798</c:v>
                </c:pt>
                <c:pt idx="42">
                  <c:v>0.63920583820605648</c:v>
                </c:pt>
                <c:pt idx="43">
                  <c:v>0.61394285086483091</c:v>
                </c:pt>
                <c:pt idx="44">
                  <c:v>0.59893371239937132</c:v>
                </c:pt>
                <c:pt idx="45">
                  <c:v>0.59146297643903667</c:v>
                </c:pt>
                <c:pt idx="46">
                  <c:v>0.57659012952358124</c:v>
                </c:pt>
                <c:pt idx="47">
                  <c:v>0.56430633900035254</c:v>
                </c:pt>
                <c:pt idx="48">
                  <c:v>0.54969886589592598</c:v>
                </c:pt>
                <c:pt idx="49">
                  <c:v>0.53284145726865706</c:v>
                </c:pt>
                <c:pt idx="50">
                  <c:v>0.5185515896788887</c:v>
                </c:pt>
                <c:pt idx="51">
                  <c:v>0.51146213176749544</c:v>
                </c:pt>
                <c:pt idx="52">
                  <c:v>0.49972897822283308</c:v>
                </c:pt>
                <c:pt idx="53">
                  <c:v>0.49739478037335116</c:v>
                </c:pt>
                <c:pt idx="54">
                  <c:v>0.48347701567490797</c:v>
                </c:pt>
                <c:pt idx="55">
                  <c:v>0.45835303431420149</c:v>
                </c:pt>
                <c:pt idx="56">
                  <c:v>0.44710214594666248</c:v>
                </c:pt>
                <c:pt idx="57">
                  <c:v>0.43815044190476476</c:v>
                </c:pt>
                <c:pt idx="58">
                  <c:v>0.43368637571296725</c:v>
                </c:pt>
                <c:pt idx="59">
                  <c:v>0.42478222008562161</c:v>
                </c:pt>
                <c:pt idx="60">
                  <c:v>0.41591986593208519</c:v>
                </c:pt>
                <c:pt idx="61">
                  <c:v>0.41370811766854393</c:v>
                </c:pt>
                <c:pt idx="62">
                  <c:v>0.40487690105594937</c:v>
                </c:pt>
                <c:pt idx="63">
                  <c:v>0.40047369897848284</c:v>
                </c:pt>
                <c:pt idx="64">
                  <c:v>0.38082050205306239</c:v>
                </c:pt>
                <c:pt idx="65">
                  <c:v>0.38082050205306239</c:v>
                </c:pt>
                <c:pt idx="66">
                  <c:v>0.36137910277957674</c:v>
                </c:pt>
                <c:pt idx="67">
                  <c:v>0.35278327767792067</c:v>
                </c:pt>
                <c:pt idx="68">
                  <c:v>0.34420209457009898</c:v>
                </c:pt>
                <c:pt idx="69">
                  <c:v>0.33350714779901514</c:v>
                </c:pt>
                <c:pt idx="70">
                  <c:v>0.3250104369918016</c:v>
                </c:pt>
                <c:pt idx="71">
                  <c:v>0.31656341877376165</c:v>
                </c:pt>
                <c:pt idx="72">
                  <c:v>0.31233697679019523</c:v>
                </c:pt>
                <c:pt idx="73">
                  <c:v>0.30598492713660569</c:v>
                </c:pt>
                <c:pt idx="74">
                  <c:v>0.30598492713660569</c:v>
                </c:pt>
                <c:pt idx="75">
                  <c:v>0.29293976528275967</c:v>
                </c:pt>
                <c:pt idx="76">
                  <c:v>0.29069312920657031</c:v>
                </c:pt>
                <c:pt idx="77">
                  <c:v>0.28382926343578918</c:v>
                </c:pt>
                <c:pt idx="78">
                  <c:v>0.27685521897019116</c:v>
                </c:pt>
                <c:pt idx="79">
                  <c:v>0.27214526536180422</c:v>
                </c:pt>
                <c:pt idx="80">
                  <c:v>0.26725737480682182</c:v>
                </c:pt>
                <c:pt idx="81">
                  <c:v>0.26226293374045401</c:v>
                </c:pt>
                <c:pt idx="82">
                  <c:v>0.25466070757051074</c:v>
                </c:pt>
                <c:pt idx="83">
                  <c:v>0.24954611860899703</c:v>
                </c:pt>
                <c:pt idx="84">
                  <c:v>0.24175225815043333</c:v>
                </c:pt>
                <c:pt idx="85">
                  <c:v>0.23643331012451618</c:v>
                </c:pt>
                <c:pt idx="86">
                  <c:v>0.23100943187730943</c:v>
                </c:pt>
                <c:pt idx="87">
                  <c:v>0.2282352309351493</c:v>
                </c:pt>
                <c:pt idx="88">
                  <c:v>0.22251093266572408</c:v>
                </c:pt>
                <c:pt idx="89">
                  <c:v>0.2195766199348117</c:v>
                </c:pt>
                <c:pt idx="90">
                  <c:v>0.2103293245271553</c:v>
                </c:pt>
                <c:pt idx="91">
                  <c:v>0.2103293245271553</c:v>
                </c:pt>
                <c:pt idx="92">
                  <c:v>0.2039054056891354</c:v>
                </c:pt>
                <c:pt idx="93">
                  <c:v>0.19723566323355471</c:v>
                </c:pt>
                <c:pt idx="94">
                  <c:v>0.19280131809065532</c:v>
                </c:pt>
                <c:pt idx="95">
                  <c:v>0.18848060952582324</c:v>
                </c:pt>
                <c:pt idx="96">
                  <c:v>0.18427061127500538</c:v>
                </c:pt>
                <c:pt idx="97">
                  <c:v>0.18016845361432557</c:v>
                </c:pt>
                <c:pt idx="98">
                  <c:v>0.17617132425342766</c:v>
                </c:pt>
                <c:pt idx="99">
                  <c:v>0.17227646900066118</c:v>
                </c:pt>
                <c:pt idx="100">
                  <c:v>0.16848119222094285</c:v>
                </c:pt>
                <c:pt idx="101">
                  <c:v>0.16478285710568444</c:v>
                </c:pt>
                <c:pt idx="102">
                  <c:v>0.16117888577281619</c:v>
                </c:pt>
                <c:pt idx="103">
                  <c:v>0.15766675921363807</c:v>
                </c:pt>
                <c:pt idx="104">
                  <c:v>0.154244017102008</c:v>
                </c:pt>
                <c:pt idx="105">
                  <c:v>0.15090825748022088</c:v>
                </c:pt>
                <c:pt idx="106">
                  <c:v>0.14765713633484492</c:v>
                </c:pt>
                <c:pt idx="107">
                  <c:v>0.14448836707475773</c:v>
                </c:pt>
                <c:pt idx="108">
                  <c:v>0.14139971992266681</c:v>
                </c:pt>
                <c:pt idx="109">
                  <c:v>0.13838902123049615</c:v>
                </c:pt>
                <c:pt idx="110">
                  <c:v>0.13545415272818154</c:v>
                </c:pt>
                <c:pt idx="111">
                  <c:v>0.13259305071462901</c:v>
                </c:pt>
                <c:pt idx="112">
                  <c:v>0.12980370519885809</c:v>
                </c:pt>
                <c:pt idx="113">
                  <c:v>0.1270841589986654</c:v>
                </c:pt>
                <c:pt idx="114">
                  <c:v>0.12443250680350998</c:v>
                </c:pt>
                <c:pt idx="115">
                  <c:v>0.12184689420772893</c:v>
                </c:pt>
                <c:pt idx="116">
                  <c:v>0.11932551671964252</c:v>
                </c:pt>
                <c:pt idx="117">
                  <c:v>0.11686661875159886</c:v>
                </c:pt>
                <c:pt idx="118">
                  <c:v>0.11446849259553651</c:v>
                </c:pt>
                <c:pt idx="119">
                  <c:v>0.1121294773882075</c:v>
                </c:pt>
                <c:pt idx="120">
                  <c:v>0.10984795806979836</c:v>
                </c:pt>
                <c:pt idx="121">
                  <c:v>0.10762236433931628</c:v>
                </c:pt>
                <c:pt idx="122">
                  <c:v>0.10545116960976293</c:v>
                </c:pt>
                <c:pt idx="123">
                  <c:v>0.10333288996580302</c:v>
                </c:pt>
                <c:pt idx="124">
                  <c:v>0.10126608312634393</c:v>
                </c:pt>
                <c:pt idx="125">
                  <c:v>9.9249347414173641E-2</c:v>
                </c:pt>
                <c:pt idx="126">
                  <c:v>9.7281320734562512E-2</c:v>
                </c:pt>
                <c:pt idx="127">
                  <c:v>9.5360679564504905E-2</c:v>
                </c:pt>
                <c:pt idx="128">
                  <c:v>9.3486137954074788E-2</c:v>
                </c:pt>
                <c:pt idx="129">
                  <c:v>9.1656446541178174E-2</c:v>
                </c:pt>
                <c:pt idx="130">
                  <c:v>8.9870391580814737E-2</c:v>
                </c:pt>
                <c:pt idx="131">
                  <c:v>8.8126793989803567E-2</c:v>
                </c:pt>
                <c:pt idx="132">
                  <c:v>8.6424508407784095E-2</c:v>
                </c:pt>
                <c:pt idx="133">
                  <c:v>8.4762422275175192E-2</c:v>
                </c:pt>
                <c:pt idx="134">
                  <c:v>8.3139454928655626E-2</c:v>
                </c:pt>
                <c:pt idx="135">
                  <c:v>8.1554556714621987E-2</c:v>
                </c:pt>
                <c:pt idx="136">
                  <c:v>8.0006708120984704E-2</c:v>
                </c:pt>
                <c:pt idx="137">
                  <c:v>7.8494918927573196E-2</c:v>
                </c:pt>
                <c:pt idx="138">
                  <c:v>7.7018227375344708E-2</c:v>
                </c:pt>
                <c:pt idx="139">
                  <c:v>7.5575699354517786E-2</c:v>
                </c:pt>
                <c:pt idx="140">
                  <c:v>7.4166427611688984E-2</c:v>
                </c:pt>
                <c:pt idx="141">
                  <c:v>7.2789530975935463E-2</c:v>
                </c:pt>
                <c:pt idx="142">
                  <c:v>7.1444153603852228E-2</c:v>
                </c:pt>
                <c:pt idx="143">
                  <c:v>7.012946424343075E-2</c:v>
                </c:pt>
                <c:pt idx="144">
                  <c:v>6.8844655516642914E-2</c:v>
                </c:pt>
                <c:pt idx="145">
                  <c:v>6.7588943220561429E-2</c:v>
                </c:pt>
                <c:pt idx="146">
                  <c:v>6.6361565646813683E-2</c:v>
                </c:pt>
                <c:pt idx="147">
                  <c:v>6.5161782919141889E-2</c:v>
                </c:pt>
                <c:pt idx="148">
                  <c:v>6.3988876348816073E-2</c:v>
                </c:pt>
                <c:pt idx="149">
                  <c:v>6.2842147807628743E-2</c:v>
                </c:pt>
                <c:pt idx="150">
                  <c:v>6.1720919118179687E-2</c:v>
                </c:pt>
                <c:pt idx="151">
                  <c:v>6.0624531461147928E-2</c:v>
                </c:pt>
                <c:pt idx="152">
                  <c:v>5.9552344799232208E-2</c:v>
                </c:pt>
                <c:pt idx="153">
                  <c:v>5.8503737317434461E-2</c:v>
                </c:pt>
                <c:pt idx="154">
                  <c:v>5.7478104879350407E-2</c:v>
                </c:pt>
                <c:pt idx="155">
                  <c:v>5.6474860499126367E-2</c:v>
                </c:pt>
                <c:pt idx="156">
                  <c:v>5.5493433828735624E-2</c:v>
                </c:pt>
                <c:pt idx="157">
                  <c:v>5.4533270660226646E-2</c:v>
                </c:pt>
                <c:pt idx="158">
                  <c:v>5.3593832442590542E-2</c:v>
                </c:pt>
                <c:pt idx="159">
                  <c:v>5.2674595812897101E-2</c:v>
                </c:pt>
                <c:pt idx="160">
                  <c:v>5.1775052141348046E-2</c:v>
                </c:pt>
                <c:pt idx="161">
                  <c:v>5.0894707089896463E-2</c:v>
                </c:pt>
                <c:pt idx="162">
                  <c:v>5.0033080184086032E-2</c:v>
                </c:pt>
                <c:pt idx="163">
                  <c:v>4.9189704397763247E-2</c:v>
                </c:pt>
                <c:pt idx="164">
                  <c:v>4.8364125750322194E-2</c:v>
                </c:pt>
                <c:pt idx="165">
                  <c:v>4.7555902916143457E-2</c:v>
                </c:pt>
                <c:pt idx="166">
                  <c:v>4.6764606845894473E-2</c:v>
                </c:pt>
                <c:pt idx="167">
                  <c:v>4.5989820399362551E-2</c:v>
                </c:pt>
                <c:pt idx="168">
                  <c:v>4.5231137989498592E-2</c:v>
                </c:pt>
                <c:pt idx="169">
                  <c:v>4.4488165237352828E-2</c:v>
                </c:pt>
                <c:pt idx="170">
                  <c:v>4.3760518637592394E-2</c:v>
                </c:pt>
                <c:pt idx="171">
                  <c:v>4.3047825234294179E-2</c:v>
                </c:pt>
                <c:pt idx="172">
                  <c:v>4.2349722306714944E-2</c:v>
                </c:pt>
                <c:pt idx="173">
                  <c:v>4.1665857064744481E-2</c:v>
                </c:pt>
                <c:pt idx="174">
                  <c:v>4.0995886353756922E-2</c:v>
                </c:pt>
                <c:pt idx="175">
                  <c:v>4.0339476368579062E-2</c:v>
                </c:pt>
                <c:pt idx="176">
                  <c:v>3.9696302376303415E-2</c:v>
                </c:pt>
                <c:pt idx="177">
                  <c:v>3.9066048447678962E-2</c:v>
                </c:pt>
                <c:pt idx="178">
                  <c:v>3.8448407196819565E-2</c:v>
                </c:pt>
                <c:pt idx="179">
                  <c:v>3.7843079528976795E-2</c:v>
                </c:pt>
                <c:pt idx="180">
                  <c:v>3.7249774396130177E-2</c:v>
                </c:pt>
                <c:pt idx="181">
                  <c:v>3.6668208560154715E-2</c:v>
                </c:pt>
                <c:pt idx="182">
                  <c:v>3.6098106363331474E-2</c:v>
                </c:pt>
                <c:pt idx="183">
                  <c:v>3.5539199505973874E-2</c:v>
                </c:pt>
                <c:pt idx="184">
                  <c:v>3.4991226830948755E-2</c:v>
                </c:pt>
                <c:pt idx="185">
                  <c:v>3.4453934114876676E-2</c:v>
                </c:pt>
                <c:pt idx="186">
                  <c:v>3.3927073865802578E-2</c:v>
                </c:pt>
                <c:pt idx="187">
                  <c:v>3.341040512713473E-2</c:v>
                </c:pt>
                <c:pt idx="188">
                  <c:v>3.290369328765342E-2</c:v>
                </c:pt>
                <c:pt idx="189">
                  <c:v>3.2406709897399737E-2</c:v>
                </c:pt>
                <c:pt idx="190">
                  <c:v>3.1919232489257529E-2</c:v>
                </c:pt>
                <c:pt idx="191">
                  <c:v>3.1441044406049466E-2</c:v>
                </c:pt>
                <c:pt idx="192">
                  <c:v>3.0971934632971685E-2</c:v>
                </c:pt>
                <c:pt idx="193">
                  <c:v>3.0511697635198547E-2</c:v>
                </c:pt>
                <c:pt idx="194">
                  <c:v>3.0060133200492396E-2</c:v>
                </c:pt>
                <c:pt idx="195">
                  <c:v>2.9617046286660054E-2</c:v>
                </c:pt>
                <c:pt idx="196">
                  <c:v>2.9182246873700985E-2</c:v>
                </c:pt>
                <c:pt idx="197">
                  <c:v>2.8755549820498182E-2</c:v>
                </c:pt>
                <c:pt idx="198">
                  <c:v>2.8336774725906851E-2</c:v>
                </c:pt>
                <c:pt idx="199">
                  <c:v>2.7925745794100641E-2</c:v>
                </c:pt>
                <c:pt idx="200">
                  <c:v>2.7522291704039515E-2</c:v>
                </c:pt>
                <c:pt idx="201">
                  <c:v>2.7126245482927511E-2</c:v>
                </c:pt>
                <c:pt idx="202">
                  <c:v>2.6737444383533617E-2</c:v>
                </c:pt>
                <c:pt idx="203">
                  <c:v>2.6355729765251763E-2</c:v>
                </c:pt>
                <c:pt idx="204">
                  <c:v>2.5980946978780801E-2</c:v>
                </c:pt>
                <c:pt idx="205">
                  <c:v>2.5612945254309058E-2</c:v>
                </c:pt>
                <c:pt idx="206">
                  <c:v>2.5251577593091445E-2</c:v>
                </c:pt>
                <c:pt idx="207">
                  <c:v>2.4896700662310672E-2</c:v>
                </c:pt>
                <c:pt idx="208">
                  <c:v>2.4548174693118222E-2</c:v>
                </c:pt>
                <c:pt idx="209">
                  <c:v>2.4205863381753418E-2</c:v>
                </c:pt>
                <c:pt idx="210">
                  <c:v>2.3869633793642521E-2</c:v>
                </c:pt>
                <c:pt idx="211">
                  <c:v>2.3539356270382995E-2</c:v>
                </c:pt>
                <c:pt idx="212">
                  <c:v>2.3214904339521052E-2</c:v>
                </c:pt>
                <c:pt idx="213">
                  <c:v>2.2896154627033777E-2</c:v>
                </c:pt>
                <c:pt idx="214">
                  <c:v>2.2582986772429675E-2</c:v>
                </c:pt>
                <c:pt idx="215">
                  <c:v>2.2275283346384608E-2</c:v>
                </c:pt>
                <c:pt idx="216">
                  <c:v>2.197292977083274E-2</c:v>
                </c:pt>
                <c:pt idx="217">
                  <c:v>2.1675814241434565E-2</c:v>
                </c:pt>
                <c:pt idx="218">
                  <c:v>2.138382765234681E-2</c:v>
                </c:pt>
                <c:pt idx="219">
                  <c:v>2.1096863523221546E-2</c:v>
                </c:pt>
                <c:pt idx="220">
                  <c:v>2.081481792836376E-2</c:v>
                </c:pt>
                <c:pt idx="221">
                  <c:v>2.0537589427979615E-2</c:v>
                </c:pt>
                <c:pt idx="222">
                  <c:v>2.0265079001449412E-2</c:v>
                </c:pt>
                <c:pt idx="223">
                  <c:v>1.999718998256135E-2</c:v>
                </c:pt>
                <c:pt idx="224">
                  <c:v>1.9733827996644741E-2</c:v>
                </c:pt>
                <c:pt idx="225">
                  <c:v>1.947490089954286E-2</c:v>
                </c:pt>
                <c:pt idx="226">
                  <c:v>1.9220318718367834E-2</c:v>
                </c:pt>
                <c:pt idx="227">
                  <c:v>1.8969993593981674E-2</c:v>
                </c:pt>
                <c:pt idx="228">
                  <c:v>1.8723839725149898E-2</c:v>
                </c:pt>
                <c:pt idx="229">
                  <c:v>1.8481773314314737E-2</c:v>
                </c:pt>
                <c:pt idx="230">
                  <c:v>1.8243712514938604E-2</c:v>
                </c:pt>
                <c:pt idx="231">
                  <c:v>1.8009577380367809E-2</c:v>
                </c:pt>
                <c:pt idx="232">
                  <c:v>1.7779289814170107E-2</c:v>
                </c:pt>
                <c:pt idx="233">
                  <c:v>1.7552773521900135E-2</c:v>
                </c:pt>
                <c:pt idx="234">
                  <c:v>1.7329953964248291E-2</c:v>
                </c:pt>
                <c:pt idx="235">
                  <c:v>1.7110758311530725E-2</c:v>
                </c:pt>
                <c:pt idx="236">
                  <c:v>1.6895115399478751E-2</c:v>
                </c:pt>
                <c:pt idx="237">
                  <c:v>1.6682955686287849E-2</c:v>
                </c:pt>
                <c:pt idx="238">
                  <c:v>1.6474211210887189E-2</c:v>
                </c:pt>
                <c:pt idx="239">
                  <c:v>1.6268815552393005E-2</c:v>
                </c:pt>
                <c:pt idx="240">
                  <c:v>1.6066703790708375E-2</c:v>
                </c:pt>
                <c:pt idx="241">
                  <c:v>1.5867812468235574E-2</c:v>
                </c:pt>
                <c:pt idx="242">
                  <c:v>1.5672079552666127E-2</c:v>
                </c:pt>
                <c:pt idx="243">
                  <c:v>1.5479444400816224E-2</c:v>
                </c:pt>
                <c:pt idx="244">
                  <c:v>1.5289847723475641E-2</c:v>
                </c:pt>
                <c:pt idx="245">
                  <c:v>1.5103231551239207E-2</c:v>
                </c:pt>
                <c:pt idx="246">
                  <c:v>1.4919539201291286E-2</c:v>
                </c:pt>
                <c:pt idx="247">
                  <c:v>1.473871524511443E-2</c:v>
                </c:pt>
                <c:pt idx="248">
                  <c:v>1.4560705477094127E-2</c:v>
                </c:pt>
                <c:pt idx="249">
                  <c:v>1.4385456883993038E-2</c:v>
                </c:pt>
                <c:pt idx="250">
                  <c:v>1.4212917615268186E-2</c:v>
                </c:pt>
                <c:pt idx="251">
                  <c:v>1.4043036954206115E-2</c:v>
                </c:pt>
                <c:pt idx="252">
                  <c:v>1.3875765289851393E-2</c:v>
                </c:pt>
                <c:pt idx="253">
                  <c:v>1.3711054089704914E-2</c:v>
                </c:pt>
                <c:pt idx="254">
                  <c:v>1.3548855873168808E-2</c:v>
                </c:pt>
                <c:pt idx="255">
                  <c:v>1.3389124185716033E-2</c:v>
                </c:pt>
                <c:pt idx="256">
                  <c:v>1.3231813573762964E-2</c:v>
                </c:pt>
                <c:pt idx="257">
                  <c:v>1.3076879560224285E-2</c:v>
                </c:pt>
                <c:pt idx="258">
                  <c:v>1.2924278620729802E-2</c:v>
                </c:pt>
                <c:pt idx="259">
                  <c:v>1.277396816048401E-2</c:v>
                </c:pt>
                <c:pt idx="260">
                  <c:v>1.2625906491749116E-2</c:v>
                </c:pt>
                <c:pt idx="261">
                  <c:v>1.2480052811933496E-2</c:v>
                </c:pt>
                <c:pt idx="262">
                  <c:v>1.2336367182267764E-2</c:v>
                </c:pt>
                <c:pt idx="263">
                  <c:v>1.2194810507051162E-2</c:v>
                </c:pt>
                <c:pt idx="264">
                  <c:v>1.2055344513451858E-2</c:v>
                </c:pt>
                <c:pt idx="265">
                  <c:v>1.1917931731844715E-2</c:v>
                </c:pt>
                <c:pt idx="266">
                  <c:v>1.1782535476671354E-2</c:v>
                </c:pt>
                <c:pt idx="267">
                  <c:v>1.1649119827806861E-2</c:v>
                </c:pt>
                <c:pt idx="268">
                  <c:v>1.1517649612419004E-2</c:v>
                </c:pt>
                <c:pt idx="269">
                  <c:v>1.1388090387305306E-2</c:v>
                </c:pt>
                <c:pt idx="270">
                  <c:v>1.126040842169449E-2</c:v>
                </c:pt>
                <c:pt idx="271">
                  <c:v>1.1134570680498888E-2</c:v>
                </c:pt>
                <c:pt idx="272">
                  <c:v>1.10105448080049E-2</c:v>
                </c:pt>
                <c:pt idx="273">
                  <c:v>1.0888299111988881E-2</c:v>
                </c:pt>
                <c:pt idx="274">
                  <c:v>1.076780254824645E-2</c:v>
                </c:pt>
                <c:pt idx="275">
                  <c:v>1.0649024705523407E-2</c:v>
                </c:pt>
                <c:pt idx="276">
                  <c:v>1.0531935790836803E-2</c:v>
                </c:pt>
                <c:pt idx="277">
                  <c:v>1.0416506615175177E-2</c:v>
                </c:pt>
                <c:pt idx="278">
                  <c:v>1.03027085795672E-2</c:v>
                </c:pt>
                <c:pt idx="279">
                  <c:v>1.0190513661508355E-2</c:v>
                </c:pt>
                <c:pt idx="280">
                  <c:v>1.0079894401735524E-2</c:v>
                </c:pt>
                <c:pt idx="281">
                  <c:v>9.9708238913397921E-3</c:v>
                </c:pt>
                <c:pt idx="282">
                  <c:v>9.8632757592079685E-3</c:v>
                </c:pt>
                <c:pt idx="283">
                  <c:v>9.7572241597835355E-3</c:v>
                </c:pt>
                <c:pt idx="284">
                  <c:v>9.6526437611383058E-3</c:v>
                </c:pt>
                <c:pt idx="285">
                  <c:v>9.5495097333459945E-3</c:v>
                </c:pt>
                <c:pt idx="286">
                  <c:v>9.4477977371493511E-3</c:v>
                </c:pt>
                <c:pt idx="287">
                  <c:v>9.3474839129127543E-3</c:v>
                </c:pt>
                <c:pt idx="288">
                  <c:v>9.2485448698524115E-3</c:v>
                </c:pt>
                <c:pt idx="289">
                  <c:v>9.1509576755363954E-3</c:v>
                </c:pt>
                <c:pt idx="290">
                  <c:v>9.0546998456471992E-3</c:v>
                </c:pt>
                <c:pt idx="291">
                  <c:v>8.9597493339995671E-3</c:v>
                </c:pt>
                <c:pt idx="292">
                  <c:v>8.8660845228066675E-3</c:v>
                </c:pt>
                <c:pt idx="293">
                  <c:v>8.7736842131876467E-3</c:v>
                </c:pt>
                <c:pt idx="294">
                  <c:v>8.6825276159103234E-3</c:v>
                </c:pt>
                <c:pt idx="295">
                  <c:v>8.5925943423621511E-3</c:v>
                </c:pt>
                <c:pt idx="296">
                  <c:v>8.5038643957437987E-3</c:v>
                </c:pt>
                <c:pt idx="297">
                  <c:v>8.4163181624788384E-3</c:v>
                </c:pt>
                <c:pt idx="298">
                  <c:v>8.3299364038340699E-3</c:v>
                </c:pt>
                <c:pt idx="299">
                  <c:v>8.2447002477445928E-3</c:v>
                </c:pt>
                <c:pt idx="300">
                  <c:v>8.1605911808381813E-3</c:v>
                </c:pt>
                <c:pt idx="301">
                  <c:v>8.0775910406536457E-3</c:v>
                </c:pt>
                <c:pt idx="302">
                  <c:v>7.9956820080480072E-3</c:v>
                </c:pt>
                <c:pt idx="303">
                  <c:v>7.914846599787308E-3</c:v>
                </c:pt>
                <c:pt idx="304">
                  <c:v>7.8350676613164454E-3</c:v>
                </c:pt>
                <c:pt idx="305">
                  <c:v>7.7563283597029261E-3</c:v>
                </c:pt>
                <c:pt idx="306">
                  <c:v>7.6786121767501844E-3</c:v>
                </c:pt>
                <c:pt idx="307">
                  <c:v>7.6019029022759543E-3</c:v>
                </c:pt>
                <c:pt idx="308">
                  <c:v>7.526184627551208E-3</c:v>
                </c:pt>
                <c:pt idx="309">
                  <c:v>7.4514417388955494E-3</c:v>
                </c:pt>
                <c:pt idx="310">
                  <c:v>7.3776589114249629E-3</c:v>
                </c:pt>
                <c:pt idx="311">
                  <c:v>7.3048211029478026E-3</c:v>
                </c:pt>
                <c:pt idx="312">
                  <c:v>7.2329135480053352E-3</c:v>
                </c:pt>
                <c:pt idx="313">
                  <c:v>7.161921752052912E-3</c:v>
                </c:pt>
                <c:pt idx="314">
                  <c:v>7.0918314857781372E-3</c:v>
                </c:pt>
                <c:pt idx="315">
                  <c:v>7.0226287795526277E-3</c:v>
                </c:pt>
                <c:pt idx="316">
                  <c:v>6.9542999180135824E-3</c:v>
                </c:pt>
                <c:pt idx="317">
                  <c:v>6.8868314347722438E-3</c:v>
                </c:pt>
                <c:pt idx="318">
                  <c:v>6.8202101072455884E-3</c:v>
                </c:pt>
                <c:pt idx="319">
                  <c:v>6.7544229516082683E-3</c:v>
                </c:pt>
                <c:pt idx="320">
                  <c:v>6.689457217861748E-3</c:v>
                </c:pt>
                <c:pt idx="321">
                  <c:v>6.6253003850175324E-3</c:v>
                </c:pt>
                <c:pt idx="322">
                  <c:v>6.5619401563915651E-3</c:v>
                </c:pt>
                <c:pt idx="323">
                  <c:v>6.4993644550071757E-3</c:v>
                </c:pt>
                <c:pt idx="324">
                  <c:v>6.4375614191034764E-3</c:v>
                </c:pt>
                <c:pt idx="325">
                  <c:v>6.3765193977468977E-3</c:v>
                </c:pt>
                <c:pt idx="326">
                  <c:v>6.3162269465428826E-3</c:v>
                </c:pt>
                <c:pt idx="327">
                  <c:v>6.2566728234455804E-3</c:v>
                </c:pt>
                <c:pt idx="328">
                  <c:v>6.1978459846628248E-3</c:v>
                </c:pt>
                <c:pt idx="329">
                  <c:v>6.1397355806540096E-3</c:v>
                </c:pt>
                <c:pt idx="330">
                  <c:v>6.0823309522187218E-3</c:v>
                </c:pt>
                <c:pt idx="331">
                  <c:v>6.025621626673674E-3</c:v>
                </c:pt>
                <c:pt idx="332">
                  <c:v>5.9695973141157691E-3</c:v>
                </c:pt>
                <c:pt idx="333">
                  <c:v>5.9142479037692279E-3</c:v>
                </c:pt>
                <c:pt idx="334">
                  <c:v>5.859563460414682E-3</c:v>
                </c:pt>
                <c:pt idx="335">
                  <c:v>5.8055342208980475E-3</c:v>
                </c:pt>
                <c:pt idx="336">
                  <c:v>5.7521505907174647E-3</c:v>
                </c:pt>
                <c:pt idx="337">
                  <c:v>5.6994031406861012E-3</c:v>
                </c:pt>
                <c:pt idx="338">
                  <c:v>5.6472826036692578E-3</c:v>
                </c:pt>
                <c:pt idx="339">
                  <c:v>5.5957798713936096E-3</c:v>
                </c:pt>
                <c:pt idx="340">
                  <c:v>5.5448859913270988E-3</c:v>
                </c:pt>
                <c:pt idx="341">
                  <c:v>5.4945921636276275E-3</c:v>
                </c:pt>
                <c:pt idx="342">
                  <c:v>5.4448897381588774E-3</c:v>
                </c:pt>
                <c:pt idx="343">
                  <c:v>5.3957702115716415E-3</c:v>
                </c:pt>
                <c:pt idx="344">
                  <c:v>5.3472252244490641E-3</c:v>
                </c:pt>
                <c:pt idx="345">
                  <c:v>5.2992465585142727E-3</c:v>
                </c:pt>
                <c:pt idx="346">
                  <c:v>5.2518261338988376E-3</c:v>
                </c:pt>
                <c:pt idx="347">
                  <c:v>5.2049560064706861E-3</c:v>
                </c:pt>
                <c:pt idx="348">
                  <c:v>5.1586283652198979E-3</c:v>
                </c:pt>
                <c:pt idx="349">
                  <c:v>5.1128355297011627E-3</c:v>
                </c:pt>
                <c:pt idx="350">
                  <c:v>5.0675699475314006E-3</c:v>
                </c:pt>
                <c:pt idx="351">
                  <c:v>5.022824191941307E-3</c:v>
                </c:pt>
                <c:pt idx="352">
                  <c:v>4.978590959379533E-3</c:v>
                </c:pt>
                <c:pt idx="353">
                  <c:v>4.9348630671681585E-3</c:v>
                </c:pt>
                <c:pt idx="354">
                  <c:v>4.8916334512084398E-3</c:v>
                </c:pt>
                <c:pt idx="355">
                  <c:v>4.8488951637353887E-3</c:v>
                </c:pt>
                <c:pt idx="356">
                  <c:v>4.8066413711202278E-3</c:v>
                </c:pt>
                <c:pt idx="357">
                  <c:v>4.7648653517194991E-3</c:v>
                </c:pt>
                <c:pt idx="358">
                  <c:v>4.7235604937697863E-3</c:v>
                </c:pt>
                <c:pt idx="359">
                  <c:v>4.6827202933268919E-3</c:v>
                </c:pt>
                <c:pt idx="360">
                  <c:v>4.6423383522485057E-3</c:v>
                </c:pt>
                <c:pt idx="361">
                  <c:v>4.6024083762193748E-3</c:v>
                </c:pt>
                <c:pt idx="362">
                  <c:v>4.5629241728178524E-3</c:v>
                </c:pt>
                <c:pt idx="363">
                  <c:v>4.523879649623001E-3</c:v>
                </c:pt>
                <c:pt idx="364">
                  <c:v>4.4852688123612509E-3</c:v>
                </c:pt>
                <c:pt idx="365">
                  <c:v>4.4470857630917017E-3</c:v>
                </c:pt>
                <c:pt idx="366">
                  <c:v>4.4093246984291392E-3</c:v>
                </c:pt>
                <c:pt idx="367">
                  <c:v>4.3719799078040175E-3</c:v>
                </c:pt>
                <c:pt idx="368">
                  <c:v>4.3350457717583534E-3</c:v>
                </c:pt>
                <c:pt idx="369">
                  <c:v>4.2985167602769582E-3</c:v>
                </c:pt>
                <c:pt idx="370">
                  <c:v>4.262387431152986E-3</c:v>
                </c:pt>
                <c:pt idx="371">
                  <c:v>4.2266524283871053E-3</c:v>
                </c:pt>
                <c:pt idx="372">
                  <c:v>4.1913064806195499E-3</c:v>
                </c:pt>
                <c:pt idx="373">
                  <c:v>4.1563443995942572E-3</c:v>
                </c:pt>
                <c:pt idx="374">
                  <c:v>4.1217610786543589E-3</c:v>
                </c:pt>
                <c:pt idx="375">
                  <c:v>4.0875514912683984E-3</c:v>
                </c:pt>
                <c:pt idx="376">
                  <c:v>4.0537106895864169E-3</c:v>
                </c:pt>
                <c:pt idx="377">
                  <c:v>4.0202338030254203E-3</c:v>
                </c:pt>
                <c:pt idx="378">
                  <c:v>3.9871160368834752E-3</c:v>
                </c:pt>
                <c:pt idx="379">
                  <c:v>3.9543526709817393E-3</c:v>
                </c:pt>
                <c:pt idx="380">
                  <c:v>3.92193905833389E-3</c:v>
                </c:pt>
                <c:pt idx="381">
                  <c:v>3.8898706238423585E-3</c:v>
                </c:pt>
                <c:pt idx="382">
                  <c:v>3.85814286302063E-3</c:v>
                </c:pt>
                <c:pt idx="383">
                  <c:v>3.8267513407411859E-3</c:v>
                </c:pt>
                <c:pt idx="384">
                  <c:v>3.7956916900084162E-3</c:v>
                </c:pt>
                <c:pt idx="385">
                  <c:v>3.764959610756036E-3</c:v>
                </c:pt>
                <c:pt idx="386">
                  <c:v>3.7345508686683392E-3</c:v>
                </c:pt>
                <c:pt idx="387">
                  <c:v>3.7044612940249112E-3</c:v>
                </c:pt>
                <c:pt idx="388">
                  <c:v>3.6746867805681721E-3</c:v>
                </c:pt>
                <c:pt idx="389">
                  <c:v>3.6452232843933027E-3</c:v>
                </c:pt>
                <c:pt idx="390">
                  <c:v>3.6160668228600395E-3</c:v>
                </c:pt>
                <c:pt idx="391">
                  <c:v>3.5872134735258844E-3</c:v>
                </c:pt>
                <c:pt idx="392">
                  <c:v>3.5586593731002387E-3</c:v>
                </c:pt>
                <c:pt idx="393">
                  <c:v>3.530400716419E-3</c:v>
                </c:pt>
                <c:pt idx="394">
                  <c:v>3.5024337554392373E-3</c:v>
                </c:pt>
                <c:pt idx="395">
                  <c:v>3.4747547982534014E-3</c:v>
                </c:pt>
                <c:pt idx="396">
                  <c:v>3.4473602081227556E-3</c:v>
                </c:pt>
                <c:pt idx="397">
                  <c:v>3.4202464025295662E-3</c:v>
                </c:pt>
                <c:pt idx="398">
                  <c:v>3.3934098522476119E-3</c:v>
                </c:pt>
                <c:pt idx="399">
                  <c:v>3.3668470804306861E-3</c:v>
                </c:pt>
                <c:pt idx="400">
                  <c:v>3.3405546617186759E-3</c:v>
                </c:pt>
                <c:pt idx="401">
                  <c:v>3.31452922136082E-3</c:v>
                </c:pt>
                <c:pt idx="402">
                  <c:v>3.2887674343558219E-3</c:v>
                </c:pt>
                <c:pt idx="403">
                  <c:v>3.2632660246084098E-3</c:v>
                </c:pt>
                <c:pt idx="404">
                  <c:v>3.2380217641020579E-3</c:v>
                </c:pt>
                <c:pt idx="405">
                  <c:v>3.2130314720874398E-3</c:v>
                </c:pt>
                <c:pt idx="406">
                  <c:v>3.1882920142863804E-3</c:v>
                </c:pt>
                <c:pt idx="407">
                  <c:v>3.1638003021108819E-3</c:v>
                </c:pt>
                <c:pt idx="408">
                  <c:v>3.1395532918969821E-3</c:v>
                </c:pt>
                <c:pt idx="409">
                  <c:v>3.1155479841530891E-3</c:v>
                </c:pt>
                <c:pt idx="410">
                  <c:v>3.0917814228224997E-3</c:v>
                </c:pt>
                <c:pt idx="411">
                  <c:v>3.0682506945598127E-3</c:v>
                </c:pt>
                <c:pt idx="412">
                  <c:v>3.0449529280209375E-3</c:v>
                </c:pt>
                <c:pt idx="413">
                  <c:v>3.0218852931664063E-3</c:v>
                </c:pt>
                <c:pt idx="414">
                  <c:v>2.9990450005777432E-3</c:v>
                </c:pt>
                <c:pt idx="415">
                  <c:v>2.976429300786568E-3</c:v>
                </c:pt>
                <c:pt idx="416">
                  <c:v>2.9540354836162437E-3</c:v>
                </c:pt>
                <c:pt idx="417">
                  <c:v>2.9318608775357204E-3</c:v>
                </c:pt>
                <c:pt idx="418">
                  <c:v>2.9099028490253815E-3</c:v>
                </c:pt>
                <c:pt idx="419">
                  <c:v>2.8881588019546603E-3</c:v>
                </c:pt>
                <c:pt idx="420">
                  <c:v>2.8666261769711202E-3</c:v>
                </c:pt>
                <c:pt idx="421">
                  <c:v>2.8453024509008042E-3</c:v>
                </c:pt>
                <c:pt idx="422">
                  <c:v>2.8241851361596438E-3</c:v>
                </c:pt>
                <c:pt idx="423">
                  <c:v>2.8032717801756311E-3</c:v>
                </c:pt>
                <c:pt idx="424">
                  <c:v>2.7825599648216327E-3</c:v>
                </c:pt>
                <c:pt idx="425">
                  <c:v>2.762047305858514E-3</c:v>
                </c:pt>
                <c:pt idx="426">
                  <c:v>2.741731452388482E-3</c:v>
                </c:pt>
                <c:pt idx="427">
                  <c:v>2.7216100863183342E-3</c:v>
                </c:pt>
                <c:pt idx="428">
                  <c:v>2.7016809218324903E-3</c:v>
                </c:pt>
                <c:pt idx="429">
                  <c:v>2.6819417048755696E-3</c:v>
                </c:pt>
                <c:pt idx="430">
                  <c:v>2.6623902126443372E-3</c:v>
                </c:pt>
                <c:pt idx="431">
                  <c:v>2.6430242530888063E-3</c:v>
                </c:pt>
                <c:pt idx="432">
                  <c:v>2.6238416644223566E-3</c:v>
                </c:pt>
                <c:pt idx="433">
                  <c:v>2.6048403146406514E-3</c:v>
                </c:pt>
                <c:pt idx="434">
                  <c:v>2.5860181010491819E-3</c:v>
                </c:pt>
                <c:pt idx="435">
                  <c:v>2.5673729497992901E-3</c:v>
                </c:pt>
                <c:pt idx="436">
                  <c:v>2.548902815432462E-3</c:v>
                </c:pt>
                <c:pt idx="437">
                  <c:v>2.5306056804327748E-3</c:v>
                </c:pt>
                <c:pt idx="438">
                  <c:v>2.5124795547872975E-3</c:v>
                </c:pt>
                <c:pt idx="439">
                  <c:v>2.494522475554289E-3</c:v>
                </c:pt>
                <c:pt idx="440">
                  <c:v>2.4767325064390931E-3</c:v>
                </c:pt>
                <c:pt idx="441">
                  <c:v>2.4591077373774797E-3</c:v>
                </c:pt>
                <c:pt idx="442">
                  <c:v>2.4416462841263965E-3</c:v>
                </c:pt>
                <c:pt idx="443">
                  <c:v>2.4243462878618905E-3</c:v>
                </c:pt>
                <c:pt idx="444">
                  <c:v>2.4072059147841364E-3</c:v>
                </c:pt>
                <c:pt idx="445">
                  <c:v>2.390223355729366E-3</c:v>
                </c:pt>
                <c:pt idx="446">
                  <c:v>2.3733968257886122E-3</c:v>
                </c:pt>
                <c:pt idx="447">
                  <c:v>2.3567245639331239E-3</c:v>
                </c:pt>
                <c:pt idx="448">
                  <c:v>2.3402048326462907E-3</c:v>
                </c:pt>
                <c:pt idx="449">
                  <c:v>2.3238359175619988E-3</c:v>
                </c:pt>
                <c:pt idx="450">
                  <c:v>2.3076161271092716E-3</c:v>
                </c:pt>
                <c:pt idx="451">
                  <c:v>2.2915437921630418E-3</c:v>
                </c:pt>
                <c:pt idx="452">
                  <c:v>2.2756172657010152E-3</c:v>
                </c:pt>
                <c:pt idx="453">
                  <c:v>2.2598349224664219E-3</c:v>
                </c:pt>
                <c:pt idx="454">
                  <c:v>2.2441951586365931E-3</c:v>
                </c:pt>
                <c:pt idx="455">
                  <c:v>2.2286963914972539E-3</c:v>
                </c:pt>
                <c:pt idx="456">
                  <c:v>2.2133370591223911E-3</c:v>
                </c:pt>
                <c:pt idx="457">
                  <c:v>2.1981156200596061E-3</c:v>
                </c:pt>
                <c:pt idx="458">
                  <c:v>2.1830305530208633E-3</c:v>
                </c:pt>
                <c:pt idx="459">
                  <c:v>2.1680803565785035E-3</c:v>
                </c:pt>
                <c:pt idx="460">
                  <c:v>2.1532635488664487E-3</c:v>
                </c:pt>
                <c:pt idx="461">
                  <c:v>2.1385786672864717E-3</c:v>
                </c:pt>
                <c:pt idx="462">
                  <c:v>2.1240242682194666E-3</c:v>
                </c:pt>
                <c:pt idx="463">
                  <c:v>2.1095989267415904E-3</c:v>
                </c:pt>
                <c:pt idx="464">
                  <c:v>2.0953012363452259E-3</c:v>
                </c:pt>
                <c:pt idx="465">
                  <c:v>2.0811298086646237E-3</c:v>
                </c:pt>
                <c:pt idx="466">
                  <c:v>2.0670832732061868E-3</c:v>
                </c:pt>
                <c:pt idx="467">
                  <c:v>2.0531602770832848E-3</c:v>
                </c:pt>
                <c:pt idx="468">
                  <c:v>2.0393594847555002E-3</c:v>
                </c:pt>
                <c:pt idx="469">
                  <c:v>2.0256795777722565E-3</c:v>
                </c:pt>
                <c:pt idx="470">
                  <c:v>2.0121192545207132E-3</c:v>
                </c:pt>
                <c:pt idx="471">
                  <c:v>1.9986772299778882E-3</c:v>
                </c:pt>
                <c:pt idx="472">
                  <c:v>1.9853522354668814E-3</c:v>
                </c:pt>
                <c:pt idx="473">
                  <c:v>1.9721430184171636E-3</c:v>
                </c:pt>
                <c:pt idx="474">
                  <c:v>1.9590483421288306E-3</c:v>
                </c:pt>
                <c:pt idx="475">
                  <c:v>1.9460669855407549E-3</c:v>
                </c:pt>
                <c:pt idx="476">
                  <c:v>1.9331977430025902E-3</c:v>
                </c:pt>
                <c:pt idx="477">
                  <c:v>1.9204394240505023E-3</c:v>
                </c:pt>
                <c:pt idx="478">
                  <c:v>1.9077908531866059E-3</c:v>
                </c:pt>
                <c:pt idx="479">
                  <c:v>1.8952508696620314E-3</c:v>
                </c:pt>
                <c:pt idx="480">
                  <c:v>1.8828183272635263E-3</c:v>
                </c:pt>
                <c:pt idx="481">
                  <c:v>1.8704920941035668E-3</c:v>
                </c:pt>
                <c:pt idx="482">
                  <c:v>1.8582710524138932E-3</c:v>
                </c:pt>
                <c:pt idx="483">
                  <c:v>1.8461540983423913E-3</c:v>
                </c:pt>
                <c:pt idx="484">
                  <c:v>1.8341401417533054E-3</c:v>
                </c:pt>
                <c:pt idx="485">
                  <c:v>1.8222281060306757E-3</c:v>
                </c:pt>
                <c:pt idx="486">
                  <c:v>1.810416927884975E-3</c:v>
                </c:pt>
                <c:pt idx="487">
                  <c:v>1.7987055571628576E-3</c:v>
                </c:pt>
                <c:pt idx="488">
                  <c:v>1.7870929566599892E-3</c:v>
                </c:pt>
                <c:pt idx="489">
                  <c:v>1.7755781019368941E-3</c:v>
                </c:pt>
                <c:pt idx="490">
                  <c:v>1.7641599811377671E-3</c:v>
                </c:pt>
                <c:pt idx="491">
                  <c:v>1.752837594812176E-3</c:v>
                </c:pt>
                <c:pt idx="492">
                  <c:v>1.7416099557396451E-3</c:v>
                </c:pt>
                <c:pt idx="493">
                  <c:v>1.7304760887570368E-3</c:v>
                </c:pt>
                <c:pt idx="494">
                  <c:v>1.719435030588671E-3</c:v>
                </c:pt>
                <c:pt idx="495">
                  <c:v>1.7084858296791787E-3</c:v>
                </c:pt>
                <c:pt idx="496">
                  <c:v>1.697627546029E-3</c:v>
                </c:pt>
                <c:pt idx="497">
                  <c:v>1.6868592510325029E-3</c:v>
                </c:pt>
                <c:pt idx="498">
                  <c:v>1.6761800273186417E-3</c:v>
                </c:pt>
                <c:pt idx="499">
                  <c:v>1.6655889685941784E-3</c:v>
                </c:pt>
                <c:pt idx="500">
                  <c:v>1.6550851794893393E-3</c:v>
                </c:pt>
                <c:pt idx="501">
                  <c:v>1.6446677754059285E-3</c:v>
                </c:pt>
                <c:pt idx="502">
                  <c:v>1.6343358823678201E-3</c:v>
                </c:pt>
                <c:pt idx="503">
                  <c:v>1.624088636873809E-3</c:v>
                </c:pt>
                <c:pt idx="504">
                  <c:v>1.6139251857527517E-3</c:v>
                </c:pt>
                <c:pt idx="505">
                  <c:v>1.6038446860209825E-3</c:v>
                </c:pt>
                <c:pt idx="506">
                  <c:v>1.5938463047419651E-3</c:v>
                </c:pt>
                <c:pt idx="507">
                  <c:v>1.583929218888114E-3</c:v>
                </c:pt>
                <c:pt idx="508">
                  <c:v>1.5740926152047804E-3</c:v>
                </c:pt>
                <c:pt idx="509">
                  <c:v>1.5643356900763381E-3</c:v>
                </c:pt>
                <c:pt idx="510">
                  <c:v>1.5546576493943702E-3</c:v>
                </c:pt>
                <c:pt idx="511">
                  <c:v>1.5450577084278544E-3</c:v>
                </c:pt>
                <c:pt idx="512">
                  <c:v>1.5355350916954043E-3</c:v>
                </c:pt>
                <c:pt idx="513">
                  <c:v>1.5260890328394323E-3</c:v>
                </c:pt>
                <c:pt idx="514">
                  <c:v>1.5167187745022826E-3</c:v>
                </c:pt>
                <c:pt idx="515">
                  <c:v>1.5074235682042553E-3</c:v>
                </c:pt>
                <c:pt idx="516">
                  <c:v>1.4982026742235018E-3</c:v>
                </c:pt>
                <c:pt idx="517">
                  <c:v>1.4890553614777618E-3</c:v>
                </c:pt>
                <c:pt idx="518">
                  <c:v>1.4799809074078998E-3</c:v>
                </c:pt>
                <c:pt idx="519">
                  <c:v>1.4709785978632318E-3</c:v>
                </c:pt>
                <c:pt idx="520">
                  <c:v>1.4620477269885882E-3</c:v>
                </c:pt>
                <c:pt idx="521">
                  <c:v>1.4531875971130928E-3</c:v>
                </c:pt>
                <c:pt idx="522">
                  <c:v>1.4443975186406361E-3</c:v>
                </c:pt>
                <c:pt idx="523">
                  <c:v>1.4356768099420046E-3</c:v>
                </c:pt>
                <c:pt idx="524">
                  <c:v>1.4270247972486428E-3</c:v>
                </c:pt>
              </c:numCache>
            </c:numRef>
          </c:yVal>
          <c:smooth val="1"/>
          <c:extLst>
            <c:ext xmlns:c16="http://schemas.microsoft.com/office/drawing/2014/chart" uri="{C3380CC4-5D6E-409C-BE32-E72D297353CC}">
              <c16:uniqueId val="{00000002-C447-4449-B3B4-76E1E113F735}"/>
            </c:ext>
          </c:extLst>
        </c:ser>
        <c:dLbls>
          <c:showLegendKey val="0"/>
          <c:showVal val="0"/>
          <c:showCatName val="0"/>
          <c:showSerName val="0"/>
          <c:showPercent val="0"/>
          <c:showBubbleSize val="0"/>
        </c:dLbls>
        <c:axId val="746007856"/>
        <c:axId val="746013760"/>
      </c:scatterChart>
      <c:valAx>
        <c:axId val="746007856"/>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6013760"/>
        <c:crosses val="autoZero"/>
        <c:crossBetween val="midCat"/>
      </c:valAx>
      <c:valAx>
        <c:axId val="746013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600785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 M A T T ! 8 5 6 5 0 4 3 5 . 1 < / d o c u m e n t i d >  
     < s e n d e r i d > K X E < / s e n d e r i d >  
     < s e n d e r e m a i l > K A R W A N . E S K E R I E @ S P A R K E . C O M . A U < / s e n d e r e m a i l >  
     < l a s t m o d i f i e d > 2 0 2 2 - 0 8 - 2 3 T 1 0 : 2 6 : 0 0 . 0 0 0 0 0 0 0 + 1 0 : 0 0 < / l a s t m o d i f i e d >  
     < d a t a b a s e > M A T T < / d a t a b a s e >  
 < / p r o p e r t i e s > 
</file>

<file path=customXml/itemProps1.xml><?xml version="1.0" encoding="utf-8"?>
<ds:datastoreItem xmlns:ds="http://schemas.openxmlformats.org/officeDocument/2006/customXml" ds:itemID="{875D85BA-9E7E-439D-B615-050CD1DEC240}">
  <ds:schemaRefs>
    <ds:schemaRef ds:uri="http://schemas.openxmlformats.org/officeDocument/2006/bibliography"/>
  </ds:schemaRefs>
</ds:datastoreItem>
</file>

<file path=customXml/itemProps2.xml><?xml version="1.0" encoding="utf-8"?>
<ds:datastoreItem xmlns:ds="http://schemas.openxmlformats.org/officeDocument/2006/customXml" ds:itemID="{4D1913A4-AAB9-4A34-B975-74E7025539A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19658</Words>
  <Characters>112053</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131449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2022-10-21T06:22:00Z</dcterms:created>
  <dcterms:modified xsi:type="dcterms:W3CDTF">2022-10-24T21:47:00Z</dcterms:modified>
  <cp:category/>
</cp:coreProperties>
</file>