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E6B6C" w14:textId="77777777" w:rsidR="006478E7" w:rsidRPr="00490FBB" w:rsidRDefault="006478E7" w:rsidP="00657559">
      <w:pPr>
        <w:spacing w:before="120" w:after="120" w:line="312" w:lineRule="auto"/>
        <w:jc w:val="center"/>
      </w:pPr>
      <w:r w:rsidRPr="00490FBB">
        <w:rPr>
          <w:b/>
          <w:noProof/>
          <w:lang w:eastAsia="en-AU"/>
        </w:rPr>
        <w:drawing>
          <wp:inline distT="0" distB="0" distL="0" distR="0" wp14:anchorId="42587FCD" wp14:editId="582BB802">
            <wp:extent cx="1891665" cy="1229995"/>
            <wp:effectExtent l="0" t="0" r="0" b="0"/>
            <wp:docPr id="1" name="Picture 1" title="Department of Health Logo"/>
            <wp:cNvGraphicFramePr/>
            <a:graphic xmlns:a="http://schemas.openxmlformats.org/drawingml/2006/main">
              <a:graphicData uri="http://schemas.openxmlformats.org/drawingml/2006/picture">
                <pic:pic xmlns:pic="http://schemas.openxmlformats.org/drawingml/2006/picture">
                  <pic:nvPicPr>
                    <pic:cNvPr id="1" name="Picture 2" title="Department of Health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50B6D781" w14:textId="4582D426" w:rsidR="006478E7" w:rsidRPr="00490FBB" w:rsidRDefault="006478E7" w:rsidP="008C4B3C">
      <w:pPr>
        <w:pStyle w:val="Heading10"/>
        <w:spacing w:before="1800"/>
        <w:jc w:val="center"/>
        <w:rPr>
          <w:sz w:val="48"/>
          <w:szCs w:val="48"/>
        </w:rPr>
      </w:pPr>
      <w:r w:rsidRPr="00490FBB">
        <w:rPr>
          <w:sz w:val="48"/>
          <w:szCs w:val="48"/>
        </w:rPr>
        <w:t xml:space="preserve">Application </w:t>
      </w:r>
      <w:r w:rsidR="0047315C">
        <w:rPr>
          <w:sz w:val="48"/>
          <w:szCs w:val="48"/>
        </w:rPr>
        <w:t>1686</w:t>
      </w:r>
      <w:r w:rsidRPr="00490FBB">
        <w:rPr>
          <w:sz w:val="48"/>
          <w:szCs w:val="48"/>
        </w:rPr>
        <w:t>:</w:t>
      </w:r>
    </w:p>
    <w:p w14:paraId="11765312" w14:textId="315A67AF" w:rsidR="006478E7" w:rsidRPr="00490FBB" w:rsidRDefault="0047315C" w:rsidP="006478E7">
      <w:pPr>
        <w:pStyle w:val="Heading10"/>
        <w:jc w:val="center"/>
        <w:rPr>
          <w:sz w:val="48"/>
          <w:szCs w:val="48"/>
        </w:rPr>
      </w:pPr>
      <w:bookmarkStart w:id="0" w:name="_Hlk88141254"/>
      <w:r w:rsidRPr="0047315C">
        <w:rPr>
          <w:color w:val="auto"/>
          <w:sz w:val="48"/>
          <w:szCs w:val="48"/>
          <w:vertAlign w:val="superscript"/>
        </w:rPr>
        <w:t>177</w:t>
      </w:r>
      <w:r w:rsidRPr="0047315C">
        <w:rPr>
          <w:color w:val="auto"/>
          <w:sz w:val="48"/>
          <w:szCs w:val="48"/>
        </w:rPr>
        <w:t xml:space="preserve">Lutetium </w:t>
      </w:r>
      <w:r>
        <w:rPr>
          <w:color w:val="auto"/>
          <w:sz w:val="48"/>
          <w:szCs w:val="48"/>
        </w:rPr>
        <w:t>Prostate Specific Membrane Antigen (</w:t>
      </w:r>
      <w:r w:rsidRPr="0047315C">
        <w:rPr>
          <w:color w:val="auto"/>
          <w:sz w:val="48"/>
          <w:szCs w:val="48"/>
        </w:rPr>
        <w:t>PSMA</w:t>
      </w:r>
      <w:r>
        <w:rPr>
          <w:color w:val="auto"/>
          <w:sz w:val="48"/>
          <w:szCs w:val="48"/>
        </w:rPr>
        <w:t>)</w:t>
      </w:r>
      <w:r w:rsidRPr="0047315C">
        <w:rPr>
          <w:color w:val="auto"/>
          <w:sz w:val="48"/>
          <w:szCs w:val="48"/>
        </w:rPr>
        <w:t xml:space="preserve"> </w:t>
      </w:r>
      <w:r>
        <w:rPr>
          <w:color w:val="auto"/>
          <w:sz w:val="48"/>
          <w:szCs w:val="48"/>
        </w:rPr>
        <w:t>imaging and therapy (</w:t>
      </w:r>
      <w:r w:rsidR="00E41841">
        <w:rPr>
          <w:color w:val="auto"/>
          <w:sz w:val="48"/>
          <w:szCs w:val="48"/>
        </w:rPr>
        <w:t>I&amp;T</w:t>
      </w:r>
      <w:r>
        <w:rPr>
          <w:color w:val="auto"/>
          <w:sz w:val="48"/>
          <w:szCs w:val="48"/>
        </w:rPr>
        <w:t>)</w:t>
      </w:r>
      <w:r w:rsidRPr="0047315C">
        <w:rPr>
          <w:color w:val="auto"/>
          <w:sz w:val="48"/>
          <w:szCs w:val="48"/>
        </w:rPr>
        <w:t xml:space="preserve"> for metastatic castrate resistant prostate cancer</w:t>
      </w:r>
      <w:r>
        <w:rPr>
          <w:color w:val="auto"/>
          <w:sz w:val="48"/>
          <w:szCs w:val="48"/>
        </w:rPr>
        <w:t xml:space="preserve"> (</w:t>
      </w:r>
      <w:r w:rsidRPr="0047315C">
        <w:rPr>
          <w:color w:val="auto"/>
          <w:sz w:val="48"/>
          <w:szCs w:val="48"/>
        </w:rPr>
        <w:t>mCRPC</w:t>
      </w:r>
      <w:r>
        <w:rPr>
          <w:color w:val="auto"/>
          <w:sz w:val="48"/>
          <w:szCs w:val="48"/>
        </w:rPr>
        <w:t>)</w:t>
      </w:r>
    </w:p>
    <w:bookmarkEnd w:id="0"/>
    <w:p w14:paraId="4B5492DD" w14:textId="0AB4221B" w:rsidR="00041854" w:rsidRDefault="00772823" w:rsidP="001E2B15">
      <w:pPr>
        <w:pStyle w:val="Heading1"/>
        <w:spacing w:before="1440"/>
      </w:pPr>
      <w:r>
        <w:t>Ratified</w:t>
      </w:r>
    </w:p>
    <w:p w14:paraId="0693008E" w14:textId="77777777" w:rsidR="00041854" w:rsidRPr="00490FBB" w:rsidRDefault="00041854" w:rsidP="00041854">
      <w:pPr>
        <w:pStyle w:val="Heading1"/>
        <w:spacing w:before="200"/>
      </w:pPr>
      <w:r w:rsidRPr="00490FBB">
        <w:t>PICO Confirmation</w:t>
      </w:r>
    </w:p>
    <w:p w14:paraId="23900CA0" w14:textId="77777777" w:rsidR="006478E7" w:rsidRPr="00490FBB" w:rsidRDefault="006478E7">
      <w:r w:rsidRPr="00490FBB">
        <w:br w:type="page"/>
      </w:r>
    </w:p>
    <w:p w14:paraId="219312C8" w14:textId="1F4D6106" w:rsidR="006478E7" w:rsidRPr="00D52956" w:rsidRDefault="006478E7" w:rsidP="00D52956">
      <w:pPr>
        <w:spacing w:after="160" w:line="259" w:lineRule="auto"/>
      </w:pPr>
      <w:r w:rsidRPr="00D52956">
        <w:lastRenderedPageBreak/>
        <w:t>Summary of PI</w:t>
      </w:r>
      <w:r w:rsidR="00235B21">
        <w:t xml:space="preserve">CO criteria to define </w:t>
      </w:r>
      <w:r w:rsidRPr="00D52956">
        <w:t>question(s) to be addressed in an Assessment Report to the Medical Services Advisory Committee (MSAC)</w:t>
      </w:r>
      <w:r w:rsidR="00900179">
        <w:t>.</w:t>
      </w:r>
    </w:p>
    <w:p w14:paraId="520511C6" w14:textId="28866508" w:rsidR="00497D69" w:rsidRDefault="00900179" w:rsidP="00E9039C">
      <w:pPr>
        <w:pStyle w:val="Caption"/>
      </w:pPr>
      <w:bookmarkStart w:id="1" w:name="_Ref69732155"/>
      <w:r>
        <w:t xml:space="preserve">Table </w:t>
      </w:r>
      <w:r>
        <w:fldChar w:fldCharType="begin"/>
      </w:r>
      <w:r>
        <w:instrText xml:space="preserve"> SEQ Table \* ARABIC </w:instrText>
      </w:r>
      <w:r>
        <w:fldChar w:fldCharType="separate"/>
      </w:r>
      <w:r w:rsidR="00D5641A">
        <w:rPr>
          <w:noProof/>
        </w:rPr>
        <w:t>1</w:t>
      </w:r>
      <w:r>
        <w:fldChar w:fldCharType="end"/>
      </w:r>
      <w:r w:rsidR="00D52956">
        <w:tab/>
        <w:t xml:space="preserve">PICO for </w:t>
      </w:r>
      <w:r>
        <w:rPr>
          <w:vertAlign w:val="superscript"/>
        </w:rPr>
        <w:t>177</w:t>
      </w:r>
      <w:r>
        <w:t xml:space="preserve">Lu PSMA </w:t>
      </w:r>
      <w:r w:rsidR="00E41841">
        <w:t>I&amp;T</w:t>
      </w:r>
      <w:r w:rsidR="00D52956">
        <w:t xml:space="preserve"> in </w:t>
      </w:r>
      <w:r>
        <w:t xml:space="preserve">patients with metastatic castrate resistant prostate cancer (mCRPC) </w:t>
      </w:r>
      <w:r w:rsidR="00D52956">
        <w:t>: PICO Set 1</w:t>
      </w:r>
      <w:bookmarkEnd w:id="1"/>
    </w:p>
    <w:tbl>
      <w:tblPr>
        <w:tblW w:w="5078" w:type="pct"/>
        <w:tblInd w:w="-1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41"/>
        <w:gridCol w:w="7869"/>
      </w:tblGrid>
      <w:tr w:rsidR="00497D69" w:rsidRPr="00490FBB" w14:paraId="1BFCB71D" w14:textId="77777777" w:rsidTr="00C837F3">
        <w:trPr>
          <w:trHeight w:val="372"/>
          <w:tblHeader/>
        </w:trPr>
        <w:tc>
          <w:tcPr>
            <w:tcW w:w="948" w:type="pct"/>
            <w:tcBorders>
              <w:top w:val="single" w:sz="8" w:space="0" w:color="auto"/>
              <w:left w:val="single" w:sz="8" w:space="0" w:color="auto"/>
              <w:bottom w:val="single" w:sz="8" w:space="0" w:color="auto"/>
              <w:right w:val="single" w:sz="4" w:space="0" w:color="auto"/>
            </w:tcBorders>
            <w:shd w:val="clear" w:color="auto" w:fill="D9D9D9"/>
            <w:vAlign w:val="center"/>
            <w:hideMark/>
          </w:tcPr>
          <w:p w14:paraId="016621E6" w14:textId="77777777" w:rsidR="00497D69" w:rsidRPr="00F64CD2" w:rsidRDefault="00497D69" w:rsidP="00C837F3">
            <w:pPr>
              <w:spacing w:before="20" w:after="20" w:line="240" w:lineRule="auto"/>
              <w:rPr>
                <w:b/>
                <w:sz w:val="24"/>
                <w:szCs w:val="24"/>
              </w:rPr>
            </w:pPr>
            <w:r w:rsidRPr="00F64CD2">
              <w:rPr>
                <w:b/>
                <w:sz w:val="24"/>
                <w:szCs w:val="24"/>
              </w:rPr>
              <w:t>Component</w:t>
            </w:r>
          </w:p>
        </w:tc>
        <w:tc>
          <w:tcPr>
            <w:tcW w:w="4052" w:type="pct"/>
            <w:tcBorders>
              <w:top w:val="single" w:sz="8" w:space="0" w:color="auto"/>
              <w:left w:val="single" w:sz="4" w:space="0" w:color="auto"/>
              <w:bottom w:val="single" w:sz="8" w:space="0" w:color="auto"/>
              <w:right w:val="single" w:sz="8" w:space="0" w:color="auto"/>
            </w:tcBorders>
            <w:shd w:val="clear" w:color="auto" w:fill="D9D9D9"/>
            <w:vAlign w:val="center"/>
            <w:hideMark/>
          </w:tcPr>
          <w:p w14:paraId="462F3478" w14:textId="77777777" w:rsidR="00497D69" w:rsidRPr="00F64CD2" w:rsidRDefault="00497D69" w:rsidP="00C837F3">
            <w:pPr>
              <w:spacing w:before="20" w:after="20" w:line="240" w:lineRule="auto"/>
              <w:rPr>
                <w:b/>
                <w:sz w:val="24"/>
                <w:szCs w:val="24"/>
              </w:rPr>
            </w:pPr>
            <w:r w:rsidRPr="00F64CD2">
              <w:rPr>
                <w:b/>
                <w:sz w:val="24"/>
                <w:szCs w:val="24"/>
              </w:rPr>
              <w:t>Description</w:t>
            </w:r>
          </w:p>
        </w:tc>
      </w:tr>
      <w:tr w:rsidR="00497D69" w:rsidRPr="00490FBB" w14:paraId="19E58B88" w14:textId="77777777" w:rsidTr="00C837F3">
        <w:tc>
          <w:tcPr>
            <w:tcW w:w="948" w:type="pct"/>
            <w:tcBorders>
              <w:top w:val="single" w:sz="8" w:space="0" w:color="auto"/>
              <w:left w:val="single" w:sz="8" w:space="0" w:color="auto"/>
              <w:bottom w:val="single" w:sz="4" w:space="0" w:color="auto"/>
              <w:right w:val="single" w:sz="4" w:space="0" w:color="auto"/>
            </w:tcBorders>
            <w:hideMark/>
          </w:tcPr>
          <w:p w14:paraId="49099878" w14:textId="77777777" w:rsidR="00497D69" w:rsidRPr="00490FBB" w:rsidRDefault="00497D69" w:rsidP="00C837F3">
            <w:pPr>
              <w:spacing w:before="120" w:after="120" w:line="240" w:lineRule="auto"/>
              <w:rPr>
                <w:rFonts w:cs="Arial"/>
              </w:rPr>
            </w:pPr>
            <w:r>
              <w:rPr>
                <w:rFonts w:cs="Arial"/>
              </w:rPr>
              <w:t>Population</w:t>
            </w:r>
          </w:p>
        </w:tc>
        <w:tc>
          <w:tcPr>
            <w:tcW w:w="4052" w:type="pct"/>
            <w:tcBorders>
              <w:top w:val="single" w:sz="8" w:space="0" w:color="auto"/>
              <w:left w:val="single" w:sz="4" w:space="0" w:color="auto"/>
              <w:bottom w:val="single" w:sz="4" w:space="0" w:color="auto"/>
              <w:right w:val="single" w:sz="8" w:space="0" w:color="auto"/>
            </w:tcBorders>
            <w:hideMark/>
          </w:tcPr>
          <w:p w14:paraId="102B11A2" w14:textId="77777777" w:rsidR="00497D69" w:rsidRDefault="00497D69" w:rsidP="00C837F3">
            <w:pPr>
              <w:spacing w:after="0" w:line="240" w:lineRule="auto"/>
            </w:pPr>
            <w:r>
              <w:t>Patients who have:</w:t>
            </w:r>
          </w:p>
          <w:p w14:paraId="5F5025C1" w14:textId="77777777" w:rsidR="00497D69" w:rsidRDefault="00497D69" w:rsidP="00497D69">
            <w:pPr>
              <w:pStyle w:val="ListParagraph"/>
              <w:numPr>
                <w:ilvl w:val="0"/>
                <w:numId w:val="34"/>
              </w:numPr>
              <w:spacing w:after="0" w:line="240" w:lineRule="auto"/>
            </w:pPr>
            <w:r w:rsidRPr="00900179">
              <w:t>progressive or symptomatic mCRPC</w:t>
            </w:r>
            <w:r>
              <w:t xml:space="preserve">, </w:t>
            </w:r>
            <w:r w:rsidRPr="00B718A4">
              <w:rPr>
                <w:i/>
                <w:iCs/>
              </w:rPr>
              <w:t>AND</w:t>
            </w:r>
          </w:p>
          <w:p w14:paraId="20C535E8" w14:textId="77777777" w:rsidR="00497D69" w:rsidRDefault="00497D69" w:rsidP="00497D69">
            <w:pPr>
              <w:pStyle w:val="ListParagraph"/>
              <w:numPr>
                <w:ilvl w:val="0"/>
                <w:numId w:val="34"/>
              </w:numPr>
              <w:spacing w:after="0" w:line="240" w:lineRule="auto"/>
            </w:pPr>
            <w:r w:rsidRPr="00900179">
              <w:t>have received</w:t>
            </w:r>
            <w:r>
              <w:t>:</w:t>
            </w:r>
          </w:p>
          <w:p w14:paraId="48B1C21F" w14:textId="38A2D6E5" w:rsidR="00497D69" w:rsidRDefault="00497D69" w:rsidP="00497D69">
            <w:pPr>
              <w:pStyle w:val="ListParagraph"/>
              <w:numPr>
                <w:ilvl w:val="1"/>
                <w:numId w:val="34"/>
              </w:numPr>
              <w:spacing w:after="0" w:line="240" w:lineRule="auto"/>
              <w:ind w:left="566" w:hanging="283"/>
            </w:pPr>
            <w:r w:rsidRPr="00B718A4">
              <w:rPr>
                <w:i/>
                <w:iCs/>
              </w:rPr>
              <w:t>at least one</w:t>
            </w:r>
            <w:r w:rsidRPr="00900179">
              <w:t xml:space="preserve"> </w:t>
            </w:r>
            <w:r>
              <w:t>ASI</w:t>
            </w:r>
            <w:r w:rsidRPr="00900179">
              <w:t xml:space="preserve"> </w:t>
            </w:r>
            <w:r>
              <w:t>(</w:t>
            </w:r>
            <w:r w:rsidRPr="00900179">
              <w:t>abiraterone</w:t>
            </w:r>
            <w:r>
              <w:t xml:space="preserve"> </w:t>
            </w:r>
            <w:r w:rsidRPr="00900179">
              <w:t>/</w:t>
            </w:r>
            <w:r>
              <w:t xml:space="preserve"> </w:t>
            </w:r>
            <w:r w:rsidRPr="00900179">
              <w:t>enzalutamide</w:t>
            </w:r>
            <w:r>
              <w:t xml:space="preserve"> </w:t>
            </w:r>
            <w:r w:rsidRPr="00900179">
              <w:t>/</w:t>
            </w:r>
            <w:r>
              <w:t xml:space="preserve"> </w:t>
            </w:r>
            <w:r w:rsidRPr="00900179">
              <w:t xml:space="preserve">darolutamide </w:t>
            </w:r>
            <w:r w:rsidRPr="008A595F">
              <w:t xml:space="preserve">via </w:t>
            </w:r>
            <w:r w:rsidRPr="00900179">
              <w:t>PBS/RPBS)</w:t>
            </w:r>
            <w:r>
              <w:t>,</w:t>
            </w:r>
            <w:r w:rsidRPr="00900179">
              <w:t xml:space="preserve"> </w:t>
            </w:r>
            <w:r w:rsidRPr="00B718A4">
              <w:rPr>
                <w:i/>
                <w:iCs/>
              </w:rPr>
              <w:t>AND</w:t>
            </w:r>
          </w:p>
          <w:p w14:paraId="66710BFB" w14:textId="2546E2D5" w:rsidR="000A6A3F" w:rsidRPr="00D52956" w:rsidRDefault="00497D69" w:rsidP="00E9039C">
            <w:pPr>
              <w:pStyle w:val="ListParagraph"/>
              <w:numPr>
                <w:ilvl w:val="1"/>
                <w:numId w:val="34"/>
              </w:numPr>
              <w:spacing w:after="120" w:line="240" w:lineRule="auto"/>
              <w:ind w:left="568" w:hanging="284"/>
            </w:pPr>
            <w:r w:rsidRPr="00B718A4">
              <w:rPr>
                <w:i/>
                <w:iCs/>
              </w:rPr>
              <w:t>at least one</w:t>
            </w:r>
            <w:r w:rsidRPr="00900179">
              <w:t xml:space="preserve"> line of chemotherapy (docetaxel +/- cabazitaxel </w:t>
            </w:r>
            <w:r w:rsidRPr="008A595F">
              <w:t xml:space="preserve">via </w:t>
            </w:r>
            <w:r w:rsidRPr="00900179">
              <w:t>PBS/RPBS)</w:t>
            </w:r>
          </w:p>
        </w:tc>
      </w:tr>
      <w:tr w:rsidR="00497D69" w:rsidRPr="00490FBB" w14:paraId="16BD8058" w14:textId="77777777" w:rsidTr="00C837F3">
        <w:tc>
          <w:tcPr>
            <w:tcW w:w="948" w:type="pct"/>
            <w:tcBorders>
              <w:top w:val="single" w:sz="4" w:space="0" w:color="auto"/>
              <w:left w:val="single" w:sz="8" w:space="0" w:color="auto"/>
              <w:bottom w:val="single" w:sz="4" w:space="0" w:color="auto"/>
              <w:right w:val="single" w:sz="4" w:space="0" w:color="auto"/>
            </w:tcBorders>
            <w:hideMark/>
          </w:tcPr>
          <w:p w14:paraId="162690BD" w14:textId="77777777" w:rsidR="00497D69" w:rsidRPr="00490FBB" w:rsidRDefault="00497D69" w:rsidP="00C837F3">
            <w:pPr>
              <w:spacing w:before="120" w:after="120" w:line="240" w:lineRule="auto"/>
              <w:rPr>
                <w:rFonts w:cs="Arial"/>
              </w:rPr>
            </w:pPr>
            <w:r w:rsidRPr="00490FBB">
              <w:rPr>
                <w:rFonts w:cs="Arial"/>
              </w:rPr>
              <w:t>Intervention</w:t>
            </w:r>
          </w:p>
        </w:tc>
        <w:tc>
          <w:tcPr>
            <w:tcW w:w="4052" w:type="pct"/>
            <w:tcBorders>
              <w:top w:val="single" w:sz="4" w:space="0" w:color="auto"/>
              <w:left w:val="single" w:sz="4" w:space="0" w:color="auto"/>
              <w:bottom w:val="single" w:sz="4" w:space="0" w:color="auto"/>
              <w:right w:val="single" w:sz="8" w:space="0" w:color="auto"/>
            </w:tcBorders>
            <w:hideMark/>
          </w:tcPr>
          <w:p w14:paraId="608B5C34" w14:textId="4162DD1E" w:rsidR="00497D69" w:rsidRDefault="00497D69" w:rsidP="00C837F3">
            <w:pPr>
              <w:spacing w:after="0" w:line="240" w:lineRule="auto"/>
            </w:pPr>
            <w:r w:rsidRPr="006F47DD">
              <w:rPr>
                <w:u w:val="single"/>
              </w:rPr>
              <w:t xml:space="preserve">Diagnostic </w:t>
            </w:r>
            <w:r w:rsidR="00CB7BE8" w:rsidRPr="006F47DD">
              <w:rPr>
                <w:u w:val="single"/>
              </w:rPr>
              <w:t>t</w:t>
            </w:r>
            <w:r w:rsidRPr="006F47DD">
              <w:rPr>
                <w:u w:val="single"/>
              </w:rPr>
              <w:t xml:space="preserve">est </w:t>
            </w:r>
            <w:r>
              <w:rPr>
                <w:u w:val="single"/>
              </w:rPr>
              <w:t>1</w:t>
            </w:r>
            <w:r>
              <w:t>: PSMA PET/CT</w:t>
            </w:r>
          </w:p>
          <w:p w14:paraId="5D5D23E9" w14:textId="2CE7B721" w:rsidR="00497D69" w:rsidRDefault="00497D69" w:rsidP="00C837F3">
            <w:pPr>
              <w:spacing w:after="0" w:line="240" w:lineRule="auto"/>
            </w:pPr>
            <w:r w:rsidRPr="00811447">
              <w:rPr>
                <w:i/>
                <w:iCs/>
              </w:rPr>
              <w:t>If positive</w:t>
            </w:r>
            <w:r>
              <w:t xml:space="preserve"> (</w:t>
            </w:r>
            <w:r w:rsidRPr="00D61DEB">
              <w:t>SUV</w:t>
            </w:r>
            <w:r w:rsidRPr="000F1405">
              <w:rPr>
                <w:vertAlign w:val="subscript"/>
              </w:rPr>
              <w:t>max</w:t>
            </w:r>
            <w:r w:rsidRPr="00D61DEB">
              <w:t xml:space="preserve"> of &gt;15 at </w:t>
            </w:r>
            <w:r w:rsidR="00CB7BE8">
              <w:rPr>
                <w:rFonts w:cs="Calibri"/>
              </w:rPr>
              <w:t>≥</w:t>
            </w:r>
            <w:r>
              <w:t>1</w:t>
            </w:r>
            <w:r w:rsidRPr="00D61DEB">
              <w:t xml:space="preserve"> </w:t>
            </w:r>
            <w:r>
              <w:t xml:space="preserve">disease </w:t>
            </w:r>
            <w:r w:rsidRPr="00D61DEB">
              <w:t xml:space="preserve">site </w:t>
            </w:r>
            <w:r w:rsidR="008A595F" w:rsidRPr="008A595F">
              <w:rPr>
                <w:i/>
                <w:iCs/>
              </w:rPr>
              <w:t>AND</w:t>
            </w:r>
            <w:r w:rsidRPr="00D61DEB">
              <w:t xml:space="preserve"> SUV</w:t>
            </w:r>
            <w:r w:rsidRPr="000F1405">
              <w:rPr>
                <w:vertAlign w:val="subscript"/>
              </w:rPr>
              <w:t>max</w:t>
            </w:r>
            <w:r w:rsidRPr="00D61DEB">
              <w:t xml:space="preserve"> &gt;10 at all </w:t>
            </w:r>
            <w:r>
              <w:t xml:space="preserve">measurable </w:t>
            </w:r>
            <w:r w:rsidRPr="00D61DEB">
              <w:t>sites</w:t>
            </w:r>
            <w:r>
              <w:t>), proceed to</w:t>
            </w:r>
          </w:p>
          <w:p w14:paraId="5937867F" w14:textId="08C9A171" w:rsidR="00497D69" w:rsidRDefault="00497D69" w:rsidP="00C837F3">
            <w:pPr>
              <w:spacing w:after="0" w:line="240" w:lineRule="auto"/>
            </w:pPr>
            <w:r w:rsidRPr="006F47DD">
              <w:rPr>
                <w:u w:val="single"/>
              </w:rPr>
              <w:t xml:space="preserve">Diagnostic </w:t>
            </w:r>
            <w:r w:rsidR="00CB7BE8" w:rsidRPr="006F47DD">
              <w:rPr>
                <w:u w:val="single"/>
              </w:rPr>
              <w:t>t</w:t>
            </w:r>
            <w:r w:rsidRPr="006F47DD">
              <w:rPr>
                <w:u w:val="single"/>
              </w:rPr>
              <w:t xml:space="preserve">est </w:t>
            </w:r>
            <w:r>
              <w:rPr>
                <w:u w:val="single"/>
              </w:rPr>
              <w:t>2</w:t>
            </w:r>
            <w:r>
              <w:t>: FDG PET/CT</w:t>
            </w:r>
          </w:p>
          <w:p w14:paraId="422FA2B5" w14:textId="77777777" w:rsidR="00497D69" w:rsidRDefault="00497D69" w:rsidP="00C837F3">
            <w:pPr>
              <w:spacing w:after="0" w:line="240" w:lineRule="auto"/>
            </w:pPr>
            <w:r w:rsidRPr="002D2D2E">
              <w:t>Patients who have:</w:t>
            </w:r>
          </w:p>
          <w:p w14:paraId="3881DB29" w14:textId="77777777" w:rsidR="00497D69" w:rsidRDefault="00497D69" w:rsidP="00497D69">
            <w:pPr>
              <w:pStyle w:val="ListParagraph"/>
              <w:numPr>
                <w:ilvl w:val="0"/>
                <w:numId w:val="35"/>
              </w:numPr>
              <w:spacing w:after="0" w:line="240" w:lineRule="auto"/>
            </w:pPr>
            <w:r>
              <w:t xml:space="preserve">positive PSMA PET/CT, </w:t>
            </w:r>
            <w:r w:rsidRPr="00811447">
              <w:rPr>
                <w:i/>
                <w:iCs/>
              </w:rPr>
              <w:t>AND</w:t>
            </w:r>
          </w:p>
          <w:p w14:paraId="68C192D4" w14:textId="5D3B8026" w:rsidR="00497D69" w:rsidRDefault="00497D69" w:rsidP="00497D69">
            <w:pPr>
              <w:pStyle w:val="ListParagraph"/>
              <w:numPr>
                <w:ilvl w:val="0"/>
                <w:numId w:val="35"/>
              </w:numPr>
              <w:spacing w:after="0" w:line="240" w:lineRule="auto"/>
            </w:pPr>
            <w:r>
              <w:t>no sites of FDG uptake &gt; PSMA uptake</w:t>
            </w:r>
            <w:r w:rsidR="000A6A3F">
              <w:t xml:space="preserve">, </w:t>
            </w:r>
            <w:r w:rsidR="000A6A3F" w:rsidRPr="00E9039C">
              <w:rPr>
                <w:i/>
                <w:iCs/>
              </w:rPr>
              <w:t>AND</w:t>
            </w:r>
          </w:p>
          <w:p w14:paraId="652AAE2C" w14:textId="77777777" w:rsidR="00497D69" w:rsidRPr="00811447" w:rsidRDefault="00497D69" w:rsidP="00497D69">
            <w:pPr>
              <w:pStyle w:val="ListParagraph"/>
              <w:numPr>
                <w:ilvl w:val="0"/>
                <w:numId w:val="35"/>
              </w:numPr>
              <w:spacing w:after="0" w:line="240" w:lineRule="auto"/>
            </w:pPr>
            <w:r>
              <w:t>adequate marrow/liver/renal function, are eligible for</w:t>
            </w:r>
          </w:p>
          <w:p w14:paraId="3168C20D" w14:textId="77777777" w:rsidR="00497D69" w:rsidRDefault="00497D69" w:rsidP="00C837F3">
            <w:pPr>
              <w:spacing w:after="0" w:line="240" w:lineRule="auto"/>
            </w:pPr>
            <w:r w:rsidRPr="006F47DD">
              <w:rPr>
                <w:u w:val="single"/>
              </w:rPr>
              <w:t>Therapeutic intervention</w:t>
            </w:r>
            <w:r>
              <w:t>:</w:t>
            </w:r>
          </w:p>
          <w:p w14:paraId="1AE92E10" w14:textId="77777777" w:rsidR="00497D69" w:rsidRDefault="00497D69" w:rsidP="00497D69">
            <w:pPr>
              <w:pStyle w:val="ListParagraph"/>
              <w:numPr>
                <w:ilvl w:val="0"/>
                <w:numId w:val="37"/>
              </w:numPr>
              <w:spacing w:after="0" w:line="240" w:lineRule="auto"/>
            </w:pPr>
            <w:r w:rsidRPr="00307387">
              <w:rPr>
                <w:vertAlign w:val="superscript"/>
              </w:rPr>
              <w:t>177</w:t>
            </w:r>
            <w:r w:rsidRPr="006F47DD">
              <w:t xml:space="preserve">Lu PSMA </w:t>
            </w:r>
            <w:r>
              <w:t>I&amp;T, 7.5-8.5 GBq IVI every 6 weeks for up to 6 cycles</w:t>
            </w:r>
          </w:p>
          <w:p w14:paraId="4E11AA42" w14:textId="240566D1" w:rsidR="00497D69" w:rsidRPr="006F47DD" w:rsidRDefault="00497D69" w:rsidP="00E9039C">
            <w:pPr>
              <w:pStyle w:val="ListParagraph"/>
              <w:numPr>
                <w:ilvl w:val="0"/>
                <w:numId w:val="37"/>
              </w:numPr>
              <w:spacing w:after="120" w:line="240" w:lineRule="auto"/>
              <w:ind w:left="357" w:hanging="357"/>
            </w:pPr>
            <w:r w:rsidRPr="00307387">
              <w:rPr>
                <w:vertAlign w:val="superscript"/>
              </w:rPr>
              <w:t>177</w:t>
            </w:r>
            <w:r w:rsidRPr="006F47DD">
              <w:t>Lu PSMA</w:t>
            </w:r>
            <w:r>
              <w:t xml:space="preserve"> SPECT/CT 24 hours post-infusion</w:t>
            </w:r>
          </w:p>
        </w:tc>
      </w:tr>
      <w:tr w:rsidR="00497D69" w:rsidRPr="00490FBB" w14:paraId="2D5494BD" w14:textId="77777777" w:rsidTr="00C837F3">
        <w:tc>
          <w:tcPr>
            <w:tcW w:w="948" w:type="pct"/>
            <w:tcBorders>
              <w:top w:val="single" w:sz="4" w:space="0" w:color="auto"/>
              <w:left w:val="single" w:sz="8" w:space="0" w:color="auto"/>
              <w:bottom w:val="single" w:sz="4" w:space="0" w:color="auto"/>
              <w:right w:val="single" w:sz="4" w:space="0" w:color="auto"/>
            </w:tcBorders>
            <w:hideMark/>
          </w:tcPr>
          <w:p w14:paraId="7EF165B0" w14:textId="3FA4533D" w:rsidR="00497D69" w:rsidRPr="00490FBB" w:rsidRDefault="00497D69" w:rsidP="00C837F3">
            <w:pPr>
              <w:spacing w:before="120" w:after="120" w:line="240" w:lineRule="auto"/>
              <w:rPr>
                <w:rFonts w:cs="Arial"/>
              </w:rPr>
            </w:pPr>
            <w:r w:rsidRPr="00490FBB">
              <w:rPr>
                <w:rFonts w:cs="Arial"/>
              </w:rPr>
              <w:t>Comparator</w:t>
            </w:r>
            <w:r>
              <w:rPr>
                <w:rFonts w:cs="Arial"/>
              </w:rPr>
              <w:t>s</w:t>
            </w:r>
          </w:p>
        </w:tc>
        <w:tc>
          <w:tcPr>
            <w:tcW w:w="4052" w:type="pct"/>
            <w:tcBorders>
              <w:top w:val="single" w:sz="4" w:space="0" w:color="auto"/>
              <w:left w:val="single" w:sz="4" w:space="0" w:color="auto"/>
              <w:bottom w:val="single" w:sz="4" w:space="0" w:color="auto"/>
              <w:right w:val="single" w:sz="8" w:space="0" w:color="auto"/>
            </w:tcBorders>
            <w:hideMark/>
          </w:tcPr>
          <w:p w14:paraId="0DD71A36" w14:textId="7212D761" w:rsidR="00497D69" w:rsidRDefault="00497D69" w:rsidP="00C837F3">
            <w:pPr>
              <w:spacing w:after="0" w:line="240" w:lineRule="auto"/>
            </w:pPr>
            <w:r>
              <w:rPr>
                <w:u w:val="single"/>
              </w:rPr>
              <w:t xml:space="preserve">Diagnostic </w:t>
            </w:r>
            <w:r w:rsidR="00CB7BE8">
              <w:rPr>
                <w:u w:val="single"/>
              </w:rPr>
              <w:t>t</w:t>
            </w:r>
            <w:r w:rsidRPr="000F1405">
              <w:rPr>
                <w:u w:val="single"/>
              </w:rPr>
              <w:t>est</w:t>
            </w:r>
            <w:r w:rsidR="00CB7BE8">
              <w:rPr>
                <w:u w:val="single"/>
              </w:rPr>
              <w:t>s</w:t>
            </w:r>
            <w:r w:rsidRPr="000F1405">
              <w:rPr>
                <w:u w:val="single"/>
              </w:rPr>
              <w:t xml:space="preserve"> 1 and 2</w:t>
            </w:r>
            <w:r w:rsidRPr="000F1405">
              <w:t>:</w:t>
            </w:r>
            <w:r>
              <w:t xml:space="preserve"> </w:t>
            </w:r>
            <w:r w:rsidR="00FD058D">
              <w:t xml:space="preserve">no testing with PSMA PET/CT </w:t>
            </w:r>
            <w:r w:rsidR="00BE5DAF">
              <w:t xml:space="preserve">and </w:t>
            </w:r>
            <w:r w:rsidR="00FD058D">
              <w:t>FDG PET/CT</w:t>
            </w:r>
          </w:p>
          <w:p w14:paraId="1015341B" w14:textId="01794B35" w:rsidR="00497D69" w:rsidRDefault="00497D69" w:rsidP="00C837F3">
            <w:pPr>
              <w:spacing w:after="0" w:line="240" w:lineRule="auto"/>
            </w:pPr>
            <w:r>
              <w:rPr>
                <w:u w:val="single"/>
              </w:rPr>
              <w:t>T</w:t>
            </w:r>
            <w:r w:rsidRPr="000F1405">
              <w:rPr>
                <w:u w:val="single"/>
              </w:rPr>
              <w:t>herapy</w:t>
            </w:r>
            <w:r w:rsidRPr="000F1405">
              <w:t>:</w:t>
            </w:r>
          </w:p>
          <w:p w14:paraId="187CA2EA" w14:textId="77777777" w:rsidR="00497D69" w:rsidRDefault="00497D69" w:rsidP="00497D69">
            <w:pPr>
              <w:pStyle w:val="ListParagraph"/>
              <w:numPr>
                <w:ilvl w:val="0"/>
                <w:numId w:val="36"/>
              </w:numPr>
              <w:spacing w:after="0" w:line="240" w:lineRule="auto"/>
            </w:pPr>
            <w:r>
              <w:t>cabazitaxel</w:t>
            </w:r>
          </w:p>
          <w:p w14:paraId="008299D8" w14:textId="7E462F92" w:rsidR="000A6A3F" w:rsidRPr="00D52956" w:rsidRDefault="00E86D78" w:rsidP="00E9039C">
            <w:pPr>
              <w:pStyle w:val="ListParagraph"/>
              <w:numPr>
                <w:ilvl w:val="0"/>
                <w:numId w:val="36"/>
              </w:numPr>
              <w:spacing w:after="120" w:line="240" w:lineRule="auto"/>
              <w:ind w:left="357" w:hanging="357"/>
            </w:pPr>
            <w:r>
              <w:t>standard</w:t>
            </w:r>
            <w:r w:rsidR="00C12678">
              <w:t xml:space="preserve"> care</w:t>
            </w:r>
            <w:r w:rsidR="00497D69">
              <w:t xml:space="preserve"> if prior cabazitaxel, or unsuitable/unwilling for cabazitaxel</w:t>
            </w:r>
          </w:p>
        </w:tc>
      </w:tr>
      <w:tr w:rsidR="00497D69" w:rsidRPr="00490FBB" w14:paraId="2D00A934" w14:textId="77777777" w:rsidTr="00C837F3">
        <w:tc>
          <w:tcPr>
            <w:tcW w:w="948" w:type="pct"/>
            <w:tcBorders>
              <w:top w:val="single" w:sz="4" w:space="0" w:color="auto"/>
              <w:left w:val="single" w:sz="8" w:space="0" w:color="auto"/>
              <w:bottom w:val="single" w:sz="4" w:space="0" w:color="auto"/>
              <w:right w:val="single" w:sz="4" w:space="0" w:color="auto"/>
            </w:tcBorders>
          </w:tcPr>
          <w:p w14:paraId="20DAE304" w14:textId="09C30D0F" w:rsidR="00497D69" w:rsidRPr="00490FBB" w:rsidRDefault="00497D69" w:rsidP="00C837F3">
            <w:pPr>
              <w:spacing w:before="120" w:after="120" w:line="240" w:lineRule="auto"/>
              <w:rPr>
                <w:rFonts w:cs="Arial"/>
              </w:rPr>
            </w:pPr>
            <w:r w:rsidRPr="00490FBB">
              <w:rPr>
                <w:rFonts w:cs="Arial"/>
              </w:rPr>
              <w:t>Reference st</w:t>
            </w:r>
            <w:r w:rsidR="00BE5DAF">
              <w:rPr>
                <w:rFonts w:cs="Arial"/>
              </w:rPr>
              <w:t>andar</w:t>
            </w:r>
            <w:r>
              <w:rPr>
                <w:rFonts w:cs="Arial"/>
              </w:rPr>
              <w:t>d</w:t>
            </w:r>
          </w:p>
        </w:tc>
        <w:tc>
          <w:tcPr>
            <w:tcW w:w="4052" w:type="pct"/>
            <w:tcBorders>
              <w:top w:val="single" w:sz="4" w:space="0" w:color="auto"/>
              <w:left w:val="single" w:sz="4" w:space="0" w:color="auto"/>
              <w:bottom w:val="single" w:sz="4" w:space="0" w:color="auto"/>
              <w:right w:val="single" w:sz="8" w:space="0" w:color="auto"/>
            </w:tcBorders>
          </w:tcPr>
          <w:p w14:paraId="0843D2F5" w14:textId="77777777" w:rsidR="00497D69" w:rsidRPr="00D52956" w:rsidRDefault="00497D69" w:rsidP="00C837F3">
            <w:pPr>
              <w:spacing w:before="120" w:after="120" w:line="240" w:lineRule="auto"/>
            </w:pPr>
            <w:r>
              <w:t xml:space="preserve">None nominated </w:t>
            </w:r>
            <w:r w:rsidRPr="00761B67">
              <w:t>for PSMA PET/CT or FDG PET/CT</w:t>
            </w:r>
          </w:p>
        </w:tc>
      </w:tr>
      <w:tr w:rsidR="00497D69" w:rsidRPr="00490FBB" w14:paraId="1934B37D" w14:textId="77777777" w:rsidTr="00C837F3">
        <w:tc>
          <w:tcPr>
            <w:tcW w:w="948" w:type="pct"/>
            <w:tcBorders>
              <w:top w:val="single" w:sz="4" w:space="0" w:color="auto"/>
              <w:left w:val="single" w:sz="8" w:space="0" w:color="auto"/>
              <w:bottom w:val="single" w:sz="4" w:space="0" w:color="auto"/>
              <w:right w:val="single" w:sz="4" w:space="0" w:color="auto"/>
            </w:tcBorders>
          </w:tcPr>
          <w:p w14:paraId="0D6807D3" w14:textId="1A5D3195" w:rsidR="00497D69" w:rsidRPr="00490FBB" w:rsidRDefault="00497D69" w:rsidP="00C837F3">
            <w:pPr>
              <w:spacing w:before="120" w:after="120" w:line="240" w:lineRule="auto"/>
              <w:rPr>
                <w:rFonts w:cs="Arial"/>
              </w:rPr>
            </w:pPr>
            <w:r w:rsidRPr="00490FBB">
              <w:rPr>
                <w:rFonts w:cs="Arial"/>
              </w:rPr>
              <w:t xml:space="preserve">Clinical utility </w:t>
            </w:r>
            <w:r>
              <w:rPr>
                <w:rFonts w:cs="Arial"/>
              </w:rPr>
              <w:t>st</w:t>
            </w:r>
            <w:r w:rsidR="00BE5DAF">
              <w:rPr>
                <w:rFonts w:cs="Arial"/>
              </w:rPr>
              <w:t>andar</w:t>
            </w:r>
            <w:r>
              <w:rPr>
                <w:rFonts w:cs="Arial"/>
              </w:rPr>
              <w:t>d</w:t>
            </w:r>
          </w:p>
        </w:tc>
        <w:tc>
          <w:tcPr>
            <w:tcW w:w="4052" w:type="pct"/>
            <w:tcBorders>
              <w:top w:val="single" w:sz="4" w:space="0" w:color="auto"/>
              <w:left w:val="single" w:sz="4" w:space="0" w:color="auto"/>
              <w:bottom w:val="single" w:sz="4" w:space="0" w:color="auto"/>
              <w:right w:val="single" w:sz="8" w:space="0" w:color="auto"/>
            </w:tcBorders>
          </w:tcPr>
          <w:p w14:paraId="6B00CFE7" w14:textId="77777777" w:rsidR="00497D69" w:rsidRPr="00A925A8" w:rsidRDefault="00497D69" w:rsidP="00C837F3">
            <w:pPr>
              <w:spacing w:before="120" w:after="120" w:line="240" w:lineRule="auto"/>
            </w:pPr>
            <w:r w:rsidRPr="00A925A8">
              <w:t>Unclear</w:t>
            </w:r>
          </w:p>
        </w:tc>
      </w:tr>
      <w:tr w:rsidR="00497D69" w:rsidRPr="00490FBB" w14:paraId="7811AE33" w14:textId="77777777" w:rsidTr="00C837F3">
        <w:tc>
          <w:tcPr>
            <w:tcW w:w="948" w:type="pct"/>
            <w:tcBorders>
              <w:top w:val="single" w:sz="4" w:space="0" w:color="auto"/>
              <w:left w:val="single" w:sz="8" w:space="0" w:color="auto"/>
              <w:bottom w:val="single" w:sz="4" w:space="0" w:color="auto"/>
              <w:right w:val="single" w:sz="4" w:space="0" w:color="auto"/>
            </w:tcBorders>
            <w:hideMark/>
          </w:tcPr>
          <w:p w14:paraId="15D6871F" w14:textId="77777777" w:rsidR="00497D69" w:rsidRPr="00490FBB" w:rsidRDefault="00497D69" w:rsidP="00C837F3">
            <w:pPr>
              <w:spacing w:after="0" w:line="240" w:lineRule="auto"/>
              <w:rPr>
                <w:rFonts w:cs="Arial"/>
              </w:rPr>
            </w:pPr>
            <w:r w:rsidRPr="00490FBB">
              <w:rPr>
                <w:rFonts w:cs="Arial"/>
              </w:rPr>
              <w:t>Outcomes</w:t>
            </w:r>
          </w:p>
        </w:tc>
        <w:tc>
          <w:tcPr>
            <w:tcW w:w="4052" w:type="pct"/>
            <w:tcBorders>
              <w:top w:val="single" w:sz="4" w:space="0" w:color="auto"/>
              <w:left w:val="single" w:sz="4" w:space="0" w:color="auto"/>
              <w:bottom w:val="single" w:sz="4" w:space="0" w:color="auto"/>
              <w:right w:val="single" w:sz="8" w:space="0" w:color="auto"/>
            </w:tcBorders>
            <w:hideMark/>
          </w:tcPr>
          <w:p w14:paraId="620A7964" w14:textId="77777777" w:rsidR="00497D69" w:rsidRPr="000B1B6E" w:rsidRDefault="00497D69" w:rsidP="00C837F3">
            <w:pPr>
              <w:spacing w:after="0" w:line="240" w:lineRule="auto"/>
            </w:pPr>
            <w:r w:rsidRPr="000B1B6E">
              <w:rPr>
                <w:b/>
                <w:bCs/>
                <w:i/>
                <w:iCs/>
              </w:rPr>
              <w:t>Safety outcomes</w:t>
            </w:r>
          </w:p>
          <w:p w14:paraId="46DFD5F5" w14:textId="77777777" w:rsidR="00497D69" w:rsidRPr="000B1B6E" w:rsidRDefault="00497D69" w:rsidP="00497D69">
            <w:pPr>
              <w:pStyle w:val="ListParagraph"/>
              <w:numPr>
                <w:ilvl w:val="0"/>
                <w:numId w:val="11"/>
              </w:numPr>
              <w:spacing w:after="0" w:line="240" w:lineRule="auto"/>
              <w:ind w:left="229" w:hanging="229"/>
            </w:pPr>
            <w:r w:rsidRPr="000B1B6E">
              <w:t>Radiation exposure</w:t>
            </w:r>
            <w:r>
              <w:t xml:space="preserve"> (patients, carers, staff)</w:t>
            </w:r>
          </w:p>
          <w:p w14:paraId="141FEFAC" w14:textId="77777777" w:rsidR="00497D69" w:rsidRPr="000B1B6E" w:rsidRDefault="00497D69" w:rsidP="00E9039C">
            <w:pPr>
              <w:pStyle w:val="ListParagraph"/>
              <w:numPr>
                <w:ilvl w:val="0"/>
                <w:numId w:val="11"/>
              </w:numPr>
              <w:spacing w:after="120" w:line="240" w:lineRule="auto"/>
              <w:ind w:left="227" w:hanging="227"/>
            </w:pPr>
            <w:r w:rsidRPr="000B1B6E">
              <w:t>Adverse reaction</w:t>
            </w:r>
            <w:r>
              <w:t>s</w:t>
            </w:r>
            <w:r w:rsidRPr="000B1B6E">
              <w:t xml:space="preserve"> to </w:t>
            </w:r>
            <w:r>
              <w:t>therapy (haematologic, renal, xerostomia, etc)</w:t>
            </w:r>
          </w:p>
          <w:p w14:paraId="283A60E5" w14:textId="77777777" w:rsidR="00497D69" w:rsidRPr="000B1B6E" w:rsidRDefault="00497D69" w:rsidP="00C837F3">
            <w:pPr>
              <w:spacing w:after="0" w:line="240" w:lineRule="auto"/>
            </w:pPr>
            <w:r w:rsidRPr="000B1B6E">
              <w:rPr>
                <w:b/>
                <w:bCs/>
                <w:i/>
                <w:iCs/>
              </w:rPr>
              <w:t>Effectiveness</w:t>
            </w:r>
            <w:r w:rsidRPr="000B1B6E">
              <w:rPr>
                <w:b/>
                <w:bCs/>
              </w:rPr>
              <w:t xml:space="preserve"> </w:t>
            </w:r>
            <w:r w:rsidRPr="000B1B6E">
              <w:rPr>
                <w:b/>
                <w:bCs/>
                <w:i/>
                <w:iCs/>
              </w:rPr>
              <w:t>outcomes</w:t>
            </w:r>
          </w:p>
          <w:p w14:paraId="62A3E8A3" w14:textId="659BF776" w:rsidR="00497D69" w:rsidRDefault="00497D69" w:rsidP="00C837F3">
            <w:pPr>
              <w:spacing w:after="0" w:line="240" w:lineRule="auto"/>
            </w:pPr>
            <w:r w:rsidRPr="00F64CD2">
              <w:rPr>
                <w:i/>
                <w:iCs/>
              </w:rPr>
              <w:t>Diagnostic tests:</w:t>
            </w:r>
          </w:p>
          <w:p w14:paraId="45209EF0" w14:textId="77777777" w:rsidR="00497D69" w:rsidRPr="000B1B6E" w:rsidRDefault="00497D69" w:rsidP="00497D69">
            <w:pPr>
              <w:pStyle w:val="ListParagraph"/>
              <w:numPr>
                <w:ilvl w:val="0"/>
                <w:numId w:val="11"/>
              </w:numPr>
              <w:spacing w:after="0" w:line="240" w:lineRule="auto"/>
              <w:ind w:left="229" w:hanging="229"/>
            </w:pPr>
            <w:r>
              <w:t>Inter- / intra-observer variability</w:t>
            </w:r>
          </w:p>
          <w:p w14:paraId="0F7E4258" w14:textId="77777777" w:rsidR="00497D69" w:rsidRPr="000B1B6E" w:rsidRDefault="00497D69" w:rsidP="00497D69">
            <w:pPr>
              <w:pStyle w:val="ListParagraph"/>
              <w:numPr>
                <w:ilvl w:val="0"/>
                <w:numId w:val="11"/>
              </w:numPr>
              <w:spacing w:after="0" w:line="240" w:lineRule="auto"/>
              <w:ind w:left="229" w:hanging="229"/>
            </w:pPr>
            <w:r w:rsidRPr="000B1B6E">
              <w:t>Change in management</w:t>
            </w:r>
            <w:r w:rsidRPr="00981E3B">
              <w:t xml:space="preserve">: proportion of </w:t>
            </w:r>
            <w:r>
              <w:t>patients</w:t>
            </w:r>
            <w:r w:rsidRPr="00981E3B">
              <w:t xml:space="preserve"> excluded from </w:t>
            </w:r>
            <w:r>
              <w:t>therapy</w:t>
            </w:r>
          </w:p>
          <w:p w14:paraId="79C3E5AF" w14:textId="77777777" w:rsidR="00497D69" w:rsidRPr="000B1B6E" w:rsidRDefault="00497D69" w:rsidP="00C837F3">
            <w:pPr>
              <w:spacing w:after="0" w:line="240" w:lineRule="auto"/>
            </w:pPr>
            <w:r>
              <w:rPr>
                <w:i/>
                <w:iCs/>
              </w:rPr>
              <w:t>Therapy</w:t>
            </w:r>
            <w:r w:rsidRPr="00F64CD2">
              <w:rPr>
                <w:i/>
                <w:iCs/>
              </w:rPr>
              <w:t xml:space="preserve"> outcomes</w:t>
            </w:r>
            <w:r>
              <w:rPr>
                <w:i/>
                <w:iCs/>
              </w:rPr>
              <w:t>:</w:t>
            </w:r>
          </w:p>
          <w:p w14:paraId="6B4F61DC" w14:textId="77777777" w:rsidR="00497D69" w:rsidRPr="00E94EC5" w:rsidRDefault="00497D69" w:rsidP="00497D69">
            <w:pPr>
              <w:pStyle w:val="ListParagraph"/>
              <w:numPr>
                <w:ilvl w:val="0"/>
                <w:numId w:val="11"/>
              </w:numPr>
              <w:spacing w:after="0" w:line="240" w:lineRule="auto"/>
              <w:ind w:left="229" w:hanging="229"/>
            </w:pPr>
            <w:r w:rsidRPr="00E94EC5">
              <w:t>Disease response (tumour marker [PSA], imaging [RECIST, PERCIST]</w:t>
            </w:r>
            <w:r>
              <w:t>)</w:t>
            </w:r>
          </w:p>
          <w:p w14:paraId="5F6A155A" w14:textId="77777777" w:rsidR="00497D69" w:rsidRDefault="00497D69" w:rsidP="00497D69">
            <w:pPr>
              <w:pStyle w:val="ListParagraph"/>
              <w:numPr>
                <w:ilvl w:val="0"/>
                <w:numId w:val="11"/>
              </w:numPr>
              <w:spacing w:after="0" w:line="240" w:lineRule="auto"/>
              <w:ind w:left="229" w:hanging="229"/>
            </w:pPr>
            <w:r w:rsidRPr="000B1B6E">
              <w:t>Survival (OS, PFS)</w:t>
            </w:r>
          </w:p>
          <w:p w14:paraId="03C21536" w14:textId="77777777" w:rsidR="00497D69" w:rsidRPr="000B1B6E" w:rsidRDefault="00497D69" w:rsidP="00497D69">
            <w:pPr>
              <w:pStyle w:val="ListParagraph"/>
              <w:numPr>
                <w:ilvl w:val="0"/>
                <w:numId w:val="11"/>
              </w:numPr>
              <w:spacing w:after="0" w:line="240" w:lineRule="auto"/>
              <w:ind w:left="229" w:hanging="229"/>
            </w:pPr>
            <w:r w:rsidRPr="000B1B6E">
              <w:t>Mortality, incl. cancer-specific mortality</w:t>
            </w:r>
          </w:p>
          <w:p w14:paraId="47B4613A" w14:textId="77777777" w:rsidR="00497D69" w:rsidRPr="000B1B6E" w:rsidRDefault="00497D69" w:rsidP="00E9039C">
            <w:pPr>
              <w:pStyle w:val="ListParagraph"/>
              <w:numPr>
                <w:ilvl w:val="0"/>
                <w:numId w:val="11"/>
              </w:numPr>
              <w:spacing w:after="120" w:line="240" w:lineRule="auto"/>
              <w:ind w:left="227" w:hanging="227"/>
            </w:pPr>
            <w:r w:rsidRPr="000B1B6E">
              <w:t>QoL</w:t>
            </w:r>
          </w:p>
          <w:p w14:paraId="6E02D924" w14:textId="77777777" w:rsidR="00497D69" w:rsidRPr="000B1B6E" w:rsidRDefault="00497D69" w:rsidP="00C837F3">
            <w:pPr>
              <w:spacing w:after="0" w:line="240" w:lineRule="auto"/>
            </w:pPr>
            <w:r w:rsidRPr="00981E3B">
              <w:rPr>
                <w:b/>
                <w:bCs/>
                <w:i/>
                <w:iCs/>
              </w:rPr>
              <w:t>Economic outcomes</w:t>
            </w:r>
          </w:p>
          <w:p w14:paraId="7E512991" w14:textId="77777777" w:rsidR="00497D69" w:rsidRDefault="00497D69" w:rsidP="00E9039C">
            <w:pPr>
              <w:pStyle w:val="ListParagraph"/>
              <w:numPr>
                <w:ilvl w:val="0"/>
                <w:numId w:val="11"/>
              </w:numPr>
              <w:spacing w:after="120" w:line="240" w:lineRule="auto"/>
              <w:ind w:left="227" w:hanging="227"/>
            </w:pPr>
            <w:r>
              <w:t>Cost-effectiveness (cost per additional quality adjusted life year)</w:t>
            </w:r>
          </w:p>
          <w:p w14:paraId="0AB4AAAC" w14:textId="77777777" w:rsidR="00497D69" w:rsidRPr="000B1B6E" w:rsidRDefault="00497D69" w:rsidP="00C837F3">
            <w:pPr>
              <w:spacing w:after="0" w:line="240" w:lineRule="auto"/>
            </w:pPr>
            <w:r w:rsidRPr="00981E3B">
              <w:rPr>
                <w:b/>
                <w:bCs/>
                <w:i/>
                <w:iCs/>
              </w:rPr>
              <w:t>Healthcare system outcomes</w:t>
            </w:r>
          </w:p>
          <w:p w14:paraId="500439DD" w14:textId="77777777" w:rsidR="00497D69" w:rsidRPr="000B1B6E" w:rsidRDefault="00497D69" w:rsidP="00497D69">
            <w:pPr>
              <w:pStyle w:val="ListParagraph"/>
              <w:numPr>
                <w:ilvl w:val="0"/>
                <w:numId w:val="11"/>
              </w:numPr>
              <w:spacing w:after="0" w:line="240" w:lineRule="auto"/>
              <w:ind w:left="229" w:hanging="229"/>
            </w:pPr>
            <w:r w:rsidRPr="000B1B6E">
              <w:t xml:space="preserve">Cost of </w:t>
            </w:r>
            <w:r>
              <w:t>diagnostic &amp; therapeutic interventions</w:t>
            </w:r>
          </w:p>
          <w:p w14:paraId="4D2CA1A9" w14:textId="77777777" w:rsidR="00497D69" w:rsidRDefault="00497D69" w:rsidP="00497D69">
            <w:pPr>
              <w:pStyle w:val="ListParagraph"/>
              <w:numPr>
                <w:ilvl w:val="0"/>
                <w:numId w:val="11"/>
              </w:numPr>
              <w:spacing w:after="0" w:line="240" w:lineRule="auto"/>
              <w:ind w:left="229" w:hanging="229"/>
            </w:pPr>
            <w:r w:rsidRPr="00F600D7">
              <w:lastRenderedPageBreak/>
              <w:t>Cost of additional tests &amp; follow-up required</w:t>
            </w:r>
          </w:p>
          <w:p w14:paraId="4C83D1BA" w14:textId="36B4A098" w:rsidR="00497D69" w:rsidRPr="00D52956" w:rsidRDefault="00497D69" w:rsidP="00E9039C">
            <w:pPr>
              <w:pStyle w:val="ListParagraph"/>
              <w:numPr>
                <w:ilvl w:val="0"/>
                <w:numId w:val="11"/>
              </w:numPr>
              <w:spacing w:after="120" w:line="240" w:lineRule="auto"/>
              <w:ind w:left="227" w:hanging="227"/>
            </w:pPr>
            <w:r w:rsidRPr="000B1B6E">
              <w:t xml:space="preserve">Total </w:t>
            </w:r>
            <w:r>
              <w:t>Australian Government health care costs (including cost of treatment received and cost offsets due to tests and treatment avoided).</w:t>
            </w:r>
          </w:p>
        </w:tc>
      </w:tr>
      <w:tr w:rsidR="00497D69" w:rsidRPr="00490FBB" w14:paraId="0D10B48B" w14:textId="77777777" w:rsidTr="00C837F3">
        <w:tc>
          <w:tcPr>
            <w:tcW w:w="948" w:type="pct"/>
            <w:tcBorders>
              <w:top w:val="single" w:sz="4" w:space="0" w:color="auto"/>
              <w:left w:val="single" w:sz="8" w:space="0" w:color="auto"/>
              <w:bottom w:val="single" w:sz="4" w:space="0" w:color="auto"/>
              <w:right w:val="single" w:sz="4" w:space="0" w:color="auto"/>
            </w:tcBorders>
          </w:tcPr>
          <w:p w14:paraId="5954CE5E" w14:textId="77777777" w:rsidR="00497D69" w:rsidRPr="00490FBB" w:rsidRDefault="00497D69" w:rsidP="00C837F3">
            <w:pPr>
              <w:spacing w:after="0" w:line="240" w:lineRule="auto"/>
              <w:rPr>
                <w:rFonts w:cs="Arial"/>
              </w:rPr>
            </w:pPr>
            <w:r w:rsidRPr="00490FBB">
              <w:rPr>
                <w:rFonts w:cs="Arial"/>
              </w:rPr>
              <w:lastRenderedPageBreak/>
              <w:t>Assessment questions</w:t>
            </w:r>
          </w:p>
        </w:tc>
        <w:tc>
          <w:tcPr>
            <w:tcW w:w="4052" w:type="pct"/>
            <w:tcBorders>
              <w:top w:val="single" w:sz="4" w:space="0" w:color="auto"/>
              <w:left w:val="single" w:sz="4" w:space="0" w:color="auto"/>
              <w:bottom w:val="single" w:sz="4" w:space="0" w:color="auto"/>
              <w:right w:val="single" w:sz="8" w:space="0" w:color="auto"/>
            </w:tcBorders>
          </w:tcPr>
          <w:p w14:paraId="257DBF19" w14:textId="77777777" w:rsidR="00497D69" w:rsidRDefault="00497D69" w:rsidP="00497D69">
            <w:pPr>
              <w:numPr>
                <w:ilvl w:val="0"/>
                <w:numId w:val="38"/>
              </w:numPr>
              <w:tabs>
                <w:tab w:val="clear" w:pos="360"/>
              </w:tabs>
              <w:spacing w:after="0" w:line="240" w:lineRule="auto"/>
              <w:ind w:left="286" w:hanging="286"/>
              <w:rPr>
                <w:color w:val="000000" w:themeColor="text1"/>
              </w:rPr>
            </w:pPr>
            <w:r w:rsidRPr="00C56323">
              <w:rPr>
                <w:color w:val="000000" w:themeColor="text1"/>
              </w:rPr>
              <w:t>How concordant are the results of the proposed diagnostic tests to the clinical utility standards for both PSMA and FDG PET/CT?</w:t>
            </w:r>
            <w:r>
              <w:rPr>
                <w:color w:val="000000" w:themeColor="text1"/>
              </w:rPr>
              <w:t xml:space="preserve"> Specifically:</w:t>
            </w:r>
          </w:p>
          <w:p w14:paraId="6418D87A" w14:textId="02BC898D" w:rsidR="00C837F3" w:rsidRPr="00C56323" w:rsidRDefault="00C61866" w:rsidP="00497D69">
            <w:pPr>
              <w:numPr>
                <w:ilvl w:val="1"/>
                <w:numId w:val="39"/>
              </w:numPr>
              <w:tabs>
                <w:tab w:val="clear" w:pos="1080"/>
                <w:tab w:val="num" w:pos="569"/>
              </w:tabs>
              <w:spacing w:after="0" w:line="240" w:lineRule="auto"/>
              <w:ind w:left="569" w:hanging="283"/>
              <w:rPr>
                <w:color w:val="000000" w:themeColor="text1"/>
              </w:rPr>
            </w:pPr>
            <w:r w:rsidRPr="00C56323">
              <w:rPr>
                <w:color w:val="000000" w:themeColor="text1"/>
              </w:rPr>
              <w:t xml:space="preserve">What is the effectiveness* of </w:t>
            </w:r>
            <w:r w:rsidR="00497D69">
              <w:rPr>
                <w:color w:val="000000" w:themeColor="text1"/>
              </w:rPr>
              <w:t>various (if any)</w:t>
            </w:r>
            <w:r w:rsidRPr="00C56323">
              <w:rPr>
                <w:color w:val="000000" w:themeColor="text1"/>
              </w:rPr>
              <w:t xml:space="preserve"> PSMA SUV</w:t>
            </w:r>
            <w:r w:rsidR="00497D69" w:rsidRPr="00D83E05">
              <w:rPr>
                <w:color w:val="000000" w:themeColor="text1"/>
                <w:vertAlign w:val="subscript"/>
              </w:rPr>
              <w:t>max</w:t>
            </w:r>
            <w:r w:rsidRPr="00C56323">
              <w:rPr>
                <w:color w:val="000000" w:themeColor="text1"/>
              </w:rPr>
              <w:t xml:space="preserve"> thresholds for selecting </w:t>
            </w:r>
            <w:r w:rsidR="00497D69">
              <w:rPr>
                <w:color w:val="000000" w:themeColor="text1"/>
              </w:rPr>
              <w:t>patients</w:t>
            </w:r>
            <w:r w:rsidRPr="00C56323">
              <w:rPr>
                <w:color w:val="000000" w:themeColor="text1"/>
              </w:rPr>
              <w:t xml:space="preserve"> for </w:t>
            </w:r>
            <w:r w:rsidRPr="00C56323">
              <w:rPr>
                <w:color w:val="000000" w:themeColor="text1"/>
                <w:vertAlign w:val="superscript"/>
              </w:rPr>
              <w:t>177</w:t>
            </w:r>
            <w:r w:rsidRPr="00C56323">
              <w:rPr>
                <w:color w:val="000000" w:themeColor="text1"/>
              </w:rPr>
              <w:t>Lu</w:t>
            </w:r>
            <w:r w:rsidR="00251045">
              <w:rPr>
                <w:color w:val="000000" w:themeColor="text1"/>
              </w:rPr>
              <w:t xml:space="preserve"> </w:t>
            </w:r>
            <w:r w:rsidRPr="00C56323">
              <w:rPr>
                <w:color w:val="000000" w:themeColor="text1"/>
              </w:rPr>
              <w:t xml:space="preserve">PSMA </w:t>
            </w:r>
            <w:r w:rsidR="00497D69">
              <w:rPr>
                <w:color w:val="000000" w:themeColor="text1"/>
              </w:rPr>
              <w:t>therapy</w:t>
            </w:r>
            <w:r w:rsidRPr="00C56323">
              <w:rPr>
                <w:color w:val="000000" w:themeColor="text1"/>
              </w:rPr>
              <w:t>?</w:t>
            </w:r>
          </w:p>
          <w:p w14:paraId="2835BB94" w14:textId="0AC2B1F2" w:rsidR="00C837F3" w:rsidRPr="00C56323" w:rsidRDefault="00C61866" w:rsidP="00497D69">
            <w:pPr>
              <w:numPr>
                <w:ilvl w:val="1"/>
                <w:numId w:val="39"/>
              </w:numPr>
              <w:tabs>
                <w:tab w:val="clear" w:pos="1080"/>
                <w:tab w:val="num" w:pos="569"/>
              </w:tabs>
              <w:spacing w:after="0" w:line="240" w:lineRule="auto"/>
              <w:ind w:left="569" w:hanging="283"/>
              <w:rPr>
                <w:color w:val="000000" w:themeColor="text1"/>
              </w:rPr>
            </w:pPr>
            <w:r w:rsidRPr="00C56323">
              <w:rPr>
                <w:color w:val="000000" w:themeColor="text1"/>
              </w:rPr>
              <w:t xml:space="preserve">What is the effectiveness* &amp; cost-effectiveness of FDG PET/CT for the further selection of </w:t>
            </w:r>
            <w:r w:rsidR="00497D69">
              <w:rPr>
                <w:color w:val="000000" w:themeColor="text1"/>
              </w:rPr>
              <w:t>patients</w:t>
            </w:r>
            <w:r w:rsidRPr="00C56323">
              <w:rPr>
                <w:color w:val="000000" w:themeColor="text1"/>
              </w:rPr>
              <w:t xml:space="preserve"> for </w:t>
            </w:r>
            <w:r w:rsidRPr="00C56323">
              <w:rPr>
                <w:color w:val="000000" w:themeColor="text1"/>
                <w:vertAlign w:val="superscript"/>
              </w:rPr>
              <w:t>177</w:t>
            </w:r>
            <w:r w:rsidRPr="00C56323">
              <w:rPr>
                <w:color w:val="000000" w:themeColor="text1"/>
              </w:rPr>
              <w:t>Lu</w:t>
            </w:r>
            <w:r w:rsidR="00251045">
              <w:rPr>
                <w:color w:val="000000" w:themeColor="text1"/>
              </w:rPr>
              <w:t xml:space="preserve"> </w:t>
            </w:r>
            <w:r w:rsidRPr="00C56323">
              <w:rPr>
                <w:color w:val="000000" w:themeColor="text1"/>
              </w:rPr>
              <w:t xml:space="preserve">PSMA </w:t>
            </w:r>
            <w:r w:rsidR="00497D69">
              <w:rPr>
                <w:color w:val="000000" w:themeColor="text1"/>
              </w:rPr>
              <w:t>therapy</w:t>
            </w:r>
            <w:r w:rsidRPr="00C56323">
              <w:rPr>
                <w:color w:val="000000" w:themeColor="text1"/>
              </w:rPr>
              <w:t>?</w:t>
            </w:r>
          </w:p>
          <w:p w14:paraId="3069EEE3" w14:textId="77777777" w:rsidR="00497D69" w:rsidRDefault="00497D69" w:rsidP="00E9039C">
            <w:pPr>
              <w:numPr>
                <w:ilvl w:val="1"/>
                <w:numId w:val="39"/>
              </w:numPr>
              <w:tabs>
                <w:tab w:val="clear" w:pos="1080"/>
                <w:tab w:val="num" w:pos="569"/>
              </w:tabs>
              <w:spacing w:after="120" w:line="240" w:lineRule="auto"/>
              <w:ind w:left="568" w:hanging="284"/>
              <w:rPr>
                <w:color w:val="000000" w:themeColor="text1"/>
              </w:rPr>
            </w:pPr>
            <w:r w:rsidRPr="00C56323">
              <w:rPr>
                <w:color w:val="000000" w:themeColor="text1"/>
              </w:rPr>
              <w:t>How does clinical management change as a consequence of PSMA and FDG PET/CT and what proportion of patients are affected?</w:t>
            </w:r>
          </w:p>
          <w:p w14:paraId="6AFE574C" w14:textId="2D1C0EDE" w:rsidR="00C837F3" w:rsidRPr="00C56323" w:rsidRDefault="00C61866" w:rsidP="00497D69">
            <w:pPr>
              <w:numPr>
                <w:ilvl w:val="0"/>
                <w:numId w:val="38"/>
              </w:numPr>
              <w:tabs>
                <w:tab w:val="clear" w:pos="360"/>
              </w:tabs>
              <w:spacing w:after="0" w:line="240" w:lineRule="auto"/>
              <w:ind w:left="286" w:hanging="286"/>
              <w:rPr>
                <w:color w:val="000000" w:themeColor="text1"/>
              </w:rPr>
            </w:pPr>
            <w:r w:rsidRPr="00C56323">
              <w:rPr>
                <w:color w:val="000000" w:themeColor="text1"/>
              </w:rPr>
              <w:t xml:space="preserve">What is the safety, </w:t>
            </w:r>
            <w:r w:rsidR="00E41A95" w:rsidRPr="00C56323">
              <w:rPr>
                <w:color w:val="000000" w:themeColor="text1"/>
              </w:rPr>
              <w:t>effectiveness,</w:t>
            </w:r>
            <w:r w:rsidRPr="00C56323">
              <w:rPr>
                <w:color w:val="000000" w:themeColor="text1"/>
              </w:rPr>
              <w:t xml:space="preserve"> </w:t>
            </w:r>
            <w:r w:rsidR="00497D69">
              <w:rPr>
                <w:color w:val="000000" w:themeColor="text1"/>
              </w:rPr>
              <w:t>and</w:t>
            </w:r>
            <w:r w:rsidRPr="00C56323">
              <w:rPr>
                <w:color w:val="000000" w:themeColor="text1"/>
              </w:rPr>
              <w:t xml:space="preserve"> cost-effectiveness of </w:t>
            </w:r>
            <w:r w:rsidRPr="00C56323">
              <w:rPr>
                <w:color w:val="000000" w:themeColor="text1"/>
                <w:vertAlign w:val="superscript"/>
              </w:rPr>
              <w:t>177</w:t>
            </w:r>
            <w:r w:rsidRPr="00C56323">
              <w:rPr>
                <w:color w:val="000000" w:themeColor="text1"/>
              </w:rPr>
              <w:t>Lu</w:t>
            </w:r>
            <w:r w:rsidR="00251045">
              <w:rPr>
                <w:color w:val="000000" w:themeColor="text1"/>
              </w:rPr>
              <w:t xml:space="preserve"> </w:t>
            </w:r>
            <w:r w:rsidRPr="00C56323">
              <w:rPr>
                <w:color w:val="000000" w:themeColor="text1"/>
              </w:rPr>
              <w:t xml:space="preserve">PSMA-I&amp;T </w:t>
            </w:r>
            <w:r w:rsidRPr="00C56323">
              <w:rPr>
                <w:i/>
                <w:iCs/>
                <w:color w:val="000000" w:themeColor="text1"/>
              </w:rPr>
              <w:t>vs</w:t>
            </w:r>
            <w:r w:rsidRPr="00C56323">
              <w:rPr>
                <w:color w:val="000000" w:themeColor="text1"/>
              </w:rPr>
              <w:t xml:space="preserve"> cabazitaxel </w:t>
            </w:r>
            <w:r w:rsidRPr="00C56323">
              <w:rPr>
                <w:i/>
                <w:iCs/>
                <w:color w:val="000000" w:themeColor="text1"/>
              </w:rPr>
              <w:t xml:space="preserve">OR </w:t>
            </w:r>
            <w:r w:rsidR="00E86D78">
              <w:rPr>
                <w:color w:val="000000" w:themeColor="text1"/>
              </w:rPr>
              <w:t>standard</w:t>
            </w:r>
            <w:r w:rsidR="00C12678">
              <w:rPr>
                <w:color w:val="000000" w:themeColor="text1"/>
              </w:rPr>
              <w:t xml:space="preserve"> care</w:t>
            </w:r>
            <w:r w:rsidRPr="00C56323">
              <w:rPr>
                <w:color w:val="000000" w:themeColor="text1"/>
              </w:rPr>
              <w:t xml:space="preserve"> in </w:t>
            </w:r>
            <w:r w:rsidR="00497D69">
              <w:rPr>
                <w:color w:val="000000" w:themeColor="text1"/>
              </w:rPr>
              <w:t>patients</w:t>
            </w:r>
            <w:r w:rsidRPr="00C56323">
              <w:rPr>
                <w:color w:val="000000" w:themeColor="text1"/>
              </w:rPr>
              <w:t xml:space="preserve"> with progressive or symptomatic mCRPC who have failed </w:t>
            </w:r>
            <w:r w:rsidRPr="00C56323">
              <w:rPr>
                <w:color w:val="000000" w:themeColor="text1"/>
                <w:u w:val="single"/>
              </w:rPr>
              <w:t>&gt;</w:t>
            </w:r>
            <w:r w:rsidRPr="00C56323">
              <w:rPr>
                <w:color w:val="000000" w:themeColor="text1"/>
              </w:rPr>
              <w:t xml:space="preserve">1 ASI and </w:t>
            </w:r>
            <w:r w:rsidRPr="00C56323">
              <w:rPr>
                <w:color w:val="000000" w:themeColor="text1"/>
                <w:u w:val="single"/>
              </w:rPr>
              <w:t>&gt;</w:t>
            </w:r>
            <w:r w:rsidRPr="00C56323">
              <w:rPr>
                <w:color w:val="000000" w:themeColor="text1"/>
              </w:rPr>
              <w:t xml:space="preserve">1 line of taxane-based chemotherapy? </w:t>
            </w:r>
            <w:r w:rsidR="00497D69">
              <w:rPr>
                <w:color w:val="000000" w:themeColor="text1"/>
              </w:rPr>
              <w:t>Specifically:</w:t>
            </w:r>
          </w:p>
          <w:p w14:paraId="3A6800D6" w14:textId="4067D415" w:rsidR="00497D69" w:rsidRPr="00C56323" w:rsidRDefault="00497D69" w:rsidP="00497D69">
            <w:pPr>
              <w:pStyle w:val="ListParagraph"/>
              <w:numPr>
                <w:ilvl w:val="0"/>
                <w:numId w:val="33"/>
              </w:numPr>
              <w:spacing w:after="0" w:line="240" w:lineRule="auto"/>
              <w:ind w:left="569" w:hanging="283"/>
              <w:rPr>
                <w:color w:val="000000" w:themeColor="text1"/>
              </w:rPr>
            </w:pPr>
            <w:r>
              <w:rPr>
                <w:color w:val="000000" w:themeColor="text1"/>
              </w:rPr>
              <w:t>What is the evidence to support therapeutic equivalence</w:t>
            </w:r>
            <w:r w:rsidRPr="00C56323">
              <w:rPr>
                <w:color w:val="000000" w:themeColor="text1"/>
              </w:rPr>
              <w:t xml:space="preserve"> between </w:t>
            </w:r>
            <w:r w:rsidRPr="00C56323">
              <w:rPr>
                <w:color w:val="000000" w:themeColor="text1"/>
                <w:vertAlign w:val="superscript"/>
              </w:rPr>
              <w:t>177</w:t>
            </w:r>
            <w:r w:rsidRPr="00C56323">
              <w:rPr>
                <w:color w:val="000000" w:themeColor="text1"/>
              </w:rPr>
              <w:t>Lu</w:t>
            </w:r>
            <w:r w:rsidR="00251045">
              <w:rPr>
                <w:color w:val="000000" w:themeColor="text1"/>
              </w:rPr>
              <w:t xml:space="preserve"> </w:t>
            </w:r>
            <w:r w:rsidRPr="00C56323">
              <w:rPr>
                <w:color w:val="000000" w:themeColor="text1"/>
              </w:rPr>
              <w:t xml:space="preserve">PSMA I&amp;T and </w:t>
            </w:r>
            <w:r w:rsidRPr="00C56323">
              <w:rPr>
                <w:color w:val="000000" w:themeColor="text1"/>
                <w:vertAlign w:val="superscript"/>
              </w:rPr>
              <w:t>177</w:t>
            </w:r>
            <w:r w:rsidRPr="00C56323">
              <w:rPr>
                <w:color w:val="000000" w:themeColor="text1"/>
              </w:rPr>
              <w:t>Lu</w:t>
            </w:r>
            <w:r w:rsidR="00251045">
              <w:rPr>
                <w:color w:val="000000" w:themeColor="text1"/>
              </w:rPr>
              <w:t xml:space="preserve"> </w:t>
            </w:r>
            <w:r w:rsidRPr="00C56323">
              <w:rPr>
                <w:color w:val="000000" w:themeColor="text1"/>
              </w:rPr>
              <w:t xml:space="preserve">PSMA-617 (as the basis to justify applying evidence for </w:t>
            </w:r>
            <w:r w:rsidRPr="00C56323">
              <w:rPr>
                <w:color w:val="000000" w:themeColor="text1"/>
                <w:vertAlign w:val="superscript"/>
              </w:rPr>
              <w:t>177</w:t>
            </w:r>
            <w:r w:rsidRPr="00C56323">
              <w:rPr>
                <w:color w:val="000000" w:themeColor="text1"/>
              </w:rPr>
              <w:t>Lu</w:t>
            </w:r>
            <w:r w:rsidR="00906507">
              <w:rPr>
                <w:color w:val="000000" w:themeColor="text1"/>
              </w:rPr>
              <w:t xml:space="preserve"> </w:t>
            </w:r>
            <w:r w:rsidRPr="00C56323">
              <w:rPr>
                <w:color w:val="000000" w:themeColor="text1"/>
              </w:rPr>
              <w:t xml:space="preserve">PSMA-617 in order to request funding for </w:t>
            </w:r>
            <w:r w:rsidRPr="00C56323">
              <w:rPr>
                <w:color w:val="000000" w:themeColor="text1"/>
                <w:vertAlign w:val="superscript"/>
              </w:rPr>
              <w:t>177</w:t>
            </w:r>
            <w:r w:rsidRPr="00C56323">
              <w:rPr>
                <w:color w:val="000000" w:themeColor="text1"/>
              </w:rPr>
              <w:t>Lu</w:t>
            </w:r>
            <w:r w:rsidR="00906507">
              <w:rPr>
                <w:color w:val="000000" w:themeColor="text1"/>
              </w:rPr>
              <w:t xml:space="preserve"> </w:t>
            </w:r>
            <w:r w:rsidRPr="00C56323">
              <w:rPr>
                <w:color w:val="000000" w:themeColor="text1"/>
              </w:rPr>
              <w:t>PSMA I&amp;T)?</w:t>
            </w:r>
          </w:p>
          <w:p w14:paraId="42F4DFE4" w14:textId="326D9FD0" w:rsidR="00497D69" w:rsidRPr="00D83E05" w:rsidRDefault="00497D69" w:rsidP="00E9039C">
            <w:pPr>
              <w:pStyle w:val="ListParagraph"/>
              <w:numPr>
                <w:ilvl w:val="0"/>
                <w:numId w:val="33"/>
              </w:numPr>
              <w:spacing w:after="120" w:line="240" w:lineRule="auto"/>
              <w:ind w:left="568" w:hanging="284"/>
              <w:rPr>
                <w:color w:val="000000" w:themeColor="text1"/>
              </w:rPr>
            </w:pPr>
            <w:r w:rsidRPr="00B644BF">
              <w:rPr>
                <w:color w:val="000000" w:themeColor="text1"/>
              </w:rPr>
              <w:t xml:space="preserve">Should </w:t>
            </w:r>
            <w:r w:rsidRPr="00B644BF">
              <w:rPr>
                <w:color w:val="000000" w:themeColor="text1"/>
                <w:vertAlign w:val="superscript"/>
              </w:rPr>
              <w:t>177</w:t>
            </w:r>
            <w:r w:rsidRPr="00B644BF">
              <w:rPr>
                <w:color w:val="000000" w:themeColor="text1"/>
              </w:rPr>
              <w:t>Lu</w:t>
            </w:r>
            <w:r w:rsidR="00906507">
              <w:rPr>
                <w:color w:val="000000" w:themeColor="text1"/>
              </w:rPr>
              <w:t xml:space="preserve"> </w:t>
            </w:r>
            <w:r w:rsidRPr="00B644BF">
              <w:rPr>
                <w:color w:val="000000" w:themeColor="text1"/>
              </w:rPr>
              <w:t xml:space="preserve">PSMA </w:t>
            </w:r>
            <w:r>
              <w:rPr>
                <w:color w:val="000000" w:themeColor="text1"/>
              </w:rPr>
              <w:t xml:space="preserve">and its associated tests </w:t>
            </w:r>
            <w:r w:rsidRPr="00B644BF">
              <w:rPr>
                <w:color w:val="000000" w:themeColor="text1"/>
              </w:rPr>
              <w:t xml:space="preserve">be </w:t>
            </w:r>
            <w:r>
              <w:rPr>
                <w:color w:val="000000" w:themeColor="text1"/>
              </w:rPr>
              <w:t xml:space="preserve">funded by </w:t>
            </w:r>
            <w:r w:rsidRPr="00B644BF">
              <w:rPr>
                <w:color w:val="000000" w:themeColor="text1"/>
              </w:rPr>
              <w:t>the MBS (the primary question addressed by this PICO)?</w:t>
            </w:r>
          </w:p>
          <w:p w14:paraId="3450FEEB" w14:textId="298C51C2" w:rsidR="00497D69" w:rsidRPr="00221162" w:rsidRDefault="00C61866" w:rsidP="00E9039C">
            <w:pPr>
              <w:numPr>
                <w:ilvl w:val="0"/>
                <w:numId w:val="38"/>
              </w:numPr>
              <w:tabs>
                <w:tab w:val="clear" w:pos="360"/>
              </w:tabs>
              <w:spacing w:after="120" w:line="240" w:lineRule="auto"/>
              <w:ind w:left="284" w:hanging="284"/>
              <w:rPr>
                <w:color w:val="000000" w:themeColor="text1"/>
              </w:rPr>
            </w:pPr>
            <w:r w:rsidRPr="00C56323">
              <w:rPr>
                <w:color w:val="000000" w:themeColor="text1"/>
              </w:rPr>
              <w:t>What is the effectiveness &amp; cost-effectiveness of post-</w:t>
            </w:r>
            <w:r w:rsidR="00497D69">
              <w:rPr>
                <w:color w:val="000000" w:themeColor="text1"/>
              </w:rPr>
              <w:t>therapy</w:t>
            </w:r>
            <w:r w:rsidRPr="00C56323">
              <w:rPr>
                <w:color w:val="000000" w:themeColor="text1"/>
              </w:rPr>
              <w:t xml:space="preserve"> SPECT/CT for the further management of </w:t>
            </w:r>
            <w:r w:rsidR="00497D69">
              <w:rPr>
                <w:color w:val="000000" w:themeColor="text1"/>
              </w:rPr>
              <w:t>patients</w:t>
            </w:r>
            <w:r w:rsidRPr="00C56323">
              <w:rPr>
                <w:color w:val="000000" w:themeColor="text1"/>
              </w:rPr>
              <w:t xml:space="preserve"> who receive </w:t>
            </w:r>
            <w:r w:rsidRPr="00C56323">
              <w:rPr>
                <w:color w:val="000000" w:themeColor="text1"/>
                <w:vertAlign w:val="superscript"/>
              </w:rPr>
              <w:t>177</w:t>
            </w:r>
            <w:r w:rsidRPr="00C56323">
              <w:rPr>
                <w:color w:val="000000" w:themeColor="text1"/>
              </w:rPr>
              <w:t>Lu</w:t>
            </w:r>
            <w:r w:rsidR="00906507">
              <w:rPr>
                <w:color w:val="000000" w:themeColor="text1"/>
              </w:rPr>
              <w:t xml:space="preserve"> </w:t>
            </w:r>
            <w:r w:rsidRPr="00C56323">
              <w:rPr>
                <w:color w:val="000000" w:themeColor="text1"/>
              </w:rPr>
              <w:t xml:space="preserve">PSMA </w:t>
            </w:r>
            <w:r w:rsidR="00497D69">
              <w:rPr>
                <w:color w:val="000000" w:themeColor="text1"/>
              </w:rPr>
              <w:t>therapy</w:t>
            </w:r>
            <w:r w:rsidRPr="00C56323">
              <w:rPr>
                <w:color w:val="000000" w:themeColor="text1"/>
              </w:rPr>
              <w:t>?</w:t>
            </w:r>
          </w:p>
          <w:p w14:paraId="002E58C9" w14:textId="6CAD861E" w:rsidR="00497D69" w:rsidRPr="00C56323" w:rsidRDefault="00497D69" w:rsidP="00E9039C">
            <w:pPr>
              <w:spacing w:after="120" w:line="240" w:lineRule="auto"/>
              <w:rPr>
                <w:color w:val="000000" w:themeColor="text1"/>
              </w:rPr>
            </w:pPr>
            <w:r w:rsidRPr="00C56323">
              <w:rPr>
                <w:color w:val="000000" w:themeColor="text1"/>
              </w:rPr>
              <w:t xml:space="preserve">(* </w:t>
            </w:r>
            <w:r w:rsidRPr="00C56323">
              <w:rPr>
                <w:i/>
                <w:iCs/>
                <w:color w:val="000000" w:themeColor="text1"/>
              </w:rPr>
              <w:t>Safety</w:t>
            </w:r>
            <w:r w:rsidRPr="00C56323">
              <w:rPr>
                <w:color w:val="000000" w:themeColor="text1"/>
              </w:rPr>
              <w:t xml:space="preserve"> of PSMA PET/CT </w:t>
            </w:r>
            <w:r>
              <w:rPr>
                <w:color w:val="000000" w:themeColor="text1"/>
              </w:rPr>
              <w:t>and</w:t>
            </w:r>
            <w:r w:rsidRPr="00C56323">
              <w:rPr>
                <w:color w:val="000000" w:themeColor="text1"/>
              </w:rPr>
              <w:t xml:space="preserve"> FDG PET/CT has been accepted by MSAC)</w:t>
            </w:r>
          </w:p>
        </w:tc>
      </w:tr>
    </w:tbl>
    <w:p w14:paraId="5D5376EF" w14:textId="302F549C" w:rsidR="006478E7" w:rsidRPr="00490FBB" w:rsidRDefault="00497D69" w:rsidP="00E01349">
      <w:r w:rsidRPr="00934A24">
        <w:rPr>
          <w:i/>
          <w:iCs/>
          <w:sz w:val="18"/>
          <w:szCs w:val="18"/>
        </w:rPr>
        <w:t>ASI, androgen</w:t>
      </w:r>
      <w:r w:rsidR="00962B90" w:rsidRPr="00934A24">
        <w:rPr>
          <w:i/>
          <w:iCs/>
          <w:sz w:val="18"/>
          <w:szCs w:val="18"/>
        </w:rPr>
        <w:t>-</w:t>
      </w:r>
      <w:r w:rsidRPr="00934A24">
        <w:rPr>
          <w:i/>
          <w:iCs/>
          <w:sz w:val="18"/>
          <w:szCs w:val="18"/>
        </w:rPr>
        <w:t>receptor signalling inhibitor; CT</w:t>
      </w:r>
      <w:r w:rsidR="00962B90" w:rsidRPr="00934A24">
        <w:rPr>
          <w:i/>
          <w:iCs/>
          <w:sz w:val="18"/>
          <w:szCs w:val="18"/>
        </w:rPr>
        <w:t>,</w:t>
      </w:r>
      <w:r w:rsidRPr="00934A24">
        <w:rPr>
          <w:i/>
          <w:iCs/>
          <w:sz w:val="18"/>
          <w:szCs w:val="18"/>
        </w:rPr>
        <w:t xml:space="preserve"> X-ray computed tomography; FDG, (fluorine-18)-fluorodeoxyglucose; GBq, gigabecquerel; IVI, intravenous infusion; </w:t>
      </w:r>
      <w:r w:rsidRPr="00934A24">
        <w:rPr>
          <w:i/>
          <w:iCs/>
          <w:sz w:val="18"/>
          <w:szCs w:val="18"/>
          <w:vertAlign w:val="superscript"/>
        </w:rPr>
        <w:t>177</w:t>
      </w:r>
      <w:r w:rsidRPr="00934A24">
        <w:rPr>
          <w:i/>
          <w:iCs/>
          <w:sz w:val="18"/>
          <w:szCs w:val="18"/>
        </w:rPr>
        <w:t>Lu, lutetium-177; MBS, Medicare Benefits Schedule; mC</w:t>
      </w:r>
      <w:r w:rsidR="00934A24">
        <w:rPr>
          <w:i/>
          <w:iCs/>
          <w:sz w:val="18"/>
          <w:szCs w:val="18"/>
        </w:rPr>
        <w:t>RP</w:t>
      </w:r>
      <w:r w:rsidRPr="00934A24">
        <w:rPr>
          <w:i/>
          <w:iCs/>
          <w:sz w:val="18"/>
          <w:szCs w:val="18"/>
        </w:rPr>
        <w:t xml:space="preserve">C, metastatic castrate-resistant prostate cancer; OS, overall survival; PBS, Pharmaceutical Benefits Schedule; PERCIST, </w:t>
      </w:r>
      <w:r w:rsidRPr="00934A24">
        <w:rPr>
          <w:rFonts w:asciiTheme="minorHAnsi" w:hAnsiTheme="minorHAnsi" w:cstheme="minorHAnsi"/>
          <w:i/>
          <w:iCs/>
          <w:sz w:val="18"/>
          <w:szCs w:val="18"/>
        </w:rPr>
        <w:t>Positron Emission Tomography Response Criteria in Solid Tumors</w:t>
      </w:r>
      <w:r w:rsidRPr="00934A24">
        <w:rPr>
          <w:rFonts w:cstheme="minorHAnsi"/>
          <w:i/>
          <w:iCs/>
          <w:sz w:val="18"/>
          <w:szCs w:val="18"/>
        </w:rPr>
        <w:t>;</w:t>
      </w:r>
      <w:r w:rsidRPr="00934A24">
        <w:rPr>
          <w:i/>
          <w:iCs/>
          <w:sz w:val="18"/>
          <w:szCs w:val="18"/>
        </w:rPr>
        <w:t xml:space="preserve"> PET, positron emission tomography; PFS, progression-free survival; PSA, prostate-specific antigen; PSMA, prostate-specific membrane antigen; QoL, quality of life; RECIST, </w:t>
      </w:r>
      <w:r w:rsidRPr="00934A24">
        <w:rPr>
          <w:rFonts w:asciiTheme="minorHAnsi" w:hAnsiTheme="minorHAnsi" w:cstheme="minorHAnsi"/>
          <w:i/>
          <w:iCs/>
          <w:sz w:val="18"/>
          <w:szCs w:val="18"/>
        </w:rPr>
        <w:t>Response Evaluation Criteria in Solid Tumors</w:t>
      </w:r>
      <w:r w:rsidRPr="00934A24">
        <w:rPr>
          <w:i/>
          <w:iCs/>
          <w:sz w:val="18"/>
          <w:szCs w:val="18"/>
        </w:rPr>
        <w:t xml:space="preserve">; </w:t>
      </w:r>
      <w:r w:rsidR="00FE0E17" w:rsidRPr="00934A24">
        <w:rPr>
          <w:i/>
          <w:iCs/>
          <w:sz w:val="18"/>
          <w:szCs w:val="18"/>
        </w:rPr>
        <w:t xml:space="preserve">RPBS, Repatriation Pharmaceutical Benefits Schedule; </w:t>
      </w:r>
      <w:r w:rsidRPr="00934A24">
        <w:rPr>
          <w:i/>
          <w:iCs/>
          <w:sz w:val="18"/>
          <w:szCs w:val="18"/>
        </w:rPr>
        <w:t>SPECT, single-photon emission computed tomography; SUV</w:t>
      </w:r>
      <w:r w:rsidRPr="00934A24">
        <w:rPr>
          <w:i/>
          <w:iCs/>
          <w:sz w:val="18"/>
          <w:szCs w:val="18"/>
          <w:vertAlign w:val="subscript"/>
        </w:rPr>
        <w:t>max</w:t>
      </w:r>
      <w:r w:rsidRPr="00934A24">
        <w:rPr>
          <w:i/>
          <w:iCs/>
          <w:sz w:val="18"/>
          <w:szCs w:val="18"/>
        </w:rPr>
        <w:t>, maximum standardised uptake value</w:t>
      </w:r>
      <w:r w:rsidR="006478E7" w:rsidRPr="00490FBB">
        <w:br w:type="page"/>
      </w:r>
    </w:p>
    <w:p w14:paraId="53297713" w14:textId="3F32290A" w:rsidR="00912660" w:rsidRDefault="00912660" w:rsidP="00713728">
      <w:pPr>
        <w:pStyle w:val="Heading2"/>
      </w:pPr>
      <w:r>
        <w:t>Purpose of application</w:t>
      </w:r>
    </w:p>
    <w:p w14:paraId="0E65AD1B" w14:textId="7888EA3A" w:rsidR="004C2C5E" w:rsidRDefault="004C2C5E" w:rsidP="0047315C">
      <w:r w:rsidRPr="009A3778">
        <w:t xml:space="preserve">An application </w:t>
      </w:r>
      <w:r w:rsidRPr="0047315C">
        <w:t>requesting Medicare Benefits Schedule (MBS) listing of</w:t>
      </w:r>
      <w:r w:rsidRPr="009A3778">
        <w:t xml:space="preserve"> </w:t>
      </w:r>
      <w:r w:rsidR="0047315C" w:rsidRPr="0047315C">
        <w:rPr>
          <w:vertAlign w:val="superscript"/>
        </w:rPr>
        <w:t>177</w:t>
      </w:r>
      <w:r w:rsidR="0047315C" w:rsidRPr="0047315C">
        <w:t>Lutetium Prostate Specific Membrane Antigen (PSMA) imaging and therapy (</w:t>
      </w:r>
      <w:r w:rsidR="00E41841">
        <w:t>I&amp;T</w:t>
      </w:r>
      <w:r w:rsidR="0047315C" w:rsidRPr="0047315C">
        <w:t>)</w:t>
      </w:r>
      <w:r w:rsidR="00B81F1B">
        <w:t xml:space="preserve">, </w:t>
      </w:r>
      <w:r w:rsidR="00B81F1B" w:rsidRPr="00B81F1B">
        <w:rPr>
          <w:vertAlign w:val="superscript"/>
        </w:rPr>
        <w:t>177</w:t>
      </w:r>
      <w:r w:rsidR="00B81F1B" w:rsidRPr="00B81F1B">
        <w:t xml:space="preserve">Lu PSMA </w:t>
      </w:r>
      <w:r w:rsidR="00E41841">
        <w:t>I&amp;T</w:t>
      </w:r>
      <w:r w:rsidR="00B81F1B" w:rsidRPr="00B81F1B">
        <w:t xml:space="preserve"> herein,</w:t>
      </w:r>
      <w:r w:rsidR="0047315C" w:rsidRPr="0047315C">
        <w:t xml:space="preserve"> for metastatic castrate resistant prostate cancer (mCRPC)</w:t>
      </w:r>
      <w:r w:rsidR="0047315C">
        <w:t xml:space="preserve"> </w:t>
      </w:r>
      <w:r w:rsidRPr="009A3778">
        <w:t xml:space="preserve">was received </w:t>
      </w:r>
      <w:r w:rsidR="00F917C7" w:rsidRPr="009A3778">
        <w:t xml:space="preserve">by the Department of Health </w:t>
      </w:r>
      <w:r w:rsidRPr="009A3778">
        <w:t xml:space="preserve">from </w:t>
      </w:r>
      <w:r w:rsidR="00EC14AB">
        <w:t xml:space="preserve">a </w:t>
      </w:r>
      <w:r w:rsidR="00EC14AB">
        <w:t>group of academic specialists</w:t>
      </w:r>
      <w:r w:rsidR="00F917C7">
        <w:t>, co-sponsored by the Australasian Association of Nuclear Medicine Specialists (AANMS)</w:t>
      </w:r>
      <w:r w:rsidRPr="009A3778">
        <w:t>.</w:t>
      </w:r>
    </w:p>
    <w:p w14:paraId="7D22EB7E" w14:textId="63CF5579" w:rsidR="00554726" w:rsidRDefault="00554726" w:rsidP="00554726">
      <w:pPr>
        <w:rPr>
          <w:highlight w:val="green"/>
        </w:rPr>
      </w:pPr>
      <w:r>
        <w:t>The application (p2) explains that t</w:t>
      </w:r>
      <w:r w:rsidRPr="00256DAC">
        <w:t>o date</w:t>
      </w:r>
      <w:r>
        <w:t>,</w:t>
      </w:r>
      <w:r w:rsidRPr="00256DAC">
        <w:t xml:space="preserve"> all prospective trials have been undertaken using </w:t>
      </w:r>
      <w:r w:rsidRPr="00256DAC">
        <w:rPr>
          <w:vertAlign w:val="superscript"/>
        </w:rPr>
        <w:t>177</w:t>
      </w:r>
      <w:r w:rsidRPr="00256DAC">
        <w:t xml:space="preserve">Lu PSMA-617 which is under patent with Novartis, who have no plans to apply for registration in Australia. </w:t>
      </w:r>
      <w:r>
        <w:t xml:space="preserve">The application further explains that </w:t>
      </w:r>
      <w:r w:rsidRPr="00256DAC">
        <w:rPr>
          <w:vertAlign w:val="superscript"/>
        </w:rPr>
        <w:t>177</w:t>
      </w:r>
      <w:r>
        <w:t xml:space="preserve">Lu </w:t>
      </w:r>
      <w:r w:rsidRPr="00256DAC">
        <w:t>PSMA</w:t>
      </w:r>
      <w:r>
        <w:t>-</w:t>
      </w:r>
      <w:r w:rsidRPr="00256DAC">
        <w:t xml:space="preserve">617 and </w:t>
      </w:r>
      <w:r w:rsidRPr="00256DAC">
        <w:rPr>
          <w:vertAlign w:val="superscript"/>
        </w:rPr>
        <w:t>177</w:t>
      </w:r>
      <w:r>
        <w:t>Lu</w:t>
      </w:r>
      <w:r w:rsidRPr="00256DAC">
        <w:t xml:space="preserve"> PSMA </w:t>
      </w:r>
      <w:r w:rsidR="00E41841">
        <w:t>I&amp;T</w:t>
      </w:r>
      <w:r w:rsidRPr="00256DAC">
        <w:t xml:space="preserve"> are almost identical peptides with equivalent clinical responses and toxicities. </w:t>
      </w:r>
      <w:r>
        <w:t>Good laboratory practice (</w:t>
      </w:r>
      <w:r w:rsidRPr="00256DAC">
        <w:t>GL</w:t>
      </w:r>
      <w:r>
        <w:t>P)</w:t>
      </w:r>
      <w:r w:rsidRPr="00256DAC">
        <w:t xml:space="preserve"> produced </w:t>
      </w:r>
      <w:r>
        <w:rPr>
          <w:vertAlign w:val="superscript"/>
        </w:rPr>
        <w:t>177</w:t>
      </w:r>
      <w:r w:rsidRPr="00256DAC">
        <w:t xml:space="preserve">Lu PSMA </w:t>
      </w:r>
      <w:r w:rsidR="00E41841">
        <w:t>I&amp;T</w:t>
      </w:r>
      <w:r w:rsidRPr="00256DAC">
        <w:t xml:space="preserve"> is currently being offered around Australia under the </w:t>
      </w:r>
      <w:r w:rsidR="00953283">
        <w:t>Special Access Scheme (</w:t>
      </w:r>
      <w:r w:rsidRPr="00256DAC">
        <w:t>SAS</w:t>
      </w:r>
      <w:r w:rsidR="00953283">
        <w:t>)</w:t>
      </w:r>
      <w:r w:rsidRPr="00256DAC">
        <w:t xml:space="preserve"> and is approved by </w:t>
      </w:r>
      <w:r w:rsidR="00953283">
        <w:t>Department of Veteran’s Affairs (</w:t>
      </w:r>
      <w:r w:rsidRPr="00256DAC">
        <w:t>DVA</w:t>
      </w:r>
      <w:r w:rsidR="00953283">
        <w:t>)</w:t>
      </w:r>
      <w:r w:rsidRPr="00256DAC">
        <w:t xml:space="preserve"> for veterans. There is no available formal funding, leading to inequitable access to treatment in this effective class of drugs for </w:t>
      </w:r>
      <w:r w:rsidR="00761B67">
        <w:t>patients</w:t>
      </w:r>
      <w:r w:rsidR="00761B67" w:rsidRPr="00256DAC">
        <w:t xml:space="preserve"> </w:t>
      </w:r>
      <w:r w:rsidRPr="00256DAC">
        <w:t>suffering from a painful lethal condition.</w:t>
      </w:r>
    </w:p>
    <w:p w14:paraId="3FB14BC4" w14:textId="7BB33E01" w:rsidR="00554726" w:rsidRPr="00066772" w:rsidRDefault="00554726" w:rsidP="00554726">
      <w:r w:rsidRPr="00066772">
        <w:t xml:space="preserve">The MSAC Executive noted that </w:t>
      </w:r>
      <w:r w:rsidRPr="00066772">
        <w:rPr>
          <w:vertAlign w:val="superscript"/>
        </w:rPr>
        <w:t>177</w:t>
      </w:r>
      <w:r w:rsidRPr="00066772">
        <w:t xml:space="preserve">Lu PSMA </w:t>
      </w:r>
      <w:r w:rsidR="00E41841">
        <w:t>I&amp;T</w:t>
      </w:r>
      <w:r w:rsidRPr="00066772">
        <w:t xml:space="preserve"> is produced under GLP (good laboratory practice), is currently being offered around Australia under the TGA’s Special Access Scheme and is approved by DVA for veterans. Based on the evidence submitted by the applicant, and with regard to both dose and product affinity for the intended receptor, the MSAC Executive agreed that the non-pharma supported (feasible) off-patent </w:t>
      </w:r>
      <w:r w:rsidRPr="00066772">
        <w:rPr>
          <w:vertAlign w:val="superscript"/>
        </w:rPr>
        <w:t>177</w:t>
      </w:r>
      <w:r w:rsidRPr="00066772">
        <w:t xml:space="preserve">Lu PSMA </w:t>
      </w:r>
      <w:r w:rsidR="00E41841">
        <w:t>I&amp;T</w:t>
      </w:r>
      <w:r w:rsidRPr="00066772">
        <w:t xml:space="preserve"> is bioequivalent in clinical responses and toxicities to the un-available well-validated </w:t>
      </w:r>
      <w:r w:rsidRPr="00066772">
        <w:rPr>
          <w:vertAlign w:val="superscript"/>
        </w:rPr>
        <w:t>177</w:t>
      </w:r>
      <w:r w:rsidRPr="00066772">
        <w:t xml:space="preserve">Lu PSMA-617 for the treatment of </w:t>
      </w:r>
      <w:r w:rsidR="00761B67" w:rsidRPr="004E0015">
        <w:t>[patients]</w:t>
      </w:r>
      <w:r w:rsidR="00761B67" w:rsidRPr="00066772">
        <w:t xml:space="preserve"> </w:t>
      </w:r>
      <w:r w:rsidRPr="00066772">
        <w:t xml:space="preserve">with mCRPC, and so the evidence base for </w:t>
      </w:r>
      <w:r w:rsidRPr="00066772">
        <w:rPr>
          <w:vertAlign w:val="superscript"/>
        </w:rPr>
        <w:t>177</w:t>
      </w:r>
      <w:r w:rsidRPr="00066772">
        <w:t xml:space="preserve">Lu PSMA-617 could be applied to assess the clinical performance of </w:t>
      </w:r>
      <w:r w:rsidRPr="00066772">
        <w:rPr>
          <w:vertAlign w:val="superscript"/>
        </w:rPr>
        <w:t>177</w:t>
      </w:r>
      <w:r w:rsidRPr="00066772">
        <w:t xml:space="preserve">Lu PSMA </w:t>
      </w:r>
      <w:r w:rsidR="00E41841">
        <w:t>I&amp;T</w:t>
      </w:r>
      <w:r w:rsidRPr="00066772">
        <w:t>.</w:t>
      </w:r>
    </w:p>
    <w:p w14:paraId="0FB475F3" w14:textId="265EAA2B" w:rsidR="00554726" w:rsidRPr="00066772" w:rsidRDefault="00554726" w:rsidP="00554726">
      <w:r w:rsidRPr="00066772">
        <w:t xml:space="preserve">Thus, for the purposes of this PICO confirmation (and in the subsequent assessment report), the evidence base that is available for </w:t>
      </w:r>
      <w:r w:rsidRPr="00066772">
        <w:rPr>
          <w:vertAlign w:val="superscript"/>
        </w:rPr>
        <w:t>177</w:t>
      </w:r>
      <w:r w:rsidRPr="00066772">
        <w:t xml:space="preserve">Lu PSMA-617 is assumed to apply to </w:t>
      </w:r>
      <w:r w:rsidRPr="00066772">
        <w:rPr>
          <w:vertAlign w:val="superscript"/>
        </w:rPr>
        <w:t>177</w:t>
      </w:r>
      <w:r w:rsidRPr="00066772">
        <w:t xml:space="preserve">Lu PSMA </w:t>
      </w:r>
      <w:r w:rsidR="00E41841">
        <w:t>I&amp;T</w:t>
      </w:r>
      <w:r w:rsidRPr="00066772">
        <w:t>.</w:t>
      </w:r>
    </w:p>
    <w:p w14:paraId="5C0F11D0" w14:textId="72C4EC54" w:rsidR="00753B6C" w:rsidRPr="00BE5DAF" w:rsidRDefault="00753B6C" w:rsidP="00753B6C">
      <w:r>
        <w:t xml:space="preserve">The clinical claim made by the applicant is that the </w:t>
      </w:r>
      <w:r w:rsidRPr="00F86135">
        <w:t xml:space="preserve">use of the </w:t>
      </w:r>
      <w:r w:rsidRPr="00F86135">
        <w:rPr>
          <w:vertAlign w:val="superscript"/>
        </w:rPr>
        <w:t>177</w:t>
      </w:r>
      <w:r w:rsidRPr="00F86135">
        <w:t xml:space="preserve">Lu PSMA </w:t>
      </w:r>
      <w:r w:rsidR="00E41841">
        <w:t>I&amp;T</w:t>
      </w:r>
      <w:r w:rsidRPr="00F86135">
        <w:t xml:space="preserve"> results in superior health outcomes compared to the cabazitaxel and </w:t>
      </w:r>
      <w:r w:rsidR="00E86D78">
        <w:t>standard</w:t>
      </w:r>
      <w:r w:rsidR="00C12678">
        <w:t xml:space="preserve"> care</w:t>
      </w:r>
      <w:r w:rsidRPr="00F86135">
        <w:t>.</w:t>
      </w:r>
      <w:r>
        <w:rPr>
          <w:i/>
          <w:iCs/>
        </w:rPr>
        <w:t xml:space="preserve"> </w:t>
      </w:r>
      <w:r w:rsidRPr="00F86135">
        <w:t>No claim</w:t>
      </w:r>
      <w:r>
        <w:t>s</w:t>
      </w:r>
      <w:r w:rsidRPr="00F86135">
        <w:t xml:space="preserve"> regarding comparative safety were provided</w:t>
      </w:r>
      <w:r w:rsidRPr="00900179">
        <w:rPr>
          <w:i/>
          <w:iCs/>
        </w:rPr>
        <w:t>.</w:t>
      </w:r>
    </w:p>
    <w:p w14:paraId="5B28F7FC" w14:textId="27F5BB18" w:rsidR="00341917" w:rsidRPr="00066772" w:rsidRDefault="00341917" w:rsidP="00341917">
      <w:r w:rsidRPr="00066772">
        <w:t xml:space="preserve">Although the application detailed a request for the use of </w:t>
      </w:r>
      <w:r w:rsidRPr="00066772">
        <w:rPr>
          <w:vertAlign w:val="superscript"/>
        </w:rPr>
        <w:t>177</w:t>
      </w:r>
      <w:r w:rsidRPr="00066772">
        <w:t xml:space="preserve">Lu PSMA </w:t>
      </w:r>
      <w:r w:rsidR="00E41841">
        <w:t>I&amp;T</w:t>
      </w:r>
      <w:r w:rsidRPr="00066772">
        <w:t>, only for the treatment of mCRPC, through discussions with the applicant, it became evident that requests for prior testing to select patients for treatment was required. Thus, the application is for two diagnostic tests (both positron emission tomography (PET)/computerised tomography (CT)) and one therapeutic intervention</w:t>
      </w:r>
      <w:r w:rsidR="004E0015" w:rsidRPr="00066772">
        <w:t xml:space="preserve"> with </w:t>
      </w:r>
      <w:r w:rsidR="007B3E5F">
        <w:t>post-treatment</w:t>
      </w:r>
      <w:r w:rsidR="004E0015" w:rsidRPr="00066772">
        <w:t xml:space="preserve"> imaging</w:t>
      </w:r>
      <w:r w:rsidRPr="00066772">
        <w:t>.</w:t>
      </w:r>
    </w:p>
    <w:p w14:paraId="00FED098" w14:textId="1A373376" w:rsidR="00900179" w:rsidRPr="00066772" w:rsidRDefault="009D1B62" w:rsidP="00341917">
      <w:r w:rsidRPr="00066772">
        <w:t>Although not specifying a clinical claim for the codependent technology, expanding to include the diagnostic pre-requisite tests is presumed to not change the clinical claim for the therapy.</w:t>
      </w:r>
    </w:p>
    <w:p w14:paraId="6E4B8A19" w14:textId="77777777" w:rsidR="001E2B15" w:rsidRDefault="001E2B15">
      <w:pPr>
        <w:spacing w:after="160" w:line="259" w:lineRule="auto"/>
        <w:rPr>
          <w:rFonts w:ascii="Franklin Gothic Medium" w:eastAsiaTheme="majorEastAsia" w:hAnsi="Franklin Gothic Medium" w:cstheme="majorBidi"/>
          <w:color w:val="000000" w:themeColor="text1"/>
          <w:sz w:val="32"/>
          <w:szCs w:val="26"/>
        </w:rPr>
      </w:pPr>
      <w:r>
        <w:br w:type="page"/>
      </w:r>
    </w:p>
    <w:p w14:paraId="18E66948" w14:textId="7E17E355" w:rsidR="00D73332" w:rsidRPr="00FD4C65" w:rsidRDefault="00D73332" w:rsidP="00FD4C65">
      <w:pPr>
        <w:pStyle w:val="Heading2"/>
      </w:pPr>
      <w:r w:rsidRPr="00FD4C65">
        <w:t xml:space="preserve">PICO </w:t>
      </w:r>
      <w:r w:rsidR="00FD4E33" w:rsidRPr="00FD4C65">
        <w:t>criteria</w:t>
      </w:r>
    </w:p>
    <w:p w14:paraId="06B30611" w14:textId="182504F7" w:rsidR="007D6B83" w:rsidRDefault="007D6B83" w:rsidP="007D6B83">
      <w:pPr>
        <w:pStyle w:val="Heading3"/>
      </w:pPr>
      <w:r w:rsidRPr="00EA03C6">
        <w:t>Population</w:t>
      </w:r>
    </w:p>
    <w:p w14:paraId="1AA3B0BC" w14:textId="2524A957" w:rsidR="00EA03C6" w:rsidRDefault="00EA03C6" w:rsidP="00D447E7">
      <w:pPr>
        <w:spacing w:before="200"/>
      </w:pPr>
      <w:r w:rsidRPr="00B67057">
        <w:t xml:space="preserve">Metastatic castrate refractory prostate cancer is a disease that </w:t>
      </w:r>
      <w:r w:rsidR="00E85AB7">
        <w:t>resulted in</w:t>
      </w:r>
      <w:r w:rsidRPr="00B67057">
        <w:t xml:space="preserve"> the deaths of over 3000 </w:t>
      </w:r>
      <w:r>
        <w:t>patients</w:t>
      </w:r>
      <w:r w:rsidRPr="00B67057">
        <w:t xml:space="preserve"> in Australia in 2020. The natural history of prostate cancer varies with its presentation and features. </w:t>
      </w:r>
      <w:r w:rsidR="00E85AB7">
        <w:t>Some</w:t>
      </w:r>
      <w:r w:rsidRPr="00B67057">
        <w:t xml:space="preserve"> </w:t>
      </w:r>
      <w:r>
        <w:t>patients</w:t>
      </w:r>
      <w:r w:rsidRPr="00B67057">
        <w:t xml:space="preserve"> present with </w:t>
      </w:r>
      <w:r w:rsidRPr="00EA03C6">
        <w:rPr>
          <w:i/>
          <w:iCs/>
        </w:rPr>
        <w:t>de novo</w:t>
      </w:r>
      <w:r>
        <w:t xml:space="preserve"> metastatic disease (known as mHSPC – metastatic hormone sensitive prostate cancer). The</w:t>
      </w:r>
      <w:r w:rsidR="00E85AB7">
        <w:t xml:space="preserve"> application states the</w:t>
      </w:r>
      <w:r>
        <w:t>se patients compromise about 10% of all the initial presentations of prostate cancer annually. These patients are usually treated with androgen deprivation therapy</w:t>
      </w:r>
      <w:r w:rsidR="00E85AB7">
        <w:t xml:space="preserve"> (ADT</w:t>
      </w:r>
      <w:r>
        <w:t xml:space="preserve">) that remove physiological testosterone from their body to control their cancer, before considering the need for further therapies such as high potency testosterone antagonists/synthesis inhibitors such as enzalutamide/abiraterone or the consideration of chemotherapy (docetaxel, cabazitaxel) used as needed as the disease progresses. Recent data from large studies in this mHSPC population suggests that median OS in this population exceeds 4 years. </w:t>
      </w:r>
    </w:p>
    <w:p w14:paraId="14BFE07C" w14:textId="0A81284E" w:rsidR="00EA03C6" w:rsidRDefault="00E85AB7" w:rsidP="00EA03C6">
      <w:r>
        <w:t>T</w:t>
      </w:r>
      <w:r w:rsidR="00EA03C6">
        <w:t xml:space="preserve">he majority of patients with mCRPC are those who have had their primary prostate cancer previously treated (either by surgery or radiation therapy, or both) and who have had </w:t>
      </w:r>
      <w:r>
        <w:t>prostate serum antigen (</w:t>
      </w:r>
      <w:r w:rsidR="00EA03C6">
        <w:t>PSA</w:t>
      </w:r>
      <w:r>
        <w:t>)</w:t>
      </w:r>
      <w:r w:rsidR="00EA03C6">
        <w:t xml:space="preserve"> relapse and the development of metastases. These patients will thereafter be treated with ADT, with its ensuing side-effects relating to testosterone depletion (hot flashes, loss of bone/muscle mass, loss of libido, increased risk of dementia) and thereafter a combination of agents as above over a course of 3-7 years of treatment on average (5 year survival is poor).</w:t>
      </w:r>
    </w:p>
    <w:p w14:paraId="5F3C2C1B" w14:textId="17F3E692" w:rsidR="00E9276C" w:rsidRDefault="00EA03C6" w:rsidP="00EA03C6">
      <w:r>
        <w:t xml:space="preserve">Aside from the morbidity associated with mCRPC, with is the lethal disease state, there is also significant morbidity associated with treatment-refractory disease exacerbated by the bone-tropic pattern of spread in the cancer as it progresses. Generally, approximately 30% of </w:t>
      </w:r>
      <w:r w:rsidR="005E66BD">
        <w:t xml:space="preserve">patients </w:t>
      </w:r>
      <w:r>
        <w:t>with prostate cancer require the use of opioid analgesia during the course of their disease for metastases. S</w:t>
      </w:r>
      <w:r w:rsidRPr="008A15B7">
        <w:t>keletal-related events (SREs) have clinically meaningful and significant impact on health-related QOL, with physical, emotional, and functional wellbeing all declining after pathologic fractures and radiation therapy.</w:t>
      </w:r>
    </w:p>
    <w:p w14:paraId="068A3885" w14:textId="61FA4DCA" w:rsidR="009D1B62" w:rsidRDefault="009D1B62" w:rsidP="003552F2">
      <w:r>
        <w:t>As noted above, the application is making a request for MBS listing of two pre-requisite PET/CT scans to determine eligibility for the therapeutic intervention</w:t>
      </w:r>
      <w:r w:rsidR="004E0015">
        <w:t xml:space="preserve"> with </w:t>
      </w:r>
      <w:r w:rsidR="007B3E5F">
        <w:t>post-treatment</w:t>
      </w:r>
      <w:r w:rsidR="004E0015">
        <w:t xml:space="preserve"> imaging</w:t>
      </w:r>
      <w:r>
        <w:t>. The population thus, changes through the diagnostic process as follows:</w:t>
      </w:r>
    </w:p>
    <w:p w14:paraId="36322404" w14:textId="248F6C99" w:rsidR="009D1B62" w:rsidRDefault="009D1B62" w:rsidP="003552F2">
      <w:r w:rsidRPr="00900179">
        <w:rPr>
          <w:u w:val="single"/>
        </w:rPr>
        <w:t>Diagnostic Test 1</w:t>
      </w:r>
      <w:r>
        <w:t xml:space="preserve"> Whole body prostate-specific membrane antigen (PSMA) </w:t>
      </w:r>
      <w:r w:rsidRPr="00900179">
        <w:t>positron emission tomography</w:t>
      </w:r>
      <w:r>
        <w:t xml:space="preserve"> (PET)</w:t>
      </w:r>
      <w:r w:rsidRPr="00900179">
        <w:t xml:space="preserve">/computed tomography </w:t>
      </w:r>
      <w:r>
        <w:t xml:space="preserve">(CT) - PSMA PET/CT: Patients </w:t>
      </w:r>
      <w:r w:rsidR="003552F2">
        <w:t xml:space="preserve">who have progressive or symptomatic mCRPC who </w:t>
      </w:r>
      <w:r w:rsidR="003552F2" w:rsidRPr="00EA03C6">
        <w:t xml:space="preserve">have received at least </w:t>
      </w:r>
      <w:r w:rsidR="003552F2">
        <w:t>one</w:t>
      </w:r>
      <w:r w:rsidR="003552F2" w:rsidRPr="00EA03C6">
        <w:t xml:space="preserve"> </w:t>
      </w:r>
      <w:r w:rsidR="003552F2">
        <w:t>a</w:t>
      </w:r>
      <w:r w:rsidR="003552F2" w:rsidRPr="00EA03C6">
        <w:t xml:space="preserve">ndrogen </w:t>
      </w:r>
      <w:r w:rsidR="003552F2">
        <w:t>r</w:t>
      </w:r>
      <w:r w:rsidR="003552F2" w:rsidRPr="00EA03C6">
        <w:t xml:space="preserve">eceptor </w:t>
      </w:r>
      <w:r w:rsidR="003552F2">
        <w:t>s</w:t>
      </w:r>
      <w:r w:rsidR="003552F2" w:rsidRPr="00EA03C6">
        <w:t xml:space="preserve">ignalling </w:t>
      </w:r>
      <w:r w:rsidR="003552F2">
        <w:t>i</w:t>
      </w:r>
      <w:r w:rsidR="003552F2" w:rsidRPr="00EA03C6">
        <w:t xml:space="preserve">nhibitor </w:t>
      </w:r>
      <w:r w:rsidR="003552F2">
        <w:t>(</w:t>
      </w:r>
      <w:r w:rsidR="003552F2" w:rsidRPr="00EA03C6">
        <w:t>ASI</w:t>
      </w:r>
      <w:r w:rsidR="003552F2">
        <w:t>; a</w:t>
      </w:r>
      <w:r w:rsidR="003552F2" w:rsidRPr="00EA03C6">
        <w:t>biraterone/</w:t>
      </w:r>
      <w:r w:rsidR="003552F2">
        <w:t>e</w:t>
      </w:r>
      <w:r w:rsidR="003552F2" w:rsidRPr="00EA03C6">
        <w:t>nzalutamide/</w:t>
      </w:r>
      <w:r w:rsidR="003552F2">
        <w:t>d</w:t>
      </w:r>
      <w:r w:rsidR="003552F2" w:rsidRPr="00EA03C6">
        <w:t xml:space="preserve">arolutamide via PBS/RPBS) as well as at least </w:t>
      </w:r>
      <w:r w:rsidR="003552F2">
        <w:t>one</w:t>
      </w:r>
      <w:r w:rsidR="003552F2" w:rsidRPr="00EA03C6">
        <w:t xml:space="preserve"> line of chemotherapy (</w:t>
      </w:r>
      <w:r w:rsidR="003552F2">
        <w:t>d</w:t>
      </w:r>
      <w:r w:rsidR="003552F2" w:rsidRPr="00EA03C6">
        <w:t xml:space="preserve">ocetaxel +/- </w:t>
      </w:r>
      <w:r w:rsidR="003552F2">
        <w:t>c</w:t>
      </w:r>
      <w:r w:rsidR="003552F2" w:rsidRPr="00EA03C6">
        <w:t xml:space="preserve">abazitaxel via PBS/RPBS) in the setting of </w:t>
      </w:r>
      <w:r w:rsidR="003552F2">
        <w:t>mCRPC</w:t>
      </w:r>
      <w:r w:rsidR="003552F2" w:rsidRPr="00EA03C6">
        <w:t>.</w:t>
      </w:r>
      <w:r w:rsidR="003552F2">
        <w:t xml:space="preserve"> </w:t>
      </w:r>
      <w:r w:rsidRPr="00066772">
        <w:t>Darolutamide was considered by the PBAC for patients with non-metastatic castrate resistant prostate cancer at high risk of distant metastases (March 2021, July 2020). The applicant anticipates darolutamide to be PBS listed metastatic disease status agnostic.</w:t>
      </w:r>
    </w:p>
    <w:p w14:paraId="3C9C8784" w14:textId="7C43332C" w:rsidR="009D1B62" w:rsidRDefault="009D1B62" w:rsidP="003552F2">
      <w:r w:rsidRPr="006F47DD">
        <w:rPr>
          <w:u w:val="single"/>
        </w:rPr>
        <w:t>Diagnostic Test 2</w:t>
      </w:r>
      <w:r>
        <w:t xml:space="preserve"> Whole body </w:t>
      </w:r>
      <w:r w:rsidRPr="006F47DD">
        <w:rPr>
          <w:vertAlign w:val="superscript"/>
        </w:rPr>
        <w:t>18</w:t>
      </w:r>
      <w:r>
        <w:t xml:space="preserve">F-fluorodeoxyglucose (FDG) PET/CT – FDG PET/CT: Patients </w:t>
      </w:r>
      <w:r w:rsidRPr="00900179">
        <w:t xml:space="preserve">who have progressive or symptomatic metastatic castrate resistant prostate </w:t>
      </w:r>
      <w:r w:rsidRPr="00900179">
        <w:rPr>
          <w:rFonts w:cs="Arial"/>
        </w:rPr>
        <w:t>cancer</w:t>
      </w:r>
      <w:r w:rsidRPr="00900179">
        <w:t xml:space="preserve"> </w:t>
      </w:r>
      <w:r>
        <w:t>(</w:t>
      </w:r>
      <w:r w:rsidRPr="00900179">
        <w:t>mCRPC</w:t>
      </w:r>
      <w:r>
        <w:t>)</w:t>
      </w:r>
      <w:r w:rsidRPr="00900179">
        <w:t xml:space="preserve"> who have received at least one androgen receptor signalling inhibitor (ASI; abiraterone/enzalutamide/darolutamide via PBS/RPBS) as well as at least one line of chemotherapy (docetaxel +/- cabazitaxel via PBS/RPBS) in the setting of mCRPC</w:t>
      </w:r>
      <w:r>
        <w:t xml:space="preserve"> </w:t>
      </w:r>
      <w:r w:rsidRPr="000F1405">
        <w:rPr>
          <w:b/>
          <w:bCs/>
        </w:rPr>
        <w:t>AND</w:t>
      </w:r>
      <w:r>
        <w:t xml:space="preserve"> who are </w:t>
      </w:r>
      <w:r w:rsidR="00205F29">
        <w:t xml:space="preserve">PSMA-positive (according to PSMA PET/CT; defined as </w:t>
      </w:r>
      <w:r w:rsidR="00205F29" w:rsidRPr="00D61DEB">
        <w:t xml:space="preserve">maximum standardised uptake value </w:t>
      </w:r>
      <w:r w:rsidR="00205F29">
        <w:t>[</w:t>
      </w:r>
      <w:r w:rsidR="00205F29" w:rsidRPr="00D61DEB">
        <w:t>SUV</w:t>
      </w:r>
      <w:r w:rsidR="00205F29" w:rsidRPr="0088736C">
        <w:rPr>
          <w:vertAlign w:val="subscript"/>
        </w:rPr>
        <w:t>max</w:t>
      </w:r>
      <w:r w:rsidR="00205F29">
        <w:t>]</w:t>
      </w:r>
      <w:r w:rsidR="00205F29" w:rsidRPr="00D61DEB">
        <w:t xml:space="preserve"> of &gt;15 at a single site of disease and SUV</w:t>
      </w:r>
      <w:r w:rsidR="00205F29" w:rsidRPr="0088736C">
        <w:rPr>
          <w:vertAlign w:val="subscript"/>
        </w:rPr>
        <w:t>max</w:t>
      </w:r>
      <w:r w:rsidR="00205F29" w:rsidRPr="00D61DEB">
        <w:t xml:space="preserve"> &gt;10 at all sites of measurable disease</w:t>
      </w:r>
      <w:r w:rsidR="00205F29">
        <w:t>)</w:t>
      </w:r>
      <w:r>
        <w:t>.</w:t>
      </w:r>
    </w:p>
    <w:p w14:paraId="37052E58" w14:textId="024E602B" w:rsidR="009D1B62" w:rsidRDefault="009D1B62" w:rsidP="003552F2">
      <w:r w:rsidRPr="006F47DD">
        <w:rPr>
          <w:u w:val="single"/>
        </w:rPr>
        <w:t>Therapeutic intervention</w:t>
      </w:r>
      <w:r w:rsidRPr="006F47DD">
        <w:t xml:space="preserve"> </w:t>
      </w:r>
      <w:r w:rsidRPr="006F47DD">
        <w:rPr>
          <w:vertAlign w:val="superscript"/>
        </w:rPr>
        <w:t>177</w:t>
      </w:r>
      <w:r w:rsidRPr="006F47DD">
        <w:t>Lutetium prostate-specific membrane antigen imaging and therapy (</w:t>
      </w:r>
      <w:r w:rsidRPr="006F47DD">
        <w:rPr>
          <w:vertAlign w:val="superscript"/>
        </w:rPr>
        <w:t>177</w:t>
      </w:r>
      <w:r w:rsidRPr="006F47DD">
        <w:t xml:space="preserve">Lu PSMA </w:t>
      </w:r>
      <w:r w:rsidR="00E41841">
        <w:t>I&amp;T</w:t>
      </w:r>
      <w:r w:rsidRPr="006F47DD">
        <w:t>)</w:t>
      </w:r>
      <w:r>
        <w:t xml:space="preserve">: Patients </w:t>
      </w:r>
      <w:r w:rsidRPr="00900179">
        <w:t xml:space="preserve">who have progressive or symptomatic metastatic castrate resistant prostate </w:t>
      </w:r>
      <w:r w:rsidRPr="00900179">
        <w:rPr>
          <w:rFonts w:cs="Arial"/>
        </w:rPr>
        <w:t>cancer</w:t>
      </w:r>
      <w:r w:rsidRPr="00900179">
        <w:t xml:space="preserve"> </w:t>
      </w:r>
      <w:r>
        <w:t>(</w:t>
      </w:r>
      <w:r w:rsidRPr="00900179">
        <w:t>mCRPC</w:t>
      </w:r>
      <w:r>
        <w:t>)</w:t>
      </w:r>
      <w:r w:rsidRPr="00900179">
        <w:t xml:space="preserve"> who have received at least one androgen receptor signalling inhibitor (ASI; abiraterone/enzalutamide/darolutamide via PBS/RPBS) as well as at least one line of chemotherapy (docetaxel +/- cabazitaxel via PBS/RPBS) in the setting of mCRPC</w:t>
      </w:r>
      <w:r>
        <w:t xml:space="preserve"> </w:t>
      </w:r>
      <w:r w:rsidRPr="000F1405">
        <w:rPr>
          <w:b/>
          <w:bCs/>
        </w:rPr>
        <w:t>AND</w:t>
      </w:r>
      <w:r>
        <w:t xml:space="preserve"> who are </w:t>
      </w:r>
      <w:r w:rsidR="00205F29">
        <w:t>PSMA-positive by PSMA PET/CT with NO FDG discordant disease</w:t>
      </w:r>
      <w:r>
        <w:t>.</w:t>
      </w:r>
    </w:p>
    <w:p w14:paraId="145C49B0" w14:textId="0243BF76" w:rsidR="00F94460" w:rsidRPr="00066772" w:rsidRDefault="00F94460" w:rsidP="003552F2">
      <w:r w:rsidRPr="00066772">
        <w:t>The proposed population is:</w:t>
      </w:r>
    </w:p>
    <w:p w14:paraId="4EBAB485" w14:textId="513E170D" w:rsidR="00F94460" w:rsidRPr="00066772" w:rsidRDefault="00F94460" w:rsidP="00F94460">
      <w:pPr>
        <w:pStyle w:val="ListParagraph"/>
        <w:numPr>
          <w:ilvl w:val="0"/>
          <w:numId w:val="12"/>
        </w:numPr>
        <w:ind w:left="284" w:hanging="284"/>
      </w:pPr>
      <w:r w:rsidRPr="00066772">
        <w:t xml:space="preserve">consistent with those enrolled in the TheraP trial (a comparison of </w:t>
      </w:r>
      <w:r w:rsidRPr="00066772">
        <w:rPr>
          <w:vertAlign w:val="superscript"/>
        </w:rPr>
        <w:t>177</w:t>
      </w:r>
      <w:r w:rsidRPr="00066772">
        <w:t>Lu PSMA-617 and cabazitaxel in patients with PSMA-positive mCRPC and no sites of metastatic disease with discordant FDG-positive and PSMA-negative findings; Hofman 2021); and</w:t>
      </w:r>
    </w:p>
    <w:p w14:paraId="27EEEA03" w14:textId="707FC91B" w:rsidR="00F94460" w:rsidRPr="00066772" w:rsidRDefault="00F94460" w:rsidP="00F94460">
      <w:pPr>
        <w:pStyle w:val="ListParagraph"/>
        <w:numPr>
          <w:ilvl w:val="0"/>
          <w:numId w:val="12"/>
        </w:numPr>
        <w:ind w:left="284" w:hanging="284"/>
      </w:pPr>
      <w:r w:rsidRPr="00066772">
        <w:t xml:space="preserve">similar to those enrolled in the VISION trial (a comparison of </w:t>
      </w:r>
      <w:r w:rsidRPr="00066772">
        <w:rPr>
          <w:vertAlign w:val="superscript"/>
        </w:rPr>
        <w:t>177</w:t>
      </w:r>
      <w:r w:rsidRPr="00066772">
        <w:t xml:space="preserve">Lu PSMA-617 + </w:t>
      </w:r>
      <w:r w:rsidR="00E86D78">
        <w:t>standard</w:t>
      </w:r>
      <w:r w:rsidR="00C12678">
        <w:t xml:space="preserve"> care</w:t>
      </w:r>
      <w:r w:rsidRPr="00066772">
        <w:t xml:space="preserve"> versus </w:t>
      </w:r>
      <w:r w:rsidR="00E86D78">
        <w:t>standard</w:t>
      </w:r>
      <w:r w:rsidR="00C12678">
        <w:t xml:space="preserve"> care</w:t>
      </w:r>
      <w:r w:rsidRPr="00066772">
        <w:t xml:space="preserve"> alone in patients with PSMA-positive mCRPC; Sartor 2021).</w:t>
      </w:r>
    </w:p>
    <w:p w14:paraId="50A598C2" w14:textId="77777777" w:rsidR="004E0015" w:rsidRPr="00066772" w:rsidRDefault="004E0015" w:rsidP="004E0015">
      <w:pPr>
        <w:rPr>
          <w:i/>
          <w:iCs/>
        </w:rPr>
      </w:pPr>
      <w:r w:rsidRPr="00066772">
        <w:rPr>
          <w:i/>
          <w:iCs/>
        </w:rPr>
        <w:t>PASC noted that ‘progressive’ or ‘symptomatic’ mCRPC were not defined in the PICO. Progressive disease was defined differently across the pivotal trials:</w:t>
      </w:r>
    </w:p>
    <w:p w14:paraId="7BE22C1B" w14:textId="77777777" w:rsidR="004E0015" w:rsidRPr="004E0015" w:rsidRDefault="004E0015" w:rsidP="004E0015">
      <w:pPr>
        <w:pStyle w:val="ListParagraph"/>
        <w:numPr>
          <w:ilvl w:val="0"/>
          <w:numId w:val="27"/>
        </w:numPr>
        <w:ind w:left="284" w:hanging="284"/>
        <w:rPr>
          <w:i/>
          <w:iCs/>
        </w:rPr>
      </w:pPr>
      <w:r w:rsidRPr="00066772">
        <w:rPr>
          <w:i/>
          <w:iCs/>
          <w:u w:val="single"/>
        </w:rPr>
        <w:t>TheraP (NCT03392428)</w:t>
      </w:r>
      <w:r w:rsidRPr="004E0015">
        <w:rPr>
          <w:rStyle w:val="FootnoteReference"/>
          <w:rFonts w:asciiTheme="minorHAnsi" w:hAnsiTheme="minorHAnsi" w:cstheme="minorHAnsi"/>
          <w:i/>
          <w:iCs/>
          <w:u w:val="single"/>
        </w:rPr>
        <w:footnoteReference w:id="2"/>
      </w:r>
      <w:r w:rsidRPr="00E9039C">
        <w:rPr>
          <w:i/>
          <w:iCs/>
        </w:rPr>
        <w:t>:</w:t>
      </w:r>
      <w:r w:rsidRPr="004E0015">
        <w:rPr>
          <w:i/>
          <w:iCs/>
        </w:rPr>
        <w:t xml:space="preserve"> rising prostate specific antigen (PSA) on three consecutive measurements, and PSA ≥20 ng/mL.</w:t>
      </w:r>
    </w:p>
    <w:p w14:paraId="2EC2FBA6" w14:textId="7E4B2043" w:rsidR="004E0015" w:rsidRPr="004E0015" w:rsidRDefault="004E0015" w:rsidP="004E0015">
      <w:pPr>
        <w:pStyle w:val="ListParagraph"/>
        <w:numPr>
          <w:ilvl w:val="0"/>
          <w:numId w:val="27"/>
        </w:numPr>
        <w:ind w:left="284" w:hanging="284"/>
        <w:rPr>
          <w:i/>
          <w:iCs/>
        </w:rPr>
      </w:pPr>
      <w:r w:rsidRPr="004E0015">
        <w:rPr>
          <w:i/>
          <w:iCs/>
          <w:u w:val="single"/>
        </w:rPr>
        <w:t>VISION (NCT03511664)</w:t>
      </w:r>
      <w:r w:rsidRPr="004E0015">
        <w:rPr>
          <w:rStyle w:val="FootnoteReference"/>
          <w:rFonts w:asciiTheme="minorHAnsi" w:hAnsiTheme="minorHAnsi" w:cstheme="minorHAnsi"/>
          <w:i/>
          <w:iCs/>
          <w:u w:val="single"/>
        </w:rPr>
        <w:footnoteReference w:id="3"/>
      </w:r>
      <w:r w:rsidRPr="00E9039C">
        <w:rPr>
          <w:i/>
          <w:iCs/>
        </w:rPr>
        <w:t>:</w:t>
      </w:r>
      <w:r w:rsidR="005B3E2A" w:rsidRPr="00E9039C">
        <w:rPr>
          <w:i/>
          <w:iCs/>
        </w:rPr>
        <w:t xml:space="preserve"> </w:t>
      </w:r>
      <w:r w:rsidRPr="004E0015">
        <w:rPr>
          <w:i/>
          <w:iCs/>
        </w:rPr>
        <w:t>based on at least one of the following criteria</w:t>
      </w:r>
    </w:p>
    <w:p w14:paraId="093CE241" w14:textId="77777777" w:rsidR="004E0015" w:rsidRPr="004E0015" w:rsidRDefault="004E0015" w:rsidP="004E0015">
      <w:pPr>
        <w:pStyle w:val="ListParagraph"/>
        <w:numPr>
          <w:ilvl w:val="0"/>
          <w:numId w:val="28"/>
        </w:numPr>
        <w:rPr>
          <w:i/>
          <w:iCs/>
        </w:rPr>
      </w:pPr>
      <w:r w:rsidRPr="004E0015">
        <w:rPr>
          <w:i/>
          <w:iCs/>
        </w:rPr>
        <w:t>Serum/plasma PSA progression defined as two consecutive increases in PSA over a previous reference value measured at least 1 week prior. The minimal start value is 2.0 ng/mL</w:t>
      </w:r>
    </w:p>
    <w:p w14:paraId="7FC08E02" w14:textId="77777777" w:rsidR="004E0015" w:rsidRPr="004E0015" w:rsidRDefault="004E0015" w:rsidP="004E0015">
      <w:pPr>
        <w:pStyle w:val="ListParagraph"/>
        <w:numPr>
          <w:ilvl w:val="0"/>
          <w:numId w:val="28"/>
        </w:numPr>
        <w:rPr>
          <w:i/>
          <w:iCs/>
        </w:rPr>
      </w:pPr>
      <w:r w:rsidRPr="004E0015">
        <w:rPr>
          <w:i/>
          <w:iCs/>
        </w:rPr>
        <w:t>Soft tissue progression defined as an increase ≥20% in the sum of the diameter (SOD) (short axis for nodal lesions and long axis for non nodal lesions) of all target lesions based on the smallest SOD since treatment started or the appearance of one or more new lesions</w:t>
      </w:r>
    </w:p>
    <w:p w14:paraId="1914DDFC" w14:textId="77777777" w:rsidR="004E0015" w:rsidRPr="004E0015" w:rsidRDefault="004E0015" w:rsidP="004E0015">
      <w:pPr>
        <w:pStyle w:val="ListParagraph"/>
        <w:numPr>
          <w:ilvl w:val="0"/>
          <w:numId w:val="28"/>
        </w:numPr>
        <w:rPr>
          <w:i/>
          <w:iCs/>
        </w:rPr>
      </w:pPr>
      <w:r w:rsidRPr="004E0015">
        <w:rPr>
          <w:i/>
          <w:iCs/>
        </w:rPr>
        <w:t>Progression of bone disease: evaluable disease or new bone lesions(s) by bone scan.</w:t>
      </w:r>
    </w:p>
    <w:p w14:paraId="67700CBD" w14:textId="0148ABD4" w:rsidR="004E0015" w:rsidRDefault="004E0015" w:rsidP="004E0015">
      <w:pPr>
        <w:rPr>
          <w:i/>
          <w:iCs/>
          <w:szCs w:val="24"/>
        </w:rPr>
      </w:pPr>
      <w:r w:rsidRPr="004E0015">
        <w:rPr>
          <w:i/>
          <w:iCs/>
        </w:rPr>
        <w:t>PASC</w:t>
      </w:r>
      <w:r w:rsidRPr="004E0015">
        <w:rPr>
          <w:i/>
          <w:iCs/>
          <w:szCs w:val="24"/>
        </w:rPr>
        <w:t xml:space="preserve"> advised that ‘progressive’ and ‘symptomatic’ mCRPC needed to be defined.</w:t>
      </w:r>
    </w:p>
    <w:p w14:paraId="5BF48848" w14:textId="7152F536" w:rsidR="004E0015" w:rsidRDefault="004E0015" w:rsidP="004E0015">
      <w:pPr>
        <w:rPr>
          <w:rFonts w:asciiTheme="minorHAnsi" w:hAnsiTheme="minorHAnsi" w:cstheme="minorHAnsi"/>
          <w:i/>
          <w:iCs/>
          <w:szCs w:val="24"/>
        </w:rPr>
      </w:pPr>
      <w:r>
        <w:rPr>
          <w:rFonts w:asciiTheme="minorHAnsi" w:hAnsiTheme="minorHAnsi" w:cstheme="minorHAnsi"/>
          <w:i/>
          <w:iCs/>
          <w:szCs w:val="24"/>
        </w:rPr>
        <w:t>PASC also noted that adequate organ function (renal, bone marrow, liver function) was an eligibility criteri</w:t>
      </w:r>
      <w:r w:rsidR="005B3E2A">
        <w:rPr>
          <w:rFonts w:asciiTheme="minorHAnsi" w:hAnsiTheme="minorHAnsi" w:cstheme="minorHAnsi"/>
          <w:i/>
          <w:iCs/>
          <w:szCs w:val="24"/>
        </w:rPr>
        <w:t>on</w:t>
      </w:r>
      <w:r>
        <w:rPr>
          <w:rFonts w:asciiTheme="minorHAnsi" w:hAnsiTheme="minorHAnsi" w:cstheme="minorHAnsi"/>
          <w:i/>
          <w:iCs/>
          <w:szCs w:val="24"/>
        </w:rPr>
        <w:t xml:space="preserve"> across both pivotal trials.</w:t>
      </w:r>
    </w:p>
    <w:p w14:paraId="382BB18E" w14:textId="3D19D56D" w:rsidR="007B3E5F" w:rsidRPr="004E0015" w:rsidRDefault="007B3E5F" w:rsidP="004E0015">
      <w:pPr>
        <w:rPr>
          <w:i/>
          <w:iCs/>
        </w:rPr>
      </w:pPr>
      <w:r>
        <w:rPr>
          <w:rFonts w:asciiTheme="minorHAnsi" w:hAnsiTheme="minorHAnsi" w:cstheme="minorHAnsi"/>
          <w:i/>
          <w:iCs/>
          <w:szCs w:val="24"/>
        </w:rPr>
        <w:t xml:space="preserve">PASC noted that patient suitability for the intervention would be assessed by a </w:t>
      </w:r>
      <w:r w:rsidR="00E41A95">
        <w:rPr>
          <w:rFonts w:asciiTheme="minorHAnsi" w:hAnsiTheme="minorHAnsi" w:cstheme="minorHAnsi"/>
          <w:i/>
          <w:iCs/>
          <w:szCs w:val="24"/>
        </w:rPr>
        <w:t>multidisciplinary</w:t>
      </w:r>
      <w:r>
        <w:rPr>
          <w:rFonts w:asciiTheme="minorHAnsi" w:hAnsiTheme="minorHAnsi" w:cstheme="minorHAnsi"/>
          <w:i/>
          <w:iCs/>
          <w:szCs w:val="24"/>
        </w:rPr>
        <w:t xml:space="preserve"> team (MDT). This needed to be reflected in the PICO.</w:t>
      </w:r>
    </w:p>
    <w:p w14:paraId="448A5A01" w14:textId="13CBF7B0" w:rsidR="005536B3" w:rsidRDefault="00A61410" w:rsidP="00ED4AD4">
      <w:r>
        <w:t xml:space="preserve">The application estimated that 500 patients would be treated with </w:t>
      </w:r>
      <w:r>
        <w:rPr>
          <w:vertAlign w:val="superscript"/>
        </w:rPr>
        <w:t>177</w:t>
      </w:r>
      <w:r>
        <w:t xml:space="preserve">Lu PSMA </w:t>
      </w:r>
      <w:r w:rsidR="00E41841">
        <w:t>I&amp;T</w:t>
      </w:r>
      <w:r>
        <w:t xml:space="preserve"> per year. </w:t>
      </w:r>
      <w:r w:rsidRPr="00066772">
        <w:t>In discussion, the applicant considered that this was a likely overestimate when accounting for those who undergo treatment with docetaxel.</w:t>
      </w:r>
      <w:r>
        <w:rPr>
          <w:i/>
          <w:iCs/>
        </w:rPr>
        <w:t xml:space="preserve"> </w:t>
      </w:r>
      <w:r>
        <w:t xml:space="preserve">The application also stated (p27) that </w:t>
      </w:r>
      <w:r w:rsidRPr="007B3E5F">
        <w:t>‘</w:t>
      </w:r>
      <w:r w:rsidRPr="00066772">
        <w:t>[d]</w:t>
      </w:r>
      <w:r w:rsidRPr="00A61410">
        <w:t xml:space="preserve">emand would be expected to increase by 10-15% per year until it reaches capacity, which would be 60% of the </w:t>
      </w:r>
      <w:r w:rsidRPr="00066772">
        <w:t>[patients]</w:t>
      </w:r>
      <w:r w:rsidRPr="00A61410">
        <w:t xml:space="preserve"> who die from metastatic prostate cancer each year (1800 </w:t>
      </w:r>
      <w:r w:rsidRPr="00066772">
        <w:t>[patients]</w:t>
      </w:r>
      <w:r w:rsidRPr="00A61410">
        <w:t xml:space="preserve"> per year)</w:t>
      </w:r>
      <w:r>
        <w:t>’.</w:t>
      </w:r>
      <w:r>
        <w:rPr>
          <w:i/>
          <w:iCs/>
        </w:rPr>
        <w:t xml:space="preserve"> </w:t>
      </w:r>
      <w:r w:rsidRPr="00066772">
        <w:t>The applicant considered that capacity would never be reached.</w:t>
      </w:r>
    </w:p>
    <w:p w14:paraId="1878FBDF" w14:textId="169601BF" w:rsidR="007B3E5F" w:rsidRPr="00ED4AD4" w:rsidRDefault="007B3E5F" w:rsidP="00ED4AD4">
      <w:pPr>
        <w:rPr>
          <w:i/>
          <w:iCs/>
        </w:rPr>
      </w:pPr>
      <w:r w:rsidRPr="00E25EFB">
        <w:rPr>
          <w:rFonts w:asciiTheme="minorHAnsi" w:hAnsiTheme="minorHAnsi" w:cstheme="minorHAnsi"/>
          <w:i/>
          <w:iCs/>
          <w:szCs w:val="24"/>
        </w:rPr>
        <w:t xml:space="preserve">PASC advised that issues affecting utilisation (access, procedure complexity </w:t>
      </w:r>
      <w:r w:rsidR="005B3E2A">
        <w:rPr>
          <w:rFonts w:asciiTheme="minorHAnsi" w:hAnsiTheme="minorHAnsi" w:cstheme="minorHAnsi"/>
          <w:i/>
          <w:iCs/>
          <w:szCs w:val="24"/>
        </w:rPr>
        <w:t>[</w:t>
      </w:r>
      <w:r w:rsidRPr="00E25EFB">
        <w:rPr>
          <w:rFonts w:asciiTheme="minorHAnsi" w:hAnsiTheme="minorHAnsi" w:cstheme="minorHAnsi"/>
          <w:i/>
          <w:iCs/>
          <w:szCs w:val="24"/>
        </w:rPr>
        <w:t>for both pat</w:t>
      </w:r>
      <w:r>
        <w:rPr>
          <w:rFonts w:asciiTheme="minorHAnsi" w:hAnsiTheme="minorHAnsi" w:cstheme="minorHAnsi"/>
          <w:i/>
          <w:iCs/>
          <w:szCs w:val="24"/>
        </w:rPr>
        <w:t>ie</w:t>
      </w:r>
      <w:r w:rsidRPr="00E25EFB">
        <w:rPr>
          <w:rFonts w:asciiTheme="minorHAnsi" w:hAnsiTheme="minorHAnsi" w:cstheme="minorHAnsi"/>
          <w:i/>
          <w:iCs/>
          <w:szCs w:val="24"/>
        </w:rPr>
        <w:t>nts and providers</w:t>
      </w:r>
      <w:r w:rsidR="005B3E2A">
        <w:rPr>
          <w:rFonts w:asciiTheme="minorHAnsi" w:hAnsiTheme="minorHAnsi" w:cstheme="minorHAnsi"/>
          <w:i/>
          <w:iCs/>
          <w:szCs w:val="24"/>
        </w:rPr>
        <w:t>]</w:t>
      </w:r>
      <w:r w:rsidRPr="00E25EFB">
        <w:rPr>
          <w:rFonts w:asciiTheme="minorHAnsi" w:hAnsiTheme="minorHAnsi" w:cstheme="minorHAnsi"/>
          <w:i/>
          <w:iCs/>
          <w:szCs w:val="24"/>
        </w:rPr>
        <w:t xml:space="preserve">) and likely capacity constraints </w:t>
      </w:r>
      <w:r w:rsidR="005B3E2A">
        <w:rPr>
          <w:rFonts w:asciiTheme="minorHAnsi" w:hAnsiTheme="minorHAnsi" w:cstheme="minorHAnsi"/>
          <w:i/>
          <w:iCs/>
          <w:szCs w:val="24"/>
        </w:rPr>
        <w:t xml:space="preserve">should </w:t>
      </w:r>
      <w:r w:rsidRPr="00E25EFB">
        <w:rPr>
          <w:rFonts w:asciiTheme="minorHAnsi" w:hAnsiTheme="minorHAnsi" w:cstheme="minorHAnsi"/>
          <w:i/>
          <w:iCs/>
          <w:szCs w:val="24"/>
        </w:rPr>
        <w:t>be addressed in the assessment report.</w:t>
      </w:r>
    </w:p>
    <w:p w14:paraId="0E38780D" w14:textId="7503EC47" w:rsidR="007A66C8" w:rsidRDefault="007A66C8" w:rsidP="00713728">
      <w:pPr>
        <w:pStyle w:val="Heading3"/>
      </w:pPr>
      <w:r w:rsidRPr="008F1532">
        <w:t>Intervention</w:t>
      </w:r>
    </w:p>
    <w:p w14:paraId="34522D4C" w14:textId="0DEF96E0" w:rsidR="00F917C7" w:rsidRDefault="00753B6C" w:rsidP="00D447E7">
      <w:pPr>
        <w:spacing w:before="200"/>
      </w:pPr>
      <w:r>
        <w:t>The</w:t>
      </w:r>
      <w:r w:rsidR="009A26A1" w:rsidRPr="009A26A1">
        <w:t xml:space="preserve"> application is for </w:t>
      </w:r>
      <w:r w:rsidR="009A26A1" w:rsidRPr="00066772">
        <w:t>two diagnostic tests (both positron emission tomography (PET)/computerised tomography (CT))</w:t>
      </w:r>
      <w:r w:rsidR="009A26A1" w:rsidRPr="009A26A1">
        <w:t xml:space="preserve"> and one therapeutic intervention</w:t>
      </w:r>
      <w:r w:rsidR="00B93126">
        <w:t xml:space="preserve"> </w:t>
      </w:r>
      <w:r w:rsidR="007B3E5F">
        <w:t xml:space="preserve">with post-treatment imaging </w:t>
      </w:r>
      <w:r w:rsidR="00B93126">
        <w:t>(</w:t>
      </w:r>
      <w:r w:rsidR="00E41A95">
        <w:t>i.e.,</w:t>
      </w:r>
      <w:r w:rsidR="00B93126">
        <w:t xml:space="preserve"> codependent technolog</w:t>
      </w:r>
      <w:r w:rsidR="00D447E7">
        <w:t>ies</w:t>
      </w:r>
      <w:r w:rsidR="00B93126">
        <w:t>)</w:t>
      </w:r>
      <w:r w:rsidR="009A26A1" w:rsidRPr="009A26A1">
        <w:t>.</w:t>
      </w:r>
    </w:p>
    <w:p w14:paraId="768DE8EC" w14:textId="46332D00" w:rsidR="009A26A1" w:rsidRDefault="007B3E5F" w:rsidP="00D447E7">
      <w:pPr>
        <w:spacing w:before="200"/>
      </w:pPr>
      <w:r>
        <w:rPr>
          <w:rFonts w:asciiTheme="minorHAnsi" w:hAnsiTheme="minorHAnsi" w:cstheme="minorHAnsi"/>
          <w:i/>
          <w:iCs/>
        </w:rPr>
        <w:t xml:space="preserve">PASC noted that the intervention consisted of four </w:t>
      </w:r>
      <w:r w:rsidR="00D447E7" w:rsidRPr="00D447E7">
        <w:rPr>
          <w:rFonts w:asciiTheme="minorHAnsi" w:hAnsiTheme="minorHAnsi" w:cstheme="minorHAnsi"/>
          <w:i/>
          <w:iCs/>
        </w:rPr>
        <w:t xml:space="preserve">codependent </w:t>
      </w:r>
      <w:r>
        <w:rPr>
          <w:rFonts w:asciiTheme="minorHAnsi" w:hAnsiTheme="minorHAnsi" w:cstheme="minorHAnsi"/>
          <w:i/>
          <w:iCs/>
        </w:rPr>
        <w:t>elements –</w:t>
      </w:r>
      <w:r w:rsidR="00D447E7">
        <w:rPr>
          <w:rFonts w:asciiTheme="minorHAnsi" w:hAnsiTheme="minorHAnsi" w:cstheme="minorHAnsi"/>
          <w:i/>
          <w:iCs/>
        </w:rPr>
        <w:t xml:space="preserve"> </w:t>
      </w:r>
      <w:r>
        <w:rPr>
          <w:rFonts w:asciiTheme="minorHAnsi" w:hAnsiTheme="minorHAnsi" w:cstheme="minorHAnsi"/>
          <w:i/>
          <w:iCs/>
        </w:rPr>
        <w:t>diagnostic imaging tests (two), radioligand therapy and post-treatment imaging.</w:t>
      </w:r>
    </w:p>
    <w:p w14:paraId="7149F161" w14:textId="55077C19" w:rsidR="00C665F6" w:rsidRPr="009A26A1" w:rsidRDefault="00C665F6" w:rsidP="009A26A1">
      <w:r>
        <w:t>The application notes (p20) that r</w:t>
      </w:r>
      <w:r w:rsidRPr="00C665F6">
        <w:t xml:space="preserve">eferrals for </w:t>
      </w:r>
      <w:r>
        <w:rPr>
          <w:vertAlign w:val="superscript"/>
        </w:rPr>
        <w:t>177</w:t>
      </w:r>
      <w:r w:rsidRPr="00C665F6">
        <w:t xml:space="preserve">Lu PSMA </w:t>
      </w:r>
      <w:r w:rsidR="00E41841">
        <w:t>I&amp;T</w:t>
      </w:r>
      <w:r>
        <w:t xml:space="preserve"> </w:t>
      </w:r>
      <w:r w:rsidRPr="00C665F6">
        <w:t>will come from medical oncologists, radiation oncologist or oncologic surgeons, with the procedure undertaken by appropriately licenced nuclear medicine specialists.</w:t>
      </w:r>
    </w:p>
    <w:p w14:paraId="090439FC" w14:textId="77777777" w:rsidR="00C53007" w:rsidRDefault="00C53007" w:rsidP="00C53007">
      <w:pPr>
        <w:pStyle w:val="Heading4"/>
        <w:spacing w:after="200"/>
      </w:pPr>
      <w:r>
        <w:t>P</w:t>
      </w:r>
      <w:r w:rsidRPr="00CA2091">
        <w:t>ositron emission tomography (PET)</w:t>
      </w:r>
      <w:r>
        <w:t>/</w:t>
      </w:r>
      <w:r w:rsidRPr="00CA2091">
        <w:t>computerised tomography (CT)</w:t>
      </w:r>
    </w:p>
    <w:p w14:paraId="02312DE6" w14:textId="2D2CE14D" w:rsidR="00C53007" w:rsidRDefault="00C53007" w:rsidP="00C53007">
      <w:r>
        <w:t xml:space="preserve">PET imaging measures the biodistribution of an intravenously injected biological tracer labelled with a positron-emitting radionuclide (Scott 2001), </w:t>
      </w:r>
      <w:r w:rsidR="00E41A95">
        <w:t>detecting,</w:t>
      </w:r>
      <w:r>
        <w:t xml:space="preserve"> and quantifying biological processes occurring within the body.</w:t>
      </w:r>
    </w:p>
    <w:p w14:paraId="33BA909F" w14:textId="77777777" w:rsidR="00C53007" w:rsidRDefault="00C53007" w:rsidP="00C53007">
      <w:r>
        <w:t>The MSAC 1632 PSD (July 2021) stated (p5) that the</w:t>
      </w:r>
      <w:r w:rsidRPr="00F709E7">
        <w:t xml:space="preserve"> </w:t>
      </w:r>
      <w:r w:rsidRPr="00066772">
        <w:t>[MSAC 1632]</w:t>
      </w:r>
      <w:r>
        <w:t xml:space="preserve"> </w:t>
      </w:r>
      <w:r w:rsidRPr="00F709E7">
        <w:t xml:space="preserve">Ratified PICO noted that PET imaging is now almost always combined with CT, with scans collected using a single, hybrid PET/CT scanner </w:t>
      </w:r>
      <w:r w:rsidRPr="007B3E5F">
        <w:t>(</w:t>
      </w:r>
      <w:r w:rsidRPr="00066772">
        <w:t>[MSAC 1632]</w:t>
      </w:r>
      <w:r>
        <w:rPr>
          <w:i/>
          <w:iCs/>
        </w:rPr>
        <w:t xml:space="preserve"> </w:t>
      </w:r>
      <w:r w:rsidRPr="00F709E7">
        <w:t>PICO Confirmation, p14). There are several hybrid PET/CT devices listed on the Australian Register of Therapeutic Goods (ARTG) (ARTG numbers: 343270, 324191, 296394, 292543, 271560, 144218 and 118077).</w:t>
      </w:r>
    </w:p>
    <w:p w14:paraId="6C26CDCD" w14:textId="77777777" w:rsidR="00392F01" w:rsidRDefault="00C53007" w:rsidP="00392F01">
      <w:pPr>
        <w:pStyle w:val="Heading4"/>
      </w:pPr>
      <w:r>
        <w:t xml:space="preserve">Diagnostic </w:t>
      </w:r>
      <w:r w:rsidR="00C267D8">
        <w:t>T</w:t>
      </w:r>
      <w:r w:rsidR="00F74226">
        <w:t>est 1</w:t>
      </w:r>
      <w:r w:rsidR="000758AE">
        <w:t xml:space="preserve">: </w:t>
      </w:r>
    </w:p>
    <w:p w14:paraId="206EFFD3" w14:textId="69293017" w:rsidR="00F74226" w:rsidRDefault="00CA2091" w:rsidP="00B118C7">
      <w:pPr>
        <w:pStyle w:val="Heading5"/>
        <w:spacing w:after="200"/>
      </w:pPr>
      <w:r w:rsidRPr="00CA2091">
        <w:t>Whole body prostate-specific membrane antigen (PSMA) positron emission tomograp</w:t>
      </w:r>
      <w:r w:rsidR="000758AE">
        <w:t xml:space="preserve">hy </w:t>
      </w:r>
      <w:r w:rsidRPr="00CA2091">
        <w:t>(PET)</w:t>
      </w:r>
      <w:r w:rsidR="003E2D6E">
        <w:t>/</w:t>
      </w:r>
      <w:r w:rsidRPr="00CA2091">
        <w:t>computerised tomography (CT)</w:t>
      </w:r>
      <w:r w:rsidR="00392F01">
        <w:t xml:space="preserve"> – PSMA PET/CT</w:t>
      </w:r>
    </w:p>
    <w:p w14:paraId="4699F09E" w14:textId="1121FB59" w:rsidR="00FE0E18" w:rsidRDefault="003E2D6E" w:rsidP="003E2D6E">
      <w:r>
        <w:t>P</w:t>
      </w:r>
      <w:r w:rsidRPr="003E2D6E">
        <w:t>rostate-specific membrane antigen (PSMA) positron emission tomography (PET)/computerised tomography (CT)</w:t>
      </w:r>
      <w:r>
        <w:t xml:space="preserve">, PSMA PET/CT herein, was recently considered by MSAC (MSAC 1632, July 2021). </w:t>
      </w:r>
      <w:r w:rsidR="00FE0E18">
        <w:t xml:space="preserve">The </w:t>
      </w:r>
      <w:r w:rsidR="00C53007">
        <w:t xml:space="preserve">PET/CT </w:t>
      </w:r>
      <w:r w:rsidR="00FE0E18">
        <w:t>scan requested in th</w:t>
      </w:r>
      <w:r w:rsidR="00C53007">
        <w:t xml:space="preserve">e current </w:t>
      </w:r>
      <w:r w:rsidR="00FE0E18">
        <w:t xml:space="preserve">application is understood to be the same as that considered in MSAC 1632, however the </w:t>
      </w:r>
      <w:r w:rsidR="00555B28">
        <w:t xml:space="preserve">population under consideration in this application is not eligible </w:t>
      </w:r>
      <w:r w:rsidR="00F709E7">
        <w:t xml:space="preserve">for the test </w:t>
      </w:r>
      <w:r w:rsidR="00FE0E18">
        <w:t xml:space="preserve">considered and ultimately supported by </w:t>
      </w:r>
      <w:r w:rsidR="00F709E7">
        <w:t>MSAC (MSAC 1632 Public Summary Document [PSD], July 2021).</w:t>
      </w:r>
    </w:p>
    <w:p w14:paraId="0C2ED42A" w14:textId="473A51D2" w:rsidR="003E2D6E" w:rsidRDefault="00EB57DE" w:rsidP="003E2D6E">
      <w:r w:rsidRPr="00EB57DE">
        <w:t xml:space="preserve">The MSAC 1632 PSD (July 2021) </w:t>
      </w:r>
      <w:r>
        <w:t xml:space="preserve">described PSMA PET/CT </w:t>
      </w:r>
      <w:r w:rsidRPr="00EB57DE">
        <w:t>(p</w:t>
      </w:r>
      <w:r>
        <w:t>7</w:t>
      </w:r>
      <w:r w:rsidRPr="00EB57DE">
        <w:t>)</w:t>
      </w:r>
      <w:r>
        <w:t xml:space="preserve"> as </w:t>
      </w:r>
      <w:r w:rsidRPr="00EB57DE">
        <w:t xml:space="preserve">a non-invasive imaging procedure that involves the administration of one of several radiopharmaceutical tracers that share the characteristic of highly specific binding to PSMA. PET imaging measures the biodistribution of an intravenously injected biological tracer labelled with a positron-emitting radionuclide. In this way, PET imaging can detect and quantify a biological process occurring within the body. The most widely used radiopharmaceutical tracer in clinical practice in Australia is </w:t>
      </w:r>
      <w:r w:rsidRPr="00EB57DE">
        <w:rPr>
          <w:vertAlign w:val="superscript"/>
        </w:rPr>
        <w:t>68</w:t>
      </w:r>
      <w:r w:rsidRPr="00EB57DE">
        <w:t>Ga</w:t>
      </w:r>
      <w:r>
        <w:t xml:space="preserve"> </w:t>
      </w:r>
      <w:r w:rsidRPr="00066772">
        <w:t>[gallium-68]</w:t>
      </w:r>
      <w:r w:rsidRPr="00EB57DE">
        <w:t xml:space="preserve">-PSMA-11. Radiopharmaceuticals such as </w:t>
      </w:r>
      <w:r w:rsidRPr="00EB57DE">
        <w:rPr>
          <w:vertAlign w:val="superscript"/>
        </w:rPr>
        <w:t>68</w:t>
      </w:r>
      <w:r w:rsidRPr="00EB57DE">
        <w:t>Ga-PSMA-11, that are produced extemporaneously in a facility holding a GMP license (license to manufacture therapeutic goods), are exempt from a requirement for ARTG listing under Schedule 5(6) and 8(2) of the Therapeutic Goods Regulations 1990 and part 3-3 of the Therapeutic Goods Act 1989</w:t>
      </w:r>
      <w:r>
        <w:t xml:space="preserve"> (p5 MSAC 1362 PSD</w:t>
      </w:r>
      <w:r w:rsidR="005D079D">
        <w:t>, July 2021)</w:t>
      </w:r>
      <w:r w:rsidRPr="00EB57DE">
        <w:t>.</w:t>
      </w:r>
      <w:r>
        <w:t xml:space="preserve"> </w:t>
      </w:r>
      <w:r w:rsidRPr="00EB57DE">
        <w:t>The proposed service included PET in combination with CT.</w:t>
      </w:r>
    </w:p>
    <w:p w14:paraId="2361C9B2" w14:textId="6481420E" w:rsidR="005833A7" w:rsidRDefault="005833A7" w:rsidP="003E2D6E">
      <w:r>
        <w:t xml:space="preserve">The applicant stated that </w:t>
      </w:r>
      <w:r w:rsidRPr="005833A7">
        <w:t>when using beta emitter therapy such as Lutetium, there needs to be a minimum number of decays within the cell in order to translate single stranded DNA breaks across to double stranded DNA breaks. This roughly translates to the intensity of a tumour deposit on a PSMA PET</w:t>
      </w:r>
      <w:r>
        <w:t>/CT</w:t>
      </w:r>
      <w:r w:rsidRPr="005833A7">
        <w:t xml:space="preserve"> scan.</w:t>
      </w:r>
    </w:p>
    <w:p w14:paraId="008703E0" w14:textId="4867338A" w:rsidR="002C36DB" w:rsidRDefault="002C36DB" w:rsidP="002C36DB">
      <w:r>
        <w:t xml:space="preserve">The applicant noted that two randomised trials (Hofman 2021 [TheraP]; Sartor 2021 [VISION]) assessing </w:t>
      </w:r>
      <w:r>
        <w:rPr>
          <w:vertAlign w:val="superscript"/>
        </w:rPr>
        <w:t>177</w:t>
      </w:r>
      <w:r>
        <w:t xml:space="preserve">Lu PSMA-617 for mCRPC utilised PSMA PET/CT scans to assess patient eligibility for treatment with </w:t>
      </w:r>
      <w:r>
        <w:rPr>
          <w:vertAlign w:val="superscript"/>
        </w:rPr>
        <w:t>177</w:t>
      </w:r>
      <w:r w:rsidRPr="00CA2091">
        <w:t>Lu</w:t>
      </w:r>
      <w:r>
        <w:t xml:space="preserve"> PSMA for mCRPC. Both trials required that patients had PSMA-positive mCRPC, determined with the use of gallium-68 (</w:t>
      </w:r>
      <w:r w:rsidRPr="003E68F1">
        <w:rPr>
          <w:vertAlign w:val="superscript"/>
        </w:rPr>
        <w:t>68</w:t>
      </w:r>
      <w:r>
        <w:t>Ga)–</w:t>
      </w:r>
      <w:r w:rsidR="00A61410">
        <w:t>labelled</w:t>
      </w:r>
      <w:r>
        <w:t xml:space="preserve"> PSMA-11 (</w:t>
      </w:r>
      <w:r w:rsidRPr="003E68F1">
        <w:rPr>
          <w:vertAlign w:val="superscript"/>
        </w:rPr>
        <w:t>68</w:t>
      </w:r>
      <w:r>
        <w:t>Ga-PSMA-11) PET/CT imaging at baseline. PSMA-positive was defined differently in the trials:</w:t>
      </w:r>
    </w:p>
    <w:p w14:paraId="56AC545B" w14:textId="1E6F32DE" w:rsidR="002C36DB" w:rsidRPr="003E68F1" w:rsidRDefault="002C36DB" w:rsidP="002C36DB">
      <w:pPr>
        <w:pStyle w:val="ListParagraph"/>
        <w:numPr>
          <w:ilvl w:val="0"/>
          <w:numId w:val="8"/>
        </w:numPr>
        <w:ind w:left="284" w:hanging="284"/>
      </w:pPr>
      <w:r>
        <w:t>disease with a maximum standardised uptake value (SUV</w:t>
      </w:r>
      <w:r w:rsidRPr="001A4818">
        <w:rPr>
          <w:vertAlign w:val="subscript"/>
        </w:rPr>
        <w:t>max</w:t>
      </w:r>
      <w:r>
        <w:t>) of at least 20 at a site of disease and greater than 10 at all other measurable sites of metastatic disease, and no sites of metastatic disease with discordant 2-[¹⁸F]FDG-positive (see below) and PSMA-negative findings (Hofman 2021); and</w:t>
      </w:r>
    </w:p>
    <w:p w14:paraId="2C2D18CD" w14:textId="37921C9C" w:rsidR="002C36DB" w:rsidRDefault="007B3E5F" w:rsidP="002C36DB">
      <w:pPr>
        <w:pStyle w:val="ListParagraph"/>
        <w:numPr>
          <w:ilvl w:val="0"/>
          <w:numId w:val="8"/>
        </w:numPr>
        <w:ind w:left="284" w:hanging="284"/>
      </w:pPr>
      <w:r w:rsidRPr="007B3E5F">
        <w:rPr>
          <w:vertAlign w:val="superscript"/>
        </w:rPr>
        <w:t>68</w:t>
      </w:r>
      <w:r>
        <w:t>Ga-PSMA-11 uptake greater than that of liver parenchyma in one or more metastatic lesions of any size in any organ system</w:t>
      </w:r>
      <w:r w:rsidRPr="003E68F1" w:rsidDel="007B3E5F">
        <w:t xml:space="preserve"> </w:t>
      </w:r>
      <w:r w:rsidR="002C36DB" w:rsidRPr="003E68F1">
        <w:t>(Sartor 2021).</w:t>
      </w:r>
    </w:p>
    <w:p w14:paraId="2DD3DB12" w14:textId="7B605D5E" w:rsidR="0091639E" w:rsidRDefault="0091639E" w:rsidP="00E56C75">
      <w:r w:rsidRPr="006C7859">
        <w:t>The applicant indicated that the PSMA PET/CT scan identifies if the PSMA target is present for treatment and if the PSMA target is expressed adequately to gain a good treatment response.</w:t>
      </w:r>
      <w:r w:rsidR="006C7859">
        <w:t xml:space="preserve"> </w:t>
      </w:r>
      <w:r w:rsidR="006C7859" w:rsidRPr="00066772">
        <w:t xml:space="preserve">Emmett (2019) reported the results of a prospective pilot trial </w:t>
      </w:r>
      <w:r w:rsidR="00341917" w:rsidRPr="00066772">
        <w:t>that</w:t>
      </w:r>
      <w:r w:rsidR="006C7859" w:rsidRPr="00066772">
        <w:t xml:space="preserve"> enrolled patients with mCRPC previously treated with either abiraterone or enzalutamide, and had failed, refused, or been ineligible for taxane-based chemotherapy</w:t>
      </w:r>
      <w:r w:rsidR="00E56C75" w:rsidRPr="00066772">
        <w:t>. Further</w:t>
      </w:r>
      <w:r w:rsidR="008F28BA" w:rsidRPr="00066772">
        <w:t xml:space="preserve"> </w:t>
      </w:r>
      <w:r w:rsidR="00E56C75" w:rsidRPr="00066772">
        <w:t xml:space="preserve">eligibility criteria for the trial included uptake on PSMA PET above or equal to liver activity, with no </w:t>
      </w:r>
      <w:r w:rsidR="00E56C75" w:rsidRPr="00066772">
        <w:rPr>
          <w:vertAlign w:val="superscript"/>
        </w:rPr>
        <w:t>18</w:t>
      </w:r>
      <w:r w:rsidR="00E56C75" w:rsidRPr="00066772">
        <w:t>F-Fluoroedeoxyglucose (FDG) PET-discordant disease</w:t>
      </w:r>
      <w:r w:rsidR="00D10C2B" w:rsidRPr="00066772">
        <w:t>. Patients</w:t>
      </w:r>
      <w:r w:rsidR="00E56C75" w:rsidRPr="00066772">
        <w:t xml:space="preserve"> </w:t>
      </w:r>
      <w:r w:rsidR="008F28BA" w:rsidRPr="00066772">
        <w:t xml:space="preserve">were treated with </w:t>
      </w:r>
      <w:r w:rsidR="008F28BA" w:rsidRPr="00066772">
        <w:rPr>
          <w:vertAlign w:val="superscript"/>
        </w:rPr>
        <w:t>177</w:t>
      </w:r>
      <w:r w:rsidR="008F28BA" w:rsidRPr="00066772">
        <w:t>Lu PSMA-617 for four cycles. In their assessment of predictors of treatment response, the authors reported that both PSMA SUV</w:t>
      </w:r>
      <w:r w:rsidR="008F28BA" w:rsidRPr="00066772">
        <w:rPr>
          <w:vertAlign w:val="subscript"/>
        </w:rPr>
        <w:t>max</w:t>
      </w:r>
      <w:r w:rsidR="008F28BA" w:rsidRPr="00066772">
        <w:t xml:space="preserve"> and SUV</w:t>
      </w:r>
      <w:r w:rsidR="008F28BA" w:rsidRPr="00066772">
        <w:rPr>
          <w:vertAlign w:val="subscript"/>
        </w:rPr>
        <w:t>mean</w:t>
      </w:r>
      <w:r w:rsidR="008F28BA" w:rsidRPr="00066772">
        <w:t xml:space="preserve"> at screening were predictive of a </w:t>
      </w:r>
      <w:r w:rsidR="008F28BA" w:rsidRPr="00066772">
        <w:rPr>
          <w:rFonts w:cs="Calibri"/>
        </w:rPr>
        <w:t>≥</w:t>
      </w:r>
      <w:r w:rsidR="008F28BA" w:rsidRPr="00066772">
        <w:t xml:space="preserve">30% reduction in PSA with </w:t>
      </w:r>
      <w:r w:rsidR="001A4818" w:rsidRPr="00066772">
        <w:rPr>
          <w:vertAlign w:val="superscript"/>
        </w:rPr>
        <w:t>177</w:t>
      </w:r>
      <w:r w:rsidR="008F28BA" w:rsidRPr="00066772">
        <w:t>Lu</w:t>
      </w:r>
      <w:r w:rsidR="001A4818" w:rsidRPr="00066772">
        <w:t xml:space="preserve"> </w:t>
      </w:r>
      <w:r w:rsidR="008F28BA" w:rsidRPr="00066772">
        <w:t>PSMA</w:t>
      </w:r>
      <w:r w:rsidR="001A4818" w:rsidRPr="00066772">
        <w:t>-617</w:t>
      </w:r>
      <w:r w:rsidR="008F28BA" w:rsidRPr="00066772">
        <w:t xml:space="preserve"> therapy; SUV</w:t>
      </w:r>
      <w:r w:rsidR="008F28BA" w:rsidRPr="00066772">
        <w:rPr>
          <w:vertAlign w:val="subscript"/>
        </w:rPr>
        <w:t>max</w:t>
      </w:r>
      <w:r w:rsidR="008F28BA" w:rsidRPr="00066772">
        <w:t xml:space="preserve"> of 17 </w:t>
      </w:r>
      <w:r w:rsidR="008F28BA" w:rsidRPr="00066772">
        <w:rPr>
          <w:rFonts w:cs="Calibri"/>
        </w:rPr>
        <w:t>±</w:t>
      </w:r>
      <w:r w:rsidR="008F28BA" w:rsidRPr="00066772">
        <w:t xml:space="preserve"> 9 and 44 </w:t>
      </w:r>
      <w:r w:rsidR="008F28BA" w:rsidRPr="00066772">
        <w:rPr>
          <w:rFonts w:cs="Calibri"/>
        </w:rPr>
        <w:t>±</w:t>
      </w:r>
      <w:r w:rsidR="008F28BA" w:rsidRPr="00066772">
        <w:t xml:space="preserve"> 15 in those without and in those with response, respectively (P &lt;0.007). PSMA SUV</w:t>
      </w:r>
      <w:r w:rsidR="008F28BA" w:rsidRPr="00066772">
        <w:rPr>
          <w:vertAlign w:val="subscript"/>
        </w:rPr>
        <w:t>mean</w:t>
      </w:r>
      <w:r w:rsidR="008F28BA" w:rsidRPr="00066772">
        <w:t xml:space="preserve"> was 6 </w:t>
      </w:r>
      <w:r w:rsidR="008F28BA" w:rsidRPr="00066772">
        <w:rPr>
          <w:rFonts w:cs="Calibri"/>
        </w:rPr>
        <w:t>±</w:t>
      </w:r>
      <w:r w:rsidR="008F28BA" w:rsidRPr="00066772">
        <w:t xml:space="preserve"> 4 and 10 </w:t>
      </w:r>
      <w:r w:rsidR="008F28BA" w:rsidRPr="00066772">
        <w:rPr>
          <w:rFonts w:cs="Calibri"/>
        </w:rPr>
        <w:t>±</w:t>
      </w:r>
      <w:r w:rsidR="008F28BA" w:rsidRPr="00066772">
        <w:t xml:space="preserve"> 4 in those without and in those with response, respectively (P &lt;0.04). Emmett (2019) also reported that no patient enrolled with an SUV</w:t>
      </w:r>
      <w:r w:rsidR="008F28BA" w:rsidRPr="00066772">
        <w:rPr>
          <w:vertAlign w:val="subscript"/>
        </w:rPr>
        <w:t>max</w:t>
      </w:r>
      <w:r w:rsidR="008F28BA" w:rsidRPr="00066772">
        <w:t xml:space="preserve"> &lt;15 on PSMA PET had a biochemical treatment response to </w:t>
      </w:r>
      <w:r w:rsidR="008F28BA" w:rsidRPr="00066772">
        <w:rPr>
          <w:vertAlign w:val="superscript"/>
        </w:rPr>
        <w:t>177</w:t>
      </w:r>
      <w:r w:rsidR="008F28BA" w:rsidRPr="00066772">
        <w:t>Lu</w:t>
      </w:r>
      <w:r w:rsidR="001A4818" w:rsidRPr="00066772">
        <w:t xml:space="preserve"> </w:t>
      </w:r>
      <w:r w:rsidR="008F28BA" w:rsidRPr="00066772">
        <w:t>PSMA-617</w:t>
      </w:r>
      <w:r w:rsidR="006C7859" w:rsidRPr="00066772">
        <w:t xml:space="preserve">. </w:t>
      </w:r>
      <w:r w:rsidR="00D81A1A" w:rsidRPr="00066772">
        <w:t xml:space="preserve">This is in </w:t>
      </w:r>
      <w:r w:rsidR="00A61410" w:rsidRPr="00066772">
        <w:t>contrast</w:t>
      </w:r>
      <w:r w:rsidR="00D81A1A" w:rsidRPr="00066772">
        <w:t xml:space="preserve"> to the eligibility criteria in the TheraP trial (Hofman 2021) requiring a SUV</w:t>
      </w:r>
      <w:r w:rsidR="00D81A1A" w:rsidRPr="00066772">
        <w:rPr>
          <w:vertAlign w:val="subscript"/>
        </w:rPr>
        <w:t>max</w:t>
      </w:r>
      <w:r w:rsidR="00D81A1A" w:rsidRPr="00066772">
        <w:t xml:space="preserve"> of at least 20.</w:t>
      </w:r>
      <w:r w:rsidR="00D81A1A">
        <w:rPr>
          <w:i/>
          <w:iCs/>
        </w:rPr>
        <w:t xml:space="preserve"> </w:t>
      </w:r>
      <w:r w:rsidR="00A56EA2">
        <w:t>The application noted (p19) that o</w:t>
      </w:r>
      <w:r w:rsidR="00A56EA2" w:rsidRPr="00A56EA2">
        <w:t xml:space="preserve">ver 80% of </w:t>
      </w:r>
      <w:r w:rsidR="00205F29">
        <w:t>patients</w:t>
      </w:r>
      <w:r w:rsidR="00205F29" w:rsidRPr="00A56EA2">
        <w:t xml:space="preserve"> </w:t>
      </w:r>
      <w:r w:rsidR="00A56EA2" w:rsidRPr="00A56EA2">
        <w:t xml:space="preserve">in this clinical stage have disease ‘deemed suitable for </w:t>
      </w:r>
      <w:r w:rsidR="00A56EA2">
        <w:rPr>
          <w:vertAlign w:val="superscript"/>
        </w:rPr>
        <w:t>177</w:t>
      </w:r>
      <w:r w:rsidR="00A56EA2" w:rsidRPr="00A56EA2">
        <w:t xml:space="preserve">Lu PSMA </w:t>
      </w:r>
      <w:r w:rsidR="00E41841">
        <w:t>I&amp;T</w:t>
      </w:r>
      <w:r w:rsidR="00A56EA2" w:rsidRPr="00A56EA2">
        <w:t xml:space="preserve"> on PSMA PET</w:t>
      </w:r>
      <w:r w:rsidR="00A56EA2">
        <w:t>/CT</w:t>
      </w:r>
      <w:r w:rsidR="00A56EA2" w:rsidRPr="00A56EA2">
        <w:t xml:space="preserve"> imaging.</w:t>
      </w:r>
    </w:p>
    <w:p w14:paraId="60345A4F" w14:textId="77777777" w:rsidR="00983440" w:rsidRPr="00E9039C" w:rsidRDefault="00983440" w:rsidP="00221162">
      <w:pPr>
        <w:autoSpaceDE w:val="0"/>
        <w:autoSpaceDN w:val="0"/>
        <w:adjustRightInd w:val="0"/>
        <w:rPr>
          <w:rFonts w:asciiTheme="minorHAnsi" w:hAnsiTheme="minorHAnsi" w:cstheme="minorHAnsi"/>
          <w:i/>
          <w:iCs/>
        </w:rPr>
      </w:pPr>
      <w:r w:rsidRPr="00E9039C">
        <w:rPr>
          <w:rFonts w:asciiTheme="minorHAnsi" w:hAnsiTheme="minorHAnsi" w:cstheme="minorHAnsi"/>
          <w:i/>
          <w:iCs/>
        </w:rPr>
        <w:t>PASC stated that the proposed PSMA PET/CT SUV</w:t>
      </w:r>
      <w:r w:rsidRPr="00E9039C">
        <w:rPr>
          <w:rFonts w:asciiTheme="minorHAnsi" w:hAnsiTheme="minorHAnsi" w:cstheme="minorHAnsi"/>
          <w:i/>
          <w:iCs/>
          <w:vertAlign w:val="subscript"/>
        </w:rPr>
        <w:t>max</w:t>
      </w:r>
      <w:r w:rsidRPr="00E9039C">
        <w:rPr>
          <w:rFonts w:asciiTheme="minorHAnsi" w:hAnsiTheme="minorHAnsi" w:cstheme="minorHAnsi"/>
          <w:i/>
          <w:iCs/>
        </w:rPr>
        <w:t xml:space="preserve"> thresholds should be justified (see “Comparator” below) . Additionally, standardisation of PET instrumentation and diagnostic PSMA ligand use to ensure consistent measurement of SUV</w:t>
      </w:r>
      <w:r w:rsidRPr="00E9039C">
        <w:rPr>
          <w:rFonts w:asciiTheme="minorHAnsi" w:hAnsiTheme="minorHAnsi" w:cstheme="minorHAnsi"/>
          <w:i/>
          <w:iCs/>
          <w:vertAlign w:val="subscript"/>
        </w:rPr>
        <w:t>max</w:t>
      </w:r>
      <w:r w:rsidRPr="00E9039C">
        <w:rPr>
          <w:rFonts w:asciiTheme="minorHAnsi" w:hAnsiTheme="minorHAnsi" w:cstheme="minorHAnsi"/>
          <w:i/>
          <w:iCs/>
        </w:rPr>
        <w:t xml:space="preserve"> should be addressed.</w:t>
      </w:r>
    </w:p>
    <w:p w14:paraId="68FD436C" w14:textId="5C8C56C7" w:rsidR="00392F01" w:rsidRDefault="00C267D8" w:rsidP="00392F01">
      <w:pPr>
        <w:pStyle w:val="Heading4"/>
      </w:pPr>
      <w:r>
        <w:t>D</w:t>
      </w:r>
      <w:r w:rsidR="00E177F3">
        <w:t>ia</w:t>
      </w:r>
      <w:r>
        <w:t>gnostic T</w:t>
      </w:r>
      <w:r w:rsidR="00CA2091">
        <w:t>est 2</w:t>
      </w:r>
      <w:r w:rsidR="000758AE">
        <w:t>:</w:t>
      </w:r>
    </w:p>
    <w:p w14:paraId="28487DCC" w14:textId="6E2DAAC5" w:rsidR="00F74226" w:rsidRDefault="00CA2091" w:rsidP="00B118C7">
      <w:pPr>
        <w:pStyle w:val="Heading5"/>
        <w:spacing w:after="200"/>
      </w:pPr>
      <w:r w:rsidRPr="00CA2091">
        <w:t xml:space="preserve">Whole body </w:t>
      </w:r>
      <w:r w:rsidR="00E177F3" w:rsidRPr="00E177F3">
        <w:rPr>
          <w:vertAlign w:val="superscript"/>
        </w:rPr>
        <w:t>18</w:t>
      </w:r>
      <w:r w:rsidR="00E177F3">
        <w:t>F-</w:t>
      </w:r>
      <w:r w:rsidR="005D079D" w:rsidRPr="00E177F3">
        <w:t>fluorodeoxyglucose</w:t>
      </w:r>
      <w:r w:rsidR="005D079D" w:rsidRPr="00CA2091">
        <w:t xml:space="preserve"> </w:t>
      </w:r>
      <w:r w:rsidRPr="00CA2091">
        <w:t>(FDG) PET</w:t>
      </w:r>
      <w:r w:rsidR="003E2D6E">
        <w:t>/</w:t>
      </w:r>
      <w:r>
        <w:t>C</w:t>
      </w:r>
      <w:r w:rsidRPr="00CA2091">
        <w:t>T</w:t>
      </w:r>
      <w:r w:rsidR="005D079D">
        <w:t xml:space="preserve"> </w:t>
      </w:r>
      <w:r w:rsidR="00392F01">
        <w:t>– FDG PET/CT</w:t>
      </w:r>
    </w:p>
    <w:p w14:paraId="4481AD6E" w14:textId="598BA02A" w:rsidR="00C53007" w:rsidRDefault="00E177F3" w:rsidP="00C53007">
      <w:r w:rsidRPr="00E177F3">
        <w:rPr>
          <w:vertAlign w:val="superscript"/>
        </w:rPr>
        <w:t>18</w:t>
      </w:r>
      <w:r w:rsidRPr="00E177F3">
        <w:t>F-fluorodeoxyglucose (FDG)</w:t>
      </w:r>
      <w:r w:rsidR="0091639E">
        <w:t xml:space="preserve"> is a radioactive simple sugar most commonly used in</w:t>
      </w:r>
      <w:r w:rsidRPr="00E177F3">
        <w:t xml:space="preserve"> PET/CT </w:t>
      </w:r>
      <w:r w:rsidR="0091639E">
        <w:t>scans. The sugar accumulates in, and thus allows for detection of,</w:t>
      </w:r>
      <w:r w:rsidR="0091639E" w:rsidRPr="00E177F3">
        <w:t xml:space="preserve"> metabolically active malignant lesions</w:t>
      </w:r>
      <w:r w:rsidR="0091639E">
        <w:t xml:space="preserve">. FDG PET/CT </w:t>
      </w:r>
      <w:r w:rsidRPr="00E177F3">
        <w:t>is a pivotal modality for cancer imaging, assisting diagnosis, staging of patients with newly diagnosed malignancy, restaging following therapy and surveillance</w:t>
      </w:r>
      <w:r>
        <w:t xml:space="preserve"> (Hofman &amp; Hicks 2016).</w:t>
      </w:r>
    </w:p>
    <w:p w14:paraId="49091C0C" w14:textId="7B0E8575" w:rsidR="0091639E" w:rsidRDefault="0091639E" w:rsidP="00C53007">
      <w:r>
        <w:t>The applicant explained that following assessment of PSMA target presence and levels</w:t>
      </w:r>
      <w:r w:rsidR="000E06F6">
        <w:t xml:space="preserve"> (via PSMA PET/CT)</w:t>
      </w:r>
      <w:r>
        <w:t>, t</w:t>
      </w:r>
      <w:r w:rsidRPr="0091639E">
        <w:t>he FDG PET</w:t>
      </w:r>
      <w:r>
        <w:t>/CT</w:t>
      </w:r>
      <w:r w:rsidRPr="0091639E">
        <w:t xml:space="preserve"> scan then confirms that there are no sites of </w:t>
      </w:r>
      <w:r>
        <w:t xml:space="preserve">metastatic </w:t>
      </w:r>
      <w:r w:rsidRPr="0091639E">
        <w:t xml:space="preserve">disease with no PSMA target at all – </w:t>
      </w:r>
      <w:r w:rsidR="000E06F6">
        <w:t>these sites</w:t>
      </w:r>
      <w:r w:rsidRPr="0091639E">
        <w:t xml:space="preserve"> will not respond to targeted </w:t>
      </w:r>
      <w:r>
        <w:t xml:space="preserve">PSMA </w:t>
      </w:r>
      <w:r w:rsidRPr="0091639E">
        <w:t>therapy</w:t>
      </w:r>
      <w:r w:rsidR="000E06F6">
        <w:t xml:space="preserve">, thus for these patients, </w:t>
      </w:r>
      <w:r w:rsidRPr="0091639E">
        <w:t>other systemic options would be preferable.</w:t>
      </w:r>
      <w:r w:rsidR="00F61118">
        <w:t xml:space="preserve"> As noted above, the TheraP trial (Hofman 2021) </w:t>
      </w:r>
      <w:r w:rsidR="00D44FCA">
        <w:t xml:space="preserve">included </w:t>
      </w:r>
      <w:r w:rsidR="00F61118">
        <w:t>FDG PET/CT</w:t>
      </w:r>
      <w:r w:rsidR="00D34A94">
        <w:t xml:space="preserve"> in the imaging criteria (</w:t>
      </w:r>
      <w:r w:rsidR="00E41A95">
        <w:t>i.e.,</w:t>
      </w:r>
      <w:r w:rsidR="00D34A94">
        <w:t xml:space="preserve"> more stringent criteria)</w:t>
      </w:r>
      <w:r w:rsidR="00F61118">
        <w:t xml:space="preserve"> to </w:t>
      </w:r>
      <w:r w:rsidR="004B622A">
        <w:t>determine patient eligibility for enrolment in the trial.</w:t>
      </w:r>
    </w:p>
    <w:p w14:paraId="0B8A4BA1" w14:textId="3DF6841B" w:rsidR="00983440" w:rsidRPr="00E9039C" w:rsidRDefault="00983440" w:rsidP="00BE5DAF">
      <w:pPr>
        <w:rPr>
          <w:rFonts w:asciiTheme="minorHAnsi" w:hAnsiTheme="minorHAnsi" w:cstheme="minorHAnsi"/>
          <w:i/>
          <w:iCs/>
        </w:rPr>
      </w:pPr>
      <w:r w:rsidRPr="00E9039C">
        <w:rPr>
          <w:rFonts w:asciiTheme="minorHAnsi" w:hAnsiTheme="minorHAnsi" w:cstheme="minorHAnsi"/>
          <w:i/>
          <w:iCs/>
        </w:rPr>
        <w:t xml:space="preserve">PASC noted that although FDG PET/CT </w:t>
      </w:r>
      <w:r w:rsidRPr="00BE5DAF">
        <w:t>was</w:t>
      </w:r>
      <w:r w:rsidRPr="00E9039C">
        <w:rPr>
          <w:rFonts w:asciiTheme="minorHAnsi" w:hAnsiTheme="minorHAnsi" w:cstheme="minorHAnsi"/>
          <w:i/>
          <w:iCs/>
        </w:rPr>
        <w:t xml:space="preserve"> used to assess eligibility for the TheraP trial (Hofman 2021), it was not used for assessment of eligibility in the VISION trial (Sartor 2021). </w:t>
      </w:r>
      <w:r w:rsidR="008D081E">
        <w:rPr>
          <w:rFonts w:asciiTheme="minorHAnsi" w:hAnsiTheme="minorHAnsi" w:cstheme="minorHAnsi"/>
          <w:i/>
          <w:iCs/>
        </w:rPr>
        <w:t xml:space="preserve">While acknowledging that there may be evidence that lesions which showed greater FDG than PSMA avidity were associated with a poorer prognosis, PASC noted that there was no direct evidence that such “PSMA/FDG discordance” (as opposed to outright PSMA negativity) should preclude </w:t>
      </w:r>
      <w:r w:rsidR="008D081E" w:rsidRPr="00E9039C">
        <w:rPr>
          <w:rFonts w:asciiTheme="minorHAnsi" w:hAnsiTheme="minorHAnsi" w:cstheme="minorHAnsi"/>
          <w:i/>
          <w:iCs/>
          <w:vertAlign w:val="superscript"/>
        </w:rPr>
        <w:t>177</w:t>
      </w:r>
      <w:r w:rsidR="008D081E">
        <w:rPr>
          <w:rFonts w:asciiTheme="minorHAnsi" w:hAnsiTheme="minorHAnsi" w:cstheme="minorHAnsi"/>
          <w:i/>
          <w:iCs/>
        </w:rPr>
        <w:t>Lu</w:t>
      </w:r>
      <w:r w:rsidR="00906507">
        <w:rPr>
          <w:rFonts w:asciiTheme="minorHAnsi" w:hAnsiTheme="minorHAnsi" w:cstheme="minorHAnsi"/>
          <w:i/>
          <w:iCs/>
        </w:rPr>
        <w:t xml:space="preserve"> </w:t>
      </w:r>
      <w:r w:rsidR="008D081E">
        <w:rPr>
          <w:rFonts w:asciiTheme="minorHAnsi" w:hAnsiTheme="minorHAnsi" w:cstheme="minorHAnsi"/>
          <w:i/>
          <w:iCs/>
        </w:rPr>
        <w:t xml:space="preserve">PSMA therapy, and that the additional requirement for FDG PET/CT added cost and complexity to the proposed intervention. </w:t>
      </w:r>
      <w:r w:rsidRPr="00E9039C">
        <w:rPr>
          <w:rFonts w:asciiTheme="minorHAnsi" w:hAnsiTheme="minorHAnsi" w:cstheme="minorHAnsi"/>
          <w:i/>
          <w:iCs/>
        </w:rPr>
        <w:t>PASC stated that the requirement for FDG PET/CT should be justified in the assessment report.</w:t>
      </w:r>
    </w:p>
    <w:p w14:paraId="6740940F" w14:textId="49052311" w:rsidR="00C53007" w:rsidRPr="00066772" w:rsidRDefault="002C36DB" w:rsidP="00C53007">
      <w:r w:rsidRPr="00066772">
        <w:t>FDG PET</w:t>
      </w:r>
      <w:r w:rsidRPr="007B3E5F">
        <w:t>/CT</w:t>
      </w:r>
      <w:r w:rsidRPr="00066772">
        <w:t xml:space="preserve"> is currently available on the MBS for </w:t>
      </w:r>
      <w:r w:rsidR="00C267D8" w:rsidRPr="00066772">
        <w:t xml:space="preserve">whole body scans or scans of the brain only, see </w:t>
      </w:r>
      <w:r w:rsidR="00C267D8" w:rsidRPr="00066772">
        <w:fldChar w:fldCharType="begin"/>
      </w:r>
      <w:r w:rsidR="00C267D8" w:rsidRPr="00066772">
        <w:instrText xml:space="preserve"> REF _Ref87389017 \h  \* MERGEFORMAT </w:instrText>
      </w:r>
      <w:r w:rsidR="00C267D8" w:rsidRPr="00066772">
        <w:fldChar w:fldCharType="separate"/>
      </w:r>
      <w:r w:rsidR="00D5641A" w:rsidRPr="00066772">
        <w:t xml:space="preserve">Table </w:t>
      </w:r>
      <w:r w:rsidR="00D5641A" w:rsidRPr="00066772">
        <w:rPr>
          <w:noProof/>
        </w:rPr>
        <w:t>4</w:t>
      </w:r>
      <w:r w:rsidR="00C267D8" w:rsidRPr="00066772">
        <w:fldChar w:fldCharType="end"/>
      </w:r>
      <w:r w:rsidR="00C267D8" w:rsidRPr="00066772">
        <w:t xml:space="preserve"> in the attachment. Notably, the MBS item descriptors do not specify the radionuclide and the fee for whole body FDG PET ranges from $953.00 to $999.00</w:t>
      </w:r>
      <w:r w:rsidR="00C12678">
        <w:t xml:space="preserve">, with an additional fee of $100 for </w:t>
      </w:r>
      <w:r w:rsidR="00FE0E17">
        <w:t>an associated non-contrast CT scan (MBS item 61505)</w:t>
      </w:r>
      <w:r w:rsidR="00C267D8" w:rsidRPr="00066772">
        <w:t>.</w:t>
      </w:r>
    </w:p>
    <w:p w14:paraId="6DF06AAE" w14:textId="0B8D9F5C" w:rsidR="00DD423A" w:rsidRPr="00251045" w:rsidRDefault="00DD423A" w:rsidP="00DD423A">
      <w:r>
        <w:t>The applicant anticipated that the results of the PSMA PET/CT scan would be available prior to proceeding to the FDG PET/CT scan. The applicant also stated that the PSMA and FDG PET/CT scans could not be undertaken on the same day</w:t>
      </w:r>
      <w:r w:rsidRPr="00066772">
        <w:rPr>
          <w:i/>
          <w:iCs/>
        </w:rPr>
        <w:t xml:space="preserve">. </w:t>
      </w:r>
      <w:r w:rsidRPr="00066772">
        <w:t>Access to PSMA PET/CT imaging is limited by the number of PET/CT equipped sites. As of 09 November 202</w:t>
      </w:r>
      <w:r w:rsidR="004563CE" w:rsidRPr="00066772">
        <w:t>1</w:t>
      </w:r>
      <w:r w:rsidRPr="00066772">
        <w:t>, 92 sites were listed on the Department of Health’s website (Australian Government Department of Health 2021). Notably, most PET scanners are in major cities, therefore uptake of PSMA and FDG PET/CT among patients in rural or remote areas may be restricted.</w:t>
      </w:r>
      <w:r w:rsidRPr="009D52C8">
        <w:t xml:space="preserve"> </w:t>
      </w:r>
      <w:r w:rsidRPr="00066772">
        <w:t>The requirement for two PET/CT scans on different days may further restrict uptake among patients in rural or remote areas.</w:t>
      </w:r>
    </w:p>
    <w:p w14:paraId="0A36018A" w14:textId="77777777" w:rsidR="00392F01" w:rsidRDefault="000758AE" w:rsidP="00392F01">
      <w:pPr>
        <w:pStyle w:val="Heading4"/>
      </w:pPr>
      <w:r w:rsidRPr="000758AE">
        <w:t>Therapeutic intervention</w:t>
      </w:r>
      <w:r w:rsidRPr="000758AE">
        <w:tab/>
      </w:r>
      <w:r>
        <w:t xml:space="preserve">: </w:t>
      </w:r>
    </w:p>
    <w:p w14:paraId="427278AB" w14:textId="3AEAD10A" w:rsidR="000758AE" w:rsidRDefault="00392F01" w:rsidP="00B118C7">
      <w:pPr>
        <w:pStyle w:val="Heading5"/>
        <w:spacing w:after="200"/>
      </w:pPr>
      <w:r w:rsidRPr="00392F01">
        <w:rPr>
          <w:vertAlign w:val="superscript"/>
        </w:rPr>
        <w:t>177</w:t>
      </w:r>
      <w:r>
        <w:t>Lutetium prostate-specific membrane antigen imaging and therapy (</w:t>
      </w:r>
      <w:r w:rsidR="000758AE" w:rsidRPr="00906012">
        <w:rPr>
          <w:vertAlign w:val="superscript"/>
        </w:rPr>
        <w:t>177</w:t>
      </w:r>
      <w:r w:rsidR="000758AE">
        <w:t xml:space="preserve">Lu PSMA </w:t>
      </w:r>
      <w:r w:rsidR="00E41841">
        <w:t>I&amp;T</w:t>
      </w:r>
      <w:r>
        <w:t>)</w:t>
      </w:r>
    </w:p>
    <w:p w14:paraId="4FBE61E6" w14:textId="5C02267E" w:rsidR="00256DAC" w:rsidRPr="00251045" w:rsidRDefault="00256DAC" w:rsidP="00554726">
      <w:r w:rsidRPr="00554726">
        <w:t>The application states (p2) that PSMA</w:t>
      </w:r>
      <w:r w:rsidRPr="00256DAC">
        <w:t xml:space="preserve"> targeted radionuclide therapy is an emerging new class of therapy for the treatment of </w:t>
      </w:r>
      <w:r>
        <w:t>mCRPC</w:t>
      </w:r>
      <w:r w:rsidRPr="00256DAC">
        <w:t>. The treatment is a targeted intravenous radiotherapy which enters the cancer cell via the PSMA receptor</w:t>
      </w:r>
      <w:r w:rsidR="00554726">
        <w:t>. The PSMA receptor</w:t>
      </w:r>
      <w:r w:rsidRPr="00256DAC">
        <w:t xml:space="preserve"> is overexpressed in prostate cancer, with expression increasing in metastatic and castrate resistant disease.</w:t>
      </w:r>
    </w:p>
    <w:p w14:paraId="34CAE9FF" w14:textId="5D624A11" w:rsidR="004741FA" w:rsidRDefault="004741FA" w:rsidP="004741FA">
      <w:r w:rsidRPr="004741FA">
        <w:rPr>
          <w:vertAlign w:val="superscript"/>
        </w:rPr>
        <w:t>177</w:t>
      </w:r>
      <w:r>
        <w:t xml:space="preserve">Lu PSMA </w:t>
      </w:r>
      <w:r w:rsidR="00E41841">
        <w:t>I&amp;T</w:t>
      </w:r>
      <w:r>
        <w:t xml:space="preserve"> is a targeted radionuclide therapy that is administered within accredited nuclear medicine departments as an outpatient service. It involves an intravenous injection and there is no specific preparation on behalf of the patient.</w:t>
      </w:r>
    </w:p>
    <w:p w14:paraId="677FA9EF" w14:textId="1EC05B6C" w:rsidR="004741FA" w:rsidRDefault="004741FA" w:rsidP="004741FA">
      <w:r>
        <w:t xml:space="preserve">An oncology specialist will identify a patient with progressive metastatic prostate cancer as one who will benefit from, and be appropriate for, </w:t>
      </w:r>
      <w:r>
        <w:rPr>
          <w:vertAlign w:val="superscript"/>
        </w:rPr>
        <w:t>177</w:t>
      </w:r>
      <w:r>
        <w:t>Lu PSMA</w:t>
      </w:r>
      <w:r w:rsidR="00953283">
        <w:t xml:space="preserve"> </w:t>
      </w:r>
      <w:r w:rsidR="00E41841">
        <w:t>I&amp;T</w:t>
      </w:r>
      <w:r>
        <w:t>.</w:t>
      </w:r>
    </w:p>
    <w:p w14:paraId="27A72EE9" w14:textId="2F213546" w:rsidR="004741FA" w:rsidRPr="00251045" w:rsidRDefault="004741FA" w:rsidP="004741FA">
      <w:r>
        <w:t>Screening with PSMA PET</w:t>
      </w:r>
      <w:r w:rsidR="00E85AB7">
        <w:t>/CT</w:t>
      </w:r>
      <w:r>
        <w:t xml:space="preserve"> and FDG PET </w:t>
      </w:r>
      <w:r w:rsidR="00E85AB7">
        <w:t>/</w:t>
      </w:r>
      <w:r w:rsidR="005E66BD">
        <w:t>CT will</w:t>
      </w:r>
      <w:r>
        <w:t xml:space="preserve"> determine if the patient has an adequate level of PSMA ‘target’ at all sites of measurable disease such that they will be expected to derive significant benefit from the treatment. </w:t>
      </w:r>
      <w:r w:rsidR="009C40F5">
        <w:t>T</w:t>
      </w:r>
      <w:r w:rsidR="008C5CAE">
        <w:t>he applicatio</w:t>
      </w:r>
      <w:r w:rsidR="009C40F5">
        <w:t xml:space="preserve">n (p19) considers that currently, those who are expected to benefit have </w:t>
      </w:r>
      <w:r>
        <w:t>an SUV</w:t>
      </w:r>
      <w:r w:rsidRPr="00953283">
        <w:rPr>
          <w:vertAlign w:val="subscript"/>
        </w:rPr>
        <w:t>max</w:t>
      </w:r>
      <w:r>
        <w:t xml:space="preserve"> &gt;15 at a single site and &gt;10 at all sites of measurable disease on the PSMA PET scan with no sites of FDG </w:t>
      </w:r>
      <w:r w:rsidR="003C3037">
        <w:t>discordance</w:t>
      </w:r>
      <w:r>
        <w:t>.</w:t>
      </w:r>
      <w:r w:rsidR="009C40F5">
        <w:t xml:space="preserve"> </w:t>
      </w:r>
      <w:r w:rsidR="009C40F5" w:rsidRPr="00066772">
        <w:t>The SUV</w:t>
      </w:r>
      <w:r w:rsidR="009C40F5" w:rsidRPr="00066772">
        <w:rPr>
          <w:vertAlign w:val="subscript"/>
        </w:rPr>
        <w:t>max</w:t>
      </w:r>
      <w:r w:rsidR="009C40F5" w:rsidRPr="00066772">
        <w:t xml:space="preserve"> &gt;15 threshold is supported by data presented in Emmett (2019), see above.</w:t>
      </w:r>
    </w:p>
    <w:p w14:paraId="53BF6880" w14:textId="02E07AB2" w:rsidR="004741FA" w:rsidRDefault="004741FA" w:rsidP="004741FA">
      <w:r>
        <w:t>Other requirements</w:t>
      </w:r>
      <w:r w:rsidR="002B2A88">
        <w:t xml:space="preserve"> (assessed on blood test)</w:t>
      </w:r>
      <w:r>
        <w:t xml:space="preserve"> include platelets &gt;75</w:t>
      </w:r>
      <w:r w:rsidR="00AF6724">
        <w:t xml:space="preserve"> x 10</w:t>
      </w:r>
      <w:r w:rsidR="00AF6724" w:rsidRPr="00E9039C">
        <w:rPr>
          <w:vertAlign w:val="superscript"/>
        </w:rPr>
        <w:t>9</w:t>
      </w:r>
      <w:r w:rsidR="00AF6724">
        <w:t>/L</w:t>
      </w:r>
      <w:r>
        <w:t xml:space="preserve"> and rising, haemoglobin (Hb) &gt;80</w:t>
      </w:r>
      <w:r w:rsidR="00CE42B1">
        <w:t> </w:t>
      </w:r>
      <w:r w:rsidR="00AF6724">
        <w:t>g/L</w:t>
      </w:r>
      <w:r>
        <w:t xml:space="preserve"> and </w:t>
      </w:r>
      <w:r w:rsidRPr="004741FA">
        <w:t xml:space="preserve">estimated </w:t>
      </w:r>
      <w:r>
        <w:t>g</w:t>
      </w:r>
      <w:r w:rsidRPr="004741FA">
        <w:t xml:space="preserve">lomerular </w:t>
      </w:r>
      <w:r>
        <w:t>f</w:t>
      </w:r>
      <w:r w:rsidRPr="004741FA">
        <w:t xml:space="preserve">iltration </w:t>
      </w:r>
      <w:r>
        <w:t>r</w:t>
      </w:r>
      <w:r w:rsidRPr="004741FA">
        <w:t>ate</w:t>
      </w:r>
      <w:r>
        <w:t xml:space="preserve"> (eGFR) &gt;40 m</w:t>
      </w:r>
      <w:r w:rsidR="00AF6724">
        <w:t>L</w:t>
      </w:r>
      <w:r>
        <w:t>/minute</w:t>
      </w:r>
      <w:r w:rsidR="00AF6724">
        <w:t>/1.73m</w:t>
      </w:r>
      <w:r w:rsidR="00AF6724" w:rsidRPr="00E9039C">
        <w:rPr>
          <w:vertAlign w:val="superscript"/>
        </w:rPr>
        <w:t>2</w:t>
      </w:r>
      <w:r w:rsidR="00AF6724">
        <w:t xml:space="preserve"> body surface area</w:t>
      </w:r>
      <w:r>
        <w:t>.</w:t>
      </w:r>
    </w:p>
    <w:p w14:paraId="7118D7C1" w14:textId="19B78A2B" w:rsidR="004741FA" w:rsidRDefault="004741FA" w:rsidP="004741FA">
      <w:r>
        <w:t xml:space="preserve">Once a patient has been identified as appropriate for </w:t>
      </w:r>
      <w:r>
        <w:rPr>
          <w:vertAlign w:val="superscript"/>
        </w:rPr>
        <w:t>177</w:t>
      </w:r>
      <w:r>
        <w:t xml:space="preserve">Lu PSMA </w:t>
      </w:r>
      <w:r w:rsidR="00E41841">
        <w:t>I&amp;T</w:t>
      </w:r>
      <w:r w:rsidR="00554726">
        <w:t xml:space="preserve"> </w:t>
      </w:r>
      <w:r>
        <w:t>based on both PET imaging characteristics, stage in the patient journey</w:t>
      </w:r>
      <w:r w:rsidR="00953283">
        <w:t xml:space="preserve"> (failure of at least one taxane-based chemotherapy and one ASI)</w:t>
      </w:r>
      <w:r>
        <w:t xml:space="preserve">, and haematologic and biochemical results (appropriateness will be decided by a theranostics specialist) – a dose of </w:t>
      </w:r>
      <w:r>
        <w:rPr>
          <w:vertAlign w:val="superscript"/>
        </w:rPr>
        <w:t>177</w:t>
      </w:r>
      <w:r>
        <w:t xml:space="preserve">Lu PSMA </w:t>
      </w:r>
      <w:r w:rsidR="00E41841">
        <w:t>I&amp;T</w:t>
      </w:r>
      <w:r w:rsidR="00953283">
        <w:t xml:space="preserve"> </w:t>
      </w:r>
      <w:r>
        <w:t>is booked</w:t>
      </w:r>
      <w:r w:rsidR="00341917">
        <w:t xml:space="preserve">. The application states that </w:t>
      </w:r>
      <w:r>
        <w:t xml:space="preserve">it takes approximately 2 weeks </w:t>
      </w:r>
      <w:r w:rsidR="00341917">
        <w:t xml:space="preserve">for the Lutetium be </w:t>
      </w:r>
      <w:r>
        <w:t>order</w:t>
      </w:r>
      <w:r w:rsidR="00341917">
        <w:t>ed,</w:t>
      </w:r>
      <w:r w:rsidR="00953283">
        <w:t xml:space="preserve"> </w:t>
      </w:r>
      <w:r w:rsidR="00E41A95">
        <w:t>delivered,</w:t>
      </w:r>
      <w:r>
        <w:t xml:space="preserve"> </w:t>
      </w:r>
      <w:r w:rsidR="00341917">
        <w:t>and</w:t>
      </w:r>
      <w:r w:rsidR="00953283">
        <w:t xml:space="preserve"> </w:t>
      </w:r>
      <w:r>
        <w:t>label</w:t>
      </w:r>
      <w:r w:rsidR="00953283">
        <w:t>led</w:t>
      </w:r>
      <w:r>
        <w:t xml:space="preserve"> chemically to PSMA </w:t>
      </w:r>
      <w:r w:rsidR="00E41841">
        <w:t>I&amp;T</w:t>
      </w:r>
      <w:r w:rsidR="008C5CAE">
        <w:t xml:space="preserve"> (m</w:t>
      </w:r>
      <w:r>
        <w:t>ust be done within an accredited radiochemistry facility).</w:t>
      </w:r>
    </w:p>
    <w:p w14:paraId="6119FE79" w14:textId="406F417A" w:rsidR="004741FA" w:rsidRPr="00681F9E" w:rsidRDefault="004741FA" w:rsidP="004741FA">
      <w:r>
        <w:t xml:space="preserve">The procedure itself takes some hours in an outpatient setting in an accredited nuclear medicine facility. A cannula is placed in a vein, and the </w:t>
      </w:r>
      <w:r>
        <w:rPr>
          <w:vertAlign w:val="superscript"/>
        </w:rPr>
        <w:t>177</w:t>
      </w:r>
      <w:r>
        <w:t xml:space="preserve">Lu PSMA </w:t>
      </w:r>
      <w:r w:rsidR="00E41841">
        <w:t>I&amp;T</w:t>
      </w:r>
      <w:r w:rsidR="00953283">
        <w:t xml:space="preserve"> </w:t>
      </w:r>
      <w:r>
        <w:t xml:space="preserve">is administered as a slow intravenous injection. </w:t>
      </w:r>
      <w:r w:rsidR="00C665F6">
        <w:t>The d</w:t>
      </w:r>
      <w:r w:rsidR="00C665F6" w:rsidRPr="00C665F6">
        <w:t xml:space="preserve">ose per cycle is currently set at between 7.5-8.5 </w:t>
      </w:r>
      <w:r w:rsidR="009B70BB" w:rsidRPr="009B70BB">
        <w:t xml:space="preserve">gigabecquerel </w:t>
      </w:r>
      <w:r w:rsidR="009B70BB">
        <w:t>(</w:t>
      </w:r>
      <w:r w:rsidR="00C665F6" w:rsidRPr="00C665F6">
        <w:t>G</w:t>
      </w:r>
      <w:r w:rsidR="006A67FB">
        <w:t>B</w:t>
      </w:r>
      <w:r w:rsidR="00C665F6" w:rsidRPr="00C665F6">
        <w:t>q</w:t>
      </w:r>
      <w:r w:rsidR="009B70BB">
        <w:t>)</w:t>
      </w:r>
      <w:r w:rsidR="00C665F6" w:rsidRPr="00C665F6">
        <w:t xml:space="preserve"> Lu PSMA intravenously – although recent dose escalation phase 1 trials have found no dose limiting toxicity at significantly higher doses</w:t>
      </w:r>
      <w:r w:rsidR="00546F9A">
        <w:t>.</w:t>
      </w:r>
      <w:r w:rsidR="00C665F6" w:rsidRPr="00C665F6">
        <w:t xml:space="preserve"> Previous dose calculations have been set based on estimated delivered radiation dose to non-target organs such as the kidney and salivary glands. However, these dose calculations were undertaken using external beam set limits and it is likely that these calculations have been overestimating dose estimates to non-target organs. It is possible that the radiation dose per injection will be increased in </w:t>
      </w:r>
      <w:r w:rsidR="00C665F6">
        <w:t>patients</w:t>
      </w:r>
      <w:r w:rsidR="00C665F6" w:rsidRPr="00C665F6">
        <w:t xml:space="preserve"> with higher volume disease in the future</w:t>
      </w:r>
      <w:r w:rsidR="00C665F6">
        <w:t xml:space="preserve">. </w:t>
      </w:r>
      <w:r>
        <w:t xml:space="preserve">An oral dose of 8mg dexamethasone </w:t>
      </w:r>
      <w:r w:rsidR="00953283">
        <w:t>may</w:t>
      </w:r>
      <w:r>
        <w:t xml:space="preserve"> also </w:t>
      </w:r>
      <w:r w:rsidR="00953283">
        <w:t xml:space="preserve">be </w:t>
      </w:r>
      <w:r>
        <w:t xml:space="preserve">administered at the time of injection to minimise the chance of nausea or transient increase in pain. </w:t>
      </w:r>
      <w:r w:rsidR="00953283" w:rsidRPr="00066772">
        <w:t xml:space="preserve">Although the application stated that 8mg of dexamethasone </w:t>
      </w:r>
      <w:r w:rsidR="00953283" w:rsidRPr="00066772">
        <w:rPr>
          <w:u w:val="single"/>
        </w:rPr>
        <w:t>is</w:t>
      </w:r>
      <w:r w:rsidR="00953283" w:rsidRPr="00066772">
        <w:t xml:space="preserve"> administered, the applicant clarified that this does not need to be mandatory, it could be based on clinical need (high volume bone disease, baseline nausea).</w:t>
      </w:r>
    </w:p>
    <w:p w14:paraId="25BA19ED" w14:textId="709CF971" w:rsidR="00FE0E17" w:rsidRDefault="004741FA" w:rsidP="00DA2F80">
      <w:pPr>
        <w:autoSpaceDE w:val="0"/>
        <w:autoSpaceDN w:val="0"/>
        <w:adjustRightInd w:val="0"/>
        <w:spacing w:line="23" w:lineRule="atLeast"/>
      </w:pPr>
      <w:r>
        <w:t>The patient will stay isolated in the nuclear medicine facility, encouraged to drink water, until radiation levels reduce to the safe government limit for discharge (25uSv /hour at one metre).</w:t>
      </w:r>
    </w:p>
    <w:p w14:paraId="1EBFFA62" w14:textId="16A31220" w:rsidR="00DA2F80" w:rsidRPr="00E9039C" w:rsidRDefault="00DA2F80" w:rsidP="00221162">
      <w:pPr>
        <w:rPr>
          <w:rFonts w:asciiTheme="minorHAnsi" w:hAnsiTheme="minorHAnsi" w:cstheme="minorHAnsi"/>
          <w:i/>
          <w:iCs/>
        </w:rPr>
      </w:pPr>
      <w:r w:rsidRPr="00906507">
        <w:rPr>
          <w:rFonts w:asciiTheme="minorHAnsi" w:hAnsiTheme="minorHAnsi" w:cstheme="minorHAnsi"/>
          <w:i/>
          <w:iCs/>
        </w:rPr>
        <w:t xml:space="preserve">PASC noted that </w:t>
      </w:r>
      <w:r w:rsidRPr="00906507">
        <w:rPr>
          <w:rFonts w:asciiTheme="minorHAnsi" w:hAnsiTheme="minorHAnsi" w:cstheme="minorHAnsi"/>
          <w:i/>
          <w:iCs/>
          <w:vertAlign w:val="superscript"/>
        </w:rPr>
        <w:t>177</w:t>
      </w:r>
      <w:r w:rsidRPr="00906507">
        <w:rPr>
          <w:rFonts w:asciiTheme="minorHAnsi" w:hAnsiTheme="minorHAnsi" w:cstheme="minorHAnsi"/>
          <w:i/>
          <w:iCs/>
        </w:rPr>
        <w:t>Lu</w:t>
      </w:r>
      <w:r w:rsidR="00906507" w:rsidRPr="00906507">
        <w:rPr>
          <w:rFonts w:asciiTheme="minorHAnsi" w:hAnsiTheme="minorHAnsi" w:cstheme="minorHAnsi"/>
          <w:i/>
          <w:iCs/>
        </w:rPr>
        <w:t xml:space="preserve"> </w:t>
      </w:r>
      <w:r w:rsidRPr="00906507">
        <w:rPr>
          <w:rFonts w:asciiTheme="minorHAnsi" w:hAnsiTheme="minorHAnsi" w:cstheme="minorHAnsi"/>
          <w:i/>
          <w:iCs/>
        </w:rPr>
        <w:t xml:space="preserve">PSMA required </w:t>
      </w:r>
      <w:r w:rsidRPr="00906507">
        <w:rPr>
          <w:i/>
          <w:iCs/>
        </w:rPr>
        <w:t>vigorous</w:t>
      </w:r>
      <w:r w:rsidRPr="00906507">
        <w:rPr>
          <w:rFonts w:asciiTheme="minorHAnsi" w:hAnsiTheme="minorHAnsi" w:cstheme="minorHAnsi"/>
          <w:i/>
          <w:iCs/>
        </w:rPr>
        <w:t xml:space="preserve"> hydration and frequent voiding to reduce radiation dose to </w:t>
      </w:r>
      <w:r w:rsidRPr="00E9039C">
        <w:rPr>
          <w:rFonts w:asciiTheme="minorHAnsi" w:hAnsiTheme="minorHAnsi" w:cstheme="minorHAnsi"/>
          <w:i/>
          <w:iCs/>
        </w:rPr>
        <w:t>the urinary tract as the compound is excreted by the kidneys</w:t>
      </w:r>
      <w:r w:rsidR="008D1E83">
        <w:rPr>
          <w:rFonts w:asciiTheme="minorHAnsi" w:hAnsiTheme="minorHAnsi" w:cstheme="minorHAnsi"/>
          <w:i/>
          <w:iCs/>
        </w:rPr>
        <w:t xml:space="preserve"> and nephrotoxicity is a potential adverse effect</w:t>
      </w:r>
      <w:r w:rsidRPr="00E9039C">
        <w:rPr>
          <w:rFonts w:asciiTheme="minorHAnsi" w:hAnsiTheme="minorHAnsi" w:cstheme="minorHAnsi"/>
          <w:i/>
          <w:iCs/>
        </w:rPr>
        <w:t xml:space="preserve">. Although the application noted this could be </w:t>
      </w:r>
      <w:r w:rsidR="00AF6724">
        <w:rPr>
          <w:rFonts w:asciiTheme="minorHAnsi" w:hAnsiTheme="minorHAnsi" w:cstheme="minorHAnsi"/>
          <w:i/>
          <w:iCs/>
        </w:rPr>
        <w:t>achieved</w:t>
      </w:r>
      <w:r w:rsidRPr="00E9039C">
        <w:rPr>
          <w:rFonts w:asciiTheme="minorHAnsi" w:hAnsiTheme="minorHAnsi" w:cstheme="minorHAnsi"/>
          <w:i/>
          <w:iCs/>
        </w:rPr>
        <w:t xml:space="preserve"> with oral hydration, PASC noted </w:t>
      </w:r>
      <w:r w:rsidR="001C4315">
        <w:rPr>
          <w:rFonts w:asciiTheme="minorHAnsi" w:hAnsiTheme="minorHAnsi" w:cstheme="minorHAnsi"/>
          <w:i/>
          <w:iCs/>
        </w:rPr>
        <w:t>that</w:t>
      </w:r>
      <w:r w:rsidRPr="00E9039C">
        <w:rPr>
          <w:rFonts w:asciiTheme="minorHAnsi" w:hAnsiTheme="minorHAnsi" w:cstheme="minorHAnsi"/>
          <w:i/>
          <w:iCs/>
        </w:rPr>
        <w:t xml:space="preserve"> intravenous (IV) hydration may be required.</w:t>
      </w:r>
      <w:r>
        <w:rPr>
          <w:rFonts w:asciiTheme="minorHAnsi" w:hAnsiTheme="minorHAnsi" w:cstheme="minorHAnsi"/>
          <w:i/>
          <w:iCs/>
        </w:rPr>
        <w:t xml:space="preserve"> </w:t>
      </w:r>
      <w:r w:rsidRPr="00E9039C">
        <w:rPr>
          <w:rFonts w:asciiTheme="minorHAnsi" w:hAnsiTheme="minorHAnsi" w:cstheme="minorHAnsi"/>
          <w:i/>
          <w:iCs/>
        </w:rPr>
        <w:t xml:space="preserve">PASC also noted that PSMA is concentrated in the </w:t>
      </w:r>
      <w:r w:rsidR="000A6A3F">
        <w:rPr>
          <w:rFonts w:asciiTheme="minorHAnsi" w:hAnsiTheme="minorHAnsi" w:cstheme="minorHAnsi"/>
          <w:i/>
          <w:iCs/>
        </w:rPr>
        <w:t xml:space="preserve">salivary glands and xerostomia (dry mouth) may be an adverse effect. Irradiation of </w:t>
      </w:r>
      <w:r w:rsidR="00E41A95">
        <w:rPr>
          <w:rFonts w:asciiTheme="minorHAnsi" w:hAnsiTheme="minorHAnsi" w:cstheme="minorHAnsi"/>
          <w:i/>
          <w:iCs/>
        </w:rPr>
        <w:t>haemopoietic</w:t>
      </w:r>
      <w:r w:rsidR="000A6A3F">
        <w:rPr>
          <w:rFonts w:asciiTheme="minorHAnsi" w:hAnsiTheme="minorHAnsi" w:cstheme="minorHAnsi"/>
          <w:i/>
          <w:iCs/>
        </w:rPr>
        <w:t xml:space="preserve"> bone marrow, particularly in patients with a high skeletal metastatic burden, may result in haematologic toxicity (cyt</w:t>
      </w:r>
      <w:r w:rsidR="001C4315">
        <w:rPr>
          <w:rFonts w:asciiTheme="minorHAnsi" w:hAnsiTheme="minorHAnsi" w:cstheme="minorHAnsi"/>
          <w:i/>
          <w:iCs/>
        </w:rPr>
        <w:t>o</w:t>
      </w:r>
      <w:r w:rsidR="000A6A3F">
        <w:rPr>
          <w:rFonts w:asciiTheme="minorHAnsi" w:hAnsiTheme="minorHAnsi" w:cstheme="minorHAnsi"/>
          <w:i/>
          <w:iCs/>
        </w:rPr>
        <w:t>paenias)</w:t>
      </w:r>
      <w:r w:rsidRPr="00E9039C">
        <w:rPr>
          <w:rFonts w:asciiTheme="minorHAnsi" w:hAnsiTheme="minorHAnsi" w:cstheme="minorHAnsi"/>
          <w:i/>
          <w:iCs/>
        </w:rPr>
        <w:t>.</w:t>
      </w:r>
    </w:p>
    <w:p w14:paraId="00A82940" w14:textId="73726B48" w:rsidR="004741FA" w:rsidRDefault="004741FA" w:rsidP="004741FA">
      <w:r>
        <w:t xml:space="preserve">The patient is given full radiation safety education on limiting radiation dose to the public, </w:t>
      </w:r>
      <w:r w:rsidR="00E41A95">
        <w:t>family,</w:t>
      </w:r>
      <w:r>
        <w:t xml:space="preserve"> and caregivers.</w:t>
      </w:r>
      <w:r w:rsidR="008C5CAE">
        <w:t xml:space="preserve"> </w:t>
      </w:r>
      <w:r>
        <w:t xml:space="preserve">Radiation safety guidelines are developed with theranostics physicists according to the </w:t>
      </w:r>
      <w:r w:rsidR="008C5CAE" w:rsidRPr="008C5CAE">
        <w:t xml:space="preserve">Australasian Association of Nuclear Medicine Specialists </w:t>
      </w:r>
      <w:r w:rsidR="008C5CAE">
        <w:t>(</w:t>
      </w:r>
      <w:r>
        <w:t>AANMS</w:t>
      </w:r>
      <w:r w:rsidR="008C5CAE">
        <w:t>)</w:t>
      </w:r>
      <w:r>
        <w:t xml:space="preserve"> Theranostics position statement.</w:t>
      </w:r>
    </w:p>
    <w:p w14:paraId="6D5F5E81" w14:textId="6A3AAF08" w:rsidR="004F7AD1" w:rsidRDefault="004741FA" w:rsidP="00221162">
      <w:r>
        <w:t>Imaging (</w:t>
      </w:r>
      <w:r w:rsidRPr="00DA2F80">
        <w:rPr>
          <w:vertAlign w:val="superscript"/>
        </w:rPr>
        <w:t>177</w:t>
      </w:r>
      <w:r>
        <w:t xml:space="preserve">Lu PSMA </w:t>
      </w:r>
      <w:r w:rsidR="006E5B64">
        <w:t>s</w:t>
      </w:r>
      <w:r w:rsidR="006E5B64" w:rsidRPr="006E5B64">
        <w:t xml:space="preserve">ingle-photon emission computed tomography </w:t>
      </w:r>
      <w:r w:rsidR="006E5B64">
        <w:t>(</w:t>
      </w:r>
      <w:r>
        <w:t>SPECT</w:t>
      </w:r>
      <w:r w:rsidR="006E5B64">
        <w:t>)/</w:t>
      </w:r>
      <w:r>
        <w:t>CT) involving a whole-body scan is acquired 24 hours following injection to confirm uptake at tumour sites, and to allow serial imaging quantitation of treatment response.</w:t>
      </w:r>
    </w:p>
    <w:p w14:paraId="5C0AFDCD" w14:textId="6DB690BF" w:rsidR="00DA2F80" w:rsidRPr="00E9039C" w:rsidRDefault="00DA2F80" w:rsidP="00221162">
      <w:pPr>
        <w:rPr>
          <w:rFonts w:asciiTheme="minorHAnsi" w:hAnsiTheme="minorHAnsi" w:cstheme="minorHAnsi"/>
          <w:i/>
          <w:iCs/>
        </w:rPr>
      </w:pPr>
      <w:r w:rsidRPr="00906507">
        <w:rPr>
          <w:rFonts w:asciiTheme="minorHAnsi" w:hAnsiTheme="minorHAnsi" w:cstheme="minorHAnsi"/>
          <w:i/>
          <w:iCs/>
        </w:rPr>
        <w:t xml:space="preserve">PASC also noted that although SPECT/CT </w:t>
      </w:r>
      <w:r w:rsidRPr="00906507">
        <w:rPr>
          <w:i/>
          <w:iCs/>
        </w:rPr>
        <w:t>following</w:t>
      </w:r>
      <w:r w:rsidRPr="00906507">
        <w:rPr>
          <w:rFonts w:asciiTheme="minorHAnsi" w:hAnsiTheme="minorHAnsi" w:cstheme="minorHAnsi"/>
          <w:i/>
          <w:iCs/>
        </w:rPr>
        <w:t xml:space="preserve"> </w:t>
      </w:r>
      <w:r w:rsidRPr="00906507">
        <w:rPr>
          <w:rFonts w:asciiTheme="minorHAnsi" w:hAnsiTheme="minorHAnsi" w:cstheme="minorHAnsi"/>
          <w:i/>
          <w:iCs/>
          <w:vertAlign w:val="superscript"/>
        </w:rPr>
        <w:t>177</w:t>
      </w:r>
      <w:r w:rsidRPr="00906507">
        <w:rPr>
          <w:rFonts w:asciiTheme="minorHAnsi" w:hAnsiTheme="minorHAnsi" w:cstheme="minorHAnsi"/>
          <w:i/>
          <w:iCs/>
        </w:rPr>
        <w:t xml:space="preserve">Lu PSMA therapy was conducted in the TheraP trial </w:t>
      </w:r>
      <w:r w:rsidRPr="00E9039C">
        <w:rPr>
          <w:rFonts w:asciiTheme="minorHAnsi" w:hAnsiTheme="minorHAnsi" w:cstheme="minorHAnsi"/>
          <w:i/>
          <w:iCs/>
        </w:rPr>
        <w:t xml:space="preserve">(Hofman 2021), it was not in the VISION trial (Sartor 2021). PASC stated that the requirement for SPECT/CT following </w:t>
      </w:r>
      <w:r w:rsidRPr="00E9039C">
        <w:rPr>
          <w:rFonts w:asciiTheme="minorHAnsi" w:hAnsiTheme="minorHAnsi" w:cstheme="minorHAnsi"/>
          <w:i/>
          <w:iCs/>
          <w:vertAlign w:val="superscript"/>
        </w:rPr>
        <w:t>177</w:t>
      </w:r>
      <w:r w:rsidRPr="00E9039C">
        <w:rPr>
          <w:rFonts w:asciiTheme="minorHAnsi" w:hAnsiTheme="minorHAnsi" w:cstheme="minorHAnsi"/>
          <w:i/>
          <w:iCs/>
        </w:rPr>
        <w:t xml:space="preserve">Lu PSMA therapy </w:t>
      </w:r>
      <w:r>
        <w:rPr>
          <w:rFonts w:asciiTheme="minorHAnsi" w:hAnsiTheme="minorHAnsi" w:cstheme="minorHAnsi"/>
          <w:i/>
          <w:iCs/>
        </w:rPr>
        <w:t xml:space="preserve">and its impact on subsequent management </w:t>
      </w:r>
      <w:r w:rsidRPr="00E9039C">
        <w:rPr>
          <w:rFonts w:asciiTheme="minorHAnsi" w:hAnsiTheme="minorHAnsi" w:cstheme="minorHAnsi"/>
          <w:i/>
          <w:iCs/>
        </w:rPr>
        <w:t>should be justified in the assessment report.</w:t>
      </w:r>
    </w:p>
    <w:p w14:paraId="649CD666" w14:textId="6859AD3B" w:rsidR="004F7AD1" w:rsidRDefault="004741FA" w:rsidP="004741FA">
      <w:r>
        <w:t xml:space="preserve">Repeat doses of </w:t>
      </w:r>
      <w:r>
        <w:rPr>
          <w:vertAlign w:val="superscript"/>
        </w:rPr>
        <w:t>177</w:t>
      </w:r>
      <w:r>
        <w:t xml:space="preserve">Lu PSMA </w:t>
      </w:r>
      <w:r w:rsidR="00E41841">
        <w:t>I&amp;T</w:t>
      </w:r>
      <w:r w:rsidR="00A56EA2">
        <w:t xml:space="preserve"> </w:t>
      </w:r>
      <w:r>
        <w:t xml:space="preserve">occur at 6 weekly intervals for an average of 6 doses – until the patient is no longer clinically benefiting or they do not have significant persistent disease to target with </w:t>
      </w:r>
      <w:r>
        <w:rPr>
          <w:vertAlign w:val="superscript"/>
        </w:rPr>
        <w:t>177</w:t>
      </w:r>
      <w:r>
        <w:t xml:space="preserve">Lu PSMA </w:t>
      </w:r>
      <w:r w:rsidR="00E41841">
        <w:t>I&amp;T</w:t>
      </w:r>
      <w:r>
        <w:t>.</w:t>
      </w:r>
    </w:p>
    <w:p w14:paraId="7F4EE97C" w14:textId="65B82629" w:rsidR="004741FA" w:rsidRDefault="009D52C8" w:rsidP="004741FA">
      <w:r>
        <w:rPr>
          <w:rFonts w:asciiTheme="minorHAnsi" w:hAnsiTheme="minorHAnsi" w:cstheme="minorHAnsi"/>
          <w:i/>
          <w:iCs/>
        </w:rPr>
        <w:t xml:space="preserve">PASC indicated that criteria for continuing/ceasing </w:t>
      </w:r>
      <w:r>
        <w:rPr>
          <w:rFonts w:asciiTheme="minorHAnsi" w:hAnsiTheme="minorHAnsi" w:cstheme="minorHAnsi"/>
          <w:i/>
          <w:iCs/>
          <w:vertAlign w:val="superscript"/>
        </w:rPr>
        <w:t>177</w:t>
      </w:r>
      <w:r>
        <w:rPr>
          <w:rFonts w:asciiTheme="minorHAnsi" w:hAnsiTheme="minorHAnsi" w:cstheme="minorHAnsi"/>
          <w:i/>
          <w:iCs/>
        </w:rPr>
        <w:t>Lu PSMA treatment should be clarified.</w:t>
      </w:r>
    </w:p>
    <w:p w14:paraId="2379ABB0" w14:textId="388DC010" w:rsidR="00906012" w:rsidRDefault="004741FA" w:rsidP="004741FA">
      <w:r>
        <w:t xml:space="preserve">On cessation of </w:t>
      </w:r>
      <w:r>
        <w:rPr>
          <w:vertAlign w:val="superscript"/>
        </w:rPr>
        <w:t>177</w:t>
      </w:r>
      <w:r>
        <w:t xml:space="preserve">Lu PSMA </w:t>
      </w:r>
      <w:r w:rsidR="00E41841">
        <w:t>I&amp;T</w:t>
      </w:r>
      <w:r>
        <w:t>, after the patient is no longer clinically benefiting, the patient</w:t>
      </w:r>
      <w:r w:rsidR="00953283">
        <w:t>’</w:t>
      </w:r>
      <w:r>
        <w:t>s oncology specialist will determine the next appropriate treatment options based on disease volume and phenotype, patient age, co-</w:t>
      </w:r>
      <w:r w:rsidR="00E41A95">
        <w:t>morbidities,</w:t>
      </w:r>
      <w:r>
        <w:t xml:space="preserve"> and patient informed decision.</w:t>
      </w:r>
    </w:p>
    <w:p w14:paraId="53067D0D" w14:textId="452FAD11" w:rsidR="003716F9" w:rsidRDefault="00F14D25" w:rsidP="003716F9">
      <w:r>
        <w:t>The application noted that p</w:t>
      </w:r>
      <w:r w:rsidRPr="00F14D25">
        <w:t xml:space="preserve">roduction of </w:t>
      </w:r>
      <w:r w:rsidRPr="00F14D25">
        <w:rPr>
          <w:vertAlign w:val="superscript"/>
        </w:rPr>
        <w:t>177</w:t>
      </w:r>
      <w:r w:rsidRPr="00F14D25">
        <w:t xml:space="preserve">Lu PSMA </w:t>
      </w:r>
      <w:r w:rsidR="00E41841">
        <w:t>I&amp;T</w:t>
      </w:r>
      <w:r w:rsidRPr="00F14D25">
        <w:t xml:space="preserve"> is currently through the TGA exemption for production of radiopharmaceuticals in public or private hospitals for local use and not for on-sale. A network of academic </w:t>
      </w:r>
      <w:r w:rsidR="00F31868">
        <w:t>t</w:t>
      </w:r>
      <w:r w:rsidRPr="00F14D25">
        <w:t>heranostics departments across Australia have undergone accreditation for production of GLP compliant Lu PSMA for trial purposes.</w:t>
      </w:r>
      <w:r>
        <w:t xml:space="preserve"> </w:t>
      </w:r>
      <w:r w:rsidR="003716F9">
        <w:t>Both treatment and imaging radiopharmaceuticals are produced across Australia with this method of production</w:t>
      </w:r>
      <w:r>
        <w:t>:</w:t>
      </w:r>
    </w:p>
    <w:p w14:paraId="3AF84C6A" w14:textId="6CECCB65" w:rsidR="003716F9" w:rsidRDefault="003716F9" w:rsidP="003716F9">
      <w:pPr>
        <w:ind w:left="284" w:hanging="284"/>
      </w:pPr>
      <w:r>
        <w:t>1.</w:t>
      </w:r>
      <w:r>
        <w:tab/>
        <w:t>Ga PSMA – MSAC approved for GLP compliant production.</w:t>
      </w:r>
    </w:p>
    <w:p w14:paraId="62985F8A" w14:textId="49E6B19B" w:rsidR="003716F9" w:rsidRDefault="003716F9" w:rsidP="003716F9">
      <w:pPr>
        <w:ind w:left="284" w:hanging="284"/>
      </w:pPr>
      <w:r>
        <w:t>2.</w:t>
      </w:r>
      <w:r>
        <w:tab/>
        <w:t>Ga DOTA</w:t>
      </w:r>
      <w:r w:rsidR="00F31868">
        <w:t>TATE</w:t>
      </w:r>
      <w:r>
        <w:t xml:space="preserve"> – MSAC approved for GLP compliant production.</w:t>
      </w:r>
    </w:p>
    <w:p w14:paraId="0A961398" w14:textId="6BE1A0E7" w:rsidR="003716F9" w:rsidRDefault="003716F9" w:rsidP="003716F9">
      <w:pPr>
        <w:ind w:left="284" w:hanging="284"/>
      </w:pPr>
      <w:r>
        <w:t>3.</w:t>
      </w:r>
      <w:r>
        <w:tab/>
        <w:t>177 Lutetium DOTA – multiple approvals for funding using state processes across Australia.</w:t>
      </w:r>
    </w:p>
    <w:p w14:paraId="3A7A5542" w14:textId="6D048E1B" w:rsidR="003716F9" w:rsidRDefault="003716F9" w:rsidP="003716F9">
      <w:pPr>
        <w:ind w:left="284" w:hanging="284"/>
      </w:pPr>
      <w:r>
        <w:t>4.</w:t>
      </w:r>
      <w:r>
        <w:tab/>
        <w:t>177 Lutetium PSMA 617 – all production across Australia for multiple trials using GLP compliant production methods.</w:t>
      </w:r>
    </w:p>
    <w:p w14:paraId="022590CF" w14:textId="510F4D1A" w:rsidR="003716F9" w:rsidRDefault="003716F9" w:rsidP="003716F9">
      <w:pPr>
        <w:ind w:left="284" w:hanging="284"/>
      </w:pPr>
      <w:r>
        <w:t>5.</w:t>
      </w:r>
      <w:r>
        <w:tab/>
        <w:t xml:space="preserve">177 Lutetium PSMA </w:t>
      </w:r>
      <w:r w:rsidR="00E41841">
        <w:t>I&amp;T</w:t>
      </w:r>
      <w:r>
        <w:t xml:space="preserve"> – produced for patient doses across Australia under the SAS scheme.</w:t>
      </w:r>
    </w:p>
    <w:p w14:paraId="763101C7" w14:textId="3BFB3062" w:rsidR="003716F9" w:rsidRDefault="003716F9" w:rsidP="003716F9">
      <w:pPr>
        <w:ind w:left="284" w:hanging="284"/>
      </w:pPr>
      <w:r>
        <w:t>6.</w:t>
      </w:r>
      <w:r>
        <w:tab/>
        <w:t xml:space="preserve">GLP compliant production for clinical purposes is a TGA acknowledged process that has been used extensively for the benefit of the patients in </w:t>
      </w:r>
      <w:r w:rsidR="00A61410">
        <w:t>theranostics</w:t>
      </w:r>
      <w:r>
        <w:t>. This is a radiation procedure with trained radiochemists undertaking the labelling and safety demonstrated across hundreds of thousands of doses across the theranostics space in the last 20 years.</w:t>
      </w:r>
    </w:p>
    <w:p w14:paraId="4399163A" w14:textId="5567E87F" w:rsidR="003716F9" w:rsidRDefault="003716F9" w:rsidP="003716F9">
      <w:pPr>
        <w:ind w:left="284" w:hanging="284"/>
      </w:pPr>
      <w:r>
        <w:t>7.</w:t>
      </w:r>
      <w:r>
        <w:tab/>
        <w:t>There is no GMP compliant alternative – and given the safety demonstrated consistently across high level trials and in clinical practice – the argument for delaying treatment availability to enforce a commercial solution goes against the TGA exemption (which reflects the theranostics space), the safety already demonstrated with the current system, and the urgent clinical needs of the patients involved.</w:t>
      </w:r>
    </w:p>
    <w:p w14:paraId="7CC7FBB2" w14:textId="530DB5D0" w:rsidR="005536B3" w:rsidRPr="00ED4AD4" w:rsidRDefault="00F14D25" w:rsidP="00ED4AD4">
      <w:r>
        <w:t xml:space="preserve">The application noted that </w:t>
      </w:r>
      <w:r w:rsidRPr="00F14D25">
        <w:t xml:space="preserve">GLP compliant production is routinely used in nuclear medicine departments for radio-pharmacy production across Australia and has been a safe, cost effective, highly accessible model for production of radiopharmaceuticals. It is proposed that the production of </w:t>
      </w:r>
      <w:r w:rsidRPr="00F14D25">
        <w:rPr>
          <w:vertAlign w:val="superscript"/>
        </w:rPr>
        <w:t>177</w:t>
      </w:r>
      <w:r w:rsidRPr="00F14D25">
        <w:t xml:space="preserve">Lu PSMA </w:t>
      </w:r>
      <w:r w:rsidR="00E41841">
        <w:t>I&amp;T</w:t>
      </w:r>
      <w:r w:rsidRPr="00F14D25">
        <w:t xml:space="preserve"> be continued along this model of production.</w:t>
      </w:r>
    </w:p>
    <w:p w14:paraId="665B0675" w14:textId="45E3FA8C" w:rsidR="007A66C8" w:rsidRDefault="007A66C8" w:rsidP="00713728">
      <w:pPr>
        <w:pStyle w:val="Heading3"/>
      </w:pPr>
      <w:r w:rsidRPr="008F1532">
        <w:t>Comparator</w:t>
      </w:r>
      <w:r w:rsidR="007D6B83">
        <w:t>(</w:t>
      </w:r>
      <w:r w:rsidR="008F1532">
        <w:t>s</w:t>
      </w:r>
      <w:r w:rsidR="007D6B83">
        <w:t>)</w:t>
      </w:r>
    </w:p>
    <w:p w14:paraId="0BF0856F" w14:textId="2F53FF22" w:rsidR="004F7AD1" w:rsidRDefault="008C5CAE" w:rsidP="00933BC0">
      <w:pPr>
        <w:spacing w:before="200"/>
      </w:pPr>
      <w:r w:rsidRPr="009D52C8">
        <w:t xml:space="preserve">No comparators </w:t>
      </w:r>
      <w:r w:rsidR="00933BC0" w:rsidRPr="009D52C8">
        <w:t xml:space="preserve">were nominated </w:t>
      </w:r>
      <w:r w:rsidRPr="009D52C8">
        <w:t>for PSMA PET/CT</w:t>
      </w:r>
      <w:r w:rsidR="009D52C8">
        <w:t xml:space="preserve">, </w:t>
      </w:r>
      <w:r w:rsidRPr="009D52C8">
        <w:t xml:space="preserve">FDG PET/CT </w:t>
      </w:r>
      <w:r w:rsidR="009D52C8">
        <w:t>or SPECT/CT</w:t>
      </w:r>
      <w:r w:rsidRPr="009D52C8">
        <w:t>.</w:t>
      </w:r>
    </w:p>
    <w:p w14:paraId="115EFC90" w14:textId="5DFB4770" w:rsidR="009D52C8" w:rsidRPr="00066772" w:rsidRDefault="009D52C8" w:rsidP="00933BC0">
      <w:pPr>
        <w:spacing w:before="200"/>
      </w:pPr>
      <w:r w:rsidRPr="00066772">
        <w:rPr>
          <w:i/>
          <w:iCs/>
        </w:rPr>
        <w:t>PASC nominated the following additional comparisons to include in the assessment report</w:t>
      </w:r>
      <w:r w:rsidR="00D90038" w:rsidRPr="00066772">
        <w:rPr>
          <w:i/>
          <w:iCs/>
        </w:rPr>
        <w:t xml:space="preserve"> to justify the nominated threshold for PSMA PET/CT positive status </w:t>
      </w:r>
      <w:r w:rsidR="00E5123C" w:rsidRPr="00E5123C">
        <w:rPr>
          <w:i/>
          <w:iCs/>
        </w:rPr>
        <w:t xml:space="preserve">indicating eligibility for 177Lu PSMA therapy </w:t>
      </w:r>
      <w:r w:rsidR="00D90038" w:rsidRPr="00066772">
        <w:rPr>
          <w:i/>
          <w:iCs/>
        </w:rPr>
        <w:t>and to justify the requirement for FDG PET/CT and post-treatment SPECT/CT</w:t>
      </w:r>
      <w:r w:rsidRPr="00066772">
        <w:rPr>
          <w:i/>
          <w:iCs/>
        </w:rPr>
        <w:t>:</w:t>
      </w:r>
    </w:p>
    <w:tbl>
      <w:tblPr>
        <w:tblStyle w:val="TableGrid"/>
        <w:tblW w:w="0" w:type="auto"/>
        <w:tblInd w:w="-5" w:type="dxa"/>
        <w:tblLook w:val="04A0" w:firstRow="1" w:lastRow="0" w:firstColumn="1" w:lastColumn="0" w:noHBand="0" w:noVBand="1"/>
      </w:tblPr>
      <w:tblGrid>
        <w:gridCol w:w="3119"/>
        <w:gridCol w:w="6379"/>
      </w:tblGrid>
      <w:tr w:rsidR="009D52C8" w:rsidRPr="001E2A2A" w14:paraId="359A681D" w14:textId="77777777" w:rsidTr="00933BC0">
        <w:tc>
          <w:tcPr>
            <w:tcW w:w="3119" w:type="dxa"/>
          </w:tcPr>
          <w:p w14:paraId="040BE9F9" w14:textId="77777777" w:rsidR="009D52C8" w:rsidRPr="009D52C8" w:rsidRDefault="009D52C8" w:rsidP="00BA256B">
            <w:pPr>
              <w:pStyle w:val="ListParagraph"/>
              <w:autoSpaceDE w:val="0"/>
              <w:autoSpaceDN w:val="0"/>
              <w:adjustRightInd w:val="0"/>
              <w:spacing w:before="40" w:after="40" w:line="23" w:lineRule="atLeast"/>
              <w:ind w:left="0"/>
              <w:contextualSpacing w:val="0"/>
              <w:jc w:val="center"/>
              <w:rPr>
                <w:rFonts w:asciiTheme="minorHAnsi" w:hAnsiTheme="minorHAnsi" w:cstheme="minorHAnsi"/>
                <w:b/>
                <w:bCs/>
                <w:i/>
                <w:iCs/>
                <w:sz w:val="22"/>
              </w:rPr>
            </w:pPr>
            <w:r w:rsidRPr="009D52C8">
              <w:rPr>
                <w:rFonts w:asciiTheme="minorHAnsi" w:hAnsiTheme="minorHAnsi" w:cstheme="minorHAnsi"/>
                <w:b/>
                <w:bCs/>
                <w:i/>
                <w:iCs/>
                <w:sz w:val="22"/>
              </w:rPr>
              <w:t>Component</w:t>
            </w:r>
          </w:p>
        </w:tc>
        <w:tc>
          <w:tcPr>
            <w:tcW w:w="6379" w:type="dxa"/>
          </w:tcPr>
          <w:p w14:paraId="581B97C6" w14:textId="0ECF2909" w:rsidR="009D52C8" w:rsidRPr="009D52C8" w:rsidRDefault="009D52C8" w:rsidP="00BA256B">
            <w:pPr>
              <w:pStyle w:val="ListParagraph"/>
              <w:autoSpaceDE w:val="0"/>
              <w:autoSpaceDN w:val="0"/>
              <w:adjustRightInd w:val="0"/>
              <w:spacing w:before="40" w:after="40" w:line="23" w:lineRule="atLeast"/>
              <w:ind w:left="0"/>
              <w:contextualSpacing w:val="0"/>
              <w:jc w:val="center"/>
              <w:rPr>
                <w:rFonts w:asciiTheme="minorHAnsi" w:hAnsiTheme="minorHAnsi" w:cstheme="minorHAnsi"/>
                <w:b/>
                <w:bCs/>
                <w:i/>
                <w:iCs/>
                <w:sz w:val="22"/>
              </w:rPr>
            </w:pPr>
            <w:r w:rsidRPr="009D52C8">
              <w:rPr>
                <w:rFonts w:asciiTheme="minorHAnsi" w:hAnsiTheme="minorHAnsi" w:cstheme="minorHAnsi"/>
                <w:b/>
                <w:bCs/>
                <w:i/>
                <w:iCs/>
                <w:sz w:val="22"/>
              </w:rPr>
              <w:t>Comparison</w:t>
            </w:r>
          </w:p>
        </w:tc>
      </w:tr>
      <w:tr w:rsidR="009D52C8" w:rsidRPr="001E2A2A" w14:paraId="7D01E48F" w14:textId="77777777" w:rsidTr="00933BC0">
        <w:tc>
          <w:tcPr>
            <w:tcW w:w="3119" w:type="dxa"/>
          </w:tcPr>
          <w:p w14:paraId="7F98EA90" w14:textId="77777777" w:rsidR="009D52C8" w:rsidRPr="009D52C8" w:rsidRDefault="009D52C8" w:rsidP="00BA256B">
            <w:pPr>
              <w:pStyle w:val="ListParagraph"/>
              <w:autoSpaceDE w:val="0"/>
              <w:autoSpaceDN w:val="0"/>
              <w:adjustRightInd w:val="0"/>
              <w:spacing w:before="40" w:after="40" w:line="23" w:lineRule="atLeast"/>
              <w:ind w:left="0"/>
              <w:contextualSpacing w:val="0"/>
              <w:rPr>
                <w:rFonts w:asciiTheme="minorHAnsi" w:hAnsiTheme="minorHAnsi" w:cstheme="minorHAnsi"/>
                <w:i/>
                <w:iCs/>
                <w:sz w:val="22"/>
              </w:rPr>
            </w:pPr>
            <w:r w:rsidRPr="009D52C8">
              <w:rPr>
                <w:rFonts w:asciiTheme="minorHAnsi" w:hAnsiTheme="minorHAnsi" w:cstheme="minorHAnsi"/>
                <w:i/>
                <w:iCs/>
                <w:sz w:val="22"/>
              </w:rPr>
              <w:t>PSMA PET/CT SUV</w:t>
            </w:r>
            <w:r w:rsidRPr="009D52C8">
              <w:rPr>
                <w:rFonts w:asciiTheme="minorHAnsi" w:hAnsiTheme="minorHAnsi" w:cstheme="minorHAnsi"/>
                <w:i/>
                <w:iCs/>
                <w:sz w:val="22"/>
                <w:vertAlign w:val="subscript"/>
              </w:rPr>
              <w:t>max</w:t>
            </w:r>
            <w:r w:rsidRPr="009D52C8">
              <w:rPr>
                <w:rFonts w:asciiTheme="minorHAnsi" w:hAnsiTheme="minorHAnsi" w:cstheme="minorHAnsi"/>
                <w:i/>
                <w:iCs/>
                <w:sz w:val="22"/>
              </w:rPr>
              <w:t xml:space="preserve"> &gt;15 at a single site of disease and SUV</w:t>
            </w:r>
            <w:r w:rsidRPr="009D52C8">
              <w:rPr>
                <w:rFonts w:asciiTheme="minorHAnsi" w:hAnsiTheme="minorHAnsi" w:cstheme="minorHAnsi"/>
                <w:i/>
                <w:iCs/>
                <w:sz w:val="22"/>
                <w:vertAlign w:val="subscript"/>
              </w:rPr>
              <w:t>max</w:t>
            </w:r>
            <w:r w:rsidRPr="009D52C8">
              <w:rPr>
                <w:rFonts w:asciiTheme="minorHAnsi" w:hAnsiTheme="minorHAnsi" w:cstheme="minorHAnsi"/>
                <w:i/>
                <w:iCs/>
                <w:sz w:val="22"/>
              </w:rPr>
              <w:t xml:space="preserve"> &gt;10 at all sites of measurable disease</w:t>
            </w:r>
          </w:p>
        </w:tc>
        <w:tc>
          <w:tcPr>
            <w:tcW w:w="6379" w:type="dxa"/>
          </w:tcPr>
          <w:p w14:paraId="286B81D6" w14:textId="77777777" w:rsidR="009D52C8" w:rsidRPr="009D52C8" w:rsidRDefault="009D52C8" w:rsidP="00BA256B">
            <w:pPr>
              <w:pStyle w:val="ListParagraph"/>
              <w:numPr>
                <w:ilvl w:val="0"/>
                <w:numId w:val="19"/>
              </w:numPr>
              <w:autoSpaceDE w:val="0"/>
              <w:autoSpaceDN w:val="0"/>
              <w:adjustRightInd w:val="0"/>
              <w:spacing w:before="40" w:after="40" w:line="23" w:lineRule="atLeast"/>
              <w:ind w:left="304" w:hanging="304"/>
              <w:contextualSpacing w:val="0"/>
              <w:rPr>
                <w:rFonts w:asciiTheme="minorHAnsi" w:hAnsiTheme="minorHAnsi" w:cstheme="minorHAnsi"/>
                <w:i/>
                <w:iCs/>
                <w:sz w:val="22"/>
              </w:rPr>
            </w:pPr>
            <w:r w:rsidRPr="009D52C8">
              <w:rPr>
                <w:rFonts w:asciiTheme="minorHAnsi" w:hAnsiTheme="minorHAnsi" w:cstheme="minorHAnsi"/>
                <w:i/>
                <w:iCs/>
                <w:sz w:val="22"/>
              </w:rPr>
              <w:t>PSMA PET/CT SUV</w:t>
            </w:r>
            <w:r w:rsidRPr="009D52C8">
              <w:rPr>
                <w:rFonts w:asciiTheme="minorHAnsi" w:hAnsiTheme="minorHAnsi" w:cstheme="minorHAnsi"/>
                <w:i/>
                <w:iCs/>
                <w:sz w:val="22"/>
                <w:vertAlign w:val="subscript"/>
              </w:rPr>
              <w:t>max</w:t>
            </w:r>
            <w:r w:rsidRPr="009D52C8">
              <w:rPr>
                <w:rFonts w:asciiTheme="minorHAnsi" w:hAnsiTheme="minorHAnsi" w:cstheme="minorHAnsi"/>
                <w:i/>
                <w:iCs/>
                <w:sz w:val="22"/>
              </w:rPr>
              <w:t xml:space="preserve"> &gt;20 at a single site of disease and SUV</w:t>
            </w:r>
            <w:r w:rsidRPr="009D52C8">
              <w:rPr>
                <w:rFonts w:asciiTheme="minorHAnsi" w:hAnsiTheme="minorHAnsi" w:cstheme="minorHAnsi"/>
                <w:i/>
                <w:iCs/>
                <w:sz w:val="22"/>
                <w:vertAlign w:val="subscript"/>
              </w:rPr>
              <w:t>max</w:t>
            </w:r>
            <w:r w:rsidRPr="009D52C8">
              <w:rPr>
                <w:rFonts w:asciiTheme="minorHAnsi" w:hAnsiTheme="minorHAnsi" w:cstheme="minorHAnsi"/>
                <w:i/>
                <w:iCs/>
                <w:sz w:val="22"/>
              </w:rPr>
              <w:t xml:space="preserve"> &gt;10 at all sites of measurable disease (as per the TheraP trial)</w:t>
            </w:r>
          </w:p>
          <w:p w14:paraId="3F60BB65" w14:textId="67AF246E" w:rsidR="009D52C8" w:rsidRPr="009D52C8" w:rsidRDefault="009D52C8" w:rsidP="00BA256B">
            <w:pPr>
              <w:pStyle w:val="ListParagraph"/>
              <w:numPr>
                <w:ilvl w:val="0"/>
                <w:numId w:val="19"/>
              </w:numPr>
              <w:autoSpaceDE w:val="0"/>
              <w:autoSpaceDN w:val="0"/>
              <w:adjustRightInd w:val="0"/>
              <w:spacing w:before="40" w:after="40" w:line="23" w:lineRule="atLeast"/>
              <w:ind w:left="304" w:hanging="304"/>
              <w:contextualSpacing w:val="0"/>
              <w:rPr>
                <w:rFonts w:asciiTheme="minorHAnsi" w:hAnsiTheme="minorHAnsi" w:cstheme="minorHAnsi"/>
                <w:i/>
                <w:iCs/>
                <w:sz w:val="22"/>
              </w:rPr>
            </w:pPr>
            <w:r w:rsidRPr="009D52C8">
              <w:rPr>
                <w:rFonts w:asciiTheme="minorHAnsi" w:hAnsiTheme="minorHAnsi" w:cstheme="minorHAnsi"/>
                <w:i/>
                <w:iCs/>
                <w:sz w:val="22"/>
              </w:rPr>
              <w:t xml:space="preserve">PSMA </w:t>
            </w:r>
            <w:r w:rsidR="00933BC0">
              <w:rPr>
                <w:rFonts w:asciiTheme="minorHAnsi" w:hAnsiTheme="minorHAnsi" w:cstheme="minorHAnsi"/>
                <w:i/>
                <w:iCs/>
                <w:sz w:val="22"/>
              </w:rPr>
              <w:t>uptake</w:t>
            </w:r>
            <w:r w:rsidRPr="009D52C8">
              <w:rPr>
                <w:rFonts w:asciiTheme="minorHAnsi" w:hAnsiTheme="minorHAnsi" w:cstheme="minorHAnsi"/>
                <w:i/>
                <w:iCs/>
                <w:sz w:val="22"/>
              </w:rPr>
              <w:t xml:space="preserve"> in </w:t>
            </w:r>
            <w:r w:rsidRPr="009D52C8">
              <w:rPr>
                <w:rFonts w:cs="Calibri"/>
                <w:i/>
                <w:iCs/>
                <w:sz w:val="22"/>
              </w:rPr>
              <w:t>≥</w:t>
            </w:r>
            <w:r w:rsidRPr="009D52C8">
              <w:rPr>
                <w:rFonts w:asciiTheme="minorHAnsi" w:hAnsiTheme="minorHAnsi" w:cstheme="minorHAnsi"/>
                <w:i/>
                <w:iCs/>
                <w:sz w:val="22"/>
              </w:rPr>
              <w:t xml:space="preserve">1 metastatic lesion </w:t>
            </w:r>
            <w:r w:rsidR="00933BC0" w:rsidRPr="00933BC0">
              <w:rPr>
                <w:rFonts w:asciiTheme="minorHAnsi" w:hAnsiTheme="minorHAnsi" w:cstheme="minorHAnsi"/>
                <w:i/>
                <w:iCs/>
                <w:sz w:val="22"/>
              </w:rPr>
              <w:t xml:space="preserve">&gt; </w:t>
            </w:r>
            <w:r w:rsidR="00933BC0">
              <w:rPr>
                <w:rFonts w:asciiTheme="minorHAnsi" w:hAnsiTheme="minorHAnsi" w:cstheme="minorHAnsi"/>
                <w:i/>
                <w:iCs/>
                <w:sz w:val="22"/>
              </w:rPr>
              <w:t xml:space="preserve">in </w:t>
            </w:r>
            <w:r w:rsidR="00933BC0" w:rsidRPr="00933BC0">
              <w:rPr>
                <w:rFonts w:asciiTheme="minorHAnsi" w:hAnsiTheme="minorHAnsi" w:cstheme="minorHAnsi"/>
                <w:i/>
                <w:iCs/>
                <w:sz w:val="22"/>
              </w:rPr>
              <w:t xml:space="preserve">liver </w:t>
            </w:r>
            <w:r w:rsidRPr="009D52C8">
              <w:rPr>
                <w:rFonts w:asciiTheme="minorHAnsi" w:hAnsiTheme="minorHAnsi" w:cstheme="minorHAnsi"/>
                <w:i/>
                <w:iCs/>
                <w:sz w:val="22"/>
              </w:rPr>
              <w:t>(as per the VISION trial)</w:t>
            </w:r>
          </w:p>
        </w:tc>
      </w:tr>
      <w:tr w:rsidR="009D52C8" w:rsidRPr="001E2A2A" w14:paraId="159AD246" w14:textId="77777777" w:rsidTr="00933BC0">
        <w:tc>
          <w:tcPr>
            <w:tcW w:w="3119" w:type="dxa"/>
          </w:tcPr>
          <w:p w14:paraId="4CAA3E1B" w14:textId="77777777" w:rsidR="009D52C8" w:rsidRPr="009D52C8" w:rsidRDefault="009D52C8" w:rsidP="00BA256B">
            <w:pPr>
              <w:pStyle w:val="ListParagraph"/>
              <w:autoSpaceDE w:val="0"/>
              <w:autoSpaceDN w:val="0"/>
              <w:adjustRightInd w:val="0"/>
              <w:spacing w:before="40" w:after="40" w:line="23" w:lineRule="atLeast"/>
              <w:ind w:left="0"/>
              <w:contextualSpacing w:val="0"/>
              <w:rPr>
                <w:rFonts w:asciiTheme="minorHAnsi" w:hAnsiTheme="minorHAnsi" w:cstheme="minorHAnsi"/>
                <w:i/>
                <w:iCs/>
                <w:sz w:val="22"/>
              </w:rPr>
            </w:pPr>
            <w:r w:rsidRPr="009D52C8">
              <w:rPr>
                <w:rFonts w:asciiTheme="minorHAnsi" w:hAnsiTheme="minorHAnsi" w:cstheme="minorHAnsi"/>
                <w:i/>
                <w:iCs/>
                <w:sz w:val="22"/>
              </w:rPr>
              <w:t>FDG PET/CT</w:t>
            </w:r>
          </w:p>
        </w:tc>
        <w:tc>
          <w:tcPr>
            <w:tcW w:w="6379" w:type="dxa"/>
          </w:tcPr>
          <w:p w14:paraId="3A1D6AE6" w14:textId="77777777" w:rsidR="009D52C8" w:rsidRPr="009D52C8" w:rsidRDefault="009D52C8" w:rsidP="00BA256B">
            <w:pPr>
              <w:pStyle w:val="ListParagraph"/>
              <w:autoSpaceDE w:val="0"/>
              <w:autoSpaceDN w:val="0"/>
              <w:adjustRightInd w:val="0"/>
              <w:spacing w:before="40" w:after="40" w:line="23" w:lineRule="atLeast"/>
              <w:ind w:left="0"/>
              <w:contextualSpacing w:val="0"/>
              <w:rPr>
                <w:rFonts w:asciiTheme="minorHAnsi" w:hAnsiTheme="minorHAnsi" w:cstheme="minorHAnsi"/>
                <w:i/>
                <w:iCs/>
                <w:sz w:val="22"/>
              </w:rPr>
            </w:pPr>
            <w:r w:rsidRPr="009D52C8">
              <w:rPr>
                <w:rFonts w:asciiTheme="minorHAnsi" w:hAnsiTheme="minorHAnsi" w:cstheme="minorHAnsi"/>
                <w:i/>
                <w:iCs/>
                <w:sz w:val="22"/>
              </w:rPr>
              <w:t>No FDG PET/CT (as per the VISION trial)</w:t>
            </w:r>
          </w:p>
        </w:tc>
      </w:tr>
      <w:tr w:rsidR="009D52C8" w:rsidRPr="001E2A2A" w14:paraId="0E8E4DC4" w14:textId="77777777" w:rsidTr="00933BC0">
        <w:tc>
          <w:tcPr>
            <w:tcW w:w="3119" w:type="dxa"/>
          </w:tcPr>
          <w:p w14:paraId="588E43FC" w14:textId="4C801FC2" w:rsidR="009D52C8" w:rsidRPr="009D52C8" w:rsidRDefault="009D52C8" w:rsidP="009D52C8">
            <w:pPr>
              <w:pStyle w:val="ListParagraph"/>
              <w:autoSpaceDE w:val="0"/>
              <w:autoSpaceDN w:val="0"/>
              <w:adjustRightInd w:val="0"/>
              <w:spacing w:before="40" w:after="40" w:line="23" w:lineRule="atLeast"/>
              <w:ind w:left="0"/>
              <w:contextualSpacing w:val="0"/>
              <w:rPr>
                <w:rFonts w:asciiTheme="minorHAnsi" w:hAnsiTheme="minorHAnsi" w:cstheme="minorHAnsi"/>
                <w:i/>
                <w:iCs/>
                <w:sz w:val="22"/>
              </w:rPr>
            </w:pPr>
            <w:r w:rsidRPr="009D52C8">
              <w:rPr>
                <w:rFonts w:asciiTheme="minorHAnsi" w:hAnsiTheme="minorHAnsi" w:cstheme="minorHAnsi"/>
                <w:i/>
                <w:iCs/>
                <w:sz w:val="22"/>
              </w:rPr>
              <w:t>Post-treatment SPECT/CT</w:t>
            </w:r>
          </w:p>
        </w:tc>
        <w:tc>
          <w:tcPr>
            <w:tcW w:w="6379" w:type="dxa"/>
          </w:tcPr>
          <w:p w14:paraId="64D305B1" w14:textId="6A4F2DBD" w:rsidR="009D52C8" w:rsidRPr="009D52C8" w:rsidRDefault="009D52C8" w:rsidP="009D52C8">
            <w:pPr>
              <w:pStyle w:val="ListParagraph"/>
              <w:autoSpaceDE w:val="0"/>
              <w:autoSpaceDN w:val="0"/>
              <w:adjustRightInd w:val="0"/>
              <w:spacing w:before="40" w:after="40" w:line="23" w:lineRule="atLeast"/>
              <w:ind w:left="0"/>
              <w:contextualSpacing w:val="0"/>
              <w:rPr>
                <w:rFonts w:asciiTheme="minorHAnsi" w:hAnsiTheme="minorHAnsi" w:cstheme="minorHAnsi"/>
                <w:i/>
                <w:iCs/>
                <w:sz w:val="22"/>
              </w:rPr>
            </w:pPr>
            <w:r w:rsidRPr="009D52C8">
              <w:rPr>
                <w:rFonts w:asciiTheme="minorHAnsi" w:hAnsiTheme="minorHAnsi" w:cstheme="minorHAnsi"/>
                <w:i/>
                <w:iCs/>
                <w:sz w:val="22"/>
              </w:rPr>
              <w:t>No post-treatment SPECT/CT (as per the VISION trial)</w:t>
            </w:r>
          </w:p>
        </w:tc>
      </w:tr>
    </w:tbl>
    <w:p w14:paraId="0971522C" w14:textId="5FFA1435" w:rsidR="00BD1F1D" w:rsidRPr="00E9039C" w:rsidRDefault="00BD1F1D" w:rsidP="00251045">
      <w:pPr>
        <w:spacing w:before="200"/>
        <w:rPr>
          <w:rFonts w:asciiTheme="minorHAnsi" w:hAnsiTheme="minorHAnsi" w:cstheme="minorHAnsi"/>
          <w:i/>
          <w:iCs/>
        </w:rPr>
      </w:pPr>
      <w:r w:rsidRPr="00E9039C">
        <w:rPr>
          <w:rFonts w:asciiTheme="minorHAnsi" w:hAnsiTheme="minorHAnsi" w:cstheme="minorHAnsi"/>
          <w:i/>
          <w:iCs/>
        </w:rPr>
        <w:t>PASC noted that these SUV</w:t>
      </w:r>
      <w:r w:rsidRPr="00E9039C">
        <w:rPr>
          <w:rFonts w:asciiTheme="minorHAnsi" w:hAnsiTheme="minorHAnsi" w:cstheme="minorHAnsi"/>
          <w:i/>
          <w:iCs/>
          <w:vertAlign w:val="subscript"/>
        </w:rPr>
        <w:t>max</w:t>
      </w:r>
      <w:r w:rsidRPr="00E9039C">
        <w:rPr>
          <w:rFonts w:asciiTheme="minorHAnsi" w:hAnsiTheme="minorHAnsi" w:cstheme="minorHAnsi"/>
          <w:i/>
          <w:iCs/>
        </w:rPr>
        <w:t xml:space="preserve"> thresholds </w:t>
      </w:r>
      <w:r w:rsidR="001C4315">
        <w:rPr>
          <w:rFonts w:asciiTheme="minorHAnsi" w:hAnsiTheme="minorHAnsi" w:cstheme="minorHAnsi"/>
          <w:i/>
          <w:iCs/>
        </w:rPr>
        <w:t>were derived from</w:t>
      </w:r>
      <w:r w:rsidRPr="00E9039C">
        <w:rPr>
          <w:rFonts w:asciiTheme="minorHAnsi" w:hAnsiTheme="minorHAnsi" w:cstheme="minorHAnsi"/>
          <w:i/>
          <w:iCs/>
        </w:rPr>
        <w:t xml:space="preserve"> clinical trials using </w:t>
      </w:r>
      <w:r w:rsidRPr="00E9039C">
        <w:rPr>
          <w:rFonts w:asciiTheme="minorHAnsi" w:hAnsiTheme="minorHAnsi" w:cstheme="minorHAnsi"/>
          <w:i/>
          <w:iCs/>
          <w:vertAlign w:val="superscript"/>
        </w:rPr>
        <w:t>68</w:t>
      </w:r>
      <w:r w:rsidRPr="00E9039C">
        <w:rPr>
          <w:rFonts w:asciiTheme="minorHAnsi" w:hAnsiTheme="minorHAnsi" w:cstheme="minorHAnsi"/>
          <w:i/>
          <w:iCs/>
        </w:rPr>
        <w:t>Ga-PSMA-11, with harmonisation of PET instrumentation among clinical trial sites, and questioned whether all other diagnostic PSMA ligands would be expected to produce identical SUV</w:t>
      </w:r>
      <w:r w:rsidRPr="00E9039C">
        <w:rPr>
          <w:rFonts w:asciiTheme="minorHAnsi" w:hAnsiTheme="minorHAnsi" w:cstheme="minorHAnsi"/>
          <w:i/>
          <w:iCs/>
          <w:vertAlign w:val="subscript"/>
        </w:rPr>
        <w:t>max</w:t>
      </w:r>
      <w:r w:rsidRPr="00E9039C">
        <w:rPr>
          <w:rFonts w:asciiTheme="minorHAnsi" w:hAnsiTheme="minorHAnsi" w:cstheme="minorHAnsi"/>
          <w:i/>
          <w:iCs/>
        </w:rPr>
        <w:t xml:space="preserve"> values on all other PET instruments.</w:t>
      </w:r>
    </w:p>
    <w:p w14:paraId="74EB725B" w14:textId="74C8AF3D" w:rsidR="009D52C8" w:rsidRPr="009D52C8" w:rsidRDefault="009D52C8" w:rsidP="00E5123C">
      <w:pPr>
        <w:spacing w:before="200"/>
        <w:rPr>
          <w:i/>
          <w:iCs/>
        </w:rPr>
      </w:pPr>
      <w:r w:rsidRPr="009D52C8">
        <w:rPr>
          <w:i/>
          <w:iCs/>
        </w:rPr>
        <w:t xml:space="preserve">PASC stressed that the assessment report should justify the requirement for FDG PET/CT in the proposed </w:t>
      </w:r>
      <w:r w:rsidR="001C4315">
        <w:rPr>
          <w:i/>
          <w:iCs/>
        </w:rPr>
        <w:t>management</w:t>
      </w:r>
      <w:r w:rsidR="001C4315" w:rsidRPr="009D52C8">
        <w:rPr>
          <w:i/>
          <w:iCs/>
        </w:rPr>
        <w:t xml:space="preserve"> </w:t>
      </w:r>
      <w:r w:rsidRPr="009D52C8">
        <w:rPr>
          <w:i/>
          <w:iCs/>
        </w:rPr>
        <w:t>pathway by presenting three comparisons (see also “Outcomes” below):</w:t>
      </w:r>
    </w:p>
    <w:p w14:paraId="078F0B8B" w14:textId="21A199AB" w:rsidR="009D52C8" w:rsidRPr="009D52C8" w:rsidRDefault="009D52C8" w:rsidP="009D52C8">
      <w:pPr>
        <w:pStyle w:val="ListParagraph"/>
        <w:numPr>
          <w:ilvl w:val="0"/>
          <w:numId w:val="30"/>
        </w:numPr>
        <w:ind w:left="284" w:hanging="284"/>
        <w:rPr>
          <w:i/>
          <w:iCs/>
        </w:rPr>
      </w:pPr>
      <w:r w:rsidRPr="009D52C8">
        <w:rPr>
          <w:i/>
          <w:iCs/>
        </w:rPr>
        <w:t>the proposed management algorithm of codependent interventions with FDG-PET/CT (</w:t>
      </w:r>
      <w:r w:rsidRPr="00066772">
        <w:fldChar w:fldCharType="begin"/>
      </w:r>
      <w:r w:rsidRPr="001E2A2A">
        <w:instrText xml:space="preserve"> REF _Ref87486193 \h  \* MERGEFORMAT </w:instrText>
      </w:r>
      <w:r w:rsidRPr="00066772">
        <w:fldChar w:fldCharType="separate"/>
      </w:r>
      <w:r w:rsidRPr="00066772">
        <w:t xml:space="preserve">Figure </w:t>
      </w:r>
      <w:r w:rsidRPr="00066772">
        <w:rPr>
          <w:noProof/>
        </w:rPr>
        <w:t>3</w:t>
      </w:r>
      <w:r w:rsidRPr="00066772">
        <w:fldChar w:fldCharType="end"/>
      </w:r>
      <w:r w:rsidRPr="009D52C8">
        <w:rPr>
          <w:i/>
          <w:iCs/>
        </w:rPr>
        <w:t>) against the current management algorithm</w:t>
      </w:r>
      <w:r>
        <w:rPr>
          <w:i/>
          <w:iCs/>
        </w:rPr>
        <w:t xml:space="preserve"> (</w:t>
      </w:r>
      <w:r>
        <w:rPr>
          <w:i/>
          <w:iCs/>
        </w:rPr>
        <w:fldChar w:fldCharType="begin"/>
      </w:r>
      <w:r>
        <w:rPr>
          <w:i/>
          <w:iCs/>
        </w:rPr>
        <w:instrText xml:space="preserve"> REF _Ref87486181 \h </w:instrText>
      </w:r>
      <w:r>
        <w:rPr>
          <w:i/>
          <w:iCs/>
        </w:rPr>
      </w:r>
      <w:r>
        <w:rPr>
          <w:i/>
          <w:iCs/>
        </w:rPr>
        <w:fldChar w:fldCharType="separate"/>
      </w:r>
      <w:r>
        <w:t xml:space="preserve">Figure </w:t>
      </w:r>
      <w:r>
        <w:rPr>
          <w:noProof/>
        </w:rPr>
        <w:t>2</w:t>
      </w:r>
      <w:r>
        <w:rPr>
          <w:i/>
          <w:iCs/>
        </w:rPr>
        <w:fldChar w:fldCharType="end"/>
      </w:r>
      <w:r>
        <w:rPr>
          <w:i/>
          <w:iCs/>
        </w:rPr>
        <w:t>);</w:t>
      </w:r>
    </w:p>
    <w:p w14:paraId="15BA77FD" w14:textId="767473DD" w:rsidR="009D52C8" w:rsidRPr="009D52C8" w:rsidRDefault="009D52C8" w:rsidP="009D52C8">
      <w:pPr>
        <w:pStyle w:val="ListParagraph"/>
        <w:numPr>
          <w:ilvl w:val="0"/>
          <w:numId w:val="30"/>
        </w:numPr>
        <w:ind w:left="284" w:hanging="284"/>
        <w:rPr>
          <w:i/>
          <w:iCs/>
        </w:rPr>
      </w:pPr>
      <w:r w:rsidRPr="009D52C8">
        <w:rPr>
          <w:i/>
          <w:iCs/>
        </w:rPr>
        <w:t xml:space="preserve">the possible management algorithm of codependent interventions without FDG-PET/CT </w:t>
      </w:r>
      <w:r w:rsidRPr="0014288D">
        <w:rPr>
          <w:i/>
          <w:iCs/>
        </w:rPr>
        <w:t>(</w:t>
      </w:r>
      <w:r w:rsidR="0014288D">
        <w:rPr>
          <w:i/>
          <w:iCs/>
          <w:highlight w:val="yellow"/>
        </w:rPr>
        <w:fldChar w:fldCharType="begin"/>
      </w:r>
      <w:r w:rsidR="0014288D">
        <w:rPr>
          <w:i/>
          <w:iCs/>
          <w:highlight w:val="yellow"/>
        </w:rPr>
        <w:instrText xml:space="preserve"> REF _Ref91245548 \h </w:instrText>
      </w:r>
      <w:r w:rsidR="0014288D">
        <w:rPr>
          <w:i/>
          <w:iCs/>
          <w:highlight w:val="yellow"/>
        </w:rPr>
      </w:r>
      <w:r w:rsidR="0014288D">
        <w:rPr>
          <w:i/>
          <w:iCs/>
          <w:highlight w:val="yellow"/>
        </w:rPr>
        <w:fldChar w:fldCharType="separate"/>
      </w:r>
      <w:r w:rsidR="0014288D">
        <w:t xml:space="preserve">Figure </w:t>
      </w:r>
      <w:r w:rsidR="0014288D">
        <w:rPr>
          <w:noProof/>
        </w:rPr>
        <w:t>4</w:t>
      </w:r>
      <w:r w:rsidR="0014288D">
        <w:rPr>
          <w:i/>
          <w:iCs/>
          <w:highlight w:val="yellow"/>
        </w:rPr>
        <w:fldChar w:fldCharType="end"/>
      </w:r>
      <w:r w:rsidRPr="0014288D">
        <w:rPr>
          <w:i/>
          <w:iCs/>
        </w:rPr>
        <w:t>)</w:t>
      </w:r>
      <w:r w:rsidRPr="009D52C8">
        <w:rPr>
          <w:i/>
          <w:iCs/>
        </w:rPr>
        <w:t xml:space="preserve"> against the current management algorithm</w:t>
      </w:r>
      <w:r>
        <w:rPr>
          <w:i/>
          <w:iCs/>
        </w:rPr>
        <w:t xml:space="preserve"> (</w:t>
      </w:r>
      <w:r>
        <w:rPr>
          <w:i/>
          <w:iCs/>
        </w:rPr>
        <w:fldChar w:fldCharType="begin"/>
      </w:r>
      <w:r>
        <w:rPr>
          <w:i/>
          <w:iCs/>
        </w:rPr>
        <w:instrText xml:space="preserve"> REF _Ref87486181 \h </w:instrText>
      </w:r>
      <w:r>
        <w:rPr>
          <w:i/>
          <w:iCs/>
        </w:rPr>
      </w:r>
      <w:r>
        <w:rPr>
          <w:i/>
          <w:iCs/>
        </w:rPr>
        <w:fldChar w:fldCharType="separate"/>
      </w:r>
      <w:r>
        <w:t xml:space="preserve">Figure </w:t>
      </w:r>
      <w:r>
        <w:rPr>
          <w:noProof/>
        </w:rPr>
        <w:t>2</w:t>
      </w:r>
      <w:r>
        <w:rPr>
          <w:i/>
          <w:iCs/>
        </w:rPr>
        <w:fldChar w:fldCharType="end"/>
      </w:r>
      <w:r>
        <w:rPr>
          <w:i/>
          <w:iCs/>
        </w:rPr>
        <w:t>); and</w:t>
      </w:r>
    </w:p>
    <w:p w14:paraId="27AEB892" w14:textId="4426E606" w:rsidR="009D52C8" w:rsidRPr="009D52C8" w:rsidRDefault="009D52C8" w:rsidP="009D52C8">
      <w:pPr>
        <w:pStyle w:val="ListParagraph"/>
        <w:numPr>
          <w:ilvl w:val="0"/>
          <w:numId w:val="30"/>
        </w:numPr>
        <w:ind w:left="284" w:hanging="284"/>
        <w:rPr>
          <w:i/>
          <w:iCs/>
        </w:rPr>
      </w:pPr>
      <w:r w:rsidRPr="009D52C8">
        <w:rPr>
          <w:i/>
          <w:iCs/>
        </w:rPr>
        <w:t xml:space="preserve">the proposed management algorithm with FDG-PET/CT </w:t>
      </w:r>
      <w:r w:rsidR="00D90038" w:rsidRPr="009D52C8">
        <w:rPr>
          <w:i/>
          <w:iCs/>
        </w:rPr>
        <w:t>(</w:t>
      </w:r>
      <w:r w:rsidR="00D90038" w:rsidRPr="001C3D32">
        <w:fldChar w:fldCharType="begin"/>
      </w:r>
      <w:r w:rsidR="00D90038" w:rsidRPr="001C3D32">
        <w:instrText xml:space="preserve"> REF _Ref87486193 \h  \* MERGEFORMAT </w:instrText>
      </w:r>
      <w:r w:rsidR="00D90038" w:rsidRPr="001C3D32">
        <w:fldChar w:fldCharType="separate"/>
      </w:r>
      <w:r w:rsidR="00D90038" w:rsidRPr="001C3D32">
        <w:t xml:space="preserve">Figure </w:t>
      </w:r>
      <w:r w:rsidR="00D90038" w:rsidRPr="001C3D32">
        <w:rPr>
          <w:noProof/>
        </w:rPr>
        <w:t>3</w:t>
      </w:r>
      <w:r w:rsidR="00D90038" w:rsidRPr="001C3D32">
        <w:fldChar w:fldCharType="end"/>
      </w:r>
      <w:r w:rsidR="00D90038" w:rsidRPr="009D52C8">
        <w:rPr>
          <w:i/>
          <w:iCs/>
        </w:rPr>
        <w:t xml:space="preserve">) </w:t>
      </w:r>
      <w:r w:rsidRPr="009D52C8">
        <w:rPr>
          <w:i/>
          <w:iCs/>
        </w:rPr>
        <w:t>against the possible management algorithm without FDG-PET/CT</w:t>
      </w:r>
      <w:r w:rsidR="00D90038">
        <w:rPr>
          <w:i/>
          <w:iCs/>
        </w:rPr>
        <w:t xml:space="preserve"> </w:t>
      </w:r>
      <w:r w:rsidR="00D90038" w:rsidRPr="0014288D">
        <w:rPr>
          <w:i/>
          <w:iCs/>
        </w:rPr>
        <w:t>(</w:t>
      </w:r>
      <w:r w:rsidR="0014288D" w:rsidRPr="0014288D">
        <w:rPr>
          <w:i/>
          <w:iCs/>
        </w:rPr>
        <w:fldChar w:fldCharType="begin"/>
      </w:r>
      <w:r w:rsidR="0014288D" w:rsidRPr="00066772">
        <w:rPr>
          <w:i/>
          <w:iCs/>
        </w:rPr>
        <w:instrText xml:space="preserve"> REF _Ref91245548 \h </w:instrText>
      </w:r>
      <w:r w:rsidR="0014288D">
        <w:rPr>
          <w:i/>
          <w:iCs/>
        </w:rPr>
        <w:instrText xml:space="preserve"> \* MERGEFORMAT </w:instrText>
      </w:r>
      <w:r w:rsidR="0014288D" w:rsidRPr="0014288D">
        <w:rPr>
          <w:i/>
          <w:iCs/>
        </w:rPr>
      </w:r>
      <w:r w:rsidR="0014288D" w:rsidRPr="0014288D">
        <w:rPr>
          <w:i/>
          <w:iCs/>
        </w:rPr>
        <w:fldChar w:fldCharType="separate"/>
      </w:r>
      <w:r w:rsidR="0014288D" w:rsidRPr="0014288D">
        <w:t xml:space="preserve">Figure </w:t>
      </w:r>
      <w:r w:rsidR="0014288D" w:rsidRPr="0014288D">
        <w:rPr>
          <w:noProof/>
        </w:rPr>
        <w:t>4</w:t>
      </w:r>
      <w:r w:rsidR="0014288D" w:rsidRPr="0014288D">
        <w:rPr>
          <w:i/>
          <w:iCs/>
        </w:rPr>
        <w:fldChar w:fldCharType="end"/>
      </w:r>
      <w:r w:rsidR="00D90038" w:rsidRPr="0014288D">
        <w:rPr>
          <w:i/>
          <w:iCs/>
        </w:rPr>
        <w:t>)</w:t>
      </w:r>
      <w:r w:rsidRPr="0014288D">
        <w:rPr>
          <w:i/>
          <w:iCs/>
        </w:rPr>
        <w:t>.</w:t>
      </w:r>
    </w:p>
    <w:p w14:paraId="214C0FDE" w14:textId="40E86144" w:rsidR="009D52C8" w:rsidRDefault="009D52C8" w:rsidP="00C53007">
      <w:pPr>
        <w:rPr>
          <w:rFonts w:asciiTheme="minorHAnsi" w:hAnsiTheme="minorHAnsi" w:cstheme="minorHAnsi"/>
          <w:i/>
          <w:iCs/>
        </w:rPr>
      </w:pPr>
      <w:r w:rsidRPr="00B961B3">
        <w:rPr>
          <w:rFonts w:asciiTheme="minorHAnsi" w:hAnsiTheme="minorHAnsi" w:cstheme="minorHAnsi"/>
          <w:i/>
          <w:iCs/>
        </w:rPr>
        <w:t xml:space="preserve">Similarly, PASC stressed that the assessment report should justify the requirement for </w:t>
      </w:r>
      <w:r w:rsidR="00BD1F1D">
        <w:rPr>
          <w:rFonts w:asciiTheme="minorHAnsi" w:hAnsiTheme="minorHAnsi" w:cstheme="minorHAnsi"/>
          <w:i/>
          <w:iCs/>
        </w:rPr>
        <w:t xml:space="preserve">post-treatment </w:t>
      </w:r>
      <w:r>
        <w:rPr>
          <w:rFonts w:asciiTheme="minorHAnsi" w:hAnsiTheme="minorHAnsi" w:cstheme="minorHAnsi"/>
          <w:i/>
          <w:iCs/>
        </w:rPr>
        <w:t>SPECT</w:t>
      </w:r>
      <w:r w:rsidRPr="00B961B3">
        <w:rPr>
          <w:rFonts w:asciiTheme="minorHAnsi" w:hAnsiTheme="minorHAnsi" w:cstheme="minorHAnsi"/>
          <w:i/>
          <w:iCs/>
        </w:rPr>
        <w:t>/CT in the proposed treatment pathway</w:t>
      </w:r>
      <w:r>
        <w:rPr>
          <w:rFonts w:asciiTheme="minorHAnsi" w:hAnsiTheme="minorHAnsi" w:cstheme="minorHAnsi"/>
          <w:i/>
          <w:iCs/>
        </w:rPr>
        <w:t>, including by estimating the patient outcomes and consequences for the subsequent provision of healthcare resource of not including this use</w:t>
      </w:r>
      <w:r w:rsidRPr="00B961B3">
        <w:rPr>
          <w:rFonts w:asciiTheme="minorHAnsi" w:hAnsiTheme="minorHAnsi" w:cstheme="minorHAnsi"/>
          <w:i/>
          <w:iCs/>
        </w:rPr>
        <w:t>.</w:t>
      </w:r>
    </w:p>
    <w:p w14:paraId="32A6D894" w14:textId="2FC942C3" w:rsidR="00C53007" w:rsidRDefault="008D5A61" w:rsidP="00C53007">
      <w:pPr>
        <w:rPr>
          <w:i/>
          <w:iCs/>
        </w:rPr>
      </w:pPr>
      <w:r>
        <w:t xml:space="preserve">The application </w:t>
      </w:r>
      <w:r w:rsidRPr="00066772">
        <w:t xml:space="preserve">reasonably </w:t>
      </w:r>
      <w:r>
        <w:t xml:space="preserve">nominated cabazitaxel as a comparator for </w:t>
      </w:r>
      <w:r>
        <w:rPr>
          <w:vertAlign w:val="superscript"/>
        </w:rPr>
        <w:t>177</w:t>
      </w:r>
      <w:r>
        <w:t xml:space="preserve">Lu PSMA </w:t>
      </w:r>
      <w:r w:rsidR="00E41841">
        <w:t>I&amp;T</w:t>
      </w:r>
      <w:r>
        <w:t xml:space="preserve">. </w:t>
      </w:r>
      <w:r w:rsidRPr="00066772">
        <w:t xml:space="preserve">The PBS </w:t>
      </w:r>
      <w:r w:rsidR="00540D03" w:rsidRPr="00066772">
        <w:t xml:space="preserve">restriction for </w:t>
      </w:r>
      <w:proofErr w:type="spellStart"/>
      <w:r w:rsidR="00540D03" w:rsidRPr="00066772">
        <w:t>cabazitaxel</w:t>
      </w:r>
      <w:proofErr w:type="spellEnd"/>
      <w:r w:rsidR="00540D03" w:rsidRPr="00066772">
        <w:t xml:space="preserve"> (see </w:t>
      </w:r>
      <w:r w:rsidR="00540D03" w:rsidRPr="00066772">
        <w:fldChar w:fldCharType="begin"/>
      </w:r>
      <w:r w:rsidR="00540D03" w:rsidRPr="00066772">
        <w:instrText xml:space="preserve"> REF _Ref87460892 \h </w:instrText>
      </w:r>
      <w:r w:rsidR="009D52C8">
        <w:instrText xml:space="preserve"> \* MERGEFORMAT </w:instrText>
      </w:r>
      <w:r w:rsidR="00540D03" w:rsidRPr="00066772">
        <w:fldChar w:fldCharType="separate"/>
      </w:r>
      <w:r w:rsidR="00D5641A" w:rsidRPr="001E2A2A">
        <w:t xml:space="preserve">Table </w:t>
      </w:r>
      <w:r w:rsidR="00D5641A" w:rsidRPr="001E2A2A">
        <w:rPr>
          <w:noProof/>
        </w:rPr>
        <w:t>5</w:t>
      </w:r>
      <w:r w:rsidR="00540D03" w:rsidRPr="00066772">
        <w:fldChar w:fldCharType="end"/>
      </w:r>
      <w:r w:rsidR="00540D03" w:rsidRPr="00066772">
        <w:t xml:space="preserve"> in the </w:t>
      </w:r>
      <w:r w:rsidR="00A61410" w:rsidRPr="00066772">
        <w:t>attachment</w:t>
      </w:r>
      <w:r w:rsidR="00540D03" w:rsidRPr="00066772">
        <w:t xml:space="preserve">) specifies that use of cabazitaxel is restricted to patients with mCRPC who have failed treatment with </w:t>
      </w:r>
      <w:r w:rsidR="00A61410" w:rsidRPr="00066772">
        <w:t>docetaxel</w:t>
      </w:r>
      <w:r w:rsidR="00540D03" w:rsidRPr="00066772">
        <w:t xml:space="preserve"> due to resistance or intolerance.</w:t>
      </w:r>
      <w:r w:rsidR="00D10C2B" w:rsidRPr="00066772">
        <w:t xml:space="preserve"> </w:t>
      </w:r>
      <w:r w:rsidR="008C5CAE" w:rsidRPr="00066772">
        <w:t xml:space="preserve">Although the eligibility </w:t>
      </w:r>
      <w:r w:rsidR="00A61410" w:rsidRPr="00066772">
        <w:t>criteria</w:t>
      </w:r>
      <w:r w:rsidR="008C5CAE" w:rsidRPr="00066772">
        <w:t xml:space="preserve"> for cabazitaxel does not require failure of ASIs, it may be reasonable to assume that oral therapies such as abiraterone or enzalutamide would be used prior to </w:t>
      </w:r>
      <w:r w:rsidR="009C40F5" w:rsidRPr="00066772">
        <w:t xml:space="preserve">a further course of </w:t>
      </w:r>
      <w:r w:rsidR="008C5CAE" w:rsidRPr="00066772">
        <w:t>chemotherapy.</w:t>
      </w:r>
      <w:r w:rsidR="009C40F5" w:rsidRPr="00066772">
        <w:t xml:space="preserve"> For some patients, cabazitaxel will be displaced rather than replaced.</w:t>
      </w:r>
      <w:r w:rsidR="00205F29" w:rsidRPr="00066772">
        <w:t xml:space="preserve"> The TheraP trial provides a comparison of </w:t>
      </w:r>
      <w:r w:rsidR="00205F29" w:rsidRPr="00066772">
        <w:rPr>
          <w:vertAlign w:val="superscript"/>
        </w:rPr>
        <w:t>177</w:t>
      </w:r>
      <w:r w:rsidR="00205F29" w:rsidRPr="00066772">
        <w:t>Lu PSMA-617 versus cabazitaxel.</w:t>
      </w:r>
      <w:r w:rsidR="009D52C8">
        <w:t xml:space="preserve"> </w:t>
      </w:r>
      <w:r w:rsidR="009D52C8">
        <w:rPr>
          <w:rFonts w:asciiTheme="minorHAnsi" w:hAnsiTheme="minorHAnsi" w:cstheme="minorHAnsi"/>
          <w:i/>
          <w:iCs/>
        </w:rPr>
        <w:t>PASC accepted that cabazitaxel may be displaced rather than replaced in a proportion of patients and indicated that this proportion be clarified in the assessment report</w:t>
      </w:r>
      <w:r w:rsidR="00BD1F1D">
        <w:rPr>
          <w:rFonts w:asciiTheme="minorHAnsi" w:hAnsiTheme="minorHAnsi" w:cstheme="minorHAnsi"/>
          <w:i/>
          <w:iCs/>
        </w:rPr>
        <w:t xml:space="preserve">; the relevant comparator for this group would be </w:t>
      </w:r>
      <w:r w:rsidR="00E86D78">
        <w:rPr>
          <w:rFonts w:asciiTheme="minorHAnsi" w:hAnsiTheme="minorHAnsi" w:cstheme="minorHAnsi"/>
          <w:i/>
          <w:iCs/>
        </w:rPr>
        <w:t>standard</w:t>
      </w:r>
      <w:r w:rsidR="00BD1F1D">
        <w:rPr>
          <w:rFonts w:asciiTheme="minorHAnsi" w:hAnsiTheme="minorHAnsi" w:cstheme="minorHAnsi"/>
          <w:i/>
          <w:iCs/>
        </w:rPr>
        <w:t xml:space="preserve"> care</w:t>
      </w:r>
      <w:r w:rsidR="009D52C8">
        <w:rPr>
          <w:rFonts w:asciiTheme="minorHAnsi" w:hAnsiTheme="minorHAnsi" w:cstheme="minorHAnsi"/>
          <w:i/>
          <w:iCs/>
        </w:rPr>
        <w:t>.</w:t>
      </w:r>
    </w:p>
    <w:p w14:paraId="3D47D9D6" w14:textId="01717735" w:rsidR="00540D03" w:rsidRPr="00066772" w:rsidRDefault="00540D03" w:rsidP="00C53007">
      <w:r w:rsidRPr="00066772">
        <w:t xml:space="preserve">In further discussions with the applicant, it became apparent that </w:t>
      </w:r>
      <w:r w:rsidR="00E86D78">
        <w:t>standard</w:t>
      </w:r>
      <w:r w:rsidR="00C12678">
        <w:t xml:space="preserve"> care</w:t>
      </w:r>
      <w:r w:rsidRPr="00066772">
        <w:t xml:space="preserve">, for those who had been treated with cabazitaxel and for those unable or unwilling to be treated with cabazitaxel, would also be a relevant comparator. </w:t>
      </w:r>
      <w:r w:rsidR="009D52C8">
        <w:rPr>
          <w:rFonts w:asciiTheme="minorHAnsi" w:hAnsiTheme="minorHAnsi" w:cstheme="minorHAnsi"/>
          <w:i/>
          <w:iCs/>
        </w:rPr>
        <w:t xml:space="preserve">Similarly, while acknowledging that </w:t>
      </w:r>
      <w:r w:rsidR="00E5123C" w:rsidRPr="00E5123C">
        <w:rPr>
          <w:rFonts w:asciiTheme="minorHAnsi" w:hAnsiTheme="minorHAnsi" w:cstheme="minorHAnsi"/>
          <w:i/>
          <w:iCs/>
        </w:rPr>
        <w:t>a small proportion of</w:t>
      </w:r>
      <w:r w:rsidR="00E5123C">
        <w:rPr>
          <w:rFonts w:asciiTheme="minorHAnsi" w:hAnsiTheme="minorHAnsi" w:cstheme="minorHAnsi"/>
          <w:i/>
          <w:iCs/>
        </w:rPr>
        <w:t xml:space="preserve"> </w:t>
      </w:r>
      <w:r w:rsidR="009D52C8">
        <w:rPr>
          <w:rFonts w:asciiTheme="minorHAnsi" w:hAnsiTheme="minorHAnsi" w:cstheme="minorHAnsi"/>
          <w:i/>
          <w:iCs/>
        </w:rPr>
        <w:t>patients would be chemotherapy ineligible due to age or comorbi</w:t>
      </w:r>
      <w:r w:rsidR="00E41A95">
        <w:rPr>
          <w:rFonts w:asciiTheme="minorHAnsi" w:hAnsiTheme="minorHAnsi" w:cstheme="minorHAnsi"/>
          <w:i/>
          <w:iCs/>
        </w:rPr>
        <w:t>di</w:t>
      </w:r>
      <w:r w:rsidR="009D52C8">
        <w:rPr>
          <w:rFonts w:asciiTheme="minorHAnsi" w:hAnsiTheme="minorHAnsi" w:cstheme="minorHAnsi"/>
          <w:i/>
          <w:iCs/>
        </w:rPr>
        <w:t xml:space="preserve">ties, this proportion should be clarified in the assessment report. </w:t>
      </w:r>
      <w:r w:rsidRPr="00066772">
        <w:t xml:space="preserve">The VISION trial (Sartor 2021) provided a comparison of </w:t>
      </w:r>
      <w:r w:rsidRPr="00066772">
        <w:rPr>
          <w:vertAlign w:val="superscript"/>
        </w:rPr>
        <w:t>177</w:t>
      </w:r>
      <w:r w:rsidRPr="00066772">
        <w:t xml:space="preserve">Lu PSMA-617 + </w:t>
      </w:r>
      <w:r w:rsidR="00E86D78">
        <w:t>standard</w:t>
      </w:r>
      <w:r w:rsidR="00C12678">
        <w:t xml:space="preserve"> care</w:t>
      </w:r>
      <w:r w:rsidRPr="00066772">
        <w:t xml:space="preserve"> versus </w:t>
      </w:r>
      <w:r w:rsidR="00E86D78">
        <w:t>standard</w:t>
      </w:r>
      <w:r w:rsidR="00C12678">
        <w:t xml:space="preserve"> care</w:t>
      </w:r>
      <w:r w:rsidRPr="00066772">
        <w:t xml:space="preserve"> alone. The </w:t>
      </w:r>
      <w:r w:rsidR="00C12678">
        <w:t>standard care</w:t>
      </w:r>
      <w:r w:rsidRPr="00066772">
        <w:t xml:space="preserve"> therapies taken by patients in that trial are presented in</w:t>
      </w:r>
      <w:r w:rsidR="005370F8" w:rsidRPr="00066772">
        <w:t xml:space="preserve"> </w:t>
      </w:r>
      <w:r w:rsidR="005370F8" w:rsidRPr="00066772">
        <w:fldChar w:fldCharType="begin"/>
      </w:r>
      <w:r w:rsidR="005370F8" w:rsidRPr="00066772">
        <w:instrText xml:space="preserve"> REF _Ref87462061 \h </w:instrText>
      </w:r>
      <w:r w:rsidR="009D52C8">
        <w:instrText xml:space="preserve"> \* MERGEFORMAT </w:instrText>
      </w:r>
      <w:r w:rsidR="005370F8" w:rsidRPr="00066772">
        <w:fldChar w:fldCharType="separate"/>
      </w:r>
      <w:r w:rsidR="00D5641A" w:rsidRPr="001E2A2A">
        <w:t xml:space="preserve">Table </w:t>
      </w:r>
      <w:r w:rsidR="00D5641A" w:rsidRPr="001E2A2A">
        <w:rPr>
          <w:noProof/>
        </w:rPr>
        <w:t>2</w:t>
      </w:r>
      <w:r w:rsidR="005370F8" w:rsidRPr="00066772">
        <w:fldChar w:fldCharType="end"/>
      </w:r>
      <w:r w:rsidR="005370F8" w:rsidRPr="00066772">
        <w:t>.</w:t>
      </w:r>
      <w:r w:rsidR="00E56C75" w:rsidRPr="00066772">
        <w:t xml:space="preserve"> Notably, patients in the VISION trial were able to continue treatment with ASIs while on treatment with </w:t>
      </w:r>
      <w:r w:rsidR="00E56C75" w:rsidRPr="00066772">
        <w:rPr>
          <w:vertAlign w:val="superscript"/>
        </w:rPr>
        <w:t>177</w:t>
      </w:r>
      <w:r w:rsidR="00E56C75" w:rsidRPr="00066772">
        <w:t xml:space="preserve">Lu PSMA-617. The PBS restrictions for abiraterone and enzalutamide (see </w:t>
      </w:r>
      <w:r w:rsidR="00E56C75" w:rsidRPr="00066772">
        <w:fldChar w:fldCharType="begin"/>
      </w:r>
      <w:r w:rsidR="00E56C75" w:rsidRPr="00066772">
        <w:instrText xml:space="preserve"> REF _Ref87460892 \h </w:instrText>
      </w:r>
      <w:r w:rsidR="009D52C8">
        <w:instrText xml:space="preserve"> \* MERGEFORMAT </w:instrText>
      </w:r>
      <w:r w:rsidR="00E56C75" w:rsidRPr="00066772">
        <w:fldChar w:fldCharType="separate"/>
      </w:r>
      <w:r w:rsidR="00D5641A" w:rsidRPr="001E2A2A">
        <w:t xml:space="preserve">Table </w:t>
      </w:r>
      <w:r w:rsidR="00D5641A" w:rsidRPr="001E2A2A">
        <w:rPr>
          <w:noProof/>
        </w:rPr>
        <w:t>5</w:t>
      </w:r>
      <w:r w:rsidR="00E56C75" w:rsidRPr="00066772">
        <w:fldChar w:fldCharType="end"/>
      </w:r>
      <w:r w:rsidR="00E56C75" w:rsidRPr="00066772">
        <w:t xml:space="preserve"> in the </w:t>
      </w:r>
      <w:r w:rsidR="00A61410" w:rsidRPr="00066772">
        <w:t>attachment</w:t>
      </w:r>
      <w:r w:rsidR="00E56C75" w:rsidRPr="00066772">
        <w:t xml:space="preserve">) specify that treatment must cease ‘if progressive disease develops while on [treatment]’, thus treatment with ASI should cease (agreed to by the applicant) </w:t>
      </w:r>
      <w:r w:rsidR="00825C31" w:rsidRPr="00066772">
        <w:t>upon initiating</w:t>
      </w:r>
      <w:r w:rsidR="00E56C75" w:rsidRPr="00066772">
        <w:t xml:space="preserve"> treatment with </w:t>
      </w:r>
      <w:r w:rsidR="00E56C75" w:rsidRPr="00066772">
        <w:rPr>
          <w:vertAlign w:val="superscript"/>
        </w:rPr>
        <w:t>177</w:t>
      </w:r>
      <w:r w:rsidR="00E56C75" w:rsidRPr="00066772">
        <w:t xml:space="preserve">Lu PSMA </w:t>
      </w:r>
      <w:r w:rsidR="00E41841">
        <w:t>I&amp;T</w:t>
      </w:r>
      <w:r w:rsidR="00E56C75" w:rsidRPr="00066772">
        <w:t>.</w:t>
      </w:r>
    </w:p>
    <w:p w14:paraId="7B68775E" w14:textId="5F61262C" w:rsidR="00540D03" w:rsidRDefault="00540D03" w:rsidP="00540D03">
      <w:pPr>
        <w:pStyle w:val="Caption"/>
      </w:pPr>
      <w:bookmarkStart w:id="2" w:name="_Ref87462061"/>
      <w:r>
        <w:t xml:space="preserve">Table </w:t>
      </w:r>
      <w:r>
        <w:fldChar w:fldCharType="begin"/>
      </w:r>
      <w:r>
        <w:instrText xml:space="preserve"> SEQ Table \* ARABIC </w:instrText>
      </w:r>
      <w:r>
        <w:fldChar w:fldCharType="separate"/>
      </w:r>
      <w:r w:rsidR="00D5641A">
        <w:rPr>
          <w:noProof/>
        </w:rPr>
        <w:t>2</w:t>
      </w:r>
      <w:r>
        <w:fldChar w:fldCharType="end"/>
      </w:r>
      <w:bookmarkEnd w:id="2"/>
      <w:r>
        <w:tab/>
        <w:t xml:space="preserve">Standard care therapies </w:t>
      </w:r>
      <w:r w:rsidR="00877BA8">
        <w:t>taken by</w:t>
      </w:r>
      <w:r>
        <w:t xml:space="preserve"> patients in the VISION trial</w:t>
      </w:r>
    </w:p>
    <w:tbl>
      <w:tblPr>
        <w:tblStyle w:val="TableGrid"/>
        <w:tblW w:w="0" w:type="auto"/>
        <w:tblInd w:w="0" w:type="dxa"/>
        <w:tblCellMar>
          <w:left w:w="28" w:type="dxa"/>
          <w:right w:w="28" w:type="dxa"/>
        </w:tblCellMar>
        <w:tblLook w:val="04A0" w:firstRow="1" w:lastRow="0" w:firstColumn="1" w:lastColumn="0" w:noHBand="0" w:noVBand="1"/>
      </w:tblPr>
      <w:tblGrid>
        <w:gridCol w:w="5665"/>
        <w:gridCol w:w="1347"/>
        <w:gridCol w:w="1347"/>
        <w:gridCol w:w="1212"/>
      </w:tblGrid>
      <w:tr w:rsidR="00540D03" w:rsidRPr="00540D03" w14:paraId="30F656B3" w14:textId="77777777" w:rsidTr="009E6811">
        <w:tc>
          <w:tcPr>
            <w:tcW w:w="5665" w:type="dxa"/>
            <w:vAlign w:val="bottom"/>
          </w:tcPr>
          <w:p w14:paraId="00027F9B" w14:textId="5D4F4CB8" w:rsidR="00540D03" w:rsidRPr="00540D03" w:rsidRDefault="00540D03" w:rsidP="009E6811">
            <w:pPr>
              <w:keepNext/>
              <w:spacing w:before="40" w:after="40" w:line="240" w:lineRule="auto"/>
              <w:rPr>
                <w:rFonts w:ascii="Arial Narrow" w:hAnsi="Arial Narrow"/>
                <w:b/>
                <w:bCs/>
                <w:sz w:val="20"/>
                <w:szCs w:val="18"/>
                <w:lang w:val="en-GB" w:eastAsia="ja-JP"/>
              </w:rPr>
            </w:pPr>
            <w:r>
              <w:rPr>
                <w:rFonts w:ascii="Arial Narrow" w:hAnsi="Arial Narrow"/>
                <w:b/>
                <w:bCs/>
                <w:sz w:val="20"/>
                <w:szCs w:val="18"/>
                <w:lang w:val="en-GB" w:eastAsia="ja-JP"/>
              </w:rPr>
              <w:t>Treatment</w:t>
            </w:r>
          </w:p>
        </w:tc>
        <w:tc>
          <w:tcPr>
            <w:tcW w:w="1347" w:type="dxa"/>
            <w:vAlign w:val="center"/>
          </w:tcPr>
          <w:p w14:paraId="7BF8C9B2" w14:textId="77777777" w:rsidR="00540D03" w:rsidRDefault="00540D03" w:rsidP="00540D03">
            <w:pPr>
              <w:keepNext/>
              <w:spacing w:before="40" w:after="40" w:line="240" w:lineRule="auto"/>
              <w:jc w:val="center"/>
              <w:rPr>
                <w:rFonts w:ascii="Arial Narrow" w:hAnsi="Arial Narrow"/>
                <w:b/>
                <w:bCs/>
                <w:sz w:val="20"/>
                <w:szCs w:val="18"/>
                <w:lang w:val="en-GB" w:eastAsia="ja-JP"/>
              </w:rPr>
            </w:pPr>
            <w:r w:rsidRPr="00540D03">
              <w:rPr>
                <w:rFonts w:ascii="Arial Narrow" w:hAnsi="Arial Narrow"/>
                <w:b/>
                <w:bCs/>
                <w:sz w:val="20"/>
                <w:szCs w:val="18"/>
                <w:vertAlign w:val="superscript"/>
                <w:lang w:val="en-GB" w:eastAsia="ja-JP"/>
              </w:rPr>
              <w:t>177</w:t>
            </w:r>
            <w:r w:rsidRPr="00540D03">
              <w:rPr>
                <w:rFonts w:ascii="Arial Narrow" w:hAnsi="Arial Narrow"/>
                <w:b/>
                <w:bCs/>
                <w:sz w:val="20"/>
                <w:szCs w:val="18"/>
                <w:lang w:val="en-GB" w:eastAsia="ja-JP"/>
              </w:rPr>
              <w:t>Lu PSMA-617 + standard care</w:t>
            </w:r>
          </w:p>
          <w:p w14:paraId="7AE61367" w14:textId="152B7BF6" w:rsidR="009E6811" w:rsidRPr="00540D03" w:rsidRDefault="009E6811" w:rsidP="00540D03">
            <w:pPr>
              <w:keepNext/>
              <w:spacing w:before="40" w:after="40" w:line="240" w:lineRule="auto"/>
              <w:jc w:val="center"/>
              <w:rPr>
                <w:rFonts w:ascii="Arial Narrow" w:hAnsi="Arial Narrow"/>
                <w:b/>
                <w:bCs/>
                <w:sz w:val="20"/>
                <w:szCs w:val="18"/>
                <w:lang w:val="en-GB" w:eastAsia="ja-JP"/>
              </w:rPr>
            </w:pPr>
            <w:r>
              <w:rPr>
                <w:rFonts w:ascii="Arial Narrow" w:hAnsi="Arial Narrow"/>
                <w:b/>
                <w:bCs/>
                <w:sz w:val="20"/>
                <w:szCs w:val="18"/>
                <w:lang w:val="en-GB" w:eastAsia="ja-JP"/>
              </w:rPr>
              <w:t>N=529</w:t>
            </w:r>
          </w:p>
        </w:tc>
        <w:tc>
          <w:tcPr>
            <w:tcW w:w="1347" w:type="dxa"/>
            <w:vAlign w:val="center"/>
          </w:tcPr>
          <w:p w14:paraId="58163565" w14:textId="77777777" w:rsidR="00540D03" w:rsidRDefault="00540D03" w:rsidP="00540D03">
            <w:pPr>
              <w:keepNext/>
              <w:spacing w:before="40" w:after="40" w:line="240" w:lineRule="auto"/>
              <w:jc w:val="center"/>
              <w:rPr>
                <w:rFonts w:ascii="Arial Narrow" w:hAnsi="Arial Narrow"/>
                <w:b/>
                <w:bCs/>
                <w:sz w:val="20"/>
                <w:szCs w:val="18"/>
                <w:lang w:val="en-GB" w:eastAsia="ja-JP"/>
              </w:rPr>
            </w:pPr>
            <w:r w:rsidRPr="00540D03">
              <w:rPr>
                <w:rFonts w:ascii="Arial Narrow" w:hAnsi="Arial Narrow"/>
                <w:b/>
                <w:bCs/>
                <w:sz w:val="20"/>
                <w:szCs w:val="18"/>
                <w:lang w:val="en-GB" w:eastAsia="ja-JP"/>
              </w:rPr>
              <w:t>Standard care alone</w:t>
            </w:r>
          </w:p>
          <w:p w14:paraId="67835C2A" w14:textId="713EA0C4" w:rsidR="009E6811" w:rsidRPr="00540D03" w:rsidRDefault="009E6811" w:rsidP="00540D03">
            <w:pPr>
              <w:keepNext/>
              <w:spacing w:before="40" w:after="40" w:line="240" w:lineRule="auto"/>
              <w:jc w:val="center"/>
              <w:rPr>
                <w:rFonts w:ascii="Arial Narrow" w:hAnsi="Arial Narrow"/>
                <w:b/>
                <w:bCs/>
                <w:sz w:val="20"/>
                <w:szCs w:val="18"/>
                <w:lang w:val="en-GB" w:eastAsia="ja-JP"/>
              </w:rPr>
            </w:pPr>
            <w:r>
              <w:rPr>
                <w:rFonts w:ascii="Arial Narrow" w:hAnsi="Arial Narrow"/>
                <w:b/>
                <w:bCs/>
                <w:sz w:val="20"/>
                <w:szCs w:val="18"/>
                <w:lang w:val="en-GB" w:eastAsia="ja-JP"/>
              </w:rPr>
              <w:t>N=205</w:t>
            </w:r>
          </w:p>
        </w:tc>
        <w:tc>
          <w:tcPr>
            <w:tcW w:w="1212" w:type="dxa"/>
            <w:vAlign w:val="center"/>
          </w:tcPr>
          <w:p w14:paraId="489079D8" w14:textId="64EEE8A0" w:rsidR="00540D03" w:rsidRDefault="00540D03" w:rsidP="00540D03">
            <w:pPr>
              <w:keepNext/>
              <w:spacing w:before="40" w:after="40" w:line="240" w:lineRule="auto"/>
              <w:jc w:val="center"/>
              <w:rPr>
                <w:rFonts w:ascii="Arial Narrow" w:hAnsi="Arial Narrow"/>
                <w:b/>
                <w:bCs/>
                <w:sz w:val="20"/>
                <w:szCs w:val="18"/>
                <w:lang w:val="en-GB" w:eastAsia="ja-JP"/>
              </w:rPr>
            </w:pPr>
            <w:r w:rsidRPr="00540D03">
              <w:rPr>
                <w:rFonts w:ascii="Arial Narrow" w:hAnsi="Arial Narrow"/>
                <w:b/>
                <w:bCs/>
                <w:sz w:val="20"/>
                <w:szCs w:val="18"/>
                <w:lang w:val="en-GB" w:eastAsia="ja-JP"/>
              </w:rPr>
              <w:t>Overall</w:t>
            </w:r>
            <w:r w:rsidR="009E6811">
              <w:rPr>
                <w:rFonts w:ascii="Arial Narrow" w:hAnsi="Arial Narrow"/>
                <w:b/>
                <w:bCs/>
                <w:sz w:val="20"/>
                <w:szCs w:val="18"/>
                <w:lang w:val="en-GB" w:eastAsia="ja-JP"/>
              </w:rPr>
              <w:br/>
            </w:r>
          </w:p>
          <w:p w14:paraId="3573A7BA" w14:textId="5862E4C3" w:rsidR="009E6811" w:rsidRPr="00540D03" w:rsidRDefault="009E6811" w:rsidP="00540D03">
            <w:pPr>
              <w:keepNext/>
              <w:spacing w:before="40" w:after="40" w:line="240" w:lineRule="auto"/>
              <w:jc w:val="center"/>
              <w:rPr>
                <w:rFonts w:ascii="Arial Narrow" w:hAnsi="Arial Narrow"/>
                <w:b/>
                <w:bCs/>
                <w:sz w:val="20"/>
                <w:szCs w:val="18"/>
                <w:lang w:val="en-GB" w:eastAsia="ja-JP"/>
              </w:rPr>
            </w:pPr>
            <w:r>
              <w:rPr>
                <w:rFonts w:ascii="Arial Narrow" w:hAnsi="Arial Narrow"/>
                <w:b/>
                <w:bCs/>
                <w:sz w:val="20"/>
                <w:szCs w:val="18"/>
                <w:lang w:val="en-GB" w:eastAsia="ja-JP"/>
              </w:rPr>
              <w:t>N=734</w:t>
            </w:r>
          </w:p>
        </w:tc>
      </w:tr>
      <w:tr w:rsidR="00540D03" w:rsidRPr="00540D03" w14:paraId="2705061E" w14:textId="77777777" w:rsidTr="009E6811">
        <w:tc>
          <w:tcPr>
            <w:tcW w:w="5665" w:type="dxa"/>
          </w:tcPr>
          <w:p w14:paraId="7568D97B" w14:textId="42EF5DA7" w:rsidR="00540D03" w:rsidRPr="00540D03" w:rsidRDefault="00540D03" w:rsidP="00540D03">
            <w:pPr>
              <w:keepNext/>
              <w:spacing w:before="40" w:after="40" w:line="240" w:lineRule="auto"/>
              <w:rPr>
                <w:rFonts w:ascii="Arial Narrow" w:hAnsi="Arial Narrow"/>
                <w:sz w:val="20"/>
                <w:szCs w:val="18"/>
                <w:lang w:val="en-GB" w:eastAsia="ja-JP"/>
              </w:rPr>
            </w:pPr>
            <w:r>
              <w:rPr>
                <w:rFonts w:ascii="Arial Narrow" w:hAnsi="Arial Narrow"/>
                <w:sz w:val="20"/>
                <w:szCs w:val="18"/>
                <w:lang w:val="en-GB" w:eastAsia="ja-JP"/>
              </w:rPr>
              <w:t>Medicat</w:t>
            </w:r>
            <w:r w:rsidR="009E6811">
              <w:rPr>
                <w:rFonts w:ascii="Arial Narrow" w:hAnsi="Arial Narrow"/>
                <w:sz w:val="20"/>
                <w:szCs w:val="18"/>
                <w:lang w:val="en-GB" w:eastAsia="ja-JP"/>
              </w:rPr>
              <w:t>ion</w:t>
            </w:r>
            <w:r>
              <w:rPr>
                <w:rFonts w:ascii="Arial Narrow" w:hAnsi="Arial Narrow"/>
                <w:sz w:val="20"/>
                <w:szCs w:val="18"/>
                <w:lang w:val="en-GB" w:eastAsia="ja-JP"/>
              </w:rPr>
              <w:t>, n (%)</w:t>
            </w:r>
          </w:p>
        </w:tc>
        <w:tc>
          <w:tcPr>
            <w:tcW w:w="1347" w:type="dxa"/>
            <w:vAlign w:val="center"/>
          </w:tcPr>
          <w:p w14:paraId="526C3653" w14:textId="224BAE87" w:rsidR="00540D03" w:rsidRPr="00540D03" w:rsidRDefault="009E6811" w:rsidP="009E6811">
            <w:pPr>
              <w:keepNext/>
              <w:spacing w:before="40" w:after="40" w:line="240" w:lineRule="auto"/>
              <w:jc w:val="center"/>
              <w:rPr>
                <w:rFonts w:ascii="Arial Narrow" w:hAnsi="Arial Narrow"/>
                <w:sz w:val="20"/>
                <w:szCs w:val="18"/>
                <w:lang w:val="en-GB" w:eastAsia="ja-JP"/>
              </w:rPr>
            </w:pPr>
            <w:r>
              <w:rPr>
                <w:rFonts w:ascii="Arial Narrow" w:hAnsi="Arial Narrow"/>
                <w:sz w:val="20"/>
                <w:szCs w:val="18"/>
                <w:lang w:val="en-GB" w:eastAsia="ja-JP"/>
              </w:rPr>
              <w:t>529 (100)</w:t>
            </w:r>
          </w:p>
        </w:tc>
        <w:tc>
          <w:tcPr>
            <w:tcW w:w="1347" w:type="dxa"/>
            <w:vAlign w:val="center"/>
          </w:tcPr>
          <w:p w14:paraId="1C6CE4B2" w14:textId="1E090C00" w:rsidR="00540D03" w:rsidRPr="00540D03" w:rsidRDefault="009E6811" w:rsidP="009E6811">
            <w:pPr>
              <w:keepNext/>
              <w:spacing w:before="40" w:after="40" w:line="240" w:lineRule="auto"/>
              <w:jc w:val="center"/>
              <w:rPr>
                <w:rFonts w:ascii="Arial Narrow" w:hAnsi="Arial Narrow"/>
                <w:sz w:val="20"/>
                <w:szCs w:val="18"/>
                <w:lang w:val="en-GB" w:eastAsia="ja-JP"/>
              </w:rPr>
            </w:pPr>
            <w:r>
              <w:rPr>
                <w:rFonts w:ascii="Arial Narrow" w:hAnsi="Arial Narrow"/>
                <w:sz w:val="20"/>
                <w:szCs w:val="18"/>
                <w:lang w:val="en-GB" w:eastAsia="ja-JP"/>
              </w:rPr>
              <w:t>205 (100)</w:t>
            </w:r>
          </w:p>
        </w:tc>
        <w:tc>
          <w:tcPr>
            <w:tcW w:w="1212" w:type="dxa"/>
            <w:vAlign w:val="center"/>
          </w:tcPr>
          <w:p w14:paraId="188E52A3" w14:textId="1C62A929" w:rsidR="00540D03" w:rsidRPr="00540D03" w:rsidRDefault="009E6811" w:rsidP="009E6811">
            <w:pPr>
              <w:keepNext/>
              <w:spacing w:before="40" w:after="40" w:line="240" w:lineRule="auto"/>
              <w:jc w:val="center"/>
              <w:rPr>
                <w:rFonts w:ascii="Arial Narrow" w:hAnsi="Arial Narrow"/>
                <w:sz w:val="20"/>
                <w:szCs w:val="18"/>
                <w:lang w:val="en-GB" w:eastAsia="ja-JP"/>
              </w:rPr>
            </w:pPr>
            <w:r>
              <w:rPr>
                <w:rFonts w:ascii="Arial Narrow" w:hAnsi="Arial Narrow"/>
                <w:sz w:val="20"/>
                <w:szCs w:val="18"/>
                <w:lang w:val="en-GB" w:eastAsia="ja-JP"/>
              </w:rPr>
              <w:t>734 (100)</w:t>
            </w:r>
          </w:p>
        </w:tc>
      </w:tr>
      <w:tr w:rsidR="00540D03" w:rsidRPr="00540D03" w14:paraId="10C4DEA1" w14:textId="77777777" w:rsidTr="009E6811">
        <w:tc>
          <w:tcPr>
            <w:tcW w:w="5665" w:type="dxa"/>
          </w:tcPr>
          <w:p w14:paraId="06C86AA5" w14:textId="6D3E5165" w:rsidR="00540D03" w:rsidRPr="00540D03" w:rsidRDefault="009E6811" w:rsidP="00540D03">
            <w:pPr>
              <w:keepNext/>
              <w:spacing w:before="40" w:after="40" w:line="240" w:lineRule="auto"/>
              <w:rPr>
                <w:rFonts w:ascii="Arial Narrow" w:hAnsi="Arial Narrow"/>
                <w:sz w:val="20"/>
                <w:szCs w:val="18"/>
                <w:lang w:val="en-GB" w:eastAsia="ja-JP"/>
              </w:rPr>
            </w:pPr>
            <w:r>
              <w:rPr>
                <w:rFonts w:ascii="Arial Narrow" w:hAnsi="Arial Narrow"/>
                <w:sz w:val="20"/>
                <w:szCs w:val="18"/>
                <w:lang w:val="en-GB" w:eastAsia="ja-JP"/>
              </w:rPr>
              <w:t>Radiotherapy, n (%)</w:t>
            </w:r>
          </w:p>
        </w:tc>
        <w:tc>
          <w:tcPr>
            <w:tcW w:w="1347" w:type="dxa"/>
            <w:vAlign w:val="center"/>
          </w:tcPr>
          <w:p w14:paraId="51AFE2D4" w14:textId="6B5B03E3" w:rsidR="00540D03" w:rsidRPr="00540D03" w:rsidRDefault="009E6811" w:rsidP="009E6811">
            <w:pPr>
              <w:keepNext/>
              <w:spacing w:before="40" w:after="40" w:line="240" w:lineRule="auto"/>
              <w:jc w:val="center"/>
              <w:rPr>
                <w:rFonts w:ascii="Arial Narrow" w:hAnsi="Arial Narrow"/>
                <w:sz w:val="20"/>
                <w:szCs w:val="18"/>
                <w:lang w:val="en-GB" w:eastAsia="ja-JP"/>
              </w:rPr>
            </w:pPr>
            <w:r>
              <w:rPr>
                <w:rFonts w:ascii="Arial Narrow" w:hAnsi="Arial Narrow"/>
                <w:sz w:val="20"/>
                <w:szCs w:val="18"/>
                <w:lang w:val="en-GB" w:eastAsia="ja-JP"/>
              </w:rPr>
              <w:t>79 (14.9)</w:t>
            </w:r>
          </w:p>
        </w:tc>
        <w:tc>
          <w:tcPr>
            <w:tcW w:w="1347" w:type="dxa"/>
            <w:vAlign w:val="center"/>
          </w:tcPr>
          <w:p w14:paraId="639DC345" w14:textId="635E1332" w:rsidR="00540D03" w:rsidRPr="00540D03" w:rsidRDefault="009E6811" w:rsidP="009E6811">
            <w:pPr>
              <w:keepNext/>
              <w:spacing w:before="40" w:after="40" w:line="240" w:lineRule="auto"/>
              <w:jc w:val="center"/>
              <w:rPr>
                <w:rFonts w:ascii="Arial Narrow" w:hAnsi="Arial Narrow"/>
                <w:sz w:val="20"/>
                <w:szCs w:val="18"/>
                <w:lang w:val="en-GB" w:eastAsia="ja-JP"/>
              </w:rPr>
            </w:pPr>
            <w:r>
              <w:rPr>
                <w:rFonts w:ascii="Arial Narrow" w:hAnsi="Arial Narrow"/>
                <w:sz w:val="20"/>
                <w:szCs w:val="18"/>
                <w:lang w:val="en-GB" w:eastAsia="ja-JP"/>
              </w:rPr>
              <w:t>34 (16.6)</w:t>
            </w:r>
          </w:p>
        </w:tc>
        <w:tc>
          <w:tcPr>
            <w:tcW w:w="1212" w:type="dxa"/>
            <w:vAlign w:val="center"/>
          </w:tcPr>
          <w:p w14:paraId="36590941" w14:textId="441F9147" w:rsidR="00540D03" w:rsidRPr="00540D03" w:rsidRDefault="009E6811" w:rsidP="009E6811">
            <w:pPr>
              <w:keepNext/>
              <w:spacing w:before="40" w:after="40" w:line="240" w:lineRule="auto"/>
              <w:jc w:val="center"/>
              <w:rPr>
                <w:rFonts w:ascii="Arial Narrow" w:hAnsi="Arial Narrow"/>
                <w:sz w:val="20"/>
                <w:szCs w:val="18"/>
                <w:lang w:val="en-GB" w:eastAsia="ja-JP"/>
              </w:rPr>
            </w:pPr>
            <w:r>
              <w:rPr>
                <w:rFonts w:ascii="Arial Narrow" w:hAnsi="Arial Narrow"/>
                <w:sz w:val="20"/>
                <w:szCs w:val="18"/>
                <w:lang w:val="en-GB" w:eastAsia="ja-JP"/>
              </w:rPr>
              <w:t>113 (15.4)</w:t>
            </w:r>
          </w:p>
        </w:tc>
      </w:tr>
      <w:tr w:rsidR="00540D03" w:rsidRPr="00540D03" w14:paraId="507BA49D" w14:textId="77777777" w:rsidTr="009E6811">
        <w:tc>
          <w:tcPr>
            <w:tcW w:w="5665" w:type="dxa"/>
          </w:tcPr>
          <w:p w14:paraId="6B9D7C0F" w14:textId="5050AB5E" w:rsidR="00540D03" w:rsidRPr="00540D03" w:rsidRDefault="009E6811" w:rsidP="00540D03">
            <w:pPr>
              <w:keepNext/>
              <w:spacing w:before="40" w:after="40" w:line="240" w:lineRule="auto"/>
              <w:rPr>
                <w:rFonts w:ascii="Arial Narrow" w:hAnsi="Arial Narrow"/>
                <w:sz w:val="20"/>
                <w:szCs w:val="18"/>
                <w:lang w:val="en-GB" w:eastAsia="ja-JP"/>
              </w:rPr>
            </w:pPr>
            <w:r>
              <w:rPr>
                <w:rFonts w:ascii="Arial Narrow" w:hAnsi="Arial Narrow"/>
                <w:sz w:val="20"/>
                <w:szCs w:val="18"/>
                <w:lang w:val="en-GB" w:eastAsia="ja-JP"/>
              </w:rPr>
              <w:t>Other interventions, n (%)</w:t>
            </w:r>
          </w:p>
        </w:tc>
        <w:tc>
          <w:tcPr>
            <w:tcW w:w="1347" w:type="dxa"/>
            <w:vAlign w:val="center"/>
          </w:tcPr>
          <w:p w14:paraId="13AD46C9" w14:textId="0CA04BB3" w:rsidR="00540D03" w:rsidRPr="00540D03" w:rsidRDefault="009E6811" w:rsidP="009E6811">
            <w:pPr>
              <w:keepNext/>
              <w:spacing w:before="40" w:after="40" w:line="240" w:lineRule="auto"/>
              <w:jc w:val="center"/>
              <w:rPr>
                <w:rFonts w:ascii="Arial Narrow" w:hAnsi="Arial Narrow"/>
                <w:sz w:val="20"/>
                <w:szCs w:val="18"/>
                <w:lang w:val="en-GB" w:eastAsia="ja-JP"/>
              </w:rPr>
            </w:pPr>
            <w:r>
              <w:rPr>
                <w:rFonts w:ascii="Arial Narrow" w:hAnsi="Arial Narrow"/>
                <w:sz w:val="20"/>
                <w:szCs w:val="18"/>
                <w:lang w:val="en-GB" w:eastAsia="ja-JP"/>
              </w:rPr>
              <w:t>24 (4.5)</w:t>
            </w:r>
          </w:p>
        </w:tc>
        <w:tc>
          <w:tcPr>
            <w:tcW w:w="1347" w:type="dxa"/>
            <w:vAlign w:val="center"/>
          </w:tcPr>
          <w:p w14:paraId="79813FE5" w14:textId="2097CCE0" w:rsidR="00540D03" w:rsidRPr="00540D03" w:rsidRDefault="009E6811" w:rsidP="009E6811">
            <w:pPr>
              <w:keepNext/>
              <w:spacing w:before="40" w:after="40" w:line="240" w:lineRule="auto"/>
              <w:jc w:val="center"/>
              <w:rPr>
                <w:rFonts w:ascii="Arial Narrow" w:hAnsi="Arial Narrow"/>
                <w:sz w:val="20"/>
                <w:szCs w:val="18"/>
                <w:lang w:val="en-GB" w:eastAsia="ja-JP"/>
              </w:rPr>
            </w:pPr>
            <w:r>
              <w:rPr>
                <w:rFonts w:ascii="Arial Narrow" w:hAnsi="Arial Narrow"/>
                <w:sz w:val="20"/>
                <w:szCs w:val="18"/>
                <w:lang w:val="en-GB" w:eastAsia="ja-JP"/>
              </w:rPr>
              <w:t>5 (2.4)</w:t>
            </w:r>
          </w:p>
        </w:tc>
        <w:tc>
          <w:tcPr>
            <w:tcW w:w="1212" w:type="dxa"/>
            <w:vAlign w:val="center"/>
          </w:tcPr>
          <w:p w14:paraId="6E7D1AD7" w14:textId="6B69B17B" w:rsidR="00540D03" w:rsidRPr="00540D03" w:rsidRDefault="009E6811" w:rsidP="009E6811">
            <w:pPr>
              <w:keepNext/>
              <w:spacing w:before="40" w:after="40" w:line="240" w:lineRule="auto"/>
              <w:jc w:val="center"/>
              <w:rPr>
                <w:rFonts w:ascii="Arial Narrow" w:hAnsi="Arial Narrow"/>
                <w:sz w:val="20"/>
                <w:szCs w:val="18"/>
                <w:lang w:val="en-GB" w:eastAsia="ja-JP"/>
              </w:rPr>
            </w:pPr>
            <w:r>
              <w:rPr>
                <w:rFonts w:ascii="Arial Narrow" w:hAnsi="Arial Narrow"/>
                <w:sz w:val="20"/>
                <w:szCs w:val="18"/>
                <w:lang w:val="en-GB" w:eastAsia="ja-JP"/>
              </w:rPr>
              <w:t>29 (4.0)</w:t>
            </w:r>
          </w:p>
        </w:tc>
      </w:tr>
      <w:tr w:rsidR="00540D03" w:rsidRPr="00540D03" w14:paraId="09E19EA0" w14:textId="77777777" w:rsidTr="009E6811">
        <w:tc>
          <w:tcPr>
            <w:tcW w:w="5665" w:type="dxa"/>
            <w:tcBorders>
              <w:right w:val="nil"/>
            </w:tcBorders>
          </w:tcPr>
          <w:p w14:paraId="3266F447" w14:textId="3A2D53E2" w:rsidR="00540D03" w:rsidRPr="009E6811" w:rsidRDefault="009E6811" w:rsidP="00540D03">
            <w:pPr>
              <w:keepNext/>
              <w:spacing w:before="40" w:after="40" w:line="240" w:lineRule="auto"/>
              <w:rPr>
                <w:rFonts w:ascii="Arial Narrow" w:hAnsi="Arial Narrow"/>
                <w:sz w:val="20"/>
                <w:szCs w:val="18"/>
                <w:vertAlign w:val="superscript"/>
                <w:lang w:val="en-GB" w:eastAsia="ja-JP"/>
              </w:rPr>
            </w:pPr>
            <w:r>
              <w:rPr>
                <w:rFonts w:ascii="Arial Narrow" w:hAnsi="Arial Narrow"/>
                <w:sz w:val="20"/>
                <w:szCs w:val="18"/>
                <w:lang w:val="en-GB" w:eastAsia="ja-JP"/>
              </w:rPr>
              <w:t>Standard care anti-cancer medications</w:t>
            </w:r>
            <w:r>
              <w:rPr>
                <w:rFonts w:ascii="Arial Narrow" w:hAnsi="Arial Narrow"/>
                <w:sz w:val="20"/>
                <w:szCs w:val="18"/>
                <w:vertAlign w:val="superscript"/>
                <w:lang w:val="en-GB" w:eastAsia="ja-JP"/>
              </w:rPr>
              <w:t>a</w:t>
            </w:r>
            <w:r>
              <w:rPr>
                <w:rFonts w:ascii="Arial Narrow" w:hAnsi="Arial Narrow"/>
                <w:sz w:val="20"/>
                <w:szCs w:val="18"/>
                <w:lang w:val="en-GB" w:eastAsia="ja-JP"/>
              </w:rPr>
              <w:t xml:space="preserve"> received by ≥1% of patients, n (%)</w:t>
            </w:r>
            <w:r>
              <w:rPr>
                <w:rFonts w:ascii="Arial Narrow" w:hAnsi="Arial Narrow"/>
                <w:sz w:val="20"/>
                <w:szCs w:val="18"/>
                <w:vertAlign w:val="superscript"/>
                <w:lang w:val="en-GB" w:eastAsia="ja-JP"/>
              </w:rPr>
              <w:t>b</w:t>
            </w:r>
          </w:p>
        </w:tc>
        <w:tc>
          <w:tcPr>
            <w:tcW w:w="1347" w:type="dxa"/>
            <w:tcBorders>
              <w:left w:val="nil"/>
              <w:right w:val="nil"/>
            </w:tcBorders>
            <w:vAlign w:val="center"/>
          </w:tcPr>
          <w:p w14:paraId="32B60815" w14:textId="77777777" w:rsidR="00540D03" w:rsidRPr="00540D03" w:rsidRDefault="00540D03" w:rsidP="009E6811">
            <w:pPr>
              <w:keepNext/>
              <w:spacing w:before="40" w:after="40" w:line="240" w:lineRule="auto"/>
              <w:jc w:val="center"/>
              <w:rPr>
                <w:rFonts w:ascii="Arial Narrow" w:hAnsi="Arial Narrow"/>
                <w:sz w:val="20"/>
                <w:szCs w:val="18"/>
                <w:lang w:val="en-GB" w:eastAsia="ja-JP"/>
              </w:rPr>
            </w:pPr>
          </w:p>
        </w:tc>
        <w:tc>
          <w:tcPr>
            <w:tcW w:w="1347" w:type="dxa"/>
            <w:tcBorders>
              <w:left w:val="nil"/>
              <w:right w:val="nil"/>
            </w:tcBorders>
            <w:vAlign w:val="center"/>
          </w:tcPr>
          <w:p w14:paraId="0C60E1A1" w14:textId="77777777" w:rsidR="00540D03" w:rsidRPr="00540D03" w:rsidRDefault="00540D03" w:rsidP="009E6811">
            <w:pPr>
              <w:keepNext/>
              <w:spacing w:before="40" w:after="40" w:line="240" w:lineRule="auto"/>
              <w:jc w:val="center"/>
              <w:rPr>
                <w:rFonts w:ascii="Arial Narrow" w:hAnsi="Arial Narrow"/>
                <w:sz w:val="20"/>
                <w:szCs w:val="18"/>
                <w:lang w:val="en-GB" w:eastAsia="ja-JP"/>
              </w:rPr>
            </w:pPr>
          </w:p>
        </w:tc>
        <w:tc>
          <w:tcPr>
            <w:tcW w:w="1212" w:type="dxa"/>
            <w:tcBorders>
              <w:left w:val="nil"/>
            </w:tcBorders>
            <w:vAlign w:val="center"/>
          </w:tcPr>
          <w:p w14:paraId="7BBC825A" w14:textId="77777777" w:rsidR="00540D03" w:rsidRPr="00540D03" w:rsidRDefault="00540D03" w:rsidP="009E6811">
            <w:pPr>
              <w:keepNext/>
              <w:spacing w:before="40" w:after="40" w:line="240" w:lineRule="auto"/>
              <w:jc w:val="center"/>
              <w:rPr>
                <w:rFonts w:ascii="Arial Narrow" w:hAnsi="Arial Narrow"/>
                <w:sz w:val="20"/>
                <w:szCs w:val="18"/>
                <w:lang w:val="en-GB" w:eastAsia="ja-JP"/>
              </w:rPr>
            </w:pPr>
          </w:p>
        </w:tc>
      </w:tr>
      <w:tr w:rsidR="00540D03" w:rsidRPr="00540D03" w14:paraId="612B599D" w14:textId="77777777" w:rsidTr="009E6811">
        <w:tc>
          <w:tcPr>
            <w:tcW w:w="5665" w:type="dxa"/>
          </w:tcPr>
          <w:p w14:paraId="2F8F1134" w14:textId="545DA060" w:rsidR="00540D03" w:rsidRPr="00540D03" w:rsidRDefault="009E6811" w:rsidP="009E6811">
            <w:pPr>
              <w:keepNext/>
              <w:spacing w:before="40" w:after="40" w:line="240" w:lineRule="auto"/>
              <w:rPr>
                <w:rFonts w:ascii="Arial Narrow" w:hAnsi="Arial Narrow"/>
                <w:sz w:val="20"/>
                <w:szCs w:val="18"/>
                <w:lang w:val="en-GB" w:eastAsia="ja-JP"/>
              </w:rPr>
            </w:pPr>
            <w:r w:rsidRPr="009E6811">
              <w:rPr>
                <w:rFonts w:ascii="Arial Narrow" w:hAnsi="Arial Narrow"/>
                <w:sz w:val="20"/>
                <w:szCs w:val="18"/>
                <w:lang w:val="en-GB" w:eastAsia="ja-JP"/>
              </w:rPr>
              <w:t>Gonadotropin-releasing hormone</w:t>
            </w:r>
            <w:r>
              <w:rPr>
                <w:rFonts w:ascii="Arial Narrow" w:hAnsi="Arial Narrow"/>
                <w:sz w:val="20"/>
                <w:szCs w:val="18"/>
                <w:lang w:val="en-GB" w:eastAsia="ja-JP"/>
              </w:rPr>
              <w:t xml:space="preserve"> </w:t>
            </w:r>
            <w:r w:rsidRPr="009E6811">
              <w:rPr>
                <w:rFonts w:ascii="Arial Narrow" w:hAnsi="Arial Narrow"/>
                <w:sz w:val="20"/>
                <w:szCs w:val="18"/>
                <w:lang w:val="en-GB" w:eastAsia="ja-JP"/>
              </w:rPr>
              <w:t>analogues</w:t>
            </w:r>
          </w:p>
        </w:tc>
        <w:tc>
          <w:tcPr>
            <w:tcW w:w="1347" w:type="dxa"/>
            <w:vAlign w:val="center"/>
          </w:tcPr>
          <w:p w14:paraId="1E93D0C2" w14:textId="1DA6246B" w:rsidR="00540D03" w:rsidRPr="00540D03" w:rsidRDefault="009E6811" w:rsidP="009E6811">
            <w:pPr>
              <w:keepNext/>
              <w:spacing w:before="40" w:after="40" w:line="240" w:lineRule="auto"/>
              <w:jc w:val="center"/>
              <w:rPr>
                <w:rFonts w:ascii="Arial Narrow" w:hAnsi="Arial Narrow"/>
                <w:sz w:val="20"/>
                <w:szCs w:val="18"/>
                <w:lang w:val="en-GB" w:eastAsia="ja-JP"/>
              </w:rPr>
            </w:pPr>
            <w:r>
              <w:rPr>
                <w:rFonts w:ascii="Arial Narrow" w:hAnsi="Arial Narrow"/>
                <w:sz w:val="20"/>
                <w:szCs w:val="18"/>
                <w:lang w:val="en-GB" w:eastAsia="ja-JP"/>
              </w:rPr>
              <w:t>468 (88.5)</w:t>
            </w:r>
          </w:p>
        </w:tc>
        <w:tc>
          <w:tcPr>
            <w:tcW w:w="1347" w:type="dxa"/>
            <w:vAlign w:val="center"/>
          </w:tcPr>
          <w:p w14:paraId="27BC664A" w14:textId="00437A9B" w:rsidR="00540D03" w:rsidRPr="00540D03" w:rsidRDefault="009E6811" w:rsidP="009E6811">
            <w:pPr>
              <w:keepNext/>
              <w:spacing w:before="40" w:after="40" w:line="240" w:lineRule="auto"/>
              <w:jc w:val="center"/>
              <w:rPr>
                <w:rFonts w:ascii="Arial Narrow" w:hAnsi="Arial Narrow"/>
                <w:sz w:val="20"/>
                <w:szCs w:val="18"/>
                <w:lang w:val="en-GB" w:eastAsia="ja-JP"/>
              </w:rPr>
            </w:pPr>
            <w:r>
              <w:rPr>
                <w:rFonts w:ascii="Arial Narrow" w:hAnsi="Arial Narrow"/>
                <w:sz w:val="20"/>
                <w:szCs w:val="18"/>
                <w:lang w:val="en-GB" w:eastAsia="ja-JP"/>
              </w:rPr>
              <w:t>172 (83.9)</w:t>
            </w:r>
          </w:p>
        </w:tc>
        <w:tc>
          <w:tcPr>
            <w:tcW w:w="1212" w:type="dxa"/>
            <w:vAlign w:val="center"/>
          </w:tcPr>
          <w:p w14:paraId="01ACE720" w14:textId="7A120646" w:rsidR="00540D03" w:rsidRPr="00540D03" w:rsidRDefault="00E56C75" w:rsidP="009E6811">
            <w:pPr>
              <w:keepNext/>
              <w:spacing w:before="40" w:after="40" w:line="240" w:lineRule="auto"/>
              <w:jc w:val="center"/>
              <w:rPr>
                <w:rFonts w:ascii="Arial Narrow" w:hAnsi="Arial Narrow"/>
                <w:sz w:val="20"/>
                <w:szCs w:val="18"/>
                <w:lang w:val="en-GB" w:eastAsia="ja-JP"/>
              </w:rPr>
            </w:pPr>
            <w:r>
              <w:rPr>
                <w:rFonts w:ascii="Arial Narrow" w:hAnsi="Arial Narrow"/>
                <w:sz w:val="20"/>
                <w:szCs w:val="18"/>
                <w:lang w:val="en-GB" w:eastAsia="ja-JP"/>
              </w:rPr>
              <w:t>640 (87.2)</w:t>
            </w:r>
          </w:p>
        </w:tc>
      </w:tr>
      <w:tr w:rsidR="00540D03" w:rsidRPr="00540D03" w14:paraId="28C6F5E9" w14:textId="77777777" w:rsidTr="009E6811">
        <w:tc>
          <w:tcPr>
            <w:tcW w:w="5665" w:type="dxa"/>
          </w:tcPr>
          <w:p w14:paraId="5719D592" w14:textId="16F3B79E" w:rsidR="00540D03" w:rsidRPr="00540D03" w:rsidRDefault="009E6811" w:rsidP="00540D03">
            <w:pPr>
              <w:keepNext/>
              <w:spacing w:before="40" w:after="40" w:line="240" w:lineRule="auto"/>
              <w:rPr>
                <w:rFonts w:ascii="Arial Narrow" w:hAnsi="Arial Narrow"/>
                <w:sz w:val="20"/>
                <w:szCs w:val="18"/>
                <w:lang w:val="en-GB" w:eastAsia="ja-JP"/>
              </w:rPr>
            </w:pPr>
            <w:r w:rsidRPr="009E6811">
              <w:rPr>
                <w:rFonts w:ascii="Arial Narrow" w:hAnsi="Arial Narrow"/>
                <w:sz w:val="20"/>
                <w:szCs w:val="18"/>
                <w:lang w:val="en-GB" w:eastAsia="ja-JP"/>
              </w:rPr>
              <w:t>Glucocorticoids</w:t>
            </w:r>
          </w:p>
        </w:tc>
        <w:tc>
          <w:tcPr>
            <w:tcW w:w="1347" w:type="dxa"/>
            <w:vAlign w:val="center"/>
          </w:tcPr>
          <w:p w14:paraId="15232459" w14:textId="09B5D239" w:rsidR="00540D03" w:rsidRPr="00540D03" w:rsidRDefault="009E6811" w:rsidP="009E6811">
            <w:pPr>
              <w:keepNext/>
              <w:spacing w:before="40" w:after="40" w:line="240" w:lineRule="auto"/>
              <w:jc w:val="center"/>
              <w:rPr>
                <w:rFonts w:ascii="Arial Narrow" w:hAnsi="Arial Narrow"/>
                <w:sz w:val="20"/>
                <w:szCs w:val="18"/>
                <w:lang w:val="en-GB" w:eastAsia="ja-JP"/>
              </w:rPr>
            </w:pPr>
            <w:r>
              <w:rPr>
                <w:rFonts w:ascii="Arial Narrow" w:hAnsi="Arial Narrow"/>
                <w:sz w:val="20"/>
                <w:szCs w:val="18"/>
                <w:lang w:val="en-GB" w:eastAsia="ja-JP"/>
              </w:rPr>
              <w:t>335 (63.3)</w:t>
            </w:r>
          </w:p>
        </w:tc>
        <w:tc>
          <w:tcPr>
            <w:tcW w:w="1347" w:type="dxa"/>
            <w:vAlign w:val="center"/>
          </w:tcPr>
          <w:p w14:paraId="003629CD" w14:textId="7E30CB78" w:rsidR="00540D03" w:rsidRPr="00540D03" w:rsidRDefault="009E6811" w:rsidP="009E6811">
            <w:pPr>
              <w:keepNext/>
              <w:spacing w:before="40" w:after="40" w:line="240" w:lineRule="auto"/>
              <w:jc w:val="center"/>
              <w:rPr>
                <w:rFonts w:ascii="Arial Narrow" w:hAnsi="Arial Narrow"/>
                <w:sz w:val="20"/>
                <w:szCs w:val="18"/>
                <w:lang w:val="en-GB" w:eastAsia="ja-JP"/>
              </w:rPr>
            </w:pPr>
            <w:r>
              <w:rPr>
                <w:rFonts w:ascii="Arial Narrow" w:hAnsi="Arial Narrow"/>
                <w:sz w:val="20"/>
                <w:szCs w:val="18"/>
                <w:lang w:val="en-GB" w:eastAsia="ja-JP"/>
              </w:rPr>
              <w:t>134 (65.4)</w:t>
            </w:r>
          </w:p>
        </w:tc>
        <w:tc>
          <w:tcPr>
            <w:tcW w:w="1212" w:type="dxa"/>
            <w:vAlign w:val="center"/>
          </w:tcPr>
          <w:p w14:paraId="38EE4B2E" w14:textId="02CAD88C" w:rsidR="00540D03" w:rsidRPr="00540D03" w:rsidRDefault="00E56C75" w:rsidP="009E6811">
            <w:pPr>
              <w:keepNext/>
              <w:spacing w:before="40" w:after="40" w:line="240" w:lineRule="auto"/>
              <w:jc w:val="center"/>
              <w:rPr>
                <w:rFonts w:ascii="Arial Narrow" w:hAnsi="Arial Narrow"/>
                <w:sz w:val="20"/>
                <w:szCs w:val="18"/>
                <w:lang w:val="en-GB" w:eastAsia="ja-JP"/>
              </w:rPr>
            </w:pPr>
            <w:r>
              <w:rPr>
                <w:rFonts w:ascii="Arial Narrow" w:hAnsi="Arial Narrow"/>
                <w:sz w:val="20"/>
                <w:szCs w:val="18"/>
                <w:lang w:val="en-GB" w:eastAsia="ja-JP"/>
              </w:rPr>
              <w:t>469 (63.9)</w:t>
            </w:r>
          </w:p>
        </w:tc>
      </w:tr>
      <w:tr w:rsidR="00540D03" w:rsidRPr="00540D03" w14:paraId="70C784D1" w14:textId="77777777" w:rsidTr="009E6811">
        <w:tc>
          <w:tcPr>
            <w:tcW w:w="5665" w:type="dxa"/>
          </w:tcPr>
          <w:p w14:paraId="01C09B1D" w14:textId="77777777" w:rsidR="00540D03" w:rsidRDefault="009E6811" w:rsidP="00540D03">
            <w:pPr>
              <w:keepNext/>
              <w:spacing w:before="40" w:after="40" w:line="240" w:lineRule="auto"/>
              <w:rPr>
                <w:rFonts w:ascii="Arial Narrow" w:hAnsi="Arial Narrow"/>
                <w:sz w:val="20"/>
                <w:szCs w:val="18"/>
                <w:lang w:val="en-GB" w:eastAsia="ja-JP"/>
              </w:rPr>
            </w:pPr>
            <w:r w:rsidRPr="009E6811">
              <w:rPr>
                <w:rFonts w:ascii="Arial Narrow" w:hAnsi="Arial Narrow"/>
                <w:sz w:val="20"/>
                <w:szCs w:val="18"/>
                <w:lang w:val="en-GB" w:eastAsia="ja-JP"/>
              </w:rPr>
              <w:t>Androgen receptor pathway inhibitors</w:t>
            </w:r>
          </w:p>
          <w:p w14:paraId="73D4B778" w14:textId="3DE921AF" w:rsidR="009E6811" w:rsidRPr="00540D03" w:rsidRDefault="009E6811" w:rsidP="005370F8">
            <w:pPr>
              <w:keepNext/>
              <w:tabs>
                <w:tab w:val="left" w:pos="270"/>
              </w:tabs>
              <w:spacing w:before="40" w:after="40" w:line="240" w:lineRule="auto"/>
              <w:rPr>
                <w:rFonts w:ascii="Arial Narrow" w:hAnsi="Arial Narrow"/>
                <w:sz w:val="20"/>
                <w:szCs w:val="18"/>
                <w:lang w:val="en-GB" w:eastAsia="ja-JP"/>
              </w:rPr>
            </w:pPr>
            <w:r>
              <w:rPr>
                <w:rFonts w:ascii="Arial Narrow" w:hAnsi="Arial Narrow"/>
                <w:sz w:val="20"/>
                <w:szCs w:val="18"/>
                <w:lang w:val="en-GB" w:eastAsia="ja-JP"/>
              </w:rPr>
              <w:tab/>
              <w:t>Enzalutamide</w:t>
            </w:r>
            <w:r>
              <w:rPr>
                <w:rFonts w:ascii="Arial Narrow" w:hAnsi="Arial Narrow"/>
                <w:sz w:val="20"/>
                <w:szCs w:val="18"/>
                <w:lang w:val="en-GB" w:eastAsia="ja-JP"/>
              </w:rPr>
              <w:br/>
            </w:r>
            <w:r>
              <w:rPr>
                <w:rFonts w:ascii="Arial Narrow" w:hAnsi="Arial Narrow"/>
                <w:sz w:val="20"/>
                <w:szCs w:val="18"/>
                <w:lang w:val="en-GB" w:eastAsia="ja-JP"/>
              </w:rPr>
              <w:tab/>
              <w:t>Abiraterone</w:t>
            </w:r>
            <w:r>
              <w:rPr>
                <w:rFonts w:ascii="Arial Narrow" w:hAnsi="Arial Narrow"/>
                <w:sz w:val="20"/>
                <w:szCs w:val="18"/>
                <w:lang w:val="en-GB" w:eastAsia="ja-JP"/>
              </w:rPr>
              <w:br/>
            </w:r>
            <w:r>
              <w:rPr>
                <w:rFonts w:ascii="Arial Narrow" w:hAnsi="Arial Narrow"/>
                <w:sz w:val="20"/>
                <w:szCs w:val="18"/>
                <w:lang w:val="en-GB" w:eastAsia="ja-JP"/>
              </w:rPr>
              <w:tab/>
              <w:t>Apalutamide</w:t>
            </w:r>
            <w:r>
              <w:rPr>
                <w:rFonts w:ascii="Arial Narrow" w:hAnsi="Arial Narrow"/>
                <w:sz w:val="20"/>
                <w:szCs w:val="18"/>
                <w:lang w:val="en-GB" w:eastAsia="ja-JP"/>
              </w:rPr>
              <w:br/>
            </w:r>
            <w:r>
              <w:rPr>
                <w:rFonts w:ascii="Arial Narrow" w:hAnsi="Arial Narrow"/>
                <w:sz w:val="20"/>
                <w:szCs w:val="18"/>
                <w:lang w:val="en-GB" w:eastAsia="ja-JP"/>
              </w:rPr>
              <w:tab/>
              <w:t>Darolutamide</w:t>
            </w:r>
          </w:p>
        </w:tc>
        <w:tc>
          <w:tcPr>
            <w:tcW w:w="1347" w:type="dxa"/>
            <w:vAlign w:val="center"/>
          </w:tcPr>
          <w:p w14:paraId="0B65A231" w14:textId="77777777" w:rsidR="00540D03" w:rsidRDefault="009E6811" w:rsidP="009E6811">
            <w:pPr>
              <w:keepNext/>
              <w:spacing w:before="40" w:after="40" w:line="240" w:lineRule="auto"/>
              <w:jc w:val="center"/>
              <w:rPr>
                <w:rFonts w:ascii="Arial Narrow" w:hAnsi="Arial Narrow"/>
                <w:sz w:val="20"/>
                <w:szCs w:val="18"/>
                <w:lang w:val="en-GB" w:eastAsia="ja-JP"/>
              </w:rPr>
            </w:pPr>
            <w:r>
              <w:rPr>
                <w:rFonts w:ascii="Arial Narrow" w:hAnsi="Arial Narrow"/>
                <w:sz w:val="20"/>
                <w:szCs w:val="18"/>
                <w:lang w:val="en-GB" w:eastAsia="ja-JP"/>
              </w:rPr>
              <w:t>278 (52.6)</w:t>
            </w:r>
          </w:p>
          <w:p w14:paraId="428F6FE7" w14:textId="5BF213C8" w:rsidR="009E6811" w:rsidRPr="00540D03" w:rsidRDefault="009E6811" w:rsidP="009E6811">
            <w:pPr>
              <w:keepNext/>
              <w:spacing w:before="40" w:after="40" w:line="240" w:lineRule="auto"/>
              <w:jc w:val="center"/>
              <w:rPr>
                <w:rFonts w:ascii="Arial Narrow" w:hAnsi="Arial Narrow"/>
                <w:sz w:val="20"/>
                <w:szCs w:val="18"/>
                <w:lang w:val="en-GB" w:eastAsia="ja-JP"/>
              </w:rPr>
            </w:pPr>
            <w:r>
              <w:rPr>
                <w:rFonts w:ascii="Arial Narrow" w:hAnsi="Arial Narrow"/>
                <w:sz w:val="20"/>
                <w:szCs w:val="18"/>
                <w:lang w:val="en-GB" w:eastAsia="ja-JP"/>
              </w:rPr>
              <w:t>157 (29.7)</w:t>
            </w:r>
            <w:r>
              <w:rPr>
                <w:rFonts w:ascii="Arial Narrow" w:hAnsi="Arial Narrow"/>
                <w:sz w:val="20"/>
                <w:szCs w:val="18"/>
                <w:lang w:val="en-GB" w:eastAsia="ja-JP"/>
              </w:rPr>
              <w:br/>
              <w:t>132 (25.0)</w:t>
            </w:r>
            <w:r>
              <w:rPr>
                <w:rFonts w:ascii="Arial Narrow" w:hAnsi="Arial Narrow"/>
                <w:sz w:val="20"/>
                <w:szCs w:val="18"/>
                <w:lang w:val="en-GB" w:eastAsia="ja-JP"/>
              </w:rPr>
              <w:br/>
              <w:t>10 (1.9)</w:t>
            </w:r>
            <w:r>
              <w:rPr>
                <w:rFonts w:ascii="Arial Narrow" w:hAnsi="Arial Narrow"/>
                <w:sz w:val="20"/>
                <w:szCs w:val="18"/>
                <w:lang w:val="en-GB" w:eastAsia="ja-JP"/>
              </w:rPr>
              <w:br/>
              <w:t>2 (0.4)</w:t>
            </w:r>
          </w:p>
        </w:tc>
        <w:tc>
          <w:tcPr>
            <w:tcW w:w="1347" w:type="dxa"/>
            <w:vAlign w:val="center"/>
          </w:tcPr>
          <w:p w14:paraId="1C9DE424" w14:textId="77777777" w:rsidR="00540D03" w:rsidRDefault="009E6811" w:rsidP="009E6811">
            <w:pPr>
              <w:keepNext/>
              <w:spacing w:before="40" w:after="40" w:line="240" w:lineRule="auto"/>
              <w:jc w:val="center"/>
              <w:rPr>
                <w:rFonts w:ascii="Arial Narrow" w:hAnsi="Arial Narrow"/>
                <w:sz w:val="20"/>
                <w:szCs w:val="18"/>
                <w:lang w:val="en-GB" w:eastAsia="ja-JP"/>
              </w:rPr>
            </w:pPr>
            <w:r>
              <w:rPr>
                <w:rFonts w:ascii="Arial Narrow" w:hAnsi="Arial Narrow"/>
                <w:sz w:val="20"/>
                <w:szCs w:val="18"/>
                <w:lang w:val="en-GB" w:eastAsia="ja-JP"/>
              </w:rPr>
              <w:t>139 (67.8)</w:t>
            </w:r>
          </w:p>
          <w:p w14:paraId="13C4CDC2" w14:textId="60BC58C3" w:rsidR="009E6811" w:rsidRPr="00540D03" w:rsidRDefault="009E6811" w:rsidP="009E6811">
            <w:pPr>
              <w:keepNext/>
              <w:spacing w:before="40" w:after="40" w:line="240" w:lineRule="auto"/>
              <w:jc w:val="center"/>
              <w:rPr>
                <w:rFonts w:ascii="Arial Narrow" w:hAnsi="Arial Narrow"/>
                <w:sz w:val="20"/>
                <w:szCs w:val="18"/>
                <w:lang w:val="en-GB" w:eastAsia="ja-JP"/>
              </w:rPr>
            </w:pPr>
            <w:r>
              <w:rPr>
                <w:rFonts w:ascii="Arial Narrow" w:hAnsi="Arial Narrow"/>
                <w:sz w:val="20"/>
                <w:szCs w:val="18"/>
                <w:lang w:val="en-GB" w:eastAsia="ja-JP"/>
              </w:rPr>
              <w:t>87 (42.4)</w:t>
            </w:r>
            <w:r>
              <w:rPr>
                <w:rFonts w:ascii="Arial Narrow" w:hAnsi="Arial Narrow"/>
                <w:sz w:val="20"/>
                <w:szCs w:val="18"/>
                <w:lang w:val="en-GB" w:eastAsia="ja-JP"/>
              </w:rPr>
              <w:br/>
              <w:t>72 (35.1)</w:t>
            </w:r>
            <w:r>
              <w:rPr>
                <w:rFonts w:ascii="Arial Narrow" w:hAnsi="Arial Narrow"/>
                <w:sz w:val="20"/>
                <w:szCs w:val="18"/>
                <w:lang w:val="en-GB" w:eastAsia="ja-JP"/>
              </w:rPr>
              <w:br/>
              <w:t>1 (0.5)</w:t>
            </w:r>
            <w:r>
              <w:rPr>
                <w:rFonts w:ascii="Arial Narrow" w:hAnsi="Arial Narrow"/>
                <w:sz w:val="20"/>
                <w:szCs w:val="18"/>
                <w:lang w:val="en-GB" w:eastAsia="ja-JP"/>
              </w:rPr>
              <w:br/>
              <w:t>1 (0.5)</w:t>
            </w:r>
          </w:p>
        </w:tc>
        <w:tc>
          <w:tcPr>
            <w:tcW w:w="1212" w:type="dxa"/>
            <w:vAlign w:val="center"/>
          </w:tcPr>
          <w:p w14:paraId="0CBF7AFC" w14:textId="77777777" w:rsidR="00540D03" w:rsidRDefault="00E56C75" w:rsidP="009E6811">
            <w:pPr>
              <w:keepNext/>
              <w:spacing w:before="40" w:after="40" w:line="240" w:lineRule="auto"/>
              <w:jc w:val="center"/>
              <w:rPr>
                <w:rFonts w:ascii="Arial Narrow" w:hAnsi="Arial Narrow"/>
                <w:sz w:val="20"/>
                <w:szCs w:val="18"/>
                <w:lang w:val="en-GB" w:eastAsia="ja-JP"/>
              </w:rPr>
            </w:pPr>
            <w:r>
              <w:rPr>
                <w:rFonts w:ascii="Arial Narrow" w:hAnsi="Arial Narrow"/>
                <w:sz w:val="20"/>
                <w:szCs w:val="18"/>
                <w:lang w:val="en-GB" w:eastAsia="ja-JP"/>
              </w:rPr>
              <w:t>417 (56.8)</w:t>
            </w:r>
          </w:p>
          <w:p w14:paraId="001640FB" w14:textId="1C698321" w:rsidR="00E56C75" w:rsidRPr="00540D03" w:rsidRDefault="00E56C75" w:rsidP="009E6811">
            <w:pPr>
              <w:keepNext/>
              <w:spacing w:before="40" w:after="40" w:line="240" w:lineRule="auto"/>
              <w:jc w:val="center"/>
              <w:rPr>
                <w:rFonts w:ascii="Arial Narrow" w:hAnsi="Arial Narrow"/>
                <w:sz w:val="20"/>
                <w:szCs w:val="18"/>
                <w:lang w:val="en-GB" w:eastAsia="ja-JP"/>
              </w:rPr>
            </w:pPr>
            <w:r>
              <w:rPr>
                <w:rFonts w:ascii="Arial Narrow" w:hAnsi="Arial Narrow"/>
                <w:sz w:val="20"/>
                <w:szCs w:val="18"/>
                <w:lang w:val="en-GB" w:eastAsia="ja-JP"/>
              </w:rPr>
              <w:t>244 (33.2)</w:t>
            </w:r>
            <w:r>
              <w:rPr>
                <w:rFonts w:ascii="Arial Narrow" w:hAnsi="Arial Narrow"/>
                <w:sz w:val="20"/>
                <w:szCs w:val="18"/>
                <w:lang w:val="en-GB" w:eastAsia="ja-JP"/>
              </w:rPr>
              <w:br/>
              <w:t>204 (27.8)</w:t>
            </w:r>
            <w:r>
              <w:rPr>
                <w:rFonts w:ascii="Arial Narrow" w:hAnsi="Arial Narrow"/>
                <w:sz w:val="20"/>
                <w:szCs w:val="18"/>
                <w:lang w:val="en-GB" w:eastAsia="ja-JP"/>
              </w:rPr>
              <w:br/>
              <w:t>11 (1.5)</w:t>
            </w:r>
            <w:r>
              <w:rPr>
                <w:rFonts w:ascii="Arial Narrow" w:hAnsi="Arial Narrow"/>
                <w:sz w:val="20"/>
                <w:szCs w:val="18"/>
                <w:lang w:val="en-GB" w:eastAsia="ja-JP"/>
              </w:rPr>
              <w:br/>
              <w:t>3 (0.4)</w:t>
            </w:r>
          </w:p>
        </w:tc>
      </w:tr>
      <w:tr w:rsidR="009E6811" w:rsidRPr="00540D03" w14:paraId="59276996" w14:textId="77777777" w:rsidTr="009E6811">
        <w:tc>
          <w:tcPr>
            <w:tcW w:w="5665" w:type="dxa"/>
          </w:tcPr>
          <w:p w14:paraId="2AD6D6B3" w14:textId="463F0469" w:rsidR="009E6811" w:rsidRPr="009E6811" w:rsidRDefault="009E6811" w:rsidP="00540D03">
            <w:pPr>
              <w:keepNext/>
              <w:spacing w:before="40" w:after="40" w:line="240" w:lineRule="auto"/>
              <w:rPr>
                <w:rFonts w:ascii="Arial Narrow" w:hAnsi="Arial Narrow"/>
                <w:sz w:val="20"/>
                <w:szCs w:val="18"/>
                <w:lang w:val="en-GB" w:eastAsia="ja-JP"/>
              </w:rPr>
            </w:pPr>
            <w:r>
              <w:rPr>
                <w:rFonts w:ascii="Arial Narrow" w:hAnsi="Arial Narrow"/>
                <w:sz w:val="20"/>
                <w:szCs w:val="18"/>
                <w:lang w:val="en-GB" w:eastAsia="ja-JP"/>
              </w:rPr>
              <w:t>Denosumab</w:t>
            </w:r>
          </w:p>
        </w:tc>
        <w:tc>
          <w:tcPr>
            <w:tcW w:w="1347" w:type="dxa"/>
            <w:vAlign w:val="center"/>
          </w:tcPr>
          <w:p w14:paraId="0EF75BF5" w14:textId="00A33064" w:rsidR="009E6811" w:rsidRPr="00540D03" w:rsidRDefault="009E6811" w:rsidP="009E6811">
            <w:pPr>
              <w:keepNext/>
              <w:spacing w:before="40" w:after="40" w:line="240" w:lineRule="auto"/>
              <w:jc w:val="center"/>
              <w:rPr>
                <w:rFonts w:ascii="Arial Narrow" w:hAnsi="Arial Narrow"/>
                <w:sz w:val="20"/>
                <w:szCs w:val="18"/>
                <w:lang w:val="en-GB" w:eastAsia="ja-JP"/>
              </w:rPr>
            </w:pPr>
            <w:r>
              <w:rPr>
                <w:rFonts w:ascii="Arial Narrow" w:hAnsi="Arial Narrow"/>
                <w:sz w:val="20"/>
                <w:szCs w:val="18"/>
                <w:lang w:val="en-GB" w:eastAsia="ja-JP"/>
              </w:rPr>
              <w:t>184 (34.8)</w:t>
            </w:r>
          </w:p>
        </w:tc>
        <w:tc>
          <w:tcPr>
            <w:tcW w:w="1347" w:type="dxa"/>
            <w:vAlign w:val="center"/>
          </w:tcPr>
          <w:p w14:paraId="428F920E" w14:textId="46FD19EB" w:rsidR="009E6811" w:rsidRPr="00540D03" w:rsidRDefault="00E56C75" w:rsidP="009E6811">
            <w:pPr>
              <w:keepNext/>
              <w:spacing w:before="40" w:after="40" w:line="240" w:lineRule="auto"/>
              <w:jc w:val="center"/>
              <w:rPr>
                <w:rFonts w:ascii="Arial Narrow" w:hAnsi="Arial Narrow"/>
                <w:sz w:val="20"/>
                <w:szCs w:val="18"/>
                <w:lang w:val="en-GB" w:eastAsia="ja-JP"/>
              </w:rPr>
            </w:pPr>
            <w:r>
              <w:rPr>
                <w:rFonts w:ascii="Arial Narrow" w:hAnsi="Arial Narrow"/>
                <w:sz w:val="20"/>
                <w:szCs w:val="18"/>
                <w:lang w:val="en-GB" w:eastAsia="ja-JP"/>
              </w:rPr>
              <w:t>80 (39.0)</w:t>
            </w:r>
          </w:p>
        </w:tc>
        <w:tc>
          <w:tcPr>
            <w:tcW w:w="1212" w:type="dxa"/>
            <w:vAlign w:val="center"/>
          </w:tcPr>
          <w:p w14:paraId="18E30AF0" w14:textId="67E77AE5" w:rsidR="009E6811" w:rsidRPr="00540D03" w:rsidRDefault="00E56C75" w:rsidP="009E6811">
            <w:pPr>
              <w:keepNext/>
              <w:spacing w:before="40" w:after="40" w:line="240" w:lineRule="auto"/>
              <w:jc w:val="center"/>
              <w:rPr>
                <w:rFonts w:ascii="Arial Narrow" w:hAnsi="Arial Narrow"/>
                <w:sz w:val="20"/>
                <w:szCs w:val="18"/>
                <w:lang w:val="en-GB" w:eastAsia="ja-JP"/>
              </w:rPr>
            </w:pPr>
            <w:r>
              <w:rPr>
                <w:rFonts w:ascii="Arial Narrow" w:hAnsi="Arial Narrow"/>
                <w:sz w:val="20"/>
                <w:szCs w:val="18"/>
                <w:lang w:val="en-GB" w:eastAsia="ja-JP"/>
              </w:rPr>
              <w:t>264 (36.0)</w:t>
            </w:r>
          </w:p>
        </w:tc>
      </w:tr>
      <w:tr w:rsidR="009E6811" w:rsidRPr="00540D03" w14:paraId="420C0331" w14:textId="77777777" w:rsidTr="009E6811">
        <w:tc>
          <w:tcPr>
            <w:tcW w:w="5665" w:type="dxa"/>
          </w:tcPr>
          <w:p w14:paraId="32C7A846" w14:textId="7A991A9D" w:rsidR="009E6811" w:rsidRPr="009E6811" w:rsidRDefault="009E6811" w:rsidP="00540D03">
            <w:pPr>
              <w:keepNext/>
              <w:spacing w:before="40" w:after="40" w:line="240" w:lineRule="auto"/>
              <w:rPr>
                <w:rFonts w:ascii="Arial Narrow" w:hAnsi="Arial Narrow"/>
                <w:sz w:val="20"/>
                <w:szCs w:val="18"/>
                <w:lang w:val="en-GB" w:eastAsia="ja-JP"/>
              </w:rPr>
            </w:pPr>
            <w:r>
              <w:rPr>
                <w:rFonts w:ascii="Arial Narrow" w:hAnsi="Arial Narrow"/>
                <w:sz w:val="20"/>
                <w:szCs w:val="18"/>
                <w:lang w:val="en-GB" w:eastAsia="ja-JP"/>
              </w:rPr>
              <w:t>Bisphosphonates</w:t>
            </w:r>
          </w:p>
        </w:tc>
        <w:tc>
          <w:tcPr>
            <w:tcW w:w="1347" w:type="dxa"/>
            <w:vAlign w:val="center"/>
          </w:tcPr>
          <w:p w14:paraId="308F6078" w14:textId="42B31095" w:rsidR="009E6811" w:rsidRPr="00540D03" w:rsidRDefault="009E6811" w:rsidP="009E6811">
            <w:pPr>
              <w:keepNext/>
              <w:spacing w:before="40" w:after="40" w:line="240" w:lineRule="auto"/>
              <w:jc w:val="center"/>
              <w:rPr>
                <w:rFonts w:ascii="Arial Narrow" w:hAnsi="Arial Narrow"/>
                <w:sz w:val="20"/>
                <w:szCs w:val="18"/>
                <w:lang w:val="en-GB" w:eastAsia="ja-JP"/>
              </w:rPr>
            </w:pPr>
            <w:r>
              <w:rPr>
                <w:rFonts w:ascii="Arial Narrow" w:hAnsi="Arial Narrow"/>
                <w:sz w:val="20"/>
                <w:szCs w:val="18"/>
                <w:lang w:val="en-GB" w:eastAsia="ja-JP"/>
              </w:rPr>
              <w:t>45 (8.5)</w:t>
            </w:r>
          </w:p>
        </w:tc>
        <w:tc>
          <w:tcPr>
            <w:tcW w:w="1347" w:type="dxa"/>
            <w:vAlign w:val="center"/>
          </w:tcPr>
          <w:p w14:paraId="0774A9AC" w14:textId="7808F7C1" w:rsidR="009E6811" w:rsidRPr="00540D03" w:rsidRDefault="00E56C75" w:rsidP="009E6811">
            <w:pPr>
              <w:keepNext/>
              <w:spacing w:before="40" w:after="40" w:line="240" w:lineRule="auto"/>
              <w:jc w:val="center"/>
              <w:rPr>
                <w:rFonts w:ascii="Arial Narrow" w:hAnsi="Arial Narrow"/>
                <w:sz w:val="20"/>
                <w:szCs w:val="18"/>
                <w:lang w:val="en-GB" w:eastAsia="ja-JP"/>
              </w:rPr>
            </w:pPr>
            <w:r>
              <w:rPr>
                <w:rFonts w:ascii="Arial Narrow" w:hAnsi="Arial Narrow"/>
                <w:sz w:val="20"/>
                <w:szCs w:val="18"/>
                <w:lang w:val="en-GB" w:eastAsia="ja-JP"/>
              </w:rPr>
              <w:t>28 (13.7)</w:t>
            </w:r>
          </w:p>
        </w:tc>
        <w:tc>
          <w:tcPr>
            <w:tcW w:w="1212" w:type="dxa"/>
            <w:vAlign w:val="center"/>
          </w:tcPr>
          <w:p w14:paraId="219DE94D" w14:textId="0D969B5A" w:rsidR="009E6811" w:rsidRPr="00540D03" w:rsidRDefault="00E56C75" w:rsidP="009E6811">
            <w:pPr>
              <w:keepNext/>
              <w:spacing w:before="40" w:after="40" w:line="240" w:lineRule="auto"/>
              <w:jc w:val="center"/>
              <w:rPr>
                <w:rFonts w:ascii="Arial Narrow" w:hAnsi="Arial Narrow"/>
                <w:sz w:val="20"/>
                <w:szCs w:val="18"/>
                <w:lang w:val="en-GB" w:eastAsia="ja-JP"/>
              </w:rPr>
            </w:pPr>
            <w:r>
              <w:rPr>
                <w:rFonts w:ascii="Arial Narrow" w:hAnsi="Arial Narrow"/>
                <w:sz w:val="20"/>
                <w:szCs w:val="18"/>
                <w:lang w:val="en-GB" w:eastAsia="ja-JP"/>
              </w:rPr>
              <w:t>73 (9.9)</w:t>
            </w:r>
          </w:p>
        </w:tc>
      </w:tr>
      <w:tr w:rsidR="009E6811" w:rsidRPr="00540D03" w14:paraId="5057F4AD" w14:textId="77777777" w:rsidTr="009E6811">
        <w:tc>
          <w:tcPr>
            <w:tcW w:w="5665" w:type="dxa"/>
          </w:tcPr>
          <w:p w14:paraId="70634395" w14:textId="31E61B6D" w:rsidR="009E6811" w:rsidRPr="009E6811" w:rsidRDefault="009E6811" w:rsidP="00540D03">
            <w:pPr>
              <w:keepNext/>
              <w:spacing w:before="40" w:after="40" w:line="240" w:lineRule="auto"/>
              <w:rPr>
                <w:rFonts w:ascii="Arial Narrow" w:hAnsi="Arial Narrow"/>
                <w:sz w:val="20"/>
                <w:szCs w:val="18"/>
                <w:lang w:val="en-GB" w:eastAsia="ja-JP"/>
              </w:rPr>
            </w:pPr>
            <w:r>
              <w:rPr>
                <w:rFonts w:ascii="Arial Narrow" w:hAnsi="Arial Narrow"/>
                <w:sz w:val="20"/>
                <w:szCs w:val="18"/>
                <w:lang w:val="en-GB" w:eastAsia="ja-JP"/>
              </w:rPr>
              <w:t>Testosterone 5α reductase inhibitors</w:t>
            </w:r>
          </w:p>
        </w:tc>
        <w:tc>
          <w:tcPr>
            <w:tcW w:w="1347" w:type="dxa"/>
            <w:vAlign w:val="center"/>
          </w:tcPr>
          <w:p w14:paraId="2B24990D" w14:textId="0CFD5255" w:rsidR="009E6811" w:rsidRPr="00540D03" w:rsidRDefault="009E6811" w:rsidP="009E6811">
            <w:pPr>
              <w:keepNext/>
              <w:spacing w:before="40" w:after="40" w:line="240" w:lineRule="auto"/>
              <w:jc w:val="center"/>
              <w:rPr>
                <w:rFonts w:ascii="Arial Narrow" w:hAnsi="Arial Narrow"/>
                <w:sz w:val="20"/>
                <w:szCs w:val="18"/>
                <w:lang w:val="en-GB" w:eastAsia="ja-JP"/>
              </w:rPr>
            </w:pPr>
            <w:r>
              <w:rPr>
                <w:rFonts w:ascii="Arial Narrow" w:hAnsi="Arial Narrow"/>
                <w:sz w:val="20"/>
                <w:szCs w:val="18"/>
                <w:lang w:val="en-GB" w:eastAsia="ja-JP"/>
              </w:rPr>
              <w:t>16 (3.0)</w:t>
            </w:r>
          </w:p>
        </w:tc>
        <w:tc>
          <w:tcPr>
            <w:tcW w:w="1347" w:type="dxa"/>
            <w:vAlign w:val="center"/>
          </w:tcPr>
          <w:p w14:paraId="36104D2F" w14:textId="46FCA281" w:rsidR="009E6811" w:rsidRPr="00540D03" w:rsidRDefault="00E56C75" w:rsidP="009E6811">
            <w:pPr>
              <w:keepNext/>
              <w:spacing w:before="40" w:after="40" w:line="240" w:lineRule="auto"/>
              <w:jc w:val="center"/>
              <w:rPr>
                <w:rFonts w:ascii="Arial Narrow" w:hAnsi="Arial Narrow"/>
                <w:sz w:val="20"/>
                <w:szCs w:val="18"/>
                <w:lang w:val="en-GB" w:eastAsia="ja-JP"/>
              </w:rPr>
            </w:pPr>
            <w:r>
              <w:rPr>
                <w:rFonts w:ascii="Arial Narrow" w:hAnsi="Arial Narrow"/>
                <w:sz w:val="20"/>
                <w:szCs w:val="18"/>
                <w:lang w:val="en-GB" w:eastAsia="ja-JP"/>
              </w:rPr>
              <w:t>11 (5.4)</w:t>
            </w:r>
          </w:p>
        </w:tc>
        <w:tc>
          <w:tcPr>
            <w:tcW w:w="1212" w:type="dxa"/>
            <w:vAlign w:val="center"/>
          </w:tcPr>
          <w:p w14:paraId="2A6DC62A" w14:textId="5F2A3318" w:rsidR="009E6811" w:rsidRPr="00540D03" w:rsidRDefault="00E56C75" w:rsidP="009E6811">
            <w:pPr>
              <w:keepNext/>
              <w:spacing w:before="40" w:after="40" w:line="240" w:lineRule="auto"/>
              <w:jc w:val="center"/>
              <w:rPr>
                <w:rFonts w:ascii="Arial Narrow" w:hAnsi="Arial Narrow"/>
                <w:sz w:val="20"/>
                <w:szCs w:val="18"/>
                <w:lang w:val="en-GB" w:eastAsia="ja-JP"/>
              </w:rPr>
            </w:pPr>
            <w:r>
              <w:rPr>
                <w:rFonts w:ascii="Arial Narrow" w:hAnsi="Arial Narrow"/>
                <w:sz w:val="20"/>
                <w:szCs w:val="18"/>
                <w:lang w:val="en-GB" w:eastAsia="ja-JP"/>
              </w:rPr>
              <w:t>27 (3.7)</w:t>
            </w:r>
          </w:p>
        </w:tc>
      </w:tr>
      <w:tr w:rsidR="009E6811" w:rsidRPr="00540D03" w14:paraId="79F9A0C1" w14:textId="77777777" w:rsidTr="009E6811">
        <w:tc>
          <w:tcPr>
            <w:tcW w:w="5665" w:type="dxa"/>
          </w:tcPr>
          <w:p w14:paraId="6EBBE322" w14:textId="5E9EFD82" w:rsidR="009E6811" w:rsidRPr="009E6811" w:rsidRDefault="009E6811" w:rsidP="00540D03">
            <w:pPr>
              <w:keepNext/>
              <w:spacing w:before="40" w:after="40" w:line="240" w:lineRule="auto"/>
              <w:rPr>
                <w:rFonts w:ascii="Arial Narrow" w:hAnsi="Arial Narrow"/>
                <w:sz w:val="20"/>
                <w:szCs w:val="18"/>
                <w:lang w:val="en-GB" w:eastAsia="ja-JP"/>
              </w:rPr>
            </w:pPr>
            <w:r>
              <w:rPr>
                <w:rFonts w:ascii="Arial Narrow" w:hAnsi="Arial Narrow"/>
                <w:sz w:val="20"/>
                <w:szCs w:val="18"/>
                <w:lang w:val="en-GB" w:eastAsia="ja-JP"/>
              </w:rPr>
              <w:t>Degarelix acetate</w:t>
            </w:r>
            <w:r>
              <w:rPr>
                <w:rFonts w:ascii="Arial Narrow" w:hAnsi="Arial Narrow"/>
                <w:sz w:val="20"/>
                <w:szCs w:val="18"/>
                <w:lang w:val="en-GB" w:eastAsia="ja-JP"/>
              </w:rPr>
              <w:br/>
              <w:t>Degarelix</w:t>
            </w:r>
          </w:p>
        </w:tc>
        <w:tc>
          <w:tcPr>
            <w:tcW w:w="1347" w:type="dxa"/>
            <w:vAlign w:val="center"/>
          </w:tcPr>
          <w:p w14:paraId="390576FA" w14:textId="709264F2" w:rsidR="009E6811" w:rsidRPr="00540D03" w:rsidRDefault="009E6811" w:rsidP="009E6811">
            <w:pPr>
              <w:keepNext/>
              <w:spacing w:before="40" w:after="40" w:line="240" w:lineRule="auto"/>
              <w:jc w:val="center"/>
              <w:rPr>
                <w:rFonts w:ascii="Arial Narrow" w:hAnsi="Arial Narrow"/>
                <w:sz w:val="20"/>
                <w:szCs w:val="18"/>
                <w:lang w:val="en-GB" w:eastAsia="ja-JP"/>
              </w:rPr>
            </w:pPr>
            <w:r>
              <w:rPr>
                <w:rFonts w:ascii="Arial Narrow" w:hAnsi="Arial Narrow"/>
                <w:sz w:val="20"/>
                <w:szCs w:val="18"/>
                <w:lang w:val="en-GB" w:eastAsia="ja-JP"/>
              </w:rPr>
              <w:t>12 (2.3)</w:t>
            </w:r>
            <w:r>
              <w:rPr>
                <w:rFonts w:ascii="Arial Narrow" w:hAnsi="Arial Narrow"/>
                <w:sz w:val="20"/>
                <w:szCs w:val="18"/>
                <w:lang w:val="en-GB" w:eastAsia="ja-JP"/>
              </w:rPr>
              <w:br/>
              <w:t>6 (1.1)</w:t>
            </w:r>
          </w:p>
        </w:tc>
        <w:tc>
          <w:tcPr>
            <w:tcW w:w="1347" w:type="dxa"/>
            <w:vAlign w:val="center"/>
          </w:tcPr>
          <w:p w14:paraId="21B236C1" w14:textId="58FE0D45" w:rsidR="009E6811" w:rsidRPr="00540D03" w:rsidRDefault="00E56C75" w:rsidP="009E6811">
            <w:pPr>
              <w:keepNext/>
              <w:spacing w:before="40" w:after="40" w:line="240" w:lineRule="auto"/>
              <w:jc w:val="center"/>
              <w:rPr>
                <w:rFonts w:ascii="Arial Narrow" w:hAnsi="Arial Narrow"/>
                <w:sz w:val="20"/>
                <w:szCs w:val="18"/>
                <w:lang w:val="en-GB" w:eastAsia="ja-JP"/>
              </w:rPr>
            </w:pPr>
            <w:r>
              <w:rPr>
                <w:rFonts w:ascii="Arial Narrow" w:hAnsi="Arial Narrow"/>
                <w:sz w:val="20"/>
                <w:szCs w:val="18"/>
                <w:lang w:val="en-GB" w:eastAsia="ja-JP"/>
              </w:rPr>
              <w:t>1 (0.5)</w:t>
            </w:r>
            <w:r>
              <w:rPr>
                <w:rFonts w:ascii="Arial Narrow" w:hAnsi="Arial Narrow"/>
                <w:sz w:val="20"/>
                <w:szCs w:val="18"/>
                <w:lang w:val="en-GB" w:eastAsia="ja-JP"/>
              </w:rPr>
              <w:br/>
              <w:t>5 (2.4)</w:t>
            </w:r>
          </w:p>
        </w:tc>
        <w:tc>
          <w:tcPr>
            <w:tcW w:w="1212" w:type="dxa"/>
            <w:vAlign w:val="center"/>
          </w:tcPr>
          <w:p w14:paraId="4CEB4D19" w14:textId="0C4E9F76" w:rsidR="009E6811" w:rsidRPr="00540D03" w:rsidRDefault="00E56C75" w:rsidP="009E6811">
            <w:pPr>
              <w:keepNext/>
              <w:spacing w:before="40" w:after="40" w:line="240" w:lineRule="auto"/>
              <w:jc w:val="center"/>
              <w:rPr>
                <w:rFonts w:ascii="Arial Narrow" w:hAnsi="Arial Narrow"/>
                <w:sz w:val="20"/>
                <w:szCs w:val="18"/>
                <w:lang w:val="en-GB" w:eastAsia="ja-JP"/>
              </w:rPr>
            </w:pPr>
            <w:r>
              <w:rPr>
                <w:rFonts w:ascii="Arial Narrow" w:hAnsi="Arial Narrow"/>
                <w:sz w:val="20"/>
                <w:szCs w:val="18"/>
                <w:lang w:val="en-GB" w:eastAsia="ja-JP"/>
              </w:rPr>
              <w:t>13 (1.8)</w:t>
            </w:r>
            <w:r>
              <w:rPr>
                <w:rFonts w:ascii="Arial Narrow" w:hAnsi="Arial Narrow"/>
                <w:sz w:val="20"/>
                <w:szCs w:val="18"/>
                <w:lang w:val="en-GB" w:eastAsia="ja-JP"/>
              </w:rPr>
              <w:br/>
              <w:t>11 (1.5)</w:t>
            </w:r>
          </w:p>
        </w:tc>
      </w:tr>
      <w:tr w:rsidR="009E6811" w:rsidRPr="00540D03" w14:paraId="64DA7B11" w14:textId="77777777" w:rsidTr="009E6811">
        <w:tc>
          <w:tcPr>
            <w:tcW w:w="5665" w:type="dxa"/>
          </w:tcPr>
          <w:p w14:paraId="185785DC" w14:textId="14704377" w:rsidR="009E6811" w:rsidRPr="009E6811" w:rsidRDefault="009E6811" w:rsidP="00540D03">
            <w:pPr>
              <w:keepNext/>
              <w:spacing w:before="40" w:after="40" w:line="240" w:lineRule="auto"/>
              <w:rPr>
                <w:rFonts w:ascii="Arial Narrow" w:hAnsi="Arial Narrow"/>
                <w:sz w:val="20"/>
                <w:szCs w:val="18"/>
                <w:lang w:val="en-GB" w:eastAsia="ja-JP"/>
              </w:rPr>
            </w:pPr>
            <w:r>
              <w:rPr>
                <w:rFonts w:ascii="Arial Narrow" w:hAnsi="Arial Narrow"/>
                <w:sz w:val="20"/>
                <w:szCs w:val="18"/>
                <w:lang w:val="en-GB" w:eastAsia="ja-JP"/>
              </w:rPr>
              <w:t>Oestrogens</w:t>
            </w:r>
          </w:p>
        </w:tc>
        <w:tc>
          <w:tcPr>
            <w:tcW w:w="1347" w:type="dxa"/>
            <w:vAlign w:val="center"/>
          </w:tcPr>
          <w:p w14:paraId="70B6F713" w14:textId="77F84A2A" w:rsidR="009E6811" w:rsidRPr="00540D03" w:rsidRDefault="009E6811" w:rsidP="009E6811">
            <w:pPr>
              <w:keepNext/>
              <w:spacing w:before="40" w:after="40" w:line="240" w:lineRule="auto"/>
              <w:jc w:val="center"/>
              <w:rPr>
                <w:rFonts w:ascii="Arial Narrow" w:hAnsi="Arial Narrow"/>
                <w:sz w:val="20"/>
                <w:szCs w:val="18"/>
                <w:lang w:val="en-GB" w:eastAsia="ja-JP"/>
              </w:rPr>
            </w:pPr>
            <w:r>
              <w:rPr>
                <w:rFonts w:ascii="Arial Narrow" w:hAnsi="Arial Narrow"/>
                <w:sz w:val="20"/>
                <w:szCs w:val="18"/>
                <w:lang w:val="en-GB" w:eastAsia="ja-JP"/>
              </w:rPr>
              <w:t>12 (2.3)</w:t>
            </w:r>
          </w:p>
        </w:tc>
        <w:tc>
          <w:tcPr>
            <w:tcW w:w="1347" w:type="dxa"/>
            <w:vAlign w:val="center"/>
          </w:tcPr>
          <w:p w14:paraId="36318FE9" w14:textId="4C18F2BF" w:rsidR="009E6811" w:rsidRPr="00540D03" w:rsidRDefault="00E56C75" w:rsidP="009E6811">
            <w:pPr>
              <w:keepNext/>
              <w:spacing w:before="40" w:after="40" w:line="240" w:lineRule="auto"/>
              <w:jc w:val="center"/>
              <w:rPr>
                <w:rFonts w:ascii="Arial Narrow" w:hAnsi="Arial Narrow"/>
                <w:sz w:val="20"/>
                <w:szCs w:val="18"/>
                <w:lang w:val="en-GB" w:eastAsia="ja-JP"/>
              </w:rPr>
            </w:pPr>
            <w:r>
              <w:rPr>
                <w:rFonts w:ascii="Arial Narrow" w:hAnsi="Arial Narrow"/>
                <w:sz w:val="20"/>
                <w:szCs w:val="18"/>
                <w:lang w:val="en-GB" w:eastAsia="ja-JP"/>
              </w:rPr>
              <w:t>1 (0.5)</w:t>
            </w:r>
          </w:p>
        </w:tc>
        <w:tc>
          <w:tcPr>
            <w:tcW w:w="1212" w:type="dxa"/>
            <w:vAlign w:val="center"/>
          </w:tcPr>
          <w:p w14:paraId="266AA8CD" w14:textId="630DAC7B" w:rsidR="009E6811" w:rsidRPr="00540D03" w:rsidRDefault="00E56C75" w:rsidP="009E6811">
            <w:pPr>
              <w:keepNext/>
              <w:spacing w:before="40" w:after="40" w:line="240" w:lineRule="auto"/>
              <w:jc w:val="center"/>
              <w:rPr>
                <w:rFonts w:ascii="Arial Narrow" w:hAnsi="Arial Narrow"/>
                <w:sz w:val="20"/>
                <w:szCs w:val="18"/>
                <w:lang w:val="en-GB" w:eastAsia="ja-JP"/>
              </w:rPr>
            </w:pPr>
            <w:r>
              <w:rPr>
                <w:rFonts w:ascii="Arial Narrow" w:hAnsi="Arial Narrow"/>
                <w:sz w:val="20"/>
                <w:szCs w:val="18"/>
                <w:lang w:val="en-GB" w:eastAsia="ja-JP"/>
              </w:rPr>
              <w:t>13 (1.8)</w:t>
            </w:r>
          </w:p>
        </w:tc>
      </w:tr>
    </w:tbl>
    <w:p w14:paraId="68B8314C" w14:textId="01DE7398" w:rsidR="00540D03" w:rsidRDefault="009E6811" w:rsidP="009E6811">
      <w:pPr>
        <w:keepNext/>
        <w:spacing w:after="0" w:line="240" w:lineRule="auto"/>
        <w:rPr>
          <w:rFonts w:ascii="Arial Narrow" w:hAnsi="Arial Narrow"/>
          <w:sz w:val="18"/>
          <w:szCs w:val="18"/>
          <w:lang w:val="en-GB" w:eastAsia="ja-JP"/>
        </w:rPr>
      </w:pPr>
      <w:r>
        <w:rPr>
          <w:rFonts w:ascii="Arial Narrow" w:hAnsi="Arial Narrow"/>
          <w:sz w:val="18"/>
          <w:szCs w:val="18"/>
          <w:lang w:val="en-GB" w:eastAsia="ja-JP"/>
        </w:rPr>
        <w:t>Source: Table S9, p24 of the Supplementary Appendix to Sartor (2021)</w:t>
      </w:r>
    </w:p>
    <w:p w14:paraId="4E0536D4" w14:textId="6946CD02" w:rsidR="009E6811" w:rsidRDefault="009E6811" w:rsidP="009E6811">
      <w:pPr>
        <w:keepNext/>
        <w:tabs>
          <w:tab w:val="left" w:pos="284"/>
        </w:tabs>
        <w:spacing w:after="0" w:line="240" w:lineRule="auto"/>
        <w:rPr>
          <w:rFonts w:ascii="Arial Narrow" w:hAnsi="Arial Narrow"/>
          <w:sz w:val="18"/>
          <w:szCs w:val="18"/>
          <w:lang w:val="en-GB" w:eastAsia="ja-JP"/>
        </w:rPr>
      </w:pPr>
      <w:r>
        <w:rPr>
          <w:rFonts w:ascii="Arial Narrow" w:hAnsi="Arial Narrow"/>
          <w:sz w:val="18"/>
          <w:szCs w:val="18"/>
          <w:vertAlign w:val="superscript"/>
          <w:lang w:val="en-GB" w:eastAsia="ja-JP"/>
        </w:rPr>
        <w:t>a+</w:t>
      </w:r>
      <w:r>
        <w:rPr>
          <w:rFonts w:ascii="Arial Narrow" w:hAnsi="Arial Narrow"/>
          <w:sz w:val="18"/>
          <w:szCs w:val="18"/>
          <w:vertAlign w:val="superscript"/>
          <w:lang w:val="en-GB" w:eastAsia="ja-JP"/>
        </w:rPr>
        <w:tab/>
      </w:r>
      <w:r w:rsidRPr="009E6811">
        <w:rPr>
          <w:rFonts w:ascii="Arial Narrow" w:hAnsi="Arial Narrow"/>
          <w:sz w:val="18"/>
          <w:szCs w:val="18"/>
          <w:lang w:val="en-GB" w:eastAsia="ja-JP"/>
        </w:rPr>
        <w:t>Standard-of-care supportive measures not shown, e.g. pain control, fluid hydration, etc.</w:t>
      </w:r>
    </w:p>
    <w:p w14:paraId="5C33B345" w14:textId="5D0E1544" w:rsidR="009E6811" w:rsidRDefault="009E6811" w:rsidP="009E6811">
      <w:pPr>
        <w:keepNext/>
        <w:tabs>
          <w:tab w:val="left" w:pos="284"/>
        </w:tabs>
        <w:ind w:left="284" w:hanging="284"/>
        <w:rPr>
          <w:rFonts w:ascii="Arial Narrow" w:hAnsi="Arial Narrow"/>
          <w:sz w:val="18"/>
          <w:szCs w:val="18"/>
          <w:lang w:val="en-GB" w:eastAsia="ja-JP"/>
        </w:rPr>
      </w:pPr>
      <w:r>
        <w:rPr>
          <w:rFonts w:ascii="Arial Narrow" w:hAnsi="Arial Narrow"/>
          <w:sz w:val="18"/>
          <w:szCs w:val="18"/>
          <w:vertAlign w:val="superscript"/>
          <w:lang w:val="en-GB" w:eastAsia="ja-JP"/>
        </w:rPr>
        <w:t>b</w:t>
      </w:r>
      <w:r>
        <w:rPr>
          <w:rFonts w:ascii="Arial Narrow" w:hAnsi="Arial Narrow"/>
          <w:sz w:val="18"/>
          <w:szCs w:val="18"/>
          <w:lang w:val="en-GB" w:eastAsia="ja-JP"/>
        </w:rPr>
        <w:tab/>
      </w:r>
      <w:r w:rsidRPr="009E6811">
        <w:rPr>
          <w:rFonts w:ascii="Arial Narrow" w:hAnsi="Arial Narrow"/>
          <w:sz w:val="18"/>
          <w:szCs w:val="18"/>
          <w:lang w:val="en-GB" w:eastAsia="ja-JP"/>
        </w:rPr>
        <w:t xml:space="preserve">Overall; ranked by overall frequency; coded using </w:t>
      </w:r>
      <w:r w:rsidR="00A61410" w:rsidRPr="009E6811">
        <w:rPr>
          <w:rFonts w:ascii="Arial Narrow" w:hAnsi="Arial Narrow"/>
          <w:sz w:val="18"/>
          <w:szCs w:val="18"/>
          <w:lang w:val="en-GB" w:eastAsia="ja-JP"/>
        </w:rPr>
        <w:t>WHO Drug</w:t>
      </w:r>
      <w:r w:rsidRPr="009E6811">
        <w:rPr>
          <w:rFonts w:ascii="Arial Narrow" w:hAnsi="Arial Narrow"/>
          <w:sz w:val="18"/>
          <w:szCs w:val="18"/>
          <w:lang w:val="en-GB" w:eastAsia="ja-JP"/>
        </w:rPr>
        <w:t xml:space="preserve"> Global version March 2020 B3, except for</w:t>
      </w:r>
      <w:r>
        <w:rPr>
          <w:rFonts w:ascii="Arial Narrow" w:hAnsi="Arial Narrow"/>
          <w:sz w:val="18"/>
          <w:szCs w:val="18"/>
          <w:lang w:val="en-GB" w:eastAsia="ja-JP"/>
        </w:rPr>
        <w:t xml:space="preserve"> </w:t>
      </w:r>
      <w:r w:rsidRPr="009E6811">
        <w:rPr>
          <w:rFonts w:ascii="Arial Narrow" w:hAnsi="Arial Narrow"/>
          <w:sz w:val="18"/>
          <w:szCs w:val="18"/>
          <w:lang w:val="en-GB" w:eastAsia="ja-JP"/>
        </w:rPr>
        <w:t>androgen receptor pathway inhibitors, which includes the drugs shown from the codes ‘anti-androgens’ and ‘other</w:t>
      </w:r>
      <w:r>
        <w:rPr>
          <w:rFonts w:ascii="Arial Narrow" w:hAnsi="Arial Narrow"/>
          <w:sz w:val="18"/>
          <w:szCs w:val="18"/>
          <w:lang w:val="en-GB" w:eastAsia="ja-JP"/>
        </w:rPr>
        <w:t xml:space="preserve"> </w:t>
      </w:r>
      <w:r w:rsidRPr="009E6811">
        <w:rPr>
          <w:rFonts w:ascii="Arial Narrow" w:hAnsi="Arial Narrow"/>
          <w:sz w:val="18"/>
          <w:szCs w:val="18"/>
          <w:lang w:val="en-GB" w:eastAsia="ja-JP"/>
        </w:rPr>
        <w:t>hormone antagonists and related agents’.</w:t>
      </w:r>
    </w:p>
    <w:p w14:paraId="3402FF1F" w14:textId="3D666998" w:rsidR="005536B3" w:rsidRPr="00066772" w:rsidRDefault="000D2BCB" w:rsidP="00ED4AD4">
      <w:pPr>
        <w:rPr>
          <w:lang w:val="en-GB" w:eastAsia="ja-JP"/>
        </w:rPr>
      </w:pPr>
      <w:r w:rsidRPr="00066772">
        <w:rPr>
          <w:lang w:val="en-GB" w:eastAsia="ja-JP"/>
        </w:rPr>
        <w:t xml:space="preserve">Olaparib </w:t>
      </w:r>
      <w:r w:rsidR="00D90038">
        <w:rPr>
          <w:lang w:val="en-GB" w:eastAsia="ja-JP"/>
        </w:rPr>
        <w:t>was suggested to be a relevant</w:t>
      </w:r>
      <w:r w:rsidRPr="00066772">
        <w:rPr>
          <w:lang w:val="en-GB" w:eastAsia="ja-JP"/>
        </w:rPr>
        <w:t xml:space="preserve"> near market comparator among the sub-group of patients with mCRPC who have </w:t>
      </w:r>
      <w:r w:rsidRPr="009D52C8">
        <w:rPr>
          <w:lang w:val="en-GB" w:eastAsia="ja-JP"/>
        </w:rPr>
        <w:t xml:space="preserve">BRCA1/BRCA2 </w:t>
      </w:r>
      <w:r w:rsidRPr="00066772">
        <w:rPr>
          <w:lang w:val="en-GB" w:eastAsia="ja-JP"/>
        </w:rPr>
        <w:t xml:space="preserve">pathogenic gene variants based on recent MSAC and PBAC considerations (MSAC 1618 </w:t>
      </w:r>
      <w:r w:rsidR="00D07B69" w:rsidRPr="00066772">
        <w:rPr>
          <w:lang w:val="en-GB" w:eastAsia="ja-JP"/>
        </w:rPr>
        <w:t xml:space="preserve">PSD, April 2021 MSAC meeting; </w:t>
      </w:r>
      <w:r w:rsidR="005E66BD" w:rsidRPr="00066772">
        <w:rPr>
          <w:lang w:val="en-GB" w:eastAsia="ja-JP"/>
        </w:rPr>
        <w:t>Olaparib</w:t>
      </w:r>
      <w:r w:rsidR="00D07B69" w:rsidRPr="00066772">
        <w:rPr>
          <w:lang w:val="en-GB" w:eastAsia="ja-JP"/>
        </w:rPr>
        <w:t xml:space="preserve"> PSD, March 2021 PBAC meeting).</w:t>
      </w:r>
      <w:r w:rsidR="009D52C8">
        <w:rPr>
          <w:lang w:val="en-GB" w:eastAsia="ja-JP"/>
        </w:rPr>
        <w:t xml:space="preserve"> </w:t>
      </w:r>
      <w:r w:rsidR="009D52C8">
        <w:rPr>
          <w:rFonts w:asciiTheme="minorHAnsi" w:hAnsiTheme="minorHAnsi" w:cstheme="minorHAnsi"/>
          <w:i/>
          <w:iCs/>
        </w:rPr>
        <w:t>PASC agreed with the applicant that olaparib was not a relevant comparator.</w:t>
      </w:r>
    </w:p>
    <w:p w14:paraId="15863BAA" w14:textId="59A09E85" w:rsidR="00677AE3" w:rsidRPr="008F1532" w:rsidRDefault="00677AE3" w:rsidP="00713728">
      <w:pPr>
        <w:pStyle w:val="Heading3"/>
      </w:pPr>
      <w:r w:rsidRPr="00AF549C">
        <w:t>Reference standard (for investigative technologies only)</w:t>
      </w:r>
    </w:p>
    <w:p w14:paraId="2ADD3D92" w14:textId="50969D64" w:rsidR="006800C4" w:rsidRPr="00066772" w:rsidRDefault="008C5CAE" w:rsidP="00EB5609">
      <w:pPr>
        <w:spacing w:before="200"/>
      </w:pPr>
      <w:r w:rsidRPr="00066772">
        <w:t xml:space="preserve">No reference standards </w:t>
      </w:r>
      <w:r w:rsidR="00EB5609" w:rsidRPr="00066772">
        <w:t xml:space="preserve">were nominated </w:t>
      </w:r>
      <w:r w:rsidRPr="00066772">
        <w:t>for PSMA PET/CT or FDG PET/CT, nor are any apparent.</w:t>
      </w:r>
    </w:p>
    <w:p w14:paraId="173304F6" w14:textId="13192E63" w:rsidR="00DB1725" w:rsidRPr="00ED4AD4" w:rsidRDefault="00DB1725" w:rsidP="00ED4AD4">
      <w:pPr>
        <w:rPr>
          <w:i/>
          <w:iCs/>
        </w:rPr>
      </w:pPr>
      <w:r w:rsidRPr="007B352D">
        <w:rPr>
          <w:rFonts w:asciiTheme="minorHAnsi" w:hAnsiTheme="minorHAnsi" w:cstheme="minorHAnsi"/>
          <w:i/>
          <w:iCs/>
        </w:rPr>
        <w:t>PASC agreed that</w:t>
      </w:r>
      <w:r>
        <w:rPr>
          <w:rFonts w:asciiTheme="minorHAnsi" w:hAnsiTheme="minorHAnsi" w:cstheme="minorHAnsi"/>
          <w:i/>
          <w:iCs/>
        </w:rPr>
        <w:t>, in</w:t>
      </w:r>
      <w:r w:rsidRPr="007B352D">
        <w:rPr>
          <w:rFonts w:asciiTheme="minorHAnsi" w:hAnsiTheme="minorHAnsi" w:cstheme="minorHAnsi"/>
          <w:i/>
          <w:iCs/>
        </w:rPr>
        <w:t xml:space="preserve"> the </w:t>
      </w:r>
      <w:r>
        <w:rPr>
          <w:rFonts w:asciiTheme="minorHAnsi" w:hAnsiTheme="minorHAnsi" w:cstheme="minorHAnsi"/>
          <w:i/>
          <w:iCs/>
        </w:rPr>
        <w:t xml:space="preserve">absence of a </w:t>
      </w:r>
      <w:r w:rsidRPr="007B352D">
        <w:rPr>
          <w:rFonts w:asciiTheme="minorHAnsi" w:hAnsiTheme="minorHAnsi" w:cstheme="minorHAnsi"/>
          <w:i/>
          <w:iCs/>
        </w:rPr>
        <w:t>reference standard</w:t>
      </w:r>
      <w:r>
        <w:rPr>
          <w:rFonts w:asciiTheme="minorHAnsi" w:hAnsiTheme="minorHAnsi" w:cstheme="minorHAnsi"/>
          <w:i/>
          <w:iCs/>
        </w:rPr>
        <w:t>, the analytical comparison</w:t>
      </w:r>
      <w:r w:rsidRPr="007B352D">
        <w:rPr>
          <w:rFonts w:asciiTheme="minorHAnsi" w:hAnsiTheme="minorHAnsi" w:cstheme="minorHAnsi"/>
          <w:i/>
          <w:iCs/>
        </w:rPr>
        <w:t xml:space="preserve"> should be “concordance between the test and a clinical utility standard should be presented as overall, </w:t>
      </w:r>
      <w:r w:rsidR="00E41A95" w:rsidRPr="007B352D">
        <w:rPr>
          <w:rFonts w:asciiTheme="minorHAnsi" w:hAnsiTheme="minorHAnsi" w:cstheme="minorHAnsi"/>
          <w:i/>
          <w:iCs/>
        </w:rPr>
        <w:t>positive,</w:t>
      </w:r>
      <w:r w:rsidRPr="007B352D">
        <w:rPr>
          <w:rFonts w:asciiTheme="minorHAnsi" w:hAnsiTheme="minorHAnsi" w:cstheme="minorHAnsi"/>
          <w:i/>
          <w:iCs/>
        </w:rPr>
        <w:t xml:space="preserve"> and negative percent agreement and/or as a Cohen’s kappa coefficient measure of agreement” (as per the MSAC Guidelines).</w:t>
      </w:r>
    </w:p>
    <w:p w14:paraId="3BC68763" w14:textId="35933A73" w:rsidR="00CE1B13" w:rsidRPr="008F1532" w:rsidRDefault="00CE1B13" w:rsidP="00713728">
      <w:pPr>
        <w:pStyle w:val="Heading3"/>
      </w:pPr>
      <w:r w:rsidRPr="006800C4">
        <w:t>Clinical utility standard (for codependent investigative technologies only)</w:t>
      </w:r>
    </w:p>
    <w:p w14:paraId="2E4AAB73" w14:textId="1916D842" w:rsidR="00C038B8" w:rsidRDefault="00C038B8" w:rsidP="00EB5609">
      <w:pPr>
        <w:pStyle w:val="Heading4"/>
        <w:spacing w:before="200" w:after="200"/>
      </w:pPr>
      <w:r>
        <w:t>PSMA PET/CT</w:t>
      </w:r>
    </w:p>
    <w:p w14:paraId="019CA6B6" w14:textId="637A0DBC" w:rsidR="00C038B8" w:rsidRPr="00066772" w:rsidRDefault="006800C4" w:rsidP="00825C31">
      <w:r w:rsidRPr="00066772">
        <w:t xml:space="preserve">The clinical utility standard for PSMA PET/CT in both the TheraP and VISION trials </w:t>
      </w:r>
      <w:r w:rsidR="00D161DE" w:rsidRPr="00066772">
        <w:t xml:space="preserve">was </w:t>
      </w:r>
      <w:r w:rsidRPr="00066772">
        <w:rPr>
          <w:vertAlign w:val="superscript"/>
        </w:rPr>
        <w:t>68</w:t>
      </w:r>
      <w:r w:rsidRPr="00066772">
        <w:t>Ga-PSMA-11 PET/CT imaging</w:t>
      </w:r>
      <w:r w:rsidR="00C038B8" w:rsidRPr="00066772">
        <w:t>, with TheraP (Hofman 2021) also requiring disease with a SUV</w:t>
      </w:r>
      <w:r w:rsidR="00C038B8" w:rsidRPr="00066772">
        <w:rPr>
          <w:vertAlign w:val="subscript"/>
        </w:rPr>
        <w:t>max</w:t>
      </w:r>
      <w:r w:rsidR="00C038B8" w:rsidRPr="00066772">
        <w:t xml:space="preserve"> of </w:t>
      </w:r>
      <w:r w:rsidR="00C038B8" w:rsidRPr="00066772">
        <w:rPr>
          <w:rFonts w:cs="Calibri"/>
        </w:rPr>
        <w:t>≥</w:t>
      </w:r>
      <w:r w:rsidR="00C038B8" w:rsidRPr="00066772">
        <w:t>20 at a site of disease and &gt;10 at all other measurable sites of metastatic disease</w:t>
      </w:r>
      <w:r w:rsidRPr="00066772">
        <w:t>.</w:t>
      </w:r>
    </w:p>
    <w:p w14:paraId="2BAB54AD" w14:textId="60C14949" w:rsidR="006800C4" w:rsidRDefault="00C038B8" w:rsidP="00825C31">
      <w:r w:rsidRPr="00066772">
        <w:t>T</w:t>
      </w:r>
      <w:r w:rsidR="00D161DE" w:rsidRPr="00066772">
        <w:t xml:space="preserve">he requested MBS item descriptor </w:t>
      </w:r>
      <w:r w:rsidR="00C46A13" w:rsidRPr="00066772">
        <w:t xml:space="preserve">for PSMA PET/CT </w:t>
      </w:r>
      <w:r w:rsidR="00D161DE" w:rsidRPr="00066772">
        <w:t xml:space="preserve">is radionuclide </w:t>
      </w:r>
      <w:r w:rsidR="00C46A13" w:rsidRPr="00066772">
        <w:t>agnostic</w:t>
      </w:r>
      <w:r w:rsidRPr="00066772">
        <w:t xml:space="preserve"> and eligibility for FDG PET/CT requires a SUV</w:t>
      </w:r>
      <w:r w:rsidRPr="00066772">
        <w:rPr>
          <w:vertAlign w:val="subscript"/>
        </w:rPr>
        <w:t>max</w:t>
      </w:r>
      <w:r w:rsidRPr="00066772">
        <w:t xml:space="preserve"> of &gt;15 at a single site of disease and SUV</w:t>
      </w:r>
      <w:r w:rsidRPr="00066772">
        <w:rPr>
          <w:vertAlign w:val="subscript"/>
        </w:rPr>
        <w:t>max</w:t>
      </w:r>
      <w:r w:rsidRPr="00066772">
        <w:t xml:space="preserve"> &gt;10 at all sites of measurable disease. T</w:t>
      </w:r>
      <w:r w:rsidR="00C46A13" w:rsidRPr="00066772">
        <w:t xml:space="preserve">he MSAC 1632 PSD (July 2021) states that </w:t>
      </w:r>
      <w:r w:rsidR="00C46A13" w:rsidRPr="00066772">
        <w:rPr>
          <w:vertAlign w:val="superscript"/>
        </w:rPr>
        <w:t>68</w:t>
      </w:r>
      <w:r w:rsidR="00C46A13" w:rsidRPr="00066772">
        <w:t>Ga-PSMA-11 is the most widely used radiopharmaceutical tracer in clinical practice in Australia. Thus, the proposed testing for PSMA-positive mCRPC is likely to align with the clinical utility standard</w:t>
      </w:r>
      <w:r w:rsidR="006D7025" w:rsidRPr="00066772">
        <w:t>, although the</w:t>
      </w:r>
      <w:r w:rsidR="00782767" w:rsidRPr="00066772">
        <w:t xml:space="preserve"> possible</w:t>
      </w:r>
      <w:r w:rsidR="006D7025" w:rsidRPr="00066772">
        <w:t xml:space="preserve"> implication</w:t>
      </w:r>
      <w:r w:rsidR="00782767" w:rsidRPr="00066772">
        <w:t>s</w:t>
      </w:r>
      <w:r w:rsidR="006D7025" w:rsidRPr="00066772">
        <w:t xml:space="preserve"> of the different requirements for SUV</w:t>
      </w:r>
      <w:r w:rsidR="006D7025" w:rsidRPr="00066772">
        <w:rPr>
          <w:vertAlign w:val="subscript"/>
        </w:rPr>
        <w:t>max</w:t>
      </w:r>
      <w:r w:rsidR="006D7025" w:rsidRPr="00066772">
        <w:t xml:space="preserve"> should be addressed</w:t>
      </w:r>
      <w:r w:rsidR="00C46A13" w:rsidRPr="00066772">
        <w:t>.</w:t>
      </w:r>
    </w:p>
    <w:p w14:paraId="7225537A" w14:textId="1790E8F0" w:rsidR="00DB1725" w:rsidRPr="000F1405" w:rsidRDefault="00DB1725" w:rsidP="00825C31">
      <w:pPr>
        <w:rPr>
          <w:i/>
          <w:iCs/>
        </w:rPr>
      </w:pPr>
      <w:r w:rsidRPr="002651DC">
        <w:rPr>
          <w:rFonts w:asciiTheme="minorHAnsi" w:hAnsiTheme="minorHAnsi" w:cstheme="minorHAnsi"/>
          <w:i/>
          <w:iCs/>
        </w:rPr>
        <w:t>PASC considered that the clinical utility standard for PSMA PET/CT was unclear</w:t>
      </w:r>
      <w:r>
        <w:rPr>
          <w:rFonts w:asciiTheme="minorHAnsi" w:hAnsiTheme="minorHAnsi" w:cstheme="minorHAnsi"/>
          <w:i/>
          <w:iCs/>
        </w:rPr>
        <w:t xml:space="preserve"> based on different PSMA criteria being applied in the TheraP and VISION trials</w:t>
      </w:r>
      <w:r w:rsidRPr="002651DC">
        <w:rPr>
          <w:rFonts w:asciiTheme="minorHAnsi" w:hAnsiTheme="minorHAnsi" w:cstheme="minorHAnsi"/>
          <w:i/>
          <w:iCs/>
        </w:rPr>
        <w:t xml:space="preserve">. PASC noted that although MSAC accepted that all available diagnostic PSMA agents may be </w:t>
      </w:r>
      <w:r>
        <w:rPr>
          <w:rFonts w:asciiTheme="minorHAnsi" w:hAnsiTheme="minorHAnsi" w:cstheme="minorHAnsi"/>
          <w:i/>
          <w:iCs/>
        </w:rPr>
        <w:t>equivalent</w:t>
      </w:r>
      <w:r w:rsidRPr="002651DC">
        <w:rPr>
          <w:rFonts w:asciiTheme="minorHAnsi" w:hAnsiTheme="minorHAnsi" w:cstheme="minorHAnsi"/>
          <w:i/>
          <w:iCs/>
        </w:rPr>
        <w:t xml:space="preserve"> (MSAC 1632 PSD), it is not established that all will give the same lesional SUV</w:t>
      </w:r>
      <w:r w:rsidRPr="002651DC">
        <w:rPr>
          <w:rFonts w:asciiTheme="minorHAnsi" w:hAnsiTheme="minorHAnsi" w:cstheme="minorHAnsi"/>
          <w:i/>
          <w:iCs/>
          <w:vertAlign w:val="subscript"/>
        </w:rPr>
        <w:t>max</w:t>
      </w:r>
      <w:r w:rsidRPr="002651DC">
        <w:rPr>
          <w:rFonts w:asciiTheme="minorHAnsi" w:hAnsiTheme="minorHAnsi" w:cstheme="minorHAnsi"/>
          <w:i/>
          <w:iCs/>
        </w:rPr>
        <w:t xml:space="preserve"> values as required in the PICO</w:t>
      </w:r>
      <w:r>
        <w:rPr>
          <w:rFonts w:asciiTheme="minorHAnsi" w:hAnsiTheme="minorHAnsi" w:cstheme="minorHAnsi"/>
          <w:i/>
          <w:iCs/>
        </w:rPr>
        <w:t xml:space="preserve">. PASC also noted that SUV can vary dependent on the camera and software used. The assessment report for this application will need to provide analytical concordance data across </w:t>
      </w:r>
      <w:r w:rsidR="00B43FA6">
        <w:rPr>
          <w:rFonts w:asciiTheme="minorHAnsi" w:hAnsiTheme="minorHAnsi" w:cstheme="minorHAnsi"/>
          <w:i/>
          <w:iCs/>
        </w:rPr>
        <w:t xml:space="preserve">diagnostic </w:t>
      </w:r>
      <w:r>
        <w:rPr>
          <w:rFonts w:asciiTheme="minorHAnsi" w:hAnsiTheme="minorHAnsi" w:cstheme="minorHAnsi"/>
          <w:i/>
          <w:iCs/>
        </w:rPr>
        <w:t xml:space="preserve">PSMA </w:t>
      </w:r>
      <w:r w:rsidR="00B43FA6">
        <w:rPr>
          <w:rFonts w:asciiTheme="minorHAnsi" w:hAnsiTheme="minorHAnsi" w:cstheme="minorHAnsi"/>
          <w:i/>
          <w:iCs/>
        </w:rPr>
        <w:t xml:space="preserve">ligand </w:t>
      </w:r>
      <w:r>
        <w:rPr>
          <w:rFonts w:asciiTheme="minorHAnsi" w:hAnsiTheme="minorHAnsi" w:cstheme="minorHAnsi"/>
          <w:i/>
          <w:iCs/>
        </w:rPr>
        <w:t>options available in Australia against the different PSMA criteria as proposed in the item descriptor and as defined in the trials.</w:t>
      </w:r>
    </w:p>
    <w:p w14:paraId="7F1697AF" w14:textId="142333B7" w:rsidR="00C038B8" w:rsidRPr="00C038B8" w:rsidRDefault="00C038B8" w:rsidP="00C038B8">
      <w:pPr>
        <w:pStyle w:val="Heading4"/>
        <w:spacing w:after="200"/>
      </w:pPr>
      <w:r w:rsidRPr="00C038B8">
        <w:t>FDG PET/CT</w:t>
      </w:r>
    </w:p>
    <w:p w14:paraId="61A2D68E" w14:textId="524CB2F4" w:rsidR="00C72B20" w:rsidRPr="00066772" w:rsidRDefault="00C46A13" w:rsidP="00825C31">
      <w:r w:rsidRPr="00066772">
        <w:t xml:space="preserve">The clinical utility standard for </w:t>
      </w:r>
      <w:r w:rsidR="00C038B8" w:rsidRPr="00066772">
        <w:t xml:space="preserve">FDG PET/CT in the TheraP trial was 2-flourine-18 [¹⁸F] fluoro-2-deoxy-D-gluycose (FDG) PET/CT. This is consistent with the requested MBS item descriptor for FDG PET/CT, although </w:t>
      </w:r>
      <w:r w:rsidR="00C72B20" w:rsidRPr="00066772">
        <w:t>t</w:t>
      </w:r>
      <w:r w:rsidR="00C038B8" w:rsidRPr="00066772">
        <w:t xml:space="preserve">he item descriptor includes a </w:t>
      </w:r>
      <w:r w:rsidR="00C72B20" w:rsidRPr="00066772">
        <w:t>time limit (to be conducted within 60 days of the PSMA PET/CT), which was not specified in the TheraP trial publication (Hofman 2021). Should this differ, an evaluation of the implications in differences in timing would need to be assessed.</w:t>
      </w:r>
    </w:p>
    <w:p w14:paraId="6727AE1D" w14:textId="6F6ECD06" w:rsidR="003D4ED4" w:rsidRDefault="00C72B20" w:rsidP="00F12861">
      <w:r w:rsidRPr="00066772">
        <w:t xml:space="preserve">The VISION trial (Sartor 2021) did not include FDG PET/CT, which was noted by the authors to be a possible advantage as patients were eligible for inclusion in the trial based on only one PET/CT scan. The implications of the lack of FDG PET/CT in this trial and its subsequent impact on the results would need to </w:t>
      </w:r>
      <w:r w:rsidR="00791CF0">
        <w:t xml:space="preserve">be </w:t>
      </w:r>
      <w:r w:rsidR="005E66BD" w:rsidRPr="00066772">
        <w:t>address</w:t>
      </w:r>
      <w:r w:rsidR="00D14D3D" w:rsidRPr="00066772">
        <w:t>ed, including</w:t>
      </w:r>
      <w:r w:rsidRPr="00066772">
        <w:t xml:space="preserve"> assess</w:t>
      </w:r>
      <w:r w:rsidR="00D14D3D" w:rsidRPr="00066772">
        <w:t>ing</w:t>
      </w:r>
      <w:r w:rsidRPr="00066772">
        <w:t xml:space="preserve"> the applicability of the </w:t>
      </w:r>
      <w:r w:rsidR="00782767" w:rsidRPr="00066772">
        <w:t xml:space="preserve">VISION </w:t>
      </w:r>
      <w:r w:rsidRPr="00066772">
        <w:t>trial results to the</w:t>
      </w:r>
      <w:r w:rsidR="008C254C" w:rsidRPr="00066772">
        <w:t xml:space="preserve"> intended</w:t>
      </w:r>
      <w:r w:rsidRPr="00066772">
        <w:t xml:space="preserve"> Australian population.</w:t>
      </w:r>
    </w:p>
    <w:p w14:paraId="29C1EA87" w14:textId="3EC8404C" w:rsidR="007A66C8" w:rsidRDefault="007A66C8" w:rsidP="00713728">
      <w:pPr>
        <w:pStyle w:val="Heading3"/>
      </w:pPr>
      <w:r w:rsidRPr="008F1532">
        <w:t>Outcomes</w:t>
      </w:r>
    </w:p>
    <w:p w14:paraId="1015079A" w14:textId="7B40395C" w:rsidR="00B068C0" w:rsidRDefault="00B068C0" w:rsidP="003E19A1">
      <w:pPr>
        <w:pStyle w:val="Heading4"/>
        <w:spacing w:before="200" w:after="200"/>
      </w:pPr>
      <w:r>
        <w:t>Safety outcomes</w:t>
      </w:r>
    </w:p>
    <w:p w14:paraId="2853AAE0" w14:textId="5F20BC75" w:rsidR="00B068C0" w:rsidRDefault="00B068C0" w:rsidP="00B068C0">
      <w:pPr>
        <w:pStyle w:val="ListParagraph"/>
        <w:numPr>
          <w:ilvl w:val="0"/>
          <w:numId w:val="9"/>
        </w:numPr>
        <w:ind w:left="284" w:hanging="284"/>
      </w:pPr>
      <w:r>
        <w:t>Radiation exposure (patients, nuclear medicine technologists, nurses).</w:t>
      </w:r>
    </w:p>
    <w:p w14:paraId="69E566DF" w14:textId="4A727312" w:rsidR="00B068C0" w:rsidRPr="00B068C0" w:rsidRDefault="00B068C0" w:rsidP="00B068C0">
      <w:pPr>
        <w:pStyle w:val="ListParagraph"/>
        <w:numPr>
          <w:ilvl w:val="0"/>
          <w:numId w:val="9"/>
        </w:numPr>
        <w:ind w:left="284" w:hanging="284"/>
      </w:pPr>
      <w:r>
        <w:t xml:space="preserve">Adverse </w:t>
      </w:r>
      <w:r w:rsidR="008D1E83">
        <w:t>effects of</w:t>
      </w:r>
      <w:r>
        <w:t xml:space="preserve"> the </w:t>
      </w:r>
      <w:r w:rsidR="008D1E83">
        <w:t>radiopharmaceuticals</w:t>
      </w:r>
      <w:r>
        <w:t xml:space="preserve">, including </w:t>
      </w:r>
      <w:r w:rsidR="008D1E83">
        <w:t xml:space="preserve">bone marrow and </w:t>
      </w:r>
      <w:r>
        <w:t>renal toxicity.</w:t>
      </w:r>
    </w:p>
    <w:p w14:paraId="5405A0E4" w14:textId="022B5C73" w:rsidR="00B068C0" w:rsidRDefault="00B068C0" w:rsidP="00B068C0">
      <w:pPr>
        <w:pStyle w:val="Heading4"/>
        <w:spacing w:after="200"/>
      </w:pPr>
      <w:r w:rsidRPr="00B068C0">
        <w:t>Effectiveness</w:t>
      </w:r>
      <w:r>
        <w:t xml:space="preserve"> outcomes</w:t>
      </w:r>
    </w:p>
    <w:p w14:paraId="5486581B" w14:textId="7D8097D8" w:rsidR="00B068C0" w:rsidRPr="00B068C0" w:rsidRDefault="00B068C0" w:rsidP="00B068C0">
      <w:pPr>
        <w:pStyle w:val="Heading5"/>
        <w:spacing w:after="200"/>
      </w:pPr>
      <w:r>
        <w:t>Diagnostic accuracy</w:t>
      </w:r>
    </w:p>
    <w:p w14:paraId="22ED4366" w14:textId="5422B37D" w:rsidR="00825C31" w:rsidRPr="00066772" w:rsidRDefault="009C40F5" w:rsidP="009C40F5">
      <w:r w:rsidRPr="00066772">
        <w:t>No outcomes for the two diagnostic tests, PSMA PET/CT or FDG PET/CT, were nominated. In the absence of relevant comparators and reference standards</w:t>
      </w:r>
      <w:r w:rsidR="00B068C0" w:rsidRPr="00066772">
        <w:t>, standard effectiveness outcomes assessing the diagnostic accuracy of the tests (sensitivity, specificity, positive and negative predictive values, area under the curve (AUC) of the receiver operating characteristic (ROC) curve) are not relevant.</w:t>
      </w:r>
    </w:p>
    <w:p w14:paraId="6B06950D" w14:textId="3875C669" w:rsidR="009C40F5" w:rsidRPr="00066772" w:rsidRDefault="00B068C0" w:rsidP="009C40F5">
      <w:r w:rsidRPr="00066772">
        <w:t xml:space="preserve">Other characteristics such as intra- and inter-observer </w:t>
      </w:r>
      <w:r w:rsidR="00A61410" w:rsidRPr="00066772">
        <w:t>variability</w:t>
      </w:r>
      <w:r w:rsidRPr="00066772">
        <w:t xml:space="preserve"> in reading the PET/CT scans would be relevant.</w:t>
      </w:r>
    </w:p>
    <w:p w14:paraId="762E6AEE" w14:textId="6DD835BE" w:rsidR="00B068C0" w:rsidRPr="00B068C0" w:rsidRDefault="00B068C0" w:rsidP="00B068C0">
      <w:pPr>
        <w:pStyle w:val="Heading5"/>
        <w:spacing w:after="200"/>
      </w:pPr>
      <w:r>
        <w:t>Change in management</w:t>
      </w:r>
    </w:p>
    <w:p w14:paraId="429A7913" w14:textId="61AD2167" w:rsidR="00047A73" w:rsidRPr="00066772" w:rsidRDefault="00B068C0" w:rsidP="009C40F5">
      <w:r w:rsidRPr="00066772">
        <w:t xml:space="preserve">The purpose of the PSMA and FDG PET/CT scans is to assess eligibility for treatment with </w:t>
      </w:r>
      <w:r w:rsidRPr="00066772">
        <w:rPr>
          <w:vertAlign w:val="superscript"/>
        </w:rPr>
        <w:t>177</w:t>
      </w:r>
      <w:r w:rsidRPr="00066772">
        <w:t xml:space="preserve">Lu PSMA </w:t>
      </w:r>
      <w:r w:rsidR="00E41841">
        <w:t>I&amp;T</w:t>
      </w:r>
      <w:r w:rsidRPr="00066772">
        <w:t xml:space="preserve">. Thus, a result below or above a nominated threshold would mean that patients were not eligible and eligible for treatment with </w:t>
      </w:r>
      <w:r w:rsidRPr="00066772">
        <w:rPr>
          <w:vertAlign w:val="superscript"/>
        </w:rPr>
        <w:t>177</w:t>
      </w:r>
      <w:r w:rsidRPr="00066772">
        <w:t xml:space="preserve">Lu PSMA </w:t>
      </w:r>
      <w:r w:rsidR="00E41841">
        <w:t>I&amp;T</w:t>
      </w:r>
      <w:r w:rsidR="00825C31" w:rsidRPr="00066772">
        <w:t>, respectively</w:t>
      </w:r>
      <w:r w:rsidRPr="00066772">
        <w:t>.</w:t>
      </w:r>
    </w:p>
    <w:p w14:paraId="48DFE89C" w14:textId="23B56510" w:rsidR="00B068C0" w:rsidRPr="00066772" w:rsidRDefault="00B068C0" w:rsidP="009C40F5">
      <w:r w:rsidRPr="00066772">
        <w:t xml:space="preserve">Relevant outcomes would be the proportion of patients who </w:t>
      </w:r>
      <w:r w:rsidR="00047A73" w:rsidRPr="00066772">
        <w:t xml:space="preserve">meet the nominated thresholds for PSMA PET/CT and the proportion of those who proceed to FDG PET/CT who do not have a PSMA and FDG PET/CT </w:t>
      </w:r>
      <w:r w:rsidR="003C3037">
        <w:t>discordance</w:t>
      </w:r>
      <w:r w:rsidR="00047A73" w:rsidRPr="00066772">
        <w:t>.</w:t>
      </w:r>
      <w:r w:rsidR="005833A7" w:rsidRPr="00066772">
        <w:t xml:space="preserve"> </w:t>
      </w:r>
      <w:r w:rsidR="005833A7">
        <w:t xml:space="preserve">The applicant suggested that the </w:t>
      </w:r>
      <w:r w:rsidR="005833A7" w:rsidRPr="005833A7">
        <w:t>combination of PSMA and FDG PET</w:t>
      </w:r>
      <w:r w:rsidR="005833A7">
        <w:t>/CT</w:t>
      </w:r>
      <w:r w:rsidR="005833A7" w:rsidRPr="005833A7">
        <w:t xml:space="preserve"> reduces the number of </w:t>
      </w:r>
      <w:r w:rsidR="005833A7">
        <w:t>patients</w:t>
      </w:r>
      <w:r w:rsidR="005833A7" w:rsidRPr="005833A7">
        <w:t xml:space="preserve"> eligible for treatment </w:t>
      </w:r>
      <w:r w:rsidR="005833A7">
        <w:t>to approximately</w:t>
      </w:r>
      <w:r w:rsidR="005833A7" w:rsidRPr="005833A7">
        <w:t xml:space="preserve"> 75% of </w:t>
      </w:r>
      <w:r w:rsidR="005833A7">
        <w:t>patients</w:t>
      </w:r>
      <w:r w:rsidR="005833A7" w:rsidRPr="005833A7">
        <w:t xml:space="preserve"> (25% will not have suitable disease).</w:t>
      </w:r>
      <w:r w:rsidR="00546F9A">
        <w:t xml:space="preserve"> </w:t>
      </w:r>
      <w:r w:rsidR="00AA506D" w:rsidRPr="00066772">
        <w:t xml:space="preserve">Hofman (2021) reported that </w:t>
      </w:r>
      <w:r w:rsidR="00546F9A" w:rsidRPr="00066772">
        <w:t xml:space="preserve">28% of patients who were screened for enrolment </w:t>
      </w:r>
      <w:r w:rsidR="00AA506D" w:rsidRPr="00066772">
        <w:t xml:space="preserve">in the TheraP trial </w:t>
      </w:r>
      <w:r w:rsidR="00546F9A" w:rsidRPr="00066772">
        <w:t>did not meet the eligibility criteria, primarily due to discordant results from PSMA PET/CT and FDG PET/CT.</w:t>
      </w:r>
    </w:p>
    <w:p w14:paraId="2EBF04F1" w14:textId="06FDBE42" w:rsidR="00047A73" w:rsidRPr="00B068C0" w:rsidRDefault="00047A73" w:rsidP="00047A73">
      <w:pPr>
        <w:pStyle w:val="Heading5"/>
        <w:spacing w:after="200"/>
      </w:pPr>
      <w:r>
        <w:t>Oncologic and patient outcomes</w:t>
      </w:r>
    </w:p>
    <w:p w14:paraId="3972F3D6" w14:textId="7C97734D" w:rsidR="009C40F5" w:rsidRDefault="009C40F5" w:rsidP="009C40F5">
      <w:r>
        <w:t>The outcomes nominated in the application include:</w:t>
      </w:r>
    </w:p>
    <w:p w14:paraId="3BDB5323" w14:textId="5E16FEDE" w:rsidR="009C40F5" w:rsidRDefault="009C40F5" w:rsidP="009C40F5">
      <w:r>
        <w:t>1.</w:t>
      </w:r>
      <w:r>
        <w:tab/>
        <w:t>Progression free survival/treatment response.</w:t>
      </w:r>
    </w:p>
    <w:p w14:paraId="68114A91" w14:textId="333C7EB7" w:rsidR="009C40F5" w:rsidRDefault="009C40F5" w:rsidP="009C40F5">
      <w:r>
        <w:t>2.</w:t>
      </w:r>
      <w:r>
        <w:tab/>
        <w:t>Key quality of life indicators.</w:t>
      </w:r>
    </w:p>
    <w:p w14:paraId="7A66893E" w14:textId="32D5F3D2" w:rsidR="009C40F5" w:rsidRDefault="009C40F5" w:rsidP="009C40F5">
      <w:r>
        <w:t>3.</w:t>
      </w:r>
      <w:r>
        <w:tab/>
        <w:t>Pain score improvement.</w:t>
      </w:r>
    </w:p>
    <w:p w14:paraId="4AAC174B" w14:textId="54F781C0" w:rsidR="009C40F5" w:rsidRDefault="009C40F5" w:rsidP="009C40F5">
      <w:r>
        <w:t>4.</w:t>
      </w:r>
      <w:r>
        <w:tab/>
        <w:t>Patient related outcomes measuring improved quality of life parameters.</w:t>
      </w:r>
    </w:p>
    <w:p w14:paraId="592F5A94" w14:textId="49E7594A" w:rsidR="009C40F5" w:rsidRDefault="009C40F5" w:rsidP="009C40F5">
      <w:r>
        <w:t>5.</w:t>
      </w:r>
      <w:r>
        <w:tab/>
        <w:t xml:space="preserve">Bioequivalence for </w:t>
      </w:r>
      <w:r>
        <w:rPr>
          <w:vertAlign w:val="superscript"/>
        </w:rPr>
        <w:t>177</w:t>
      </w:r>
      <w:r>
        <w:t xml:space="preserve">Lu PSMA </w:t>
      </w:r>
      <w:r w:rsidR="00E41841">
        <w:t>I&amp;T</w:t>
      </w:r>
      <w:r>
        <w:t xml:space="preserve"> and </w:t>
      </w:r>
      <w:r>
        <w:rPr>
          <w:vertAlign w:val="superscript"/>
        </w:rPr>
        <w:t>177</w:t>
      </w:r>
      <w:r>
        <w:t>Lu PSMA</w:t>
      </w:r>
      <w:r w:rsidR="00047A73">
        <w:t>-</w:t>
      </w:r>
      <w:r>
        <w:t>617.</w:t>
      </w:r>
    </w:p>
    <w:p w14:paraId="18592A97" w14:textId="7D6A93AF" w:rsidR="005536B3" w:rsidRDefault="009C40F5" w:rsidP="00ED4AD4">
      <w:r w:rsidRPr="00066772">
        <w:t xml:space="preserve">Each of these outcomes are appropriate, however overall survival would be an additional relevant </w:t>
      </w:r>
      <w:r w:rsidR="00047A73" w:rsidRPr="00066772">
        <w:t>outcome</w:t>
      </w:r>
      <w:r w:rsidRPr="00066772">
        <w:t>.</w:t>
      </w:r>
    </w:p>
    <w:p w14:paraId="7CB091DD" w14:textId="20F7226D" w:rsidR="00DB1725" w:rsidRDefault="00DB1725" w:rsidP="00ED4AD4">
      <w:pPr>
        <w:rPr>
          <w:rFonts w:asciiTheme="minorHAnsi" w:hAnsiTheme="minorHAnsi" w:cstheme="minorHAnsi"/>
          <w:i/>
          <w:iCs/>
        </w:rPr>
      </w:pPr>
      <w:r>
        <w:rPr>
          <w:rFonts w:asciiTheme="minorHAnsi" w:hAnsiTheme="minorHAnsi" w:cstheme="minorHAnsi"/>
          <w:i/>
          <w:iCs/>
        </w:rPr>
        <w:t>PASC indicated that disease response (tumour marker (PSA [prostate-specific antigen]), imaging (RECIST [</w:t>
      </w:r>
      <w:r w:rsidRPr="00DB1725">
        <w:rPr>
          <w:rFonts w:asciiTheme="minorHAnsi" w:hAnsiTheme="minorHAnsi" w:cstheme="minorHAnsi"/>
          <w:i/>
          <w:iCs/>
        </w:rPr>
        <w:t>Response Evaluation Criteria in Solid Tumours</w:t>
      </w:r>
      <w:r>
        <w:rPr>
          <w:rFonts w:asciiTheme="minorHAnsi" w:hAnsiTheme="minorHAnsi" w:cstheme="minorHAnsi"/>
          <w:i/>
          <w:iCs/>
        </w:rPr>
        <w:t>], PERCIST [</w:t>
      </w:r>
      <w:r w:rsidRPr="00DB1725">
        <w:rPr>
          <w:rFonts w:asciiTheme="minorHAnsi" w:hAnsiTheme="minorHAnsi" w:cstheme="minorHAnsi"/>
          <w:i/>
          <w:iCs/>
        </w:rPr>
        <w:t>Positron Emission Tomography Response Criteria in Solid Tumors</w:t>
      </w:r>
      <w:r>
        <w:rPr>
          <w:rFonts w:asciiTheme="minorHAnsi" w:hAnsiTheme="minorHAnsi" w:cstheme="minorHAnsi"/>
          <w:i/>
          <w:iCs/>
        </w:rPr>
        <w:t>]) should be included as a ‘Therapy outcome’.</w:t>
      </w:r>
    </w:p>
    <w:p w14:paraId="7D346699" w14:textId="77777777" w:rsidR="00DB1725" w:rsidRPr="00066772" w:rsidRDefault="00DB1725" w:rsidP="00DB1725">
      <w:pPr>
        <w:rPr>
          <w:rFonts w:asciiTheme="minorHAnsi" w:hAnsiTheme="minorHAnsi" w:cstheme="minorHAnsi"/>
          <w:i/>
          <w:iCs/>
        </w:rPr>
      </w:pPr>
      <w:r w:rsidRPr="00066772">
        <w:rPr>
          <w:rFonts w:asciiTheme="minorHAnsi" w:hAnsiTheme="minorHAnsi" w:cstheme="minorHAnsi"/>
          <w:i/>
          <w:iCs/>
        </w:rPr>
        <w:t>PASC indicated that cost of additional tests and additional follow-up should be included as a ‘Healthcare system outcome’.</w:t>
      </w:r>
    </w:p>
    <w:p w14:paraId="4522F3AB" w14:textId="73EFD891" w:rsidR="006D58F4" w:rsidRDefault="006D58F4" w:rsidP="00066772">
      <w:pPr>
        <w:rPr>
          <w:rFonts w:asciiTheme="minorHAnsi" w:hAnsiTheme="minorHAnsi" w:cstheme="minorHAnsi"/>
          <w:i/>
          <w:iCs/>
        </w:rPr>
      </w:pPr>
      <w:r>
        <w:rPr>
          <w:rFonts w:asciiTheme="minorHAnsi" w:hAnsiTheme="minorHAnsi" w:cstheme="minorHAnsi"/>
          <w:i/>
          <w:iCs/>
        </w:rPr>
        <w:t xml:space="preserve">PASC acknowledged the MSAC Executive’s determination that </w:t>
      </w:r>
      <w:r>
        <w:rPr>
          <w:rFonts w:asciiTheme="minorHAnsi" w:hAnsiTheme="minorHAnsi" w:cstheme="minorHAnsi"/>
          <w:i/>
          <w:iCs/>
          <w:vertAlign w:val="superscript"/>
        </w:rPr>
        <w:t>177</w:t>
      </w:r>
      <w:r>
        <w:rPr>
          <w:rFonts w:asciiTheme="minorHAnsi" w:hAnsiTheme="minorHAnsi" w:cstheme="minorHAnsi"/>
          <w:i/>
          <w:iCs/>
        </w:rPr>
        <w:t xml:space="preserve">Lu PSMA </w:t>
      </w:r>
      <w:r w:rsidR="00E41841">
        <w:rPr>
          <w:rFonts w:asciiTheme="minorHAnsi" w:hAnsiTheme="minorHAnsi" w:cstheme="minorHAnsi"/>
          <w:i/>
          <w:iCs/>
        </w:rPr>
        <w:t>I&amp;T</w:t>
      </w:r>
      <w:r>
        <w:rPr>
          <w:rFonts w:asciiTheme="minorHAnsi" w:hAnsiTheme="minorHAnsi" w:cstheme="minorHAnsi"/>
          <w:i/>
          <w:iCs/>
        </w:rPr>
        <w:t xml:space="preserve"> was “bioequivalent </w:t>
      </w:r>
      <w:r w:rsidRPr="00795B0E">
        <w:rPr>
          <w:rFonts w:asciiTheme="minorHAnsi" w:hAnsiTheme="minorHAnsi" w:cstheme="minorHAnsi"/>
          <w:i/>
          <w:iCs/>
        </w:rPr>
        <w:t>in clinical responses and toxicities</w:t>
      </w:r>
      <w:r>
        <w:rPr>
          <w:rFonts w:asciiTheme="minorHAnsi" w:hAnsiTheme="minorHAnsi" w:cstheme="minorHAnsi"/>
          <w:i/>
          <w:iCs/>
        </w:rPr>
        <w:t>”</w:t>
      </w:r>
      <w:r w:rsidRPr="00795B0E">
        <w:rPr>
          <w:rFonts w:asciiTheme="minorHAnsi" w:hAnsiTheme="minorHAnsi" w:cstheme="minorHAnsi"/>
          <w:i/>
          <w:iCs/>
        </w:rPr>
        <w:t xml:space="preserve"> </w:t>
      </w:r>
      <w:r>
        <w:rPr>
          <w:rFonts w:asciiTheme="minorHAnsi" w:hAnsiTheme="minorHAnsi" w:cstheme="minorHAnsi"/>
          <w:i/>
          <w:iCs/>
        </w:rPr>
        <w:t xml:space="preserve">to </w:t>
      </w:r>
      <w:r>
        <w:rPr>
          <w:rFonts w:asciiTheme="minorHAnsi" w:hAnsiTheme="minorHAnsi" w:cstheme="minorHAnsi"/>
          <w:i/>
          <w:iCs/>
          <w:vertAlign w:val="superscript"/>
        </w:rPr>
        <w:t>177</w:t>
      </w:r>
      <w:r>
        <w:rPr>
          <w:rFonts w:asciiTheme="minorHAnsi" w:hAnsiTheme="minorHAnsi" w:cstheme="minorHAnsi"/>
          <w:i/>
          <w:iCs/>
        </w:rPr>
        <w:t>Lu PSMA-617. However, PASC considered that the assessment report should assess the equivalence or non-inferiority of the two as:</w:t>
      </w:r>
    </w:p>
    <w:p w14:paraId="68EABA11" w14:textId="7109F3BA" w:rsidR="006D58F4" w:rsidRPr="00066772" w:rsidRDefault="006D58F4" w:rsidP="00066772">
      <w:pPr>
        <w:pStyle w:val="ListParagraph"/>
        <w:numPr>
          <w:ilvl w:val="0"/>
          <w:numId w:val="31"/>
        </w:numPr>
        <w:ind w:left="284" w:hanging="284"/>
        <w:rPr>
          <w:rFonts w:asciiTheme="minorHAnsi" w:hAnsiTheme="minorHAnsi" w:cstheme="minorHAnsi"/>
          <w:i/>
          <w:iCs/>
        </w:rPr>
      </w:pPr>
      <w:r w:rsidRPr="00066772">
        <w:rPr>
          <w:rFonts w:asciiTheme="minorHAnsi" w:hAnsiTheme="minorHAnsi" w:cstheme="minorHAnsi"/>
          <w:i/>
          <w:iCs/>
        </w:rPr>
        <w:t xml:space="preserve">The only evidence of “bioequivalence” provided by the applicant is from one small, single centre, retrospective narrative review - a comparative intrapatient (i.e., for different PRLT </w:t>
      </w:r>
      <w:r>
        <w:rPr>
          <w:rFonts w:asciiTheme="minorHAnsi" w:hAnsiTheme="minorHAnsi" w:cstheme="minorHAnsi"/>
          <w:i/>
          <w:iCs/>
        </w:rPr>
        <w:t>[</w:t>
      </w:r>
      <w:r w:rsidRPr="006D58F4">
        <w:rPr>
          <w:rFonts w:asciiTheme="minorHAnsi" w:hAnsiTheme="minorHAnsi" w:cstheme="minorHAnsi"/>
          <w:i/>
          <w:iCs/>
        </w:rPr>
        <w:t>PSMA-targeted radioligand therapy</w:t>
      </w:r>
      <w:r>
        <w:rPr>
          <w:rFonts w:asciiTheme="minorHAnsi" w:hAnsiTheme="minorHAnsi" w:cstheme="minorHAnsi"/>
          <w:i/>
          <w:iCs/>
        </w:rPr>
        <w:t xml:space="preserve">] </w:t>
      </w:r>
      <w:r w:rsidRPr="00066772">
        <w:rPr>
          <w:rFonts w:asciiTheme="minorHAnsi" w:hAnsiTheme="minorHAnsi" w:cstheme="minorHAnsi"/>
          <w:i/>
          <w:iCs/>
        </w:rPr>
        <w:t xml:space="preserve">courses) and interpatient dosimetry analysis was performed for </w:t>
      </w:r>
      <w:r w:rsidRPr="00066772">
        <w:rPr>
          <w:rFonts w:asciiTheme="minorHAnsi" w:hAnsiTheme="minorHAnsi" w:cstheme="minorHAnsi"/>
          <w:i/>
          <w:iCs/>
          <w:vertAlign w:val="superscript"/>
        </w:rPr>
        <w:t>177</w:t>
      </w:r>
      <w:r w:rsidRPr="00066772">
        <w:rPr>
          <w:rFonts w:asciiTheme="minorHAnsi" w:hAnsiTheme="minorHAnsi" w:cstheme="minorHAnsi"/>
          <w:i/>
          <w:iCs/>
        </w:rPr>
        <w:t xml:space="preserve">Lu PSMA </w:t>
      </w:r>
      <w:r w:rsidR="00E41841">
        <w:rPr>
          <w:rFonts w:asciiTheme="minorHAnsi" w:hAnsiTheme="minorHAnsi" w:cstheme="minorHAnsi"/>
          <w:i/>
          <w:iCs/>
        </w:rPr>
        <w:t>I&amp;T</w:t>
      </w:r>
      <w:r w:rsidRPr="00066772">
        <w:rPr>
          <w:rFonts w:asciiTheme="minorHAnsi" w:hAnsiTheme="minorHAnsi" w:cstheme="minorHAnsi"/>
          <w:i/>
          <w:iCs/>
        </w:rPr>
        <w:t xml:space="preserve"> and </w:t>
      </w:r>
      <w:r w:rsidRPr="00066772">
        <w:rPr>
          <w:rFonts w:asciiTheme="minorHAnsi" w:hAnsiTheme="minorHAnsi" w:cstheme="minorHAnsi"/>
          <w:i/>
          <w:iCs/>
          <w:vertAlign w:val="superscript"/>
        </w:rPr>
        <w:t>177</w:t>
      </w:r>
      <w:r w:rsidRPr="00066772">
        <w:rPr>
          <w:rFonts w:asciiTheme="minorHAnsi" w:hAnsiTheme="minorHAnsi" w:cstheme="minorHAnsi"/>
          <w:i/>
          <w:iCs/>
        </w:rPr>
        <w:t>Lu PSMA-617” (Kulkarni 2016);</w:t>
      </w:r>
    </w:p>
    <w:p w14:paraId="0FF0FAF1" w14:textId="00F2E365" w:rsidR="006D58F4" w:rsidRPr="00066772" w:rsidRDefault="00D7657F" w:rsidP="00066772">
      <w:pPr>
        <w:pStyle w:val="ListParagraph"/>
        <w:numPr>
          <w:ilvl w:val="0"/>
          <w:numId w:val="31"/>
        </w:numPr>
        <w:ind w:left="284" w:hanging="284"/>
        <w:rPr>
          <w:rFonts w:asciiTheme="minorHAnsi" w:hAnsiTheme="minorHAnsi" w:cstheme="minorHAnsi"/>
          <w:i/>
          <w:iCs/>
        </w:rPr>
      </w:pPr>
      <w:r>
        <w:rPr>
          <w:rFonts w:asciiTheme="minorHAnsi" w:hAnsiTheme="minorHAnsi" w:cstheme="minorHAnsi"/>
          <w:i/>
          <w:iCs/>
        </w:rPr>
        <w:t xml:space="preserve">There are no </w:t>
      </w:r>
      <w:r w:rsidR="006D58F4" w:rsidRPr="00066772">
        <w:rPr>
          <w:rFonts w:asciiTheme="minorHAnsi" w:hAnsiTheme="minorHAnsi" w:cstheme="minorHAnsi"/>
          <w:i/>
          <w:iCs/>
        </w:rPr>
        <w:t xml:space="preserve">published RCTs of </w:t>
      </w:r>
      <w:r w:rsidR="006D58F4" w:rsidRPr="00066772">
        <w:rPr>
          <w:rFonts w:asciiTheme="minorHAnsi" w:hAnsiTheme="minorHAnsi" w:cstheme="minorHAnsi"/>
          <w:i/>
          <w:iCs/>
          <w:vertAlign w:val="superscript"/>
        </w:rPr>
        <w:t>177</w:t>
      </w:r>
      <w:r w:rsidR="006D58F4" w:rsidRPr="00066772">
        <w:rPr>
          <w:rFonts w:asciiTheme="minorHAnsi" w:hAnsiTheme="minorHAnsi" w:cstheme="minorHAnsi"/>
          <w:i/>
          <w:iCs/>
        </w:rPr>
        <w:t xml:space="preserve">Lu PSMA </w:t>
      </w:r>
      <w:r w:rsidR="00E41841">
        <w:rPr>
          <w:rFonts w:asciiTheme="minorHAnsi" w:hAnsiTheme="minorHAnsi" w:cstheme="minorHAnsi"/>
          <w:i/>
          <w:iCs/>
        </w:rPr>
        <w:t>I&amp;T</w:t>
      </w:r>
      <w:r w:rsidR="006D58F4" w:rsidRPr="00066772">
        <w:rPr>
          <w:rFonts w:asciiTheme="minorHAnsi" w:hAnsiTheme="minorHAnsi" w:cstheme="minorHAnsi"/>
          <w:i/>
          <w:iCs/>
        </w:rPr>
        <w:t xml:space="preserve"> in mCRPC; two ongoing RCTs in mCRPC </w:t>
      </w:r>
      <w:r>
        <w:rPr>
          <w:rFonts w:asciiTheme="minorHAnsi" w:hAnsiTheme="minorHAnsi" w:cstheme="minorHAnsi"/>
          <w:i/>
          <w:iCs/>
        </w:rPr>
        <w:t xml:space="preserve">were </w:t>
      </w:r>
      <w:r w:rsidR="006D58F4" w:rsidRPr="00066772">
        <w:rPr>
          <w:rFonts w:asciiTheme="minorHAnsi" w:hAnsiTheme="minorHAnsi" w:cstheme="minorHAnsi"/>
          <w:i/>
          <w:iCs/>
        </w:rPr>
        <w:t>found on Clinicaltrials.gov (NCT04188587, NCT04647526) &amp; ECLIPSE RCT (proposed by Curium [France], not yet registered);</w:t>
      </w:r>
    </w:p>
    <w:p w14:paraId="2AD79E15" w14:textId="0128945A" w:rsidR="006D58F4" w:rsidRPr="00066772" w:rsidRDefault="00D7657F" w:rsidP="00066772">
      <w:pPr>
        <w:pStyle w:val="ListParagraph"/>
        <w:numPr>
          <w:ilvl w:val="0"/>
          <w:numId w:val="31"/>
        </w:numPr>
        <w:ind w:left="284" w:hanging="284"/>
        <w:rPr>
          <w:rFonts w:asciiTheme="minorHAnsi" w:hAnsiTheme="minorHAnsi" w:cstheme="minorHAnsi"/>
          <w:i/>
          <w:iCs/>
        </w:rPr>
      </w:pPr>
      <w:r>
        <w:rPr>
          <w:rFonts w:asciiTheme="minorHAnsi" w:hAnsiTheme="minorHAnsi" w:cstheme="minorHAnsi"/>
          <w:i/>
          <w:iCs/>
        </w:rPr>
        <w:t>The m</w:t>
      </w:r>
      <w:r w:rsidRPr="00066772">
        <w:rPr>
          <w:rFonts w:asciiTheme="minorHAnsi" w:hAnsiTheme="minorHAnsi" w:cstheme="minorHAnsi"/>
          <w:i/>
          <w:iCs/>
        </w:rPr>
        <w:t xml:space="preserve">ost </w:t>
      </w:r>
      <w:r w:rsidR="006D58F4" w:rsidRPr="00066772">
        <w:rPr>
          <w:rFonts w:asciiTheme="minorHAnsi" w:hAnsiTheme="minorHAnsi" w:cstheme="minorHAnsi"/>
          <w:i/>
          <w:iCs/>
        </w:rPr>
        <w:t>recent meta</w:t>
      </w:r>
      <w:r>
        <w:rPr>
          <w:rFonts w:asciiTheme="minorHAnsi" w:hAnsiTheme="minorHAnsi" w:cstheme="minorHAnsi"/>
          <w:i/>
          <w:iCs/>
        </w:rPr>
        <w:t>-</w:t>
      </w:r>
      <w:r w:rsidR="006D58F4" w:rsidRPr="00066772">
        <w:rPr>
          <w:rFonts w:asciiTheme="minorHAnsi" w:hAnsiTheme="minorHAnsi" w:cstheme="minorHAnsi"/>
          <w:i/>
          <w:iCs/>
        </w:rPr>
        <w:t xml:space="preserve">analysis (Sadaghiani 2021) includes only 2/24 studies of </w:t>
      </w:r>
      <w:r w:rsidR="006D58F4" w:rsidRPr="00066772">
        <w:rPr>
          <w:rFonts w:asciiTheme="minorHAnsi" w:hAnsiTheme="minorHAnsi" w:cstheme="minorHAnsi"/>
          <w:i/>
          <w:iCs/>
          <w:vertAlign w:val="superscript"/>
        </w:rPr>
        <w:t>177</w:t>
      </w:r>
      <w:r w:rsidR="006D58F4" w:rsidRPr="00066772">
        <w:rPr>
          <w:rFonts w:asciiTheme="minorHAnsi" w:hAnsiTheme="minorHAnsi" w:cstheme="minorHAnsi"/>
          <w:i/>
          <w:iCs/>
        </w:rPr>
        <w:t xml:space="preserve">Lu PSMA </w:t>
      </w:r>
      <w:r w:rsidR="00E41841">
        <w:rPr>
          <w:rFonts w:asciiTheme="minorHAnsi" w:hAnsiTheme="minorHAnsi" w:cstheme="minorHAnsi"/>
          <w:i/>
          <w:iCs/>
        </w:rPr>
        <w:t>I&amp;T</w:t>
      </w:r>
      <w:r w:rsidR="006D58F4" w:rsidRPr="00066772">
        <w:rPr>
          <w:rFonts w:asciiTheme="minorHAnsi" w:hAnsiTheme="minorHAnsi" w:cstheme="minorHAnsi"/>
          <w:i/>
          <w:iCs/>
        </w:rPr>
        <w:t>, both retrospective;</w:t>
      </w:r>
    </w:p>
    <w:p w14:paraId="01FB4A61" w14:textId="4D5252AE" w:rsidR="004F7AD1" w:rsidRPr="00E9039C" w:rsidRDefault="006D58F4" w:rsidP="00BA256B">
      <w:pPr>
        <w:pStyle w:val="ListParagraph"/>
        <w:numPr>
          <w:ilvl w:val="0"/>
          <w:numId w:val="31"/>
        </w:numPr>
        <w:ind w:left="284" w:hanging="284"/>
      </w:pPr>
      <w:r w:rsidRPr="00066772">
        <w:rPr>
          <w:rFonts w:asciiTheme="minorHAnsi" w:hAnsiTheme="minorHAnsi" w:cstheme="minorHAnsi"/>
          <w:i/>
          <w:iCs/>
        </w:rPr>
        <w:t xml:space="preserve">Four ongoing Australian multicentre RCTs (PRINCE [NCT03658447], LuPARP </w:t>
      </w:r>
      <w:r w:rsidR="003E19A1">
        <w:rPr>
          <w:rFonts w:asciiTheme="minorHAnsi" w:hAnsiTheme="minorHAnsi" w:cstheme="minorHAnsi"/>
          <w:i/>
          <w:iCs/>
        </w:rPr>
        <w:t>[</w:t>
      </w:r>
      <w:r w:rsidRPr="00066772">
        <w:rPr>
          <w:rFonts w:asciiTheme="minorHAnsi" w:hAnsiTheme="minorHAnsi" w:cstheme="minorHAnsi"/>
          <w:i/>
          <w:iCs/>
        </w:rPr>
        <w:t>NCT03874884], ENZA p [NCT04419402], UpFrontPSMA [NCT04343885</w:t>
      </w:r>
      <w:r w:rsidR="003E19A1">
        <w:rPr>
          <w:rFonts w:asciiTheme="minorHAnsi" w:hAnsiTheme="minorHAnsi" w:cstheme="minorHAnsi"/>
          <w:i/>
          <w:iCs/>
        </w:rPr>
        <w:t>])</w:t>
      </w:r>
      <w:r w:rsidRPr="00066772">
        <w:rPr>
          <w:rFonts w:asciiTheme="minorHAnsi" w:hAnsiTheme="minorHAnsi" w:cstheme="minorHAnsi"/>
          <w:i/>
          <w:iCs/>
        </w:rPr>
        <w:t xml:space="preserve"> are all using “un-available well validated </w:t>
      </w:r>
      <w:r w:rsidRPr="00066772">
        <w:rPr>
          <w:rFonts w:asciiTheme="minorHAnsi" w:hAnsiTheme="minorHAnsi" w:cstheme="minorHAnsi"/>
          <w:i/>
          <w:iCs/>
          <w:vertAlign w:val="superscript"/>
        </w:rPr>
        <w:t>177</w:t>
      </w:r>
      <w:r w:rsidRPr="00066772">
        <w:rPr>
          <w:rFonts w:asciiTheme="minorHAnsi" w:hAnsiTheme="minorHAnsi" w:cstheme="minorHAnsi"/>
          <w:i/>
          <w:iCs/>
        </w:rPr>
        <w:t>Lu PSMA-617”.</w:t>
      </w:r>
    </w:p>
    <w:p w14:paraId="43F0853E" w14:textId="0CCFFE7A" w:rsidR="00DB1725" w:rsidRPr="0016647E" w:rsidRDefault="006D58F4" w:rsidP="00E9039C">
      <w:r w:rsidRPr="00E9039C">
        <w:rPr>
          <w:rFonts w:asciiTheme="minorHAnsi" w:hAnsiTheme="minorHAnsi" w:cstheme="minorHAnsi"/>
        </w:rPr>
        <w:t xml:space="preserve">The applicant </w:t>
      </w:r>
      <w:r w:rsidR="004F7AD1">
        <w:rPr>
          <w:rFonts w:asciiTheme="minorHAnsi" w:hAnsiTheme="minorHAnsi" w:cstheme="minorHAnsi"/>
        </w:rPr>
        <w:t>stated</w:t>
      </w:r>
      <w:r w:rsidR="004F7AD1" w:rsidRPr="00E9039C">
        <w:rPr>
          <w:rFonts w:asciiTheme="minorHAnsi" w:hAnsiTheme="minorHAnsi" w:cstheme="minorHAnsi"/>
        </w:rPr>
        <w:t xml:space="preserve"> </w:t>
      </w:r>
      <w:r w:rsidRPr="00E9039C">
        <w:rPr>
          <w:rFonts w:asciiTheme="minorHAnsi" w:hAnsiTheme="minorHAnsi" w:cstheme="minorHAnsi"/>
        </w:rPr>
        <w:t xml:space="preserve">at PASC that the predominant use of </w:t>
      </w:r>
      <w:r w:rsidRPr="00E9039C">
        <w:rPr>
          <w:rFonts w:asciiTheme="minorHAnsi" w:hAnsiTheme="minorHAnsi" w:cstheme="minorHAnsi"/>
          <w:vertAlign w:val="superscript"/>
        </w:rPr>
        <w:t>177</w:t>
      </w:r>
      <w:r w:rsidRPr="00E9039C">
        <w:rPr>
          <w:rFonts w:asciiTheme="minorHAnsi" w:hAnsiTheme="minorHAnsi" w:cstheme="minorHAnsi"/>
        </w:rPr>
        <w:t>Lu PSMA-617 in published trial</w:t>
      </w:r>
      <w:r w:rsidR="004F7AD1">
        <w:rPr>
          <w:rFonts w:asciiTheme="minorHAnsi" w:hAnsiTheme="minorHAnsi" w:cstheme="minorHAnsi"/>
        </w:rPr>
        <w:t>s</w:t>
      </w:r>
      <w:r w:rsidRPr="00E9039C">
        <w:rPr>
          <w:rFonts w:asciiTheme="minorHAnsi" w:hAnsiTheme="minorHAnsi" w:cstheme="minorHAnsi"/>
        </w:rPr>
        <w:t xml:space="preserve"> is due to current trial funding arrangements, and that </w:t>
      </w:r>
      <w:r w:rsidR="004F7AD1">
        <w:rPr>
          <w:rFonts w:asciiTheme="minorHAnsi" w:hAnsiTheme="minorHAnsi" w:cstheme="minorHAnsi"/>
        </w:rPr>
        <w:t xml:space="preserve">the </w:t>
      </w:r>
      <w:r w:rsidRPr="00E9039C">
        <w:rPr>
          <w:rFonts w:asciiTheme="minorHAnsi" w:hAnsiTheme="minorHAnsi" w:cstheme="minorHAnsi"/>
        </w:rPr>
        <w:t xml:space="preserve">number of trials using </w:t>
      </w:r>
      <w:r w:rsidRPr="00E9039C">
        <w:rPr>
          <w:rFonts w:asciiTheme="minorHAnsi" w:hAnsiTheme="minorHAnsi" w:cstheme="minorHAnsi"/>
          <w:vertAlign w:val="superscript"/>
        </w:rPr>
        <w:t>177</w:t>
      </w:r>
      <w:r w:rsidRPr="00E9039C">
        <w:rPr>
          <w:rFonts w:asciiTheme="minorHAnsi" w:hAnsiTheme="minorHAnsi" w:cstheme="minorHAnsi"/>
        </w:rPr>
        <w:t xml:space="preserve">Lu PSMA </w:t>
      </w:r>
      <w:r w:rsidR="00E41841" w:rsidRPr="00E9039C">
        <w:rPr>
          <w:rFonts w:asciiTheme="minorHAnsi" w:hAnsiTheme="minorHAnsi" w:cstheme="minorHAnsi"/>
        </w:rPr>
        <w:t>I&amp;T</w:t>
      </w:r>
      <w:r w:rsidRPr="00E9039C">
        <w:rPr>
          <w:rFonts w:asciiTheme="minorHAnsi" w:hAnsiTheme="minorHAnsi" w:cstheme="minorHAnsi"/>
        </w:rPr>
        <w:t xml:space="preserve"> is expected to increase in the near future.</w:t>
      </w:r>
    </w:p>
    <w:p w14:paraId="407F68A5" w14:textId="77777777" w:rsidR="006D58F4" w:rsidRDefault="006D58F4" w:rsidP="0016647E">
      <w:pPr>
        <w:rPr>
          <w:rFonts w:asciiTheme="minorHAnsi" w:hAnsiTheme="minorHAnsi" w:cstheme="minorHAnsi"/>
          <w:i/>
          <w:iCs/>
        </w:rPr>
      </w:pPr>
      <w:r w:rsidRPr="003F3441">
        <w:rPr>
          <w:rFonts w:asciiTheme="minorHAnsi" w:hAnsiTheme="minorHAnsi" w:cstheme="minorHAnsi"/>
          <w:i/>
          <w:iCs/>
        </w:rPr>
        <w:t>PASC</w:t>
      </w:r>
      <w:r>
        <w:rPr>
          <w:rFonts w:asciiTheme="minorHAnsi" w:hAnsiTheme="minorHAnsi" w:cstheme="minorHAnsi"/>
          <w:i/>
          <w:iCs/>
        </w:rPr>
        <w:t xml:space="preserve"> suggested that the following questions be addressed:</w:t>
      </w:r>
    </w:p>
    <w:p w14:paraId="7D81B68E" w14:textId="022EB397" w:rsidR="00D7657F" w:rsidRPr="00E9039C" w:rsidRDefault="00D7657F" w:rsidP="00D7657F">
      <w:pPr>
        <w:pStyle w:val="ListParagraph"/>
        <w:numPr>
          <w:ilvl w:val="0"/>
          <w:numId w:val="32"/>
        </w:numPr>
        <w:spacing w:after="0" w:line="240" w:lineRule="auto"/>
        <w:rPr>
          <w:i/>
          <w:iCs/>
          <w:color w:val="000000" w:themeColor="text1"/>
        </w:rPr>
      </w:pPr>
      <w:r w:rsidRPr="00E9039C">
        <w:rPr>
          <w:i/>
          <w:iCs/>
          <w:color w:val="000000" w:themeColor="text1"/>
        </w:rPr>
        <w:t xml:space="preserve">What is the evidence to support therapeutic equivalence between </w:t>
      </w:r>
      <w:r w:rsidRPr="00E9039C">
        <w:rPr>
          <w:i/>
          <w:iCs/>
          <w:color w:val="000000" w:themeColor="text1"/>
          <w:vertAlign w:val="superscript"/>
        </w:rPr>
        <w:t>177</w:t>
      </w:r>
      <w:r w:rsidRPr="00E9039C">
        <w:rPr>
          <w:i/>
          <w:iCs/>
          <w:color w:val="000000" w:themeColor="text1"/>
        </w:rPr>
        <w:t>Lu</w:t>
      </w:r>
      <w:r w:rsidR="00906507">
        <w:rPr>
          <w:i/>
          <w:iCs/>
          <w:color w:val="000000" w:themeColor="text1"/>
        </w:rPr>
        <w:t xml:space="preserve"> </w:t>
      </w:r>
      <w:r w:rsidRPr="00E9039C">
        <w:rPr>
          <w:i/>
          <w:iCs/>
          <w:color w:val="000000" w:themeColor="text1"/>
        </w:rPr>
        <w:t xml:space="preserve">PSMA I&amp;T and </w:t>
      </w:r>
      <w:r w:rsidRPr="00E9039C">
        <w:rPr>
          <w:i/>
          <w:iCs/>
          <w:color w:val="000000" w:themeColor="text1"/>
          <w:vertAlign w:val="superscript"/>
        </w:rPr>
        <w:t>177</w:t>
      </w:r>
      <w:r w:rsidRPr="00E9039C">
        <w:rPr>
          <w:i/>
          <w:iCs/>
          <w:color w:val="000000" w:themeColor="text1"/>
        </w:rPr>
        <w:t>Lu</w:t>
      </w:r>
      <w:r w:rsidR="00906507">
        <w:rPr>
          <w:i/>
          <w:iCs/>
          <w:color w:val="000000" w:themeColor="text1"/>
        </w:rPr>
        <w:t xml:space="preserve"> </w:t>
      </w:r>
      <w:r w:rsidRPr="00E9039C">
        <w:rPr>
          <w:i/>
          <w:iCs/>
          <w:color w:val="000000" w:themeColor="text1"/>
        </w:rPr>
        <w:t xml:space="preserve">PSMA-617 (as the basis to justify applying evidence for </w:t>
      </w:r>
      <w:r w:rsidRPr="00E9039C">
        <w:rPr>
          <w:i/>
          <w:iCs/>
          <w:color w:val="000000" w:themeColor="text1"/>
          <w:vertAlign w:val="superscript"/>
        </w:rPr>
        <w:t>177</w:t>
      </w:r>
      <w:r w:rsidRPr="00E9039C">
        <w:rPr>
          <w:i/>
          <w:iCs/>
          <w:color w:val="000000" w:themeColor="text1"/>
        </w:rPr>
        <w:t>Lu</w:t>
      </w:r>
      <w:r w:rsidR="00906507">
        <w:rPr>
          <w:i/>
          <w:iCs/>
          <w:color w:val="000000" w:themeColor="text1"/>
        </w:rPr>
        <w:t xml:space="preserve"> </w:t>
      </w:r>
      <w:r w:rsidRPr="00E9039C">
        <w:rPr>
          <w:i/>
          <w:iCs/>
          <w:color w:val="000000" w:themeColor="text1"/>
        </w:rPr>
        <w:t xml:space="preserve">PSMA-617 in order to request funding for </w:t>
      </w:r>
      <w:r w:rsidRPr="00E9039C">
        <w:rPr>
          <w:i/>
          <w:iCs/>
          <w:color w:val="000000" w:themeColor="text1"/>
          <w:vertAlign w:val="superscript"/>
        </w:rPr>
        <w:t>177</w:t>
      </w:r>
      <w:r w:rsidRPr="00E9039C">
        <w:rPr>
          <w:i/>
          <w:iCs/>
          <w:color w:val="000000" w:themeColor="text1"/>
        </w:rPr>
        <w:t>Lu</w:t>
      </w:r>
      <w:r w:rsidR="00906507">
        <w:rPr>
          <w:i/>
          <w:iCs/>
          <w:color w:val="000000" w:themeColor="text1"/>
        </w:rPr>
        <w:t xml:space="preserve"> </w:t>
      </w:r>
      <w:r w:rsidRPr="00E9039C">
        <w:rPr>
          <w:i/>
          <w:iCs/>
          <w:color w:val="000000" w:themeColor="text1"/>
        </w:rPr>
        <w:t>PSMA I&amp;T)?</w:t>
      </w:r>
    </w:p>
    <w:p w14:paraId="7445626A" w14:textId="75B6C0D7" w:rsidR="00D7657F" w:rsidRPr="00E9039C" w:rsidRDefault="00D7657F" w:rsidP="008749AC">
      <w:pPr>
        <w:pStyle w:val="ListParagraph"/>
        <w:numPr>
          <w:ilvl w:val="0"/>
          <w:numId w:val="32"/>
        </w:numPr>
        <w:spacing w:after="0" w:line="240" w:lineRule="auto"/>
        <w:rPr>
          <w:i/>
          <w:iCs/>
          <w:color w:val="000000" w:themeColor="text1"/>
        </w:rPr>
      </w:pPr>
      <w:r w:rsidRPr="00E9039C">
        <w:rPr>
          <w:i/>
          <w:iCs/>
          <w:color w:val="000000" w:themeColor="text1"/>
        </w:rPr>
        <w:t xml:space="preserve">Should </w:t>
      </w:r>
      <w:r w:rsidRPr="00E9039C">
        <w:rPr>
          <w:i/>
          <w:iCs/>
          <w:color w:val="000000" w:themeColor="text1"/>
          <w:vertAlign w:val="superscript"/>
        </w:rPr>
        <w:t>177</w:t>
      </w:r>
      <w:r w:rsidRPr="00E9039C">
        <w:rPr>
          <w:i/>
          <w:iCs/>
          <w:color w:val="000000" w:themeColor="text1"/>
        </w:rPr>
        <w:t>Lu</w:t>
      </w:r>
      <w:r w:rsidR="00906507">
        <w:rPr>
          <w:i/>
          <w:iCs/>
          <w:color w:val="000000" w:themeColor="text1"/>
        </w:rPr>
        <w:t xml:space="preserve"> </w:t>
      </w:r>
      <w:r w:rsidRPr="00E9039C">
        <w:rPr>
          <w:i/>
          <w:iCs/>
          <w:color w:val="000000" w:themeColor="text1"/>
        </w:rPr>
        <w:t>PSMA and its associated tests be funded by the MBS (the primary question addressed by this PICO)?</w:t>
      </w:r>
    </w:p>
    <w:p w14:paraId="6D3A8F49" w14:textId="54C5FE98" w:rsidR="003D4ED4" w:rsidRDefault="006D58F4" w:rsidP="00906507">
      <w:pPr>
        <w:spacing w:before="200"/>
        <w:rPr>
          <w:rFonts w:asciiTheme="minorHAnsi" w:hAnsiTheme="minorHAnsi" w:cstheme="minorHAnsi"/>
          <w:i/>
          <w:iCs/>
        </w:rPr>
      </w:pPr>
      <w:r>
        <w:rPr>
          <w:rFonts w:asciiTheme="minorHAnsi" w:hAnsiTheme="minorHAnsi" w:cstheme="minorHAnsi"/>
          <w:i/>
          <w:iCs/>
        </w:rPr>
        <w:t xml:space="preserve">PASC also </w:t>
      </w:r>
      <w:r w:rsidR="008749AC">
        <w:rPr>
          <w:rFonts w:asciiTheme="minorHAnsi" w:hAnsiTheme="minorHAnsi" w:cstheme="minorHAnsi"/>
          <w:i/>
          <w:iCs/>
        </w:rPr>
        <w:t xml:space="preserve">requested </w:t>
      </w:r>
      <w:r>
        <w:rPr>
          <w:rFonts w:asciiTheme="minorHAnsi" w:hAnsiTheme="minorHAnsi" w:cstheme="minorHAnsi"/>
          <w:i/>
          <w:iCs/>
        </w:rPr>
        <w:t xml:space="preserve">that the assessment report provide a comparison of a proposal where FDG PET/CT is included </w:t>
      </w:r>
      <w:r w:rsidR="0014288D">
        <w:rPr>
          <w:rFonts w:asciiTheme="minorHAnsi" w:hAnsiTheme="minorHAnsi" w:cstheme="minorHAnsi"/>
          <w:i/>
          <w:iCs/>
        </w:rPr>
        <w:t>(</w:t>
      </w:r>
      <w:r w:rsidR="0014288D">
        <w:rPr>
          <w:rFonts w:asciiTheme="minorHAnsi" w:hAnsiTheme="minorHAnsi" w:cstheme="minorHAnsi"/>
          <w:i/>
          <w:iCs/>
        </w:rPr>
        <w:fldChar w:fldCharType="begin"/>
      </w:r>
      <w:r w:rsidR="0014288D">
        <w:rPr>
          <w:rFonts w:asciiTheme="minorHAnsi" w:hAnsiTheme="minorHAnsi" w:cstheme="minorHAnsi"/>
          <w:i/>
          <w:iCs/>
        </w:rPr>
        <w:instrText xml:space="preserve"> REF _Ref87486193 \h </w:instrText>
      </w:r>
      <w:r w:rsidR="0014288D">
        <w:rPr>
          <w:rFonts w:asciiTheme="minorHAnsi" w:hAnsiTheme="minorHAnsi" w:cstheme="minorHAnsi"/>
          <w:i/>
          <w:iCs/>
        </w:rPr>
      </w:r>
      <w:r w:rsidR="0014288D">
        <w:rPr>
          <w:rFonts w:asciiTheme="minorHAnsi" w:hAnsiTheme="minorHAnsi" w:cstheme="minorHAnsi"/>
          <w:i/>
          <w:iCs/>
        </w:rPr>
        <w:fldChar w:fldCharType="separate"/>
      </w:r>
      <w:r w:rsidR="0014288D">
        <w:t xml:space="preserve">Figure </w:t>
      </w:r>
      <w:r w:rsidR="0014288D">
        <w:rPr>
          <w:noProof/>
        </w:rPr>
        <w:t>3</w:t>
      </w:r>
      <w:r w:rsidR="0014288D">
        <w:rPr>
          <w:rFonts w:asciiTheme="minorHAnsi" w:hAnsiTheme="minorHAnsi" w:cstheme="minorHAnsi"/>
          <w:i/>
          <w:iCs/>
        </w:rPr>
        <w:fldChar w:fldCharType="end"/>
      </w:r>
      <w:r w:rsidR="0014288D">
        <w:rPr>
          <w:rFonts w:asciiTheme="minorHAnsi" w:hAnsiTheme="minorHAnsi" w:cstheme="minorHAnsi"/>
          <w:i/>
          <w:iCs/>
        </w:rPr>
        <w:t xml:space="preserve">) </w:t>
      </w:r>
      <w:r>
        <w:rPr>
          <w:rFonts w:asciiTheme="minorHAnsi" w:hAnsiTheme="minorHAnsi" w:cstheme="minorHAnsi"/>
          <w:i/>
          <w:iCs/>
        </w:rPr>
        <w:t>and a proposal where it is not</w:t>
      </w:r>
      <w:r w:rsidR="0014288D">
        <w:rPr>
          <w:rFonts w:asciiTheme="minorHAnsi" w:hAnsiTheme="minorHAnsi" w:cstheme="minorHAnsi"/>
          <w:i/>
          <w:iCs/>
        </w:rPr>
        <w:t xml:space="preserve"> (</w:t>
      </w:r>
      <w:r w:rsidR="0014288D">
        <w:rPr>
          <w:rFonts w:asciiTheme="minorHAnsi" w:hAnsiTheme="minorHAnsi" w:cstheme="minorHAnsi"/>
          <w:i/>
          <w:iCs/>
        </w:rPr>
        <w:fldChar w:fldCharType="begin"/>
      </w:r>
      <w:r w:rsidR="0014288D">
        <w:rPr>
          <w:rFonts w:asciiTheme="minorHAnsi" w:hAnsiTheme="minorHAnsi" w:cstheme="minorHAnsi"/>
          <w:i/>
          <w:iCs/>
        </w:rPr>
        <w:instrText xml:space="preserve"> REF _Ref91245548 \h </w:instrText>
      </w:r>
      <w:r w:rsidR="0014288D">
        <w:rPr>
          <w:rFonts w:asciiTheme="minorHAnsi" w:hAnsiTheme="minorHAnsi" w:cstheme="minorHAnsi"/>
          <w:i/>
          <w:iCs/>
        </w:rPr>
      </w:r>
      <w:r w:rsidR="0014288D">
        <w:rPr>
          <w:rFonts w:asciiTheme="minorHAnsi" w:hAnsiTheme="minorHAnsi" w:cstheme="minorHAnsi"/>
          <w:i/>
          <w:iCs/>
        </w:rPr>
        <w:fldChar w:fldCharType="separate"/>
      </w:r>
      <w:r w:rsidR="0014288D">
        <w:t xml:space="preserve">Figure </w:t>
      </w:r>
      <w:r w:rsidR="0014288D">
        <w:rPr>
          <w:noProof/>
        </w:rPr>
        <w:t>4</w:t>
      </w:r>
      <w:r w:rsidR="0014288D">
        <w:rPr>
          <w:rFonts w:asciiTheme="minorHAnsi" w:hAnsiTheme="minorHAnsi" w:cstheme="minorHAnsi"/>
          <w:i/>
          <w:iCs/>
        </w:rPr>
        <w:fldChar w:fldCharType="end"/>
      </w:r>
      <w:r w:rsidR="0014288D">
        <w:rPr>
          <w:rFonts w:asciiTheme="minorHAnsi" w:hAnsiTheme="minorHAnsi" w:cstheme="minorHAnsi"/>
          <w:i/>
          <w:iCs/>
        </w:rPr>
        <w:t>)</w:t>
      </w:r>
      <w:r>
        <w:rPr>
          <w:rFonts w:asciiTheme="minorHAnsi" w:hAnsiTheme="minorHAnsi" w:cstheme="minorHAnsi"/>
          <w:i/>
          <w:iCs/>
        </w:rPr>
        <w:t xml:space="preserve">. This is not only to address the proportion of patients who would </w:t>
      </w:r>
      <w:r w:rsidR="00B43FA6">
        <w:rPr>
          <w:rFonts w:asciiTheme="minorHAnsi" w:hAnsiTheme="minorHAnsi" w:cstheme="minorHAnsi"/>
          <w:i/>
          <w:iCs/>
        </w:rPr>
        <w:t xml:space="preserve">be deemed ineligible </w:t>
      </w:r>
      <w:r>
        <w:rPr>
          <w:rFonts w:asciiTheme="minorHAnsi" w:hAnsiTheme="minorHAnsi" w:cstheme="minorHAnsi"/>
          <w:i/>
          <w:iCs/>
        </w:rPr>
        <w:t>(in the situation where FDG PET/CT is included), but also the consequences for patient outcomes.</w:t>
      </w:r>
    </w:p>
    <w:p w14:paraId="4BBF84CB" w14:textId="12727716" w:rsidR="009B31CC" w:rsidRPr="004E3ABF" w:rsidRDefault="009B31CC" w:rsidP="00713728">
      <w:pPr>
        <w:pStyle w:val="Heading2"/>
      </w:pPr>
      <w:r w:rsidRPr="00CC72A4">
        <w:t>Assessment framework (for investigative technologies)</w:t>
      </w:r>
    </w:p>
    <w:p w14:paraId="198016EE" w14:textId="3A6480EC" w:rsidR="000E5417" w:rsidRPr="00066772" w:rsidRDefault="00CC72A4" w:rsidP="003E19A1">
      <w:pPr>
        <w:spacing w:before="200"/>
      </w:pPr>
      <w:r w:rsidRPr="00066772">
        <w:t xml:space="preserve">No trials were identified </w:t>
      </w:r>
      <w:r w:rsidR="000E5417" w:rsidRPr="00066772">
        <w:t xml:space="preserve">that compared the efficacy of </w:t>
      </w:r>
      <w:r w:rsidR="000E5417" w:rsidRPr="00066772">
        <w:rPr>
          <w:vertAlign w:val="superscript"/>
        </w:rPr>
        <w:t>177</w:t>
      </w:r>
      <w:r w:rsidR="000E5417" w:rsidRPr="00066772">
        <w:t xml:space="preserve">Lu PSMA </w:t>
      </w:r>
      <w:r w:rsidR="00E41841">
        <w:t>I&amp;T</w:t>
      </w:r>
      <w:r w:rsidR="000E5417" w:rsidRPr="00066772">
        <w:t xml:space="preserve"> in those who were:</w:t>
      </w:r>
    </w:p>
    <w:p w14:paraId="4C71FAFC" w14:textId="4BED071C" w:rsidR="000E5417" w:rsidRPr="00066772" w:rsidRDefault="00CC72A4" w:rsidP="00D61DEB">
      <w:pPr>
        <w:pStyle w:val="ListParagraph"/>
        <w:numPr>
          <w:ilvl w:val="0"/>
          <w:numId w:val="14"/>
        </w:numPr>
        <w:ind w:left="567" w:hanging="567"/>
      </w:pPr>
      <w:r w:rsidRPr="00066772">
        <w:t>PSMA PET/CT</w:t>
      </w:r>
      <w:r w:rsidR="000E5417" w:rsidRPr="00066772">
        <w:t>-positive</w:t>
      </w:r>
      <w:r w:rsidRPr="00066772">
        <w:t xml:space="preserve"> with no FDG PET/CT </w:t>
      </w:r>
      <w:r w:rsidR="003C3037">
        <w:t>discordance</w:t>
      </w:r>
      <w:r w:rsidR="000E5417" w:rsidRPr="00066772">
        <w:t>;</w:t>
      </w:r>
    </w:p>
    <w:p w14:paraId="5853BABD" w14:textId="5F368E78" w:rsidR="000E5417" w:rsidRPr="00066772" w:rsidRDefault="000E5417" w:rsidP="00D61DEB">
      <w:pPr>
        <w:pStyle w:val="ListParagraph"/>
        <w:numPr>
          <w:ilvl w:val="0"/>
          <w:numId w:val="14"/>
        </w:numPr>
        <w:ind w:left="567" w:hanging="567"/>
      </w:pPr>
      <w:r w:rsidRPr="00066772">
        <w:t xml:space="preserve">PSMA PET/CT-positive with FDG PET/CT </w:t>
      </w:r>
      <w:r w:rsidR="003C3037">
        <w:t>discordance</w:t>
      </w:r>
      <w:r w:rsidRPr="00066772">
        <w:t>;</w:t>
      </w:r>
    </w:p>
    <w:p w14:paraId="0DC3510B" w14:textId="4B046E81" w:rsidR="000E5417" w:rsidRPr="00066772" w:rsidRDefault="000E5417" w:rsidP="00D61DEB">
      <w:pPr>
        <w:pStyle w:val="ListParagraph"/>
        <w:numPr>
          <w:ilvl w:val="0"/>
          <w:numId w:val="14"/>
        </w:numPr>
        <w:ind w:left="567" w:hanging="567"/>
      </w:pPr>
      <w:r w:rsidRPr="00066772">
        <w:t xml:space="preserve">PSMA PET/CT-negative with no FDG PET/CT </w:t>
      </w:r>
      <w:r w:rsidR="003C3037">
        <w:t>discordance</w:t>
      </w:r>
      <w:r w:rsidRPr="00066772">
        <w:t>;</w:t>
      </w:r>
      <w:r w:rsidR="00CC72A4" w:rsidRPr="00066772">
        <w:t xml:space="preserve"> </w:t>
      </w:r>
      <w:r w:rsidRPr="00066772">
        <w:t>and</w:t>
      </w:r>
    </w:p>
    <w:p w14:paraId="4C372DBB" w14:textId="04102DB3" w:rsidR="000E5417" w:rsidRPr="00066772" w:rsidRDefault="000E5417" w:rsidP="00D61DEB">
      <w:pPr>
        <w:pStyle w:val="ListParagraph"/>
        <w:numPr>
          <w:ilvl w:val="0"/>
          <w:numId w:val="14"/>
        </w:numPr>
        <w:ind w:left="567" w:hanging="567"/>
      </w:pPr>
      <w:r w:rsidRPr="00066772">
        <w:t xml:space="preserve">PSMA PET/CT-negative with FDG PET/CT </w:t>
      </w:r>
      <w:r w:rsidR="003C3037">
        <w:t>discordance</w:t>
      </w:r>
      <w:r w:rsidRPr="00066772">
        <w:t>.</w:t>
      </w:r>
    </w:p>
    <w:p w14:paraId="7754A429" w14:textId="7BB5CF8A" w:rsidR="004E3ABF" w:rsidRDefault="00CC72A4" w:rsidP="00CC72A4">
      <w:r w:rsidRPr="00066772">
        <w:t>Thus, a linked evidence approach will likely be required</w:t>
      </w:r>
      <w:r w:rsidR="000E5417" w:rsidRPr="00066772">
        <w:t xml:space="preserve"> to establish the </w:t>
      </w:r>
      <w:r w:rsidR="008C254C" w:rsidRPr="00066772">
        <w:t xml:space="preserve">proposed </w:t>
      </w:r>
      <w:r w:rsidR="000E5417" w:rsidRPr="00066772">
        <w:t xml:space="preserve">requirement for a (i) minimum PSMA-positive threshold </w:t>
      </w:r>
      <w:r w:rsidR="00D61DEB" w:rsidRPr="00066772">
        <w:t>(defined as SUV</w:t>
      </w:r>
      <w:r w:rsidR="00D61DEB" w:rsidRPr="00066772">
        <w:rPr>
          <w:vertAlign w:val="subscript"/>
        </w:rPr>
        <w:t>max</w:t>
      </w:r>
      <w:r w:rsidR="00D61DEB" w:rsidRPr="00066772">
        <w:t xml:space="preserve"> &gt;15 at a single site of disease and SUV</w:t>
      </w:r>
      <w:r w:rsidR="00D61DEB" w:rsidRPr="00066772">
        <w:rPr>
          <w:vertAlign w:val="subscript"/>
        </w:rPr>
        <w:t>max</w:t>
      </w:r>
      <w:r w:rsidR="00D61DEB" w:rsidRPr="00066772">
        <w:t xml:space="preserve"> &gt;10 at all sites of measurable disease) </w:t>
      </w:r>
      <w:r w:rsidR="000E5417" w:rsidRPr="00066772">
        <w:t xml:space="preserve">and (ii) no </w:t>
      </w:r>
      <w:r w:rsidR="00B47969" w:rsidRPr="00066772">
        <w:t>PSMA/</w:t>
      </w:r>
      <w:r w:rsidR="000E5417" w:rsidRPr="00066772">
        <w:t xml:space="preserve">FDG </w:t>
      </w:r>
      <w:r w:rsidR="003C3037">
        <w:t>discordance</w:t>
      </w:r>
      <w:r w:rsidR="00D61DEB" w:rsidRPr="00066772">
        <w:t>,</w:t>
      </w:r>
      <w:r w:rsidR="000E5417" w:rsidRPr="00066772">
        <w:t xml:space="preserve"> and the implications of these characteristics on intermediate and health outcomes as a results of treatment with </w:t>
      </w:r>
      <w:r w:rsidR="000E5417" w:rsidRPr="00066772">
        <w:rPr>
          <w:vertAlign w:val="superscript"/>
        </w:rPr>
        <w:t>177</w:t>
      </w:r>
      <w:r w:rsidR="000E5417" w:rsidRPr="00066772">
        <w:t xml:space="preserve">Lu PSMA </w:t>
      </w:r>
      <w:r w:rsidR="00E41841">
        <w:t>I&amp;T</w:t>
      </w:r>
      <w:r w:rsidRPr="00066772">
        <w:t xml:space="preserve">, see </w:t>
      </w:r>
      <w:r w:rsidRPr="00066772">
        <w:fldChar w:fldCharType="begin"/>
      </w:r>
      <w:r w:rsidRPr="00066772">
        <w:instrText xml:space="preserve"> REF _Ref87508010 \h </w:instrText>
      </w:r>
      <w:r w:rsidR="0016647E">
        <w:instrText xml:space="preserve"> \* MERGEFORMAT </w:instrText>
      </w:r>
      <w:r w:rsidRPr="00066772">
        <w:fldChar w:fldCharType="separate"/>
      </w:r>
      <w:r w:rsidR="00D5641A" w:rsidRPr="001E2A2A">
        <w:t xml:space="preserve">Figure </w:t>
      </w:r>
      <w:r w:rsidR="00D5641A" w:rsidRPr="001E2A2A">
        <w:rPr>
          <w:noProof/>
        </w:rPr>
        <w:t>1</w:t>
      </w:r>
      <w:r w:rsidRPr="00066772">
        <w:fldChar w:fldCharType="end"/>
      </w:r>
      <w:r w:rsidRPr="00066772">
        <w:t>.</w:t>
      </w:r>
    </w:p>
    <w:p w14:paraId="20ED3B7F" w14:textId="5C2E85CD" w:rsidR="0016647E" w:rsidRPr="00066772" w:rsidRDefault="0016647E" w:rsidP="0016647E">
      <w:r w:rsidRPr="00115613">
        <w:rPr>
          <w:rFonts w:asciiTheme="minorHAnsi" w:hAnsiTheme="minorHAnsi" w:cstheme="minorHAnsi"/>
          <w:i/>
          <w:iCs/>
        </w:rPr>
        <w:t>PASC considered that a linked evidence approach would be required</w:t>
      </w:r>
      <w:r>
        <w:rPr>
          <w:rFonts w:asciiTheme="minorHAnsi" w:hAnsiTheme="minorHAnsi" w:cstheme="minorHAnsi"/>
          <w:i/>
          <w:iCs/>
        </w:rPr>
        <w:t>, including</w:t>
      </w:r>
      <w:r w:rsidRPr="00115613">
        <w:rPr>
          <w:rFonts w:asciiTheme="minorHAnsi" w:hAnsiTheme="minorHAnsi" w:cstheme="minorHAnsi"/>
          <w:i/>
          <w:iCs/>
        </w:rPr>
        <w:t xml:space="preserve"> to establish the minimum PSMA-positive threshold and </w:t>
      </w:r>
      <w:r w:rsidR="00D7657F">
        <w:rPr>
          <w:rFonts w:asciiTheme="minorHAnsi" w:hAnsiTheme="minorHAnsi" w:cstheme="minorHAnsi"/>
          <w:i/>
          <w:iCs/>
        </w:rPr>
        <w:t xml:space="preserve">the </w:t>
      </w:r>
      <w:r w:rsidR="00B43FA6">
        <w:rPr>
          <w:rFonts w:asciiTheme="minorHAnsi" w:hAnsiTheme="minorHAnsi" w:cstheme="minorHAnsi"/>
          <w:i/>
          <w:iCs/>
        </w:rPr>
        <w:t>consequences</w:t>
      </w:r>
      <w:r w:rsidR="00B43FA6" w:rsidRPr="00115613">
        <w:rPr>
          <w:rFonts w:asciiTheme="minorHAnsi" w:hAnsiTheme="minorHAnsi" w:cstheme="minorHAnsi"/>
          <w:i/>
          <w:iCs/>
        </w:rPr>
        <w:t xml:space="preserve"> </w:t>
      </w:r>
      <w:r w:rsidR="00B43FA6">
        <w:rPr>
          <w:rFonts w:asciiTheme="minorHAnsi" w:hAnsiTheme="minorHAnsi" w:cstheme="minorHAnsi"/>
          <w:i/>
          <w:iCs/>
        </w:rPr>
        <w:t xml:space="preserve">for patients </w:t>
      </w:r>
      <w:r w:rsidRPr="00115613">
        <w:rPr>
          <w:rFonts w:asciiTheme="minorHAnsi" w:hAnsiTheme="minorHAnsi" w:cstheme="minorHAnsi"/>
          <w:i/>
          <w:iCs/>
        </w:rPr>
        <w:t xml:space="preserve">of PSMA/FDG </w:t>
      </w:r>
      <w:r w:rsidR="00D7657F">
        <w:rPr>
          <w:rFonts w:asciiTheme="minorHAnsi" w:hAnsiTheme="minorHAnsi" w:cstheme="minorHAnsi"/>
          <w:i/>
          <w:iCs/>
        </w:rPr>
        <w:t>discordance</w:t>
      </w:r>
      <w:r w:rsidRPr="00115613">
        <w:rPr>
          <w:rFonts w:asciiTheme="minorHAnsi" w:hAnsiTheme="minorHAnsi" w:cstheme="minorHAnsi"/>
          <w:i/>
          <w:iCs/>
        </w:rPr>
        <w:t>.</w:t>
      </w:r>
    </w:p>
    <w:p w14:paraId="12F2305D" w14:textId="72946CD3" w:rsidR="00717443" w:rsidRPr="00490FBB" w:rsidRDefault="00717443" w:rsidP="00066772">
      <w:pPr>
        <w:keepNext/>
        <w:jc w:val="center"/>
      </w:pPr>
      <w:r>
        <w:rPr>
          <w:noProof/>
          <w:lang w:eastAsia="en-AU"/>
        </w:rPr>
        <w:drawing>
          <wp:inline distT="0" distB="0" distL="0" distR="0" wp14:anchorId="431FC2CE" wp14:editId="620D6BE7">
            <wp:extent cx="5496459" cy="1962150"/>
            <wp:effectExtent l="0" t="0" r="9525" b="0"/>
            <wp:docPr id="4" name="Picture 4" descr="Diagrammatic representation of intermediate steps and links between test population and health outcomes. Test population is linked to test results information (numbered 2 and labelled as testing, with a side link to adverse events of the test, numbered 7). Test results information is linked to change in clinical decisions (numbered 3 and labelled as decision-making). change in clinical decisions is linked to intermediate outcomes (numbered 5 and labelled as treatment/management, with a side link to adverse events of treatment, numbered 8). Intermediate outcomes is linked to health outcomes with a dotted line (numbered 6 and labelled as association). Testing is also linked directly to health outcomes (numbered 1). Treatment/management is also linked directly to health outcomes (numbere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matic representation of intermediate steps and links between test population and health outcomes. Test population is linked to test results information (numbered 2 and labelled as testing, with a side link to adverse events of the test, numbered 7). Test results information is linked to change in clinical decisions (numbered 3 and labelled as decision-making). change in clinical decisions is linked to intermediate outcomes (numbered 5 and labelled as treatment/management, with a side link to adverse events of treatment, numbered 8). Intermediate outcomes is linked to health outcomes with a dotted line (numbered 6 and labelled as association). Testing is also linked directly to health outcomes (numbered 1). Treatment/management is also linked directly to health outcomes (numbered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12217" cy="1967775"/>
                    </a:xfrm>
                    <a:prstGeom prst="rect">
                      <a:avLst/>
                    </a:prstGeom>
                  </pic:spPr>
                </pic:pic>
              </a:graphicData>
            </a:graphic>
          </wp:inline>
        </w:drawing>
      </w:r>
    </w:p>
    <w:p w14:paraId="58E23E9A" w14:textId="5CD1ACCB" w:rsidR="009B31CC" w:rsidRDefault="00105E13" w:rsidP="00105E13">
      <w:pPr>
        <w:pStyle w:val="Caption"/>
      </w:pPr>
      <w:bookmarkStart w:id="3" w:name="_Ref87508010"/>
      <w:r>
        <w:t xml:space="preserve">Figure </w:t>
      </w:r>
      <w:r>
        <w:fldChar w:fldCharType="begin"/>
      </w:r>
      <w:r>
        <w:instrText xml:space="preserve"> SEQ Figure \* ARABIC </w:instrText>
      </w:r>
      <w:r>
        <w:fldChar w:fldCharType="separate"/>
      </w:r>
      <w:r w:rsidR="0014288D">
        <w:rPr>
          <w:noProof/>
        </w:rPr>
        <w:t>1</w:t>
      </w:r>
      <w:r>
        <w:fldChar w:fldCharType="end"/>
      </w:r>
      <w:bookmarkEnd w:id="3"/>
      <w:r w:rsidR="009B31CC" w:rsidRPr="00490FBB">
        <w:tab/>
        <w:t>Generic assessment framework showing the links from the test population to health outcomes</w:t>
      </w:r>
    </w:p>
    <w:p w14:paraId="6C0CB295" w14:textId="034EBD52" w:rsidR="005536B3" w:rsidRPr="00ED4AD4" w:rsidRDefault="00C40CC4" w:rsidP="00ED4AD4">
      <w:pPr>
        <w:pStyle w:val="Tablenotes"/>
        <w:keepLines/>
        <w:rPr>
          <w:szCs w:val="18"/>
        </w:rPr>
      </w:pPr>
      <w:r w:rsidRPr="00C40CC4">
        <w:rPr>
          <w:szCs w:val="18"/>
        </w:rPr>
        <w:t>Figure notes: 1: direct from test to health outcomes evidence; 2: test accuracy; 3: change in diagnosis/treatment/management; 4: influence of the change in management on health outcomes; 5: influence of the change in management on intermediate outcomes; 6: association of intermediate outcomes with health outcomes; 7: adverse events due to testing; 8: adverse events due to treatment</w:t>
      </w:r>
    </w:p>
    <w:p w14:paraId="6069F0B5" w14:textId="64F6DDFB" w:rsidR="00D73332" w:rsidRDefault="00D73332" w:rsidP="00713728">
      <w:pPr>
        <w:pStyle w:val="Heading2"/>
      </w:pPr>
      <w:r w:rsidRPr="00490FBB">
        <w:t>Clinical management algorithms</w:t>
      </w:r>
    </w:p>
    <w:p w14:paraId="6DAEE51C" w14:textId="108DCBFA" w:rsidR="00003DA3" w:rsidRPr="00066772" w:rsidRDefault="00003DA3" w:rsidP="003E19A1">
      <w:pPr>
        <w:spacing w:before="200"/>
      </w:pPr>
      <w:r>
        <w:t xml:space="preserve">The current and proposed clinical management algorithms presented in the application are presented in </w:t>
      </w:r>
      <w:r>
        <w:fldChar w:fldCharType="begin"/>
      </w:r>
      <w:r>
        <w:instrText xml:space="preserve"> REF _Ref87480578 \h </w:instrText>
      </w:r>
      <w:r>
        <w:fldChar w:fldCharType="separate"/>
      </w:r>
      <w:r w:rsidR="001E2A2A">
        <w:t xml:space="preserve">Figure </w:t>
      </w:r>
      <w:r w:rsidR="001E2A2A">
        <w:rPr>
          <w:noProof/>
        </w:rPr>
        <w:t>5</w:t>
      </w:r>
      <w:r>
        <w:fldChar w:fldCharType="end"/>
      </w:r>
      <w:r>
        <w:t xml:space="preserve"> in the attachment. The applicant subsequently provided an updated proposed algorithm, see </w:t>
      </w:r>
      <w:r>
        <w:fldChar w:fldCharType="begin"/>
      </w:r>
      <w:r>
        <w:instrText xml:space="preserve"> REF _Ref87480682 \h </w:instrText>
      </w:r>
      <w:r>
        <w:fldChar w:fldCharType="separate"/>
      </w:r>
      <w:r w:rsidR="001E2A2A">
        <w:t xml:space="preserve">Figure </w:t>
      </w:r>
      <w:r w:rsidR="001E2A2A">
        <w:rPr>
          <w:noProof/>
        </w:rPr>
        <w:t>6</w:t>
      </w:r>
      <w:r>
        <w:fldChar w:fldCharType="end"/>
      </w:r>
      <w:r>
        <w:t xml:space="preserve"> in the attachment. </w:t>
      </w:r>
      <w:r w:rsidRPr="00066772">
        <w:t xml:space="preserve">The following current </w:t>
      </w:r>
      <w:r w:rsidR="00D244AE" w:rsidRPr="00066772">
        <w:t>(</w:t>
      </w:r>
      <w:r w:rsidR="00D244AE" w:rsidRPr="00066772">
        <w:fldChar w:fldCharType="begin"/>
      </w:r>
      <w:r w:rsidR="00D244AE" w:rsidRPr="00066772">
        <w:instrText xml:space="preserve"> REF _Ref87486181 \h </w:instrText>
      </w:r>
      <w:r w:rsidR="0016647E">
        <w:instrText xml:space="preserve"> \* MERGEFORMAT </w:instrText>
      </w:r>
      <w:r w:rsidR="00D244AE" w:rsidRPr="00066772">
        <w:fldChar w:fldCharType="separate"/>
      </w:r>
      <w:r w:rsidR="00D5641A" w:rsidRPr="001E2A2A">
        <w:t xml:space="preserve">Figure </w:t>
      </w:r>
      <w:r w:rsidR="00D5641A" w:rsidRPr="001E2A2A">
        <w:rPr>
          <w:noProof/>
        </w:rPr>
        <w:t>2</w:t>
      </w:r>
      <w:r w:rsidR="00D244AE" w:rsidRPr="00066772">
        <w:fldChar w:fldCharType="end"/>
      </w:r>
      <w:r w:rsidR="00D244AE" w:rsidRPr="00066772">
        <w:t xml:space="preserve">) </w:t>
      </w:r>
      <w:r w:rsidRPr="00066772">
        <w:t>and proposed</w:t>
      </w:r>
      <w:r w:rsidR="00D244AE" w:rsidRPr="00066772">
        <w:t xml:space="preserve"> (</w:t>
      </w:r>
      <w:r w:rsidR="00D244AE" w:rsidRPr="00066772">
        <w:fldChar w:fldCharType="begin"/>
      </w:r>
      <w:r w:rsidR="00D244AE" w:rsidRPr="00066772">
        <w:instrText xml:space="preserve"> REF _Ref87486193 \h </w:instrText>
      </w:r>
      <w:r w:rsidR="0016647E">
        <w:instrText xml:space="preserve"> \* MERGEFORMAT </w:instrText>
      </w:r>
      <w:r w:rsidR="00D244AE" w:rsidRPr="00066772">
        <w:fldChar w:fldCharType="separate"/>
      </w:r>
      <w:r w:rsidR="00D5641A" w:rsidRPr="001E2A2A">
        <w:t xml:space="preserve">Figure </w:t>
      </w:r>
      <w:r w:rsidR="00D5641A" w:rsidRPr="001E2A2A">
        <w:rPr>
          <w:noProof/>
        </w:rPr>
        <w:t>3</w:t>
      </w:r>
      <w:r w:rsidR="00D244AE" w:rsidRPr="00066772">
        <w:fldChar w:fldCharType="end"/>
      </w:r>
      <w:r w:rsidR="00D244AE" w:rsidRPr="00066772">
        <w:t>)</w:t>
      </w:r>
      <w:r w:rsidRPr="00066772">
        <w:t xml:space="preserve"> clinical management algorithms were developed during the writing of this PICO.</w:t>
      </w:r>
    </w:p>
    <w:p w14:paraId="35CADFE7" w14:textId="295B5CE7" w:rsidR="00003DA3" w:rsidRDefault="00A40CE9" w:rsidP="00460ADE">
      <w:pPr>
        <w:spacing w:after="0"/>
        <w:jc w:val="center"/>
      </w:pPr>
      <w:r>
        <w:object w:dxaOrig="7933" w:dyaOrig="5089" w14:anchorId="66D76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2 Current clinical management algorithm developed during the writing of the PICO" style="width:396.75pt;height:254.25pt" o:ole="">
            <v:imagedata r:id="rId10" o:title=""/>
          </v:shape>
          <o:OLEObject Type="Embed" ProgID="Visio.Drawing.15" ShapeID="_x0000_i1025" DrawAspect="Content" ObjectID="_1716889840" r:id="rId11"/>
        </w:object>
      </w:r>
    </w:p>
    <w:p w14:paraId="6F9145DF" w14:textId="4428A4CC" w:rsidR="00003DA3" w:rsidRDefault="00003DA3" w:rsidP="00D244AE">
      <w:pPr>
        <w:pStyle w:val="Caption"/>
        <w:spacing w:before="0" w:after="40"/>
      </w:pPr>
      <w:bookmarkStart w:id="4" w:name="_Ref87486181"/>
      <w:r>
        <w:t xml:space="preserve">Figure </w:t>
      </w:r>
      <w:r>
        <w:fldChar w:fldCharType="begin"/>
      </w:r>
      <w:r>
        <w:instrText xml:space="preserve"> SEQ Figure \* ARABIC </w:instrText>
      </w:r>
      <w:r>
        <w:fldChar w:fldCharType="separate"/>
      </w:r>
      <w:r w:rsidR="0014288D">
        <w:rPr>
          <w:noProof/>
        </w:rPr>
        <w:t>2</w:t>
      </w:r>
      <w:r>
        <w:fldChar w:fldCharType="end"/>
      </w:r>
      <w:bookmarkEnd w:id="4"/>
      <w:r>
        <w:tab/>
        <w:t>Current clinical management algorithm developed during the writing of the PICO</w:t>
      </w:r>
    </w:p>
    <w:p w14:paraId="1A709593" w14:textId="6116B417" w:rsidR="00D244AE" w:rsidRDefault="00D244AE" w:rsidP="00D244AE">
      <w:pPr>
        <w:tabs>
          <w:tab w:val="left" w:pos="284"/>
        </w:tabs>
        <w:spacing w:after="240"/>
        <w:rPr>
          <w:rFonts w:ascii="Arial Narrow" w:hAnsi="Arial Narrow"/>
          <w:sz w:val="18"/>
          <w:szCs w:val="18"/>
          <w:lang w:val="en-GB" w:eastAsia="ja-JP"/>
        </w:rPr>
      </w:pPr>
      <w:r w:rsidRPr="00D244AE">
        <w:rPr>
          <w:rFonts w:ascii="Arial Narrow" w:hAnsi="Arial Narrow"/>
          <w:sz w:val="18"/>
          <w:szCs w:val="18"/>
          <w:vertAlign w:val="superscript"/>
          <w:lang w:val="en-GB" w:eastAsia="ja-JP"/>
        </w:rPr>
        <w:t>a</w:t>
      </w:r>
      <w:r w:rsidRPr="00D244AE">
        <w:rPr>
          <w:rFonts w:ascii="Arial Narrow" w:hAnsi="Arial Narrow"/>
          <w:sz w:val="18"/>
          <w:szCs w:val="18"/>
          <w:lang w:val="en-GB" w:eastAsia="ja-JP"/>
        </w:rPr>
        <w:tab/>
        <w:t xml:space="preserve">the applicant </w:t>
      </w:r>
      <w:r>
        <w:rPr>
          <w:rFonts w:ascii="Arial Narrow" w:hAnsi="Arial Narrow"/>
          <w:sz w:val="18"/>
          <w:szCs w:val="18"/>
          <w:lang w:val="en-GB" w:eastAsia="ja-JP"/>
        </w:rPr>
        <w:t>anticipate</w:t>
      </w:r>
      <w:r w:rsidR="00EA03C6">
        <w:rPr>
          <w:rFonts w:ascii="Arial Narrow" w:hAnsi="Arial Narrow"/>
          <w:sz w:val="18"/>
          <w:szCs w:val="18"/>
          <w:lang w:val="en-GB" w:eastAsia="ja-JP"/>
        </w:rPr>
        <w:t>s</w:t>
      </w:r>
      <w:r>
        <w:rPr>
          <w:rFonts w:ascii="Arial Narrow" w:hAnsi="Arial Narrow"/>
          <w:sz w:val="18"/>
          <w:szCs w:val="18"/>
          <w:lang w:val="en-GB" w:eastAsia="ja-JP"/>
        </w:rPr>
        <w:t xml:space="preserve"> darolutamide to be PBS listed metastatic </w:t>
      </w:r>
      <w:r w:rsidR="00ED1554">
        <w:rPr>
          <w:rFonts w:ascii="Arial Narrow" w:hAnsi="Arial Narrow"/>
          <w:sz w:val="18"/>
          <w:szCs w:val="18"/>
          <w:lang w:val="en-GB" w:eastAsia="ja-JP"/>
        </w:rPr>
        <w:t xml:space="preserve">disease </w:t>
      </w:r>
      <w:r>
        <w:rPr>
          <w:rFonts w:ascii="Arial Narrow" w:hAnsi="Arial Narrow"/>
          <w:sz w:val="18"/>
          <w:szCs w:val="18"/>
          <w:lang w:val="en-GB" w:eastAsia="ja-JP"/>
        </w:rPr>
        <w:t xml:space="preserve">status agnostic </w:t>
      </w:r>
    </w:p>
    <w:p w14:paraId="4902153D" w14:textId="0E90A277" w:rsidR="00825C31" w:rsidRPr="00A1754C" w:rsidRDefault="00825C31" w:rsidP="00825C31">
      <w:r w:rsidRPr="00066772">
        <w:t xml:space="preserve">The current treatment algorithm indicates that for patients with progressive or symptomatic mCRPC who have failed at least one taxane-based chemotherapy and one ASI, that the treatment options are cabazitaxel (for those who have not had prior cabazitaxel) </w:t>
      </w:r>
      <w:r w:rsidR="00460ADE" w:rsidRPr="00066772">
        <w:t xml:space="preserve">and </w:t>
      </w:r>
      <w:r w:rsidR="00E86D78">
        <w:t>standard</w:t>
      </w:r>
      <w:r w:rsidR="00C12678">
        <w:t xml:space="preserve"> care</w:t>
      </w:r>
      <w:r w:rsidRPr="00066772">
        <w:t xml:space="preserve"> (for those who have had prior cabazitaxel or those who are unable or unwilling to undertake treatment with cabazitaxel).</w:t>
      </w:r>
      <w:r w:rsidR="00A14D84" w:rsidRPr="00066772">
        <w:t xml:space="preserve"> </w:t>
      </w:r>
      <w:r w:rsidR="00F31868" w:rsidRPr="000F1405">
        <w:t>T</w:t>
      </w:r>
      <w:r w:rsidR="003716F9" w:rsidRPr="000F1405">
        <w:t xml:space="preserve">he application did not provide an estimate of the </w:t>
      </w:r>
      <w:r w:rsidR="00A14D84" w:rsidRPr="000F1405">
        <w:t xml:space="preserve">proportion of patients who would </w:t>
      </w:r>
      <w:r w:rsidR="003716F9" w:rsidRPr="000F1405">
        <w:t>currently undergo</w:t>
      </w:r>
      <w:r w:rsidR="003716F9" w:rsidRPr="003716F9">
        <w:t xml:space="preserve"> treatment with cabazitaxel versus </w:t>
      </w:r>
      <w:r w:rsidR="00E86D78">
        <w:t>standard</w:t>
      </w:r>
      <w:r w:rsidR="00C12678">
        <w:t xml:space="preserve"> care</w:t>
      </w:r>
      <w:r w:rsidR="003716F9">
        <w:t xml:space="preserve">. </w:t>
      </w:r>
      <w:r w:rsidR="003716F9" w:rsidRPr="00066772">
        <w:t>This will</w:t>
      </w:r>
      <w:r w:rsidR="003716F9" w:rsidRPr="0016647E">
        <w:t xml:space="preserve"> </w:t>
      </w:r>
      <w:r w:rsidR="003716F9" w:rsidRPr="00066772">
        <w:t>need to be clarified in the assessment report.</w:t>
      </w:r>
    </w:p>
    <w:p w14:paraId="0F0D8486" w14:textId="27785743" w:rsidR="00D244AE" w:rsidRDefault="00A40CE9" w:rsidP="00D244AE">
      <w:pPr>
        <w:spacing w:after="0"/>
        <w:jc w:val="center"/>
        <w:rPr>
          <w:lang w:val="en-GB" w:eastAsia="ja-JP"/>
        </w:rPr>
      </w:pPr>
      <w:r>
        <w:object w:dxaOrig="11377" w:dyaOrig="7813" w14:anchorId="106AA6B7">
          <v:shape id="_x0000_i1026" type="#_x0000_t75" alt="Figure 3 Proposed clinical management algorithm developed during the writing of the PICO, based on the request in the application and on the TheraP trial (Hofman 2021)&#10;" style="width:450.75pt;height:310.5pt" o:ole="">
            <v:imagedata r:id="rId12" o:title=""/>
          </v:shape>
          <o:OLEObject Type="Embed" ProgID="Visio.Drawing.15" ShapeID="_x0000_i1026" DrawAspect="Content" ObjectID="_1716889841" r:id="rId13"/>
        </w:object>
      </w:r>
    </w:p>
    <w:p w14:paraId="1AC4E754" w14:textId="49DACE90" w:rsidR="00D244AE" w:rsidRDefault="00D244AE" w:rsidP="00A50ADB">
      <w:pPr>
        <w:pStyle w:val="Caption"/>
        <w:spacing w:before="0" w:after="40"/>
      </w:pPr>
      <w:bookmarkStart w:id="5" w:name="_Ref87486193"/>
      <w:r>
        <w:t xml:space="preserve">Figure </w:t>
      </w:r>
      <w:r>
        <w:fldChar w:fldCharType="begin"/>
      </w:r>
      <w:r>
        <w:instrText xml:space="preserve"> SEQ Figure \* ARABIC </w:instrText>
      </w:r>
      <w:r>
        <w:fldChar w:fldCharType="separate"/>
      </w:r>
      <w:r w:rsidR="0014288D">
        <w:rPr>
          <w:noProof/>
        </w:rPr>
        <w:t>3</w:t>
      </w:r>
      <w:r>
        <w:fldChar w:fldCharType="end"/>
      </w:r>
      <w:bookmarkEnd w:id="5"/>
      <w:r>
        <w:tab/>
        <w:t>Proposed clinical management algorithm developed during the writing of the PICO</w:t>
      </w:r>
      <w:r w:rsidR="0016647E">
        <w:t>, based on the request in the application and on the TheraP trial</w:t>
      </w:r>
      <w:r w:rsidR="00FB79B4">
        <w:t xml:space="preserve"> (Hofman 2021)</w:t>
      </w:r>
    </w:p>
    <w:p w14:paraId="165B91C8" w14:textId="572AC5F7" w:rsidR="00D244AE" w:rsidRDefault="00D244AE" w:rsidP="00D244AE">
      <w:pPr>
        <w:tabs>
          <w:tab w:val="left" w:pos="284"/>
        </w:tabs>
        <w:spacing w:after="240"/>
        <w:rPr>
          <w:rFonts w:ascii="Arial Narrow" w:hAnsi="Arial Narrow"/>
          <w:sz w:val="18"/>
          <w:szCs w:val="18"/>
          <w:lang w:val="en-GB" w:eastAsia="ja-JP"/>
        </w:rPr>
      </w:pPr>
      <w:r w:rsidRPr="00D244AE">
        <w:rPr>
          <w:rFonts w:ascii="Arial Narrow" w:hAnsi="Arial Narrow"/>
          <w:sz w:val="18"/>
          <w:szCs w:val="18"/>
          <w:vertAlign w:val="superscript"/>
          <w:lang w:val="en-GB" w:eastAsia="ja-JP"/>
        </w:rPr>
        <w:t>a</w:t>
      </w:r>
      <w:r w:rsidRPr="00D244AE">
        <w:rPr>
          <w:rFonts w:ascii="Arial Narrow" w:hAnsi="Arial Narrow"/>
          <w:sz w:val="18"/>
          <w:szCs w:val="18"/>
          <w:lang w:val="en-GB" w:eastAsia="ja-JP"/>
        </w:rPr>
        <w:tab/>
        <w:t xml:space="preserve">the applicant </w:t>
      </w:r>
      <w:r>
        <w:rPr>
          <w:rFonts w:ascii="Arial Narrow" w:hAnsi="Arial Narrow"/>
          <w:sz w:val="18"/>
          <w:szCs w:val="18"/>
          <w:lang w:val="en-GB" w:eastAsia="ja-JP"/>
        </w:rPr>
        <w:t>anticipate</w:t>
      </w:r>
      <w:r w:rsidR="00EA03C6">
        <w:rPr>
          <w:rFonts w:ascii="Arial Narrow" w:hAnsi="Arial Narrow"/>
          <w:sz w:val="18"/>
          <w:szCs w:val="18"/>
          <w:lang w:val="en-GB" w:eastAsia="ja-JP"/>
        </w:rPr>
        <w:t>s</w:t>
      </w:r>
      <w:r>
        <w:rPr>
          <w:rFonts w:ascii="Arial Narrow" w:hAnsi="Arial Narrow"/>
          <w:sz w:val="18"/>
          <w:szCs w:val="18"/>
          <w:lang w:val="en-GB" w:eastAsia="ja-JP"/>
        </w:rPr>
        <w:t xml:space="preserve"> darolutamide to be PBS listed metastatic </w:t>
      </w:r>
      <w:r w:rsidR="00ED1554">
        <w:rPr>
          <w:rFonts w:ascii="Arial Narrow" w:hAnsi="Arial Narrow"/>
          <w:sz w:val="18"/>
          <w:szCs w:val="18"/>
          <w:lang w:val="en-GB" w:eastAsia="ja-JP"/>
        </w:rPr>
        <w:t xml:space="preserve">disease </w:t>
      </w:r>
      <w:r>
        <w:rPr>
          <w:rFonts w:ascii="Arial Narrow" w:hAnsi="Arial Narrow"/>
          <w:sz w:val="18"/>
          <w:szCs w:val="18"/>
          <w:lang w:val="en-GB" w:eastAsia="ja-JP"/>
        </w:rPr>
        <w:t xml:space="preserve">status agnostic </w:t>
      </w:r>
    </w:p>
    <w:p w14:paraId="1A6920CE" w14:textId="5DB57403" w:rsidR="005536B3" w:rsidRDefault="00825C31" w:rsidP="00ED4AD4">
      <w:r w:rsidRPr="00066772">
        <w:t>The proposed algorithm</w:t>
      </w:r>
      <w:r w:rsidR="00FB79B4">
        <w:t xml:space="preserve">, </w:t>
      </w:r>
      <w:r w:rsidR="00FB79B4" w:rsidRPr="00FB79B4">
        <w:t>based on the request in the application and on the TheraP trial</w:t>
      </w:r>
      <w:r w:rsidR="00FB79B4">
        <w:t xml:space="preserve"> (Hofman 2021),</w:t>
      </w:r>
      <w:r w:rsidRPr="00066772">
        <w:t xml:space="preserve"> maintains the treatment options for available in the current algorithm, however patients now have the opportunity to undergo testing with PSMA PET/CT, if they meet the criteria, then proceed to FDG PET/CT and if they meet those criteria, will be treated with </w:t>
      </w:r>
      <w:r w:rsidRPr="00066772">
        <w:rPr>
          <w:vertAlign w:val="superscript"/>
        </w:rPr>
        <w:t>177</w:t>
      </w:r>
      <w:r w:rsidRPr="00066772">
        <w:t xml:space="preserve">Lu PSMA </w:t>
      </w:r>
      <w:r w:rsidR="00E41841">
        <w:t>I&amp;T</w:t>
      </w:r>
      <w:r w:rsidR="0016647E">
        <w:t xml:space="preserve"> and undergo post-treatment SPECT/CT</w:t>
      </w:r>
      <w:r w:rsidRPr="00066772">
        <w:t xml:space="preserve">. Among those who meet the PSMA PET/CT criteria, but fail the FDG PET/CT criteria and those who fail to meet the PSMA PET/CT criteria, the treatment options are cabazitaxel (for those who have not had prior cabazitaxel) </w:t>
      </w:r>
      <w:r w:rsidR="00782767" w:rsidRPr="00066772">
        <w:t xml:space="preserve">and </w:t>
      </w:r>
      <w:r w:rsidR="00E86D78">
        <w:t>standard</w:t>
      </w:r>
      <w:r w:rsidR="00C12678">
        <w:t xml:space="preserve"> care</w:t>
      </w:r>
      <w:r w:rsidRPr="00066772">
        <w:t xml:space="preserve"> (for those who have had prior cabazitaxel or those who are unable or unwilling to undertake treatment with cabazitaxel).</w:t>
      </w:r>
      <w:r w:rsidR="00A14D84" w:rsidRPr="00066772">
        <w:t xml:space="preserve"> </w:t>
      </w:r>
      <w:r w:rsidR="00A14D84" w:rsidRPr="00A14D84">
        <w:t xml:space="preserve">The applicant suggests that only 30% of those treated with </w:t>
      </w:r>
      <w:r w:rsidR="00A14D84" w:rsidRPr="00A14D84">
        <w:rPr>
          <w:vertAlign w:val="superscript"/>
        </w:rPr>
        <w:t>177</w:t>
      </w:r>
      <w:r w:rsidR="00A14D84" w:rsidRPr="00A14D84">
        <w:t xml:space="preserve">Lu PSMA </w:t>
      </w:r>
      <w:r w:rsidR="00E41841">
        <w:t>I&amp;T</w:t>
      </w:r>
      <w:r w:rsidR="00A14D84" w:rsidRPr="00A14D84">
        <w:t xml:space="preserve"> would </w:t>
      </w:r>
      <w:r w:rsidR="003716F9">
        <w:t xml:space="preserve">continue </w:t>
      </w:r>
      <w:r w:rsidR="00A14D84" w:rsidRPr="00A14D84">
        <w:t xml:space="preserve">to treatment with cabazitaxel. </w:t>
      </w:r>
      <w:r w:rsidR="00A14D84" w:rsidRPr="00066772">
        <w:t>This will need to be clarified in the assessment report.</w:t>
      </w:r>
    </w:p>
    <w:p w14:paraId="44B92BA7" w14:textId="749F67A8" w:rsidR="0016647E" w:rsidRDefault="0016647E" w:rsidP="00ED4AD4">
      <w:pPr>
        <w:rPr>
          <w:rFonts w:asciiTheme="minorHAnsi" w:hAnsiTheme="minorHAnsi" w:cstheme="minorHAnsi"/>
          <w:i/>
          <w:iCs/>
          <w:szCs w:val="24"/>
        </w:rPr>
      </w:pPr>
      <w:r w:rsidRPr="00817F6C">
        <w:rPr>
          <w:rFonts w:asciiTheme="minorHAnsi" w:hAnsiTheme="minorHAnsi" w:cstheme="minorHAnsi"/>
          <w:i/>
          <w:iCs/>
          <w:szCs w:val="24"/>
        </w:rPr>
        <w:t xml:space="preserve">PASC accepted the clinical management </w:t>
      </w:r>
      <w:r w:rsidR="00E41A95" w:rsidRPr="00817F6C">
        <w:rPr>
          <w:rFonts w:asciiTheme="minorHAnsi" w:hAnsiTheme="minorHAnsi" w:cstheme="minorHAnsi"/>
          <w:i/>
          <w:iCs/>
          <w:szCs w:val="24"/>
        </w:rPr>
        <w:t>algorithms and</w:t>
      </w:r>
      <w:r w:rsidRPr="00817F6C">
        <w:rPr>
          <w:rFonts w:asciiTheme="minorHAnsi" w:hAnsiTheme="minorHAnsi" w:cstheme="minorHAnsi"/>
          <w:i/>
          <w:iCs/>
          <w:szCs w:val="24"/>
        </w:rPr>
        <w:t xml:space="preserve"> emphasised the importance of providing estimates around the proportion of patients for whom </w:t>
      </w:r>
      <w:r w:rsidR="00E86D78">
        <w:rPr>
          <w:rFonts w:asciiTheme="minorHAnsi" w:hAnsiTheme="minorHAnsi" w:cstheme="minorHAnsi"/>
          <w:i/>
          <w:iCs/>
          <w:szCs w:val="24"/>
        </w:rPr>
        <w:t>standard</w:t>
      </w:r>
      <w:r w:rsidRPr="00817F6C">
        <w:rPr>
          <w:rFonts w:asciiTheme="minorHAnsi" w:hAnsiTheme="minorHAnsi" w:cstheme="minorHAnsi"/>
          <w:i/>
          <w:iCs/>
          <w:szCs w:val="24"/>
        </w:rPr>
        <w:t xml:space="preserve"> care would be a relevant comparator, and the proportion of those who would continue to treatment with cabazitaxel following </w:t>
      </w:r>
      <w:r w:rsidRPr="00817F6C">
        <w:rPr>
          <w:rFonts w:asciiTheme="minorHAnsi" w:hAnsiTheme="minorHAnsi" w:cstheme="minorHAnsi"/>
          <w:i/>
          <w:iCs/>
          <w:szCs w:val="24"/>
          <w:vertAlign w:val="superscript"/>
        </w:rPr>
        <w:t>177</w:t>
      </w:r>
      <w:r w:rsidRPr="00817F6C">
        <w:rPr>
          <w:rFonts w:asciiTheme="minorHAnsi" w:hAnsiTheme="minorHAnsi" w:cstheme="minorHAnsi"/>
          <w:i/>
          <w:iCs/>
          <w:szCs w:val="24"/>
        </w:rPr>
        <w:t>Lu PSMA.</w:t>
      </w:r>
    </w:p>
    <w:p w14:paraId="59762C3F" w14:textId="64B75C27" w:rsidR="0014288D" w:rsidRDefault="0014288D" w:rsidP="00ED4AD4">
      <w:r>
        <w:fldChar w:fldCharType="begin"/>
      </w:r>
      <w:r>
        <w:instrText xml:space="preserve"> REF _Ref91245548 \h </w:instrText>
      </w:r>
      <w:r>
        <w:fldChar w:fldCharType="separate"/>
      </w:r>
      <w:r>
        <w:t xml:space="preserve">Figure </w:t>
      </w:r>
      <w:r>
        <w:rPr>
          <w:noProof/>
        </w:rPr>
        <w:t>4</w:t>
      </w:r>
      <w:r>
        <w:fldChar w:fldCharType="end"/>
      </w:r>
      <w:r>
        <w:t xml:space="preserve"> was developed for the post-PASC PICO to capture a proposed algorithm where eligibility for </w:t>
      </w:r>
      <w:r>
        <w:rPr>
          <w:vertAlign w:val="superscript"/>
        </w:rPr>
        <w:t>177</w:t>
      </w:r>
      <w:r>
        <w:t xml:space="preserve">Lu PSMA </w:t>
      </w:r>
      <w:r w:rsidR="00E41841">
        <w:t>I&amp;T</w:t>
      </w:r>
      <w:r>
        <w:t xml:space="preserve"> treatment does not require FDG PET/CT and also does not include post-treatment SPECT/CT, as per the VISION trial (Sartor 2021).</w:t>
      </w:r>
    </w:p>
    <w:p w14:paraId="04E1BBB0" w14:textId="45BD0EBC" w:rsidR="0014288D" w:rsidRDefault="00A40CE9" w:rsidP="0014288D">
      <w:pPr>
        <w:pStyle w:val="Caption"/>
      </w:pPr>
      <w:r>
        <w:object w:dxaOrig="11569" w:dyaOrig="7813" w14:anchorId="62E9FCB8">
          <v:shape id="_x0000_i1027" type="#_x0000_t75" alt="Figure 4 Possible clinical management algorithm developed during the writing of the PICO, based on the VISION trial (Sartor 2021)" style="width:452.25pt;height:303.75pt" o:ole="">
            <v:imagedata r:id="rId14" o:title=""/>
          </v:shape>
          <o:OLEObject Type="Embed" ProgID="Visio.Drawing.15" ShapeID="_x0000_i1027" DrawAspect="Content" ObjectID="_1716889842" r:id="rId15"/>
        </w:object>
      </w:r>
    </w:p>
    <w:p w14:paraId="5739E634" w14:textId="498E5793" w:rsidR="0014288D" w:rsidRDefault="0014288D" w:rsidP="0014288D">
      <w:pPr>
        <w:pStyle w:val="Caption"/>
        <w:spacing w:before="0" w:after="40"/>
      </w:pPr>
      <w:bookmarkStart w:id="6" w:name="_Ref91245548"/>
      <w:r>
        <w:t xml:space="preserve">Figure </w:t>
      </w:r>
      <w:r>
        <w:fldChar w:fldCharType="begin"/>
      </w:r>
      <w:r>
        <w:instrText xml:space="preserve"> SEQ Figure \* ARABIC </w:instrText>
      </w:r>
      <w:r>
        <w:fldChar w:fldCharType="separate"/>
      </w:r>
      <w:r>
        <w:rPr>
          <w:noProof/>
        </w:rPr>
        <w:t>4</w:t>
      </w:r>
      <w:r>
        <w:fldChar w:fldCharType="end"/>
      </w:r>
      <w:bookmarkEnd w:id="6"/>
      <w:r>
        <w:tab/>
      </w:r>
      <w:r w:rsidR="00711A84">
        <w:t xml:space="preserve">Possible </w:t>
      </w:r>
      <w:r>
        <w:t>clinical management algorithm developed during the writing of the PICO, based on the VISION trial (Sartor 2021)</w:t>
      </w:r>
    </w:p>
    <w:p w14:paraId="500C0A7D" w14:textId="0910337C" w:rsidR="0014288D" w:rsidRDefault="0014288D" w:rsidP="0014288D">
      <w:pPr>
        <w:tabs>
          <w:tab w:val="left" w:pos="284"/>
        </w:tabs>
        <w:spacing w:after="240"/>
        <w:rPr>
          <w:rFonts w:ascii="Arial Narrow" w:hAnsi="Arial Narrow"/>
          <w:sz w:val="18"/>
          <w:szCs w:val="18"/>
          <w:lang w:val="en-GB" w:eastAsia="ja-JP"/>
        </w:rPr>
      </w:pPr>
      <w:r w:rsidRPr="0014288D">
        <w:rPr>
          <w:rFonts w:ascii="Arial Narrow" w:hAnsi="Arial Narrow"/>
          <w:sz w:val="18"/>
          <w:szCs w:val="18"/>
          <w:vertAlign w:val="superscript"/>
          <w:lang w:val="en-GB" w:eastAsia="ja-JP"/>
        </w:rPr>
        <w:t>a</w:t>
      </w:r>
      <w:r w:rsidRPr="00D244AE">
        <w:rPr>
          <w:rFonts w:ascii="Arial Narrow" w:hAnsi="Arial Narrow"/>
          <w:sz w:val="18"/>
          <w:szCs w:val="18"/>
          <w:lang w:val="en-GB" w:eastAsia="ja-JP"/>
        </w:rPr>
        <w:tab/>
        <w:t xml:space="preserve">the applicant </w:t>
      </w:r>
      <w:r>
        <w:rPr>
          <w:rFonts w:ascii="Arial Narrow" w:hAnsi="Arial Narrow"/>
          <w:sz w:val="18"/>
          <w:szCs w:val="18"/>
          <w:lang w:val="en-GB" w:eastAsia="ja-JP"/>
        </w:rPr>
        <w:t>anticipates darolutamide to be PBS listed metastatic disease status agnostic</w:t>
      </w:r>
    </w:p>
    <w:p w14:paraId="3967E68B" w14:textId="77777777" w:rsidR="0014288D" w:rsidRDefault="0014288D" w:rsidP="0014288D">
      <w:pPr>
        <w:rPr>
          <w:rFonts w:asciiTheme="minorHAnsi" w:hAnsiTheme="minorHAnsi" w:cstheme="minorHAnsi"/>
          <w:i/>
          <w:iCs/>
          <w:szCs w:val="24"/>
        </w:rPr>
      </w:pPr>
      <w:r w:rsidRPr="008611D2">
        <w:rPr>
          <w:rFonts w:asciiTheme="minorHAnsi" w:hAnsiTheme="minorHAnsi" w:cstheme="minorHAnsi"/>
          <w:i/>
          <w:iCs/>
          <w:szCs w:val="24"/>
        </w:rPr>
        <w:t xml:space="preserve">PASC reiterated the </w:t>
      </w:r>
      <w:r>
        <w:rPr>
          <w:rFonts w:asciiTheme="minorHAnsi" w:hAnsiTheme="minorHAnsi" w:cstheme="minorHAnsi"/>
          <w:i/>
          <w:iCs/>
          <w:szCs w:val="24"/>
        </w:rPr>
        <w:t>need for</w:t>
      </w:r>
      <w:r w:rsidRPr="008611D2">
        <w:rPr>
          <w:rFonts w:asciiTheme="minorHAnsi" w:hAnsiTheme="minorHAnsi" w:cstheme="minorHAnsi"/>
          <w:i/>
          <w:iCs/>
          <w:szCs w:val="24"/>
        </w:rPr>
        <w:t xml:space="preserve"> </w:t>
      </w:r>
      <w:r>
        <w:rPr>
          <w:rFonts w:asciiTheme="minorHAnsi" w:hAnsiTheme="minorHAnsi" w:cstheme="minorHAnsi"/>
          <w:i/>
          <w:iCs/>
          <w:szCs w:val="24"/>
        </w:rPr>
        <w:t xml:space="preserve">the assessment report to provide </w:t>
      </w:r>
      <w:r w:rsidRPr="008611D2">
        <w:rPr>
          <w:rFonts w:asciiTheme="minorHAnsi" w:hAnsiTheme="minorHAnsi" w:cstheme="minorHAnsi"/>
          <w:i/>
          <w:iCs/>
          <w:szCs w:val="24"/>
        </w:rPr>
        <w:t xml:space="preserve">comparisons with a </w:t>
      </w:r>
      <w:r>
        <w:rPr>
          <w:rFonts w:asciiTheme="minorHAnsi" w:hAnsiTheme="minorHAnsi" w:cstheme="minorHAnsi"/>
          <w:i/>
          <w:iCs/>
          <w:szCs w:val="24"/>
        </w:rPr>
        <w:t xml:space="preserve">possible </w:t>
      </w:r>
      <w:r w:rsidRPr="008611D2">
        <w:rPr>
          <w:rFonts w:asciiTheme="minorHAnsi" w:hAnsiTheme="minorHAnsi" w:cstheme="minorHAnsi"/>
          <w:i/>
          <w:iCs/>
          <w:szCs w:val="24"/>
        </w:rPr>
        <w:t xml:space="preserve">clinical management </w:t>
      </w:r>
      <w:r>
        <w:rPr>
          <w:rFonts w:asciiTheme="minorHAnsi" w:hAnsiTheme="minorHAnsi" w:cstheme="minorHAnsi"/>
          <w:i/>
          <w:iCs/>
          <w:szCs w:val="24"/>
        </w:rPr>
        <w:t xml:space="preserve">algorithm </w:t>
      </w:r>
      <w:r w:rsidRPr="008611D2">
        <w:rPr>
          <w:rFonts w:asciiTheme="minorHAnsi" w:hAnsiTheme="minorHAnsi" w:cstheme="minorHAnsi"/>
          <w:i/>
          <w:iCs/>
          <w:szCs w:val="24"/>
        </w:rPr>
        <w:t>which does not include FDG-PET</w:t>
      </w:r>
      <w:r>
        <w:rPr>
          <w:rFonts w:asciiTheme="minorHAnsi" w:hAnsiTheme="minorHAnsi" w:cstheme="minorHAnsi"/>
          <w:i/>
          <w:iCs/>
          <w:szCs w:val="24"/>
        </w:rPr>
        <w:t xml:space="preserve"> (</w:t>
      </w:r>
      <w:r>
        <w:rPr>
          <w:rFonts w:asciiTheme="minorHAnsi" w:hAnsiTheme="minorHAnsi" w:cstheme="minorHAnsi"/>
          <w:i/>
          <w:iCs/>
          <w:szCs w:val="24"/>
        </w:rPr>
        <w:fldChar w:fldCharType="begin"/>
      </w:r>
      <w:r>
        <w:rPr>
          <w:rFonts w:asciiTheme="minorHAnsi" w:hAnsiTheme="minorHAnsi" w:cstheme="minorHAnsi"/>
          <w:i/>
          <w:iCs/>
          <w:szCs w:val="24"/>
        </w:rPr>
        <w:instrText xml:space="preserve"> REF _Ref91245548 \h </w:instrText>
      </w:r>
      <w:r>
        <w:rPr>
          <w:rFonts w:asciiTheme="minorHAnsi" w:hAnsiTheme="minorHAnsi" w:cstheme="minorHAnsi"/>
          <w:i/>
          <w:iCs/>
          <w:szCs w:val="24"/>
        </w:rPr>
      </w:r>
      <w:r>
        <w:rPr>
          <w:rFonts w:asciiTheme="minorHAnsi" w:hAnsiTheme="minorHAnsi" w:cstheme="minorHAnsi"/>
          <w:i/>
          <w:iCs/>
          <w:szCs w:val="24"/>
        </w:rPr>
        <w:fldChar w:fldCharType="separate"/>
      </w:r>
      <w:r>
        <w:t xml:space="preserve">Figure </w:t>
      </w:r>
      <w:r>
        <w:rPr>
          <w:noProof/>
        </w:rPr>
        <w:t>4</w:t>
      </w:r>
      <w:r>
        <w:rPr>
          <w:rFonts w:asciiTheme="minorHAnsi" w:hAnsiTheme="minorHAnsi" w:cstheme="minorHAnsi"/>
          <w:i/>
          <w:iCs/>
          <w:szCs w:val="24"/>
        </w:rPr>
        <w:fldChar w:fldCharType="end"/>
      </w:r>
      <w:r>
        <w:rPr>
          <w:rFonts w:asciiTheme="minorHAnsi" w:hAnsiTheme="minorHAnsi" w:cstheme="minorHAnsi"/>
          <w:i/>
          <w:iCs/>
          <w:szCs w:val="24"/>
        </w:rPr>
        <w:t>)</w:t>
      </w:r>
      <w:r w:rsidRPr="008611D2">
        <w:rPr>
          <w:rFonts w:asciiTheme="minorHAnsi" w:hAnsiTheme="minorHAnsi" w:cstheme="minorHAnsi"/>
          <w:i/>
          <w:iCs/>
          <w:szCs w:val="24"/>
        </w:rPr>
        <w:t>.</w:t>
      </w:r>
    </w:p>
    <w:p w14:paraId="2BDE22B9" w14:textId="77777777" w:rsidR="00D73332" w:rsidRDefault="00D73332" w:rsidP="00713728">
      <w:pPr>
        <w:pStyle w:val="Heading2"/>
        <w:rPr>
          <w:b/>
          <w:bCs/>
          <w:i/>
        </w:rPr>
      </w:pPr>
      <w:r w:rsidRPr="00490FBB">
        <w:t>Proposed economic evaluation</w:t>
      </w:r>
    </w:p>
    <w:p w14:paraId="4B072F37" w14:textId="55860ABF" w:rsidR="002F3E40" w:rsidRDefault="00900179" w:rsidP="00231881">
      <w:pPr>
        <w:spacing w:before="200"/>
      </w:pPr>
      <w:r>
        <w:fldChar w:fldCharType="begin"/>
      </w:r>
      <w:r>
        <w:instrText xml:space="preserve"> REF _Ref87505997 \h </w:instrText>
      </w:r>
      <w:r>
        <w:fldChar w:fldCharType="separate"/>
      </w:r>
      <w:r w:rsidR="00D5641A">
        <w:t xml:space="preserve">Table </w:t>
      </w:r>
      <w:r w:rsidR="00D5641A">
        <w:rPr>
          <w:noProof/>
        </w:rPr>
        <w:t>3</w:t>
      </w:r>
      <w:r>
        <w:fldChar w:fldCharType="end"/>
      </w:r>
      <w:r w:rsidR="00686EED">
        <w:t xml:space="preserve"> provides a guide for determining which type of</w:t>
      </w:r>
      <w:r w:rsidR="00686EED" w:rsidRPr="00686EED">
        <w:t xml:space="preserve"> </w:t>
      </w:r>
      <w:r w:rsidR="00686EED">
        <w:t xml:space="preserve">economic evaluation is appropriate. </w:t>
      </w:r>
      <w:r w:rsidRPr="00066772">
        <w:t>Based on the clinical claim</w:t>
      </w:r>
      <w:r w:rsidR="004D2329" w:rsidRPr="00066772">
        <w:t xml:space="preserve"> of superior </w:t>
      </w:r>
      <w:r w:rsidR="002D17EA" w:rsidRPr="00066772">
        <w:t>health outcomes</w:t>
      </w:r>
      <w:r w:rsidR="00AA506D" w:rsidRPr="00066772">
        <w:t xml:space="preserve"> for effectiveness </w:t>
      </w:r>
      <w:r w:rsidR="00AF549C" w:rsidRPr="00066772">
        <w:t>(</w:t>
      </w:r>
      <w:r w:rsidR="00AA506D" w:rsidRPr="00066772">
        <w:t>a clinical claim regarding comparative safety is required from the applicant)</w:t>
      </w:r>
      <w:r w:rsidRPr="00066772">
        <w:t xml:space="preserve">, a cost-effectiveness or cost-utility analysis would be appropriate. There is some randomised trial evidence that would appear to support this approach (the TheraP </w:t>
      </w:r>
      <w:r w:rsidR="00CC72A4" w:rsidRPr="00066772">
        <w:t xml:space="preserve">[versus cabazitaxel; </w:t>
      </w:r>
      <w:r w:rsidRPr="00066772">
        <w:t>Hofman 2021</w:t>
      </w:r>
      <w:r w:rsidR="00CC72A4" w:rsidRPr="00066772">
        <w:t>]</w:t>
      </w:r>
      <w:r w:rsidRPr="00066772">
        <w:t xml:space="preserve"> and VISION </w:t>
      </w:r>
      <w:r w:rsidR="00CC72A4" w:rsidRPr="00066772">
        <w:t xml:space="preserve">[versus placebo; </w:t>
      </w:r>
      <w:r w:rsidRPr="00066772">
        <w:t>Sartor 2021</w:t>
      </w:r>
      <w:r w:rsidR="00CC72A4" w:rsidRPr="00066772">
        <w:t>]</w:t>
      </w:r>
      <w:r w:rsidRPr="00066772">
        <w:t xml:space="preserve"> trials).</w:t>
      </w:r>
    </w:p>
    <w:p w14:paraId="12572545" w14:textId="40630DB5" w:rsidR="001E2A2A" w:rsidRDefault="001E2A2A" w:rsidP="00900179">
      <w:pPr>
        <w:rPr>
          <w:rFonts w:asciiTheme="minorHAnsi" w:hAnsiTheme="minorHAnsi" w:cstheme="minorHAnsi"/>
          <w:i/>
          <w:iCs/>
        </w:rPr>
      </w:pPr>
      <w:r w:rsidRPr="00115613">
        <w:rPr>
          <w:rFonts w:asciiTheme="minorHAnsi" w:hAnsiTheme="minorHAnsi" w:cstheme="minorHAnsi"/>
          <w:i/>
          <w:iCs/>
        </w:rPr>
        <w:t xml:space="preserve">PASC noted that no comparative safety claim was made by the application. PASC also noted that the comparative safety of </w:t>
      </w:r>
      <w:r w:rsidRPr="00115613">
        <w:rPr>
          <w:rFonts w:asciiTheme="minorHAnsi" w:hAnsiTheme="minorHAnsi" w:cstheme="minorHAnsi"/>
          <w:i/>
          <w:iCs/>
          <w:vertAlign w:val="superscript"/>
        </w:rPr>
        <w:t>177</w:t>
      </w:r>
      <w:r w:rsidRPr="00115613">
        <w:rPr>
          <w:rFonts w:asciiTheme="minorHAnsi" w:hAnsiTheme="minorHAnsi" w:cstheme="minorHAnsi"/>
          <w:i/>
          <w:iCs/>
        </w:rPr>
        <w:t xml:space="preserve">Lu PSMA appeared to be superior compared with cabazitaxel (TheraP, Hofman 2021) and inferior compared with </w:t>
      </w:r>
      <w:r w:rsidR="00E86D78">
        <w:rPr>
          <w:rFonts w:asciiTheme="minorHAnsi" w:hAnsiTheme="minorHAnsi" w:cstheme="minorHAnsi"/>
          <w:i/>
          <w:iCs/>
        </w:rPr>
        <w:t>standard</w:t>
      </w:r>
      <w:r w:rsidR="00BD3FF0" w:rsidRPr="00115613">
        <w:rPr>
          <w:rFonts w:asciiTheme="minorHAnsi" w:hAnsiTheme="minorHAnsi" w:cstheme="minorHAnsi"/>
          <w:i/>
          <w:iCs/>
        </w:rPr>
        <w:t xml:space="preserve"> </w:t>
      </w:r>
      <w:r w:rsidRPr="00115613">
        <w:rPr>
          <w:rFonts w:asciiTheme="minorHAnsi" w:hAnsiTheme="minorHAnsi" w:cstheme="minorHAnsi"/>
          <w:i/>
          <w:iCs/>
        </w:rPr>
        <w:t>care (VISION; Sartor 2021).</w:t>
      </w:r>
    </w:p>
    <w:p w14:paraId="21E60EE8" w14:textId="3311B8F7" w:rsidR="001E2A2A" w:rsidRPr="006428B8" w:rsidRDefault="001E2A2A" w:rsidP="00900179">
      <w:r w:rsidRPr="00AF10B6">
        <w:rPr>
          <w:rFonts w:asciiTheme="minorHAnsi" w:hAnsiTheme="minorHAnsi" w:cstheme="minorHAnsi"/>
          <w:i/>
          <w:iCs/>
        </w:rPr>
        <w:t>PASC accepted that a cost-effectiveness or cost-utility analysis would be appropriate based on the clinical claim of superior effectiveness.</w:t>
      </w:r>
    </w:p>
    <w:p w14:paraId="6DAB2DBD" w14:textId="7B7C57D3" w:rsidR="000939E0" w:rsidRPr="00490FBB" w:rsidRDefault="00900179" w:rsidP="00900179">
      <w:pPr>
        <w:pStyle w:val="Caption"/>
      </w:pPr>
      <w:bookmarkStart w:id="7" w:name="_Ref87505997"/>
      <w:bookmarkStart w:id="8" w:name="_Toc423450289"/>
      <w:r>
        <w:t xml:space="preserve">Table </w:t>
      </w:r>
      <w:r>
        <w:fldChar w:fldCharType="begin"/>
      </w:r>
      <w:r>
        <w:instrText xml:space="preserve"> SEQ Table \* ARABIC </w:instrText>
      </w:r>
      <w:r>
        <w:fldChar w:fldCharType="separate"/>
      </w:r>
      <w:r w:rsidR="00D5641A">
        <w:rPr>
          <w:noProof/>
        </w:rPr>
        <w:t>3</w:t>
      </w:r>
      <w:r>
        <w:fldChar w:fldCharType="end"/>
      </w:r>
      <w:bookmarkEnd w:id="7"/>
      <w:r w:rsidR="001A5D2F">
        <w:tab/>
        <w:t>Classification of</w:t>
      </w:r>
      <w:r w:rsidR="000939E0" w:rsidRPr="00490FBB">
        <w:t xml:space="preserve"> comparative effectiveness and safety of the proposed intervention</w:t>
      </w:r>
      <w:r w:rsidR="001A5D2F">
        <w:t>,</w:t>
      </w:r>
      <w:r w:rsidR="000939E0" w:rsidRPr="00490FBB">
        <w:t xml:space="preserve"> compared with its main comparator</w:t>
      </w:r>
      <w:r w:rsidR="001A5D2F">
        <w:t>,</w:t>
      </w:r>
      <w:r w:rsidR="000939E0" w:rsidRPr="00490FBB">
        <w:t xml:space="preserve"> and guide to the suitable type of economic evaluation</w:t>
      </w:r>
      <w:bookmarkEnd w:id="8"/>
    </w:p>
    <w:tbl>
      <w:tblPr>
        <w:tblW w:w="5000" w:type="pct"/>
        <w:tblInd w:w="-147" w:type="dxa"/>
        <w:tblLayout w:type="fixed"/>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2269"/>
        <w:gridCol w:w="1902"/>
        <w:gridCol w:w="2223"/>
        <w:gridCol w:w="1745"/>
        <w:gridCol w:w="1432"/>
      </w:tblGrid>
      <w:tr w:rsidR="00686EED" w:rsidRPr="00490FBB" w14:paraId="5238F44C" w14:textId="77777777" w:rsidTr="00EA03C6">
        <w:trPr>
          <w:cantSplit/>
          <w:tblHeader/>
        </w:trPr>
        <w:tc>
          <w:tcPr>
            <w:tcW w:w="2274" w:type="dxa"/>
            <w:vMerge w:val="restart"/>
            <w:tcBorders>
              <w:top w:val="single" w:sz="4" w:space="0" w:color="auto"/>
              <w:left w:val="single" w:sz="4" w:space="0" w:color="auto"/>
              <w:right w:val="single" w:sz="4" w:space="0" w:color="auto"/>
            </w:tcBorders>
          </w:tcPr>
          <w:p w14:paraId="5B06A6EA" w14:textId="730AFFCD" w:rsidR="00686EED" w:rsidRPr="00490FBB" w:rsidRDefault="00686EED" w:rsidP="00C40CC4">
            <w:pPr>
              <w:pStyle w:val="TableHeading"/>
            </w:pPr>
            <w:bookmarkStart w:id="9" w:name="Title_Table2" w:colFirst="0" w:colLast="0"/>
            <w:r w:rsidRPr="00490FBB">
              <w:t>Comparative safety</w:t>
            </w:r>
            <w:r w:rsidRPr="00490FBB">
              <w:rPr>
                <w:color w:val="FFFFFF" w:themeColor="background1"/>
              </w:rPr>
              <w:t>-</w:t>
            </w:r>
          </w:p>
        </w:tc>
        <w:tc>
          <w:tcPr>
            <w:tcW w:w="1905" w:type="dxa"/>
            <w:tcBorders>
              <w:top w:val="single" w:sz="4" w:space="0" w:color="auto"/>
              <w:left w:val="single" w:sz="4" w:space="0" w:color="auto"/>
              <w:bottom w:val="single" w:sz="4" w:space="0" w:color="auto"/>
              <w:right w:val="nil"/>
            </w:tcBorders>
          </w:tcPr>
          <w:p w14:paraId="293E5792" w14:textId="77777777" w:rsidR="00686EED" w:rsidRPr="00490FBB" w:rsidRDefault="00686EED" w:rsidP="00C40CC4">
            <w:pPr>
              <w:pStyle w:val="TableHeading"/>
              <w:jc w:val="center"/>
            </w:pPr>
          </w:p>
        </w:tc>
        <w:tc>
          <w:tcPr>
            <w:tcW w:w="2227" w:type="dxa"/>
            <w:tcBorders>
              <w:top w:val="single" w:sz="4" w:space="0" w:color="auto"/>
              <w:left w:val="nil"/>
              <w:bottom w:val="single" w:sz="4" w:space="0" w:color="auto"/>
            </w:tcBorders>
          </w:tcPr>
          <w:p w14:paraId="57B2397B" w14:textId="77777777" w:rsidR="00686EED" w:rsidRPr="00490FBB" w:rsidRDefault="00686EED" w:rsidP="00C40CC4">
            <w:pPr>
              <w:pStyle w:val="TableHeading"/>
              <w:ind w:left="-75" w:right="-127"/>
              <w:jc w:val="center"/>
            </w:pPr>
            <w:r w:rsidRPr="00490FBB">
              <w:t>Comparative effectiveness</w:t>
            </w:r>
          </w:p>
        </w:tc>
        <w:tc>
          <w:tcPr>
            <w:tcW w:w="1748" w:type="dxa"/>
            <w:tcBorders>
              <w:top w:val="single" w:sz="4" w:space="0" w:color="auto"/>
              <w:left w:val="nil"/>
              <w:bottom w:val="single" w:sz="4" w:space="0" w:color="auto"/>
            </w:tcBorders>
          </w:tcPr>
          <w:p w14:paraId="6B53FB6C" w14:textId="77777777" w:rsidR="00686EED" w:rsidRPr="00490FBB" w:rsidRDefault="00686EED" w:rsidP="00C40CC4">
            <w:pPr>
              <w:pStyle w:val="TableHeading"/>
              <w:jc w:val="center"/>
            </w:pPr>
          </w:p>
        </w:tc>
        <w:tc>
          <w:tcPr>
            <w:tcW w:w="1434" w:type="dxa"/>
            <w:tcBorders>
              <w:top w:val="single" w:sz="4" w:space="0" w:color="auto"/>
              <w:left w:val="nil"/>
              <w:bottom w:val="single" w:sz="4" w:space="0" w:color="auto"/>
              <w:right w:val="single" w:sz="4" w:space="0" w:color="auto"/>
            </w:tcBorders>
          </w:tcPr>
          <w:p w14:paraId="0FE152FA" w14:textId="77777777" w:rsidR="00686EED" w:rsidRPr="00490FBB" w:rsidRDefault="00686EED" w:rsidP="00C40CC4">
            <w:pPr>
              <w:pStyle w:val="TableHeading"/>
              <w:jc w:val="center"/>
            </w:pPr>
          </w:p>
        </w:tc>
      </w:tr>
      <w:bookmarkEnd w:id="9"/>
      <w:tr w:rsidR="00686EED" w:rsidRPr="00490FBB" w14:paraId="78A8F3F1" w14:textId="77777777" w:rsidTr="00EA03C6">
        <w:trPr>
          <w:cantSplit/>
          <w:tblHeader/>
        </w:trPr>
        <w:tc>
          <w:tcPr>
            <w:tcW w:w="2274" w:type="dxa"/>
            <w:vMerge/>
            <w:tcBorders>
              <w:left w:val="single" w:sz="4" w:space="0" w:color="auto"/>
              <w:bottom w:val="single" w:sz="4" w:space="0" w:color="auto"/>
              <w:right w:val="single" w:sz="4" w:space="0" w:color="auto"/>
            </w:tcBorders>
          </w:tcPr>
          <w:p w14:paraId="6E00D947" w14:textId="57BEC7DE" w:rsidR="00686EED" w:rsidRPr="00490FBB" w:rsidRDefault="00686EED" w:rsidP="00C40CC4">
            <w:pPr>
              <w:pStyle w:val="TableHeading"/>
            </w:pPr>
          </w:p>
        </w:tc>
        <w:tc>
          <w:tcPr>
            <w:tcW w:w="1905" w:type="dxa"/>
            <w:tcBorders>
              <w:left w:val="single" w:sz="4" w:space="0" w:color="auto"/>
              <w:bottom w:val="single" w:sz="4" w:space="0" w:color="auto"/>
              <w:right w:val="single" w:sz="4" w:space="0" w:color="auto"/>
            </w:tcBorders>
          </w:tcPr>
          <w:p w14:paraId="319C788C" w14:textId="77777777" w:rsidR="00686EED" w:rsidRPr="00490FBB" w:rsidRDefault="00686EED" w:rsidP="00C40CC4">
            <w:pPr>
              <w:pStyle w:val="TableHeading"/>
              <w:jc w:val="center"/>
            </w:pPr>
            <w:r w:rsidRPr="00490FBB">
              <w:t>Inferior</w:t>
            </w:r>
          </w:p>
        </w:tc>
        <w:tc>
          <w:tcPr>
            <w:tcW w:w="2227" w:type="dxa"/>
            <w:tcBorders>
              <w:top w:val="single" w:sz="4" w:space="0" w:color="auto"/>
              <w:left w:val="single" w:sz="4" w:space="0" w:color="auto"/>
              <w:bottom w:val="single" w:sz="4" w:space="0" w:color="auto"/>
              <w:right w:val="single" w:sz="4" w:space="0" w:color="auto"/>
            </w:tcBorders>
          </w:tcPr>
          <w:p w14:paraId="5AC96128" w14:textId="77777777" w:rsidR="00686EED" w:rsidRPr="00490FBB" w:rsidRDefault="00686EED" w:rsidP="00C40CC4">
            <w:pPr>
              <w:pStyle w:val="TableHeading"/>
              <w:jc w:val="center"/>
            </w:pPr>
            <w:r w:rsidRPr="00490FBB">
              <w:t>Uncertain</w:t>
            </w:r>
            <w:r w:rsidRPr="00490FBB">
              <w:rPr>
                <w:vertAlign w:val="superscript"/>
              </w:rPr>
              <w:t>a</w:t>
            </w:r>
          </w:p>
        </w:tc>
        <w:tc>
          <w:tcPr>
            <w:tcW w:w="1748" w:type="dxa"/>
            <w:tcBorders>
              <w:top w:val="single" w:sz="4" w:space="0" w:color="auto"/>
              <w:left w:val="single" w:sz="4" w:space="0" w:color="auto"/>
              <w:bottom w:val="single" w:sz="4" w:space="0" w:color="auto"/>
              <w:right w:val="single" w:sz="4" w:space="0" w:color="auto"/>
            </w:tcBorders>
          </w:tcPr>
          <w:p w14:paraId="7AA1349D" w14:textId="4BA1ADFE" w:rsidR="00686EED" w:rsidRPr="00490FBB" w:rsidRDefault="00686EED" w:rsidP="00C40CC4">
            <w:pPr>
              <w:pStyle w:val="TableHeading"/>
              <w:jc w:val="center"/>
            </w:pPr>
            <w:r w:rsidRPr="00490FBB">
              <w:t>Noninferior</w:t>
            </w:r>
            <w:r w:rsidRPr="00490FBB">
              <w:rPr>
                <w:vertAlign w:val="superscript"/>
              </w:rPr>
              <w:t>b</w:t>
            </w:r>
          </w:p>
        </w:tc>
        <w:tc>
          <w:tcPr>
            <w:tcW w:w="1434" w:type="dxa"/>
            <w:tcBorders>
              <w:top w:val="single" w:sz="4" w:space="0" w:color="auto"/>
              <w:left w:val="single" w:sz="4" w:space="0" w:color="auto"/>
              <w:bottom w:val="single" w:sz="4" w:space="0" w:color="auto"/>
              <w:right w:val="single" w:sz="4" w:space="0" w:color="auto"/>
            </w:tcBorders>
          </w:tcPr>
          <w:p w14:paraId="156C5942" w14:textId="77777777" w:rsidR="00686EED" w:rsidRPr="00490FBB" w:rsidRDefault="00686EED" w:rsidP="00C40CC4">
            <w:pPr>
              <w:pStyle w:val="TableHeading"/>
              <w:jc w:val="center"/>
            </w:pPr>
            <w:r w:rsidRPr="00490FBB">
              <w:t>Superior</w:t>
            </w:r>
          </w:p>
        </w:tc>
      </w:tr>
      <w:tr w:rsidR="000939E0" w:rsidRPr="00490FBB" w14:paraId="1E111DC3" w14:textId="77777777" w:rsidTr="00EA03C6">
        <w:tc>
          <w:tcPr>
            <w:tcW w:w="2274" w:type="dxa"/>
            <w:tcBorders>
              <w:top w:val="single" w:sz="4" w:space="0" w:color="auto"/>
              <w:left w:val="single" w:sz="4" w:space="0" w:color="auto"/>
              <w:bottom w:val="single" w:sz="4" w:space="0" w:color="auto"/>
              <w:right w:val="single" w:sz="4" w:space="0" w:color="auto"/>
            </w:tcBorders>
            <w:vAlign w:val="center"/>
          </w:tcPr>
          <w:p w14:paraId="04A362E2" w14:textId="77777777" w:rsidR="000939E0" w:rsidRPr="00490FBB" w:rsidRDefault="000939E0" w:rsidP="00C40CC4">
            <w:pPr>
              <w:pStyle w:val="Tabletext"/>
              <w:keepNext/>
            </w:pPr>
            <w:r w:rsidRPr="00490FBB">
              <w:t>Inferior</w:t>
            </w:r>
          </w:p>
        </w:tc>
        <w:tc>
          <w:tcPr>
            <w:tcW w:w="1905" w:type="dxa"/>
            <w:tcBorders>
              <w:top w:val="single" w:sz="4" w:space="0" w:color="auto"/>
              <w:left w:val="single" w:sz="4" w:space="0" w:color="auto"/>
              <w:bottom w:val="single" w:sz="4" w:space="0" w:color="auto"/>
              <w:right w:val="single" w:sz="4" w:space="0" w:color="auto"/>
            </w:tcBorders>
            <w:vAlign w:val="center"/>
          </w:tcPr>
          <w:p w14:paraId="0B15352C"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7A58DE2" w14:textId="77777777" w:rsidR="000939E0" w:rsidRPr="00490FBB" w:rsidRDefault="000939E0" w:rsidP="00C40CC4">
            <w:pPr>
              <w:pStyle w:val="Tabletext"/>
              <w:keepNext/>
            </w:pPr>
            <w:r w:rsidRPr="00490FBB">
              <w:t>Health forgone possible: need other supportive factors</w:t>
            </w:r>
          </w:p>
        </w:tc>
        <w:tc>
          <w:tcPr>
            <w:tcW w:w="1748" w:type="dxa"/>
            <w:tcBorders>
              <w:top w:val="single" w:sz="4" w:space="0" w:color="auto"/>
              <w:left w:val="single" w:sz="4" w:space="0" w:color="auto"/>
              <w:bottom w:val="single" w:sz="4" w:space="0" w:color="auto"/>
              <w:right w:val="single" w:sz="4" w:space="0" w:color="auto"/>
            </w:tcBorders>
            <w:vAlign w:val="center"/>
          </w:tcPr>
          <w:p w14:paraId="3540FA15" w14:textId="77777777" w:rsidR="000939E0" w:rsidRPr="00490FBB" w:rsidRDefault="000939E0" w:rsidP="00C40CC4">
            <w:pPr>
              <w:pStyle w:val="Tabletext"/>
              <w:keepNext/>
            </w:pPr>
            <w:r w:rsidRPr="00490FBB">
              <w:t>Health forgone: need other supportive factors</w:t>
            </w:r>
          </w:p>
        </w:tc>
        <w:tc>
          <w:tcPr>
            <w:tcW w:w="1434" w:type="dxa"/>
            <w:tcBorders>
              <w:top w:val="single" w:sz="4" w:space="0" w:color="auto"/>
              <w:left w:val="single" w:sz="4" w:space="0" w:color="auto"/>
              <w:bottom w:val="single" w:sz="4" w:space="0" w:color="auto"/>
              <w:right w:val="single" w:sz="4" w:space="0" w:color="auto"/>
            </w:tcBorders>
            <w:vAlign w:val="center"/>
          </w:tcPr>
          <w:p w14:paraId="18C6CF73" w14:textId="77777777" w:rsidR="000939E0" w:rsidRPr="00490FBB" w:rsidRDefault="000939E0" w:rsidP="00C40CC4">
            <w:pPr>
              <w:pStyle w:val="Tabletext"/>
              <w:keepNext/>
            </w:pPr>
            <w:r w:rsidRPr="00490FBB">
              <w:t>? Likely CUA</w:t>
            </w:r>
          </w:p>
        </w:tc>
      </w:tr>
      <w:tr w:rsidR="000939E0" w:rsidRPr="00490FBB" w14:paraId="463C2753" w14:textId="77777777" w:rsidTr="00EA03C6">
        <w:tc>
          <w:tcPr>
            <w:tcW w:w="2274" w:type="dxa"/>
            <w:tcBorders>
              <w:top w:val="single" w:sz="4" w:space="0" w:color="auto"/>
              <w:left w:val="single" w:sz="4" w:space="0" w:color="auto"/>
              <w:bottom w:val="single" w:sz="4" w:space="0" w:color="auto"/>
              <w:right w:val="single" w:sz="4" w:space="0" w:color="auto"/>
            </w:tcBorders>
            <w:vAlign w:val="center"/>
          </w:tcPr>
          <w:p w14:paraId="11AF710C" w14:textId="77777777" w:rsidR="000939E0" w:rsidRPr="00490FBB" w:rsidRDefault="000939E0" w:rsidP="00C40CC4">
            <w:pPr>
              <w:pStyle w:val="Tabletext"/>
              <w:keepNext/>
            </w:pPr>
            <w:r w:rsidRPr="00490FBB">
              <w:t>Uncertain</w:t>
            </w:r>
            <w:r w:rsidRPr="00490FBB">
              <w:rPr>
                <w:vertAlign w:val="superscript"/>
              </w:rPr>
              <w:t>a</w:t>
            </w:r>
          </w:p>
        </w:tc>
        <w:tc>
          <w:tcPr>
            <w:tcW w:w="1905" w:type="dxa"/>
            <w:tcBorders>
              <w:top w:val="single" w:sz="4" w:space="0" w:color="auto"/>
              <w:left w:val="single" w:sz="4" w:space="0" w:color="auto"/>
              <w:bottom w:val="single" w:sz="4" w:space="0" w:color="auto"/>
              <w:right w:val="single" w:sz="4" w:space="0" w:color="auto"/>
            </w:tcBorders>
            <w:vAlign w:val="center"/>
          </w:tcPr>
          <w:p w14:paraId="12909D79" w14:textId="77777777" w:rsidR="000939E0" w:rsidRPr="00490FBB" w:rsidRDefault="000939E0" w:rsidP="00C40CC4">
            <w:pPr>
              <w:pStyle w:val="Tabletext"/>
              <w:keepNext/>
            </w:pPr>
            <w:r w:rsidRPr="00490FBB">
              <w:t>Health forgone possible: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0F5E2B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vAlign w:val="center"/>
          </w:tcPr>
          <w:p w14:paraId="0406F2A1" w14:textId="77777777" w:rsidR="000939E0" w:rsidRPr="00490FBB" w:rsidRDefault="000939E0" w:rsidP="00C40CC4">
            <w:pPr>
              <w:pStyle w:val="Tabletext"/>
              <w:keepNext/>
            </w:pPr>
            <w:r w:rsidRPr="00490FBB">
              <w:t>?</w:t>
            </w:r>
          </w:p>
        </w:tc>
        <w:tc>
          <w:tcPr>
            <w:tcW w:w="1434" w:type="dxa"/>
            <w:tcBorders>
              <w:top w:val="single" w:sz="4" w:space="0" w:color="auto"/>
              <w:left w:val="single" w:sz="4" w:space="0" w:color="auto"/>
              <w:bottom w:val="single" w:sz="4" w:space="0" w:color="auto"/>
              <w:right w:val="single" w:sz="4" w:space="0" w:color="auto"/>
            </w:tcBorders>
            <w:vAlign w:val="center"/>
          </w:tcPr>
          <w:p w14:paraId="1996B8CC" w14:textId="77777777" w:rsidR="000939E0" w:rsidRPr="00490FBB" w:rsidRDefault="000939E0" w:rsidP="00C40CC4">
            <w:pPr>
              <w:pStyle w:val="Tabletext"/>
              <w:keepNext/>
            </w:pPr>
            <w:r w:rsidRPr="00490FBB">
              <w:t>? Likely CEA/CUA</w:t>
            </w:r>
          </w:p>
        </w:tc>
      </w:tr>
      <w:tr w:rsidR="000939E0" w:rsidRPr="00490FBB" w14:paraId="47335FF9" w14:textId="77777777" w:rsidTr="00EA03C6">
        <w:tc>
          <w:tcPr>
            <w:tcW w:w="2274" w:type="dxa"/>
            <w:tcBorders>
              <w:top w:val="single" w:sz="4" w:space="0" w:color="auto"/>
              <w:left w:val="single" w:sz="4" w:space="0" w:color="auto"/>
              <w:bottom w:val="single" w:sz="4" w:space="0" w:color="auto"/>
              <w:right w:val="single" w:sz="4" w:space="0" w:color="auto"/>
            </w:tcBorders>
            <w:vAlign w:val="center"/>
          </w:tcPr>
          <w:p w14:paraId="0CBD845B" w14:textId="149CC18B" w:rsidR="000939E0" w:rsidRPr="00490FBB" w:rsidRDefault="000939E0" w:rsidP="00C40CC4">
            <w:pPr>
              <w:pStyle w:val="Tabletext"/>
              <w:keepNext/>
            </w:pPr>
            <w:r w:rsidRPr="00490FBB">
              <w:t>Noninferior</w:t>
            </w:r>
            <w:r w:rsidRPr="00490FBB">
              <w:rPr>
                <w:vertAlign w:val="superscript"/>
              </w:rPr>
              <w:t>b</w:t>
            </w:r>
          </w:p>
        </w:tc>
        <w:tc>
          <w:tcPr>
            <w:tcW w:w="1905" w:type="dxa"/>
            <w:tcBorders>
              <w:top w:val="single" w:sz="4" w:space="0" w:color="auto"/>
              <w:left w:val="single" w:sz="4" w:space="0" w:color="auto"/>
              <w:bottom w:val="single" w:sz="4" w:space="0" w:color="auto"/>
              <w:right w:val="single" w:sz="4" w:space="0" w:color="auto"/>
            </w:tcBorders>
            <w:vAlign w:val="center"/>
          </w:tcPr>
          <w:p w14:paraId="5D8B4B6F"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3D9B9E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12BD2E22" w14:textId="77777777" w:rsidR="000939E0" w:rsidRPr="00490FBB" w:rsidRDefault="000939E0" w:rsidP="00C40CC4">
            <w:pPr>
              <w:pStyle w:val="Tabletext"/>
              <w:keepNext/>
            </w:pPr>
            <w:r w:rsidRPr="00490FBB">
              <w:t>CMA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E9F7AB5" w14:textId="77777777" w:rsidR="000939E0" w:rsidRPr="00490FBB" w:rsidRDefault="000939E0" w:rsidP="00C40CC4">
            <w:pPr>
              <w:pStyle w:val="Tabletext"/>
              <w:keepNext/>
            </w:pPr>
            <w:r w:rsidRPr="00490FBB">
              <w:t>CEA/CUA</w:t>
            </w:r>
          </w:p>
        </w:tc>
      </w:tr>
      <w:tr w:rsidR="000939E0" w:rsidRPr="00490FBB" w14:paraId="41AB5715" w14:textId="77777777" w:rsidTr="00EA03C6">
        <w:tc>
          <w:tcPr>
            <w:tcW w:w="2274" w:type="dxa"/>
            <w:tcBorders>
              <w:top w:val="single" w:sz="4" w:space="0" w:color="auto"/>
              <w:left w:val="single" w:sz="4" w:space="0" w:color="auto"/>
              <w:bottom w:val="single" w:sz="4" w:space="0" w:color="auto"/>
              <w:right w:val="single" w:sz="4" w:space="0" w:color="auto"/>
            </w:tcBorders>
            <w:vAlign w:val="center"/>
          </w:tcPr>
          <w:p w14:paraId="18F5B4CB" w14:textId="77777777" w:rsidR="000939E0" w:rsidRPr="00490FBB" w:rsidRDefault="000939E0" w:rsidP="00C40CC4">
            <w:pPr>
              <w:pStyle w:val="Tabletext"/>
              <w:keepNext/>
            </w:pPr>
            <w:r w:rsidRPr="00490FBB">
              <w:t>Superior</w:t>
            </w:r>
          </w:p>
        </w:tc>
        <w:tc>
          <w:tcPr>
            <w:tcW w:w="1905" w:type="dxa"/>
            <w:tcBorders>
              <w:top w:val="single" w:sz="4" w:space="0" w:color="auto"/>
              <w:left w:val="single" w:sz="4" w:space="0" w:color="auto"/>
              <w:bottom w:val="single" w:sz="4" w:space="0" w:color="auto"/>
              <w:right w:val="single" w:sz="4" w:space="0" w:color="auto"/>
            </w:tcBorders>
            <w:vAlign w:val="center"/>
          </w:tcPr>
          <w:p w14:paraId="2525815A" w14:textId="77777777" w:rsidR="000939E0" w:rsidRPr="00490FBB" w:rsidRDefault="000939E0" w:rsidP="00C40CC4">
            <w:pPr>
              <w:pStyle w:val="Tabletext"/>
              <w:keepNext/>
            </w:pPr>
            <w:r w:rsidRPr="00490FBB">
              <w:t>? Likely CUA</w:t>
            </w:r>
          </w:p>
        </w:tc>
        <w:tc>
          <w:tcPr>
            <w:tcW w:w="2227" w:type="dxa"/>
            <w:tcBorders>
              <w:top w:val="single" w:sz="4" w:space="0" w:color="auto"/>
              <w:left w:val="single" w:sz="4" w:space="0" w:color="auto"/>
              <w:bottom w:val="single" w:sz="4" w:space="0" w:color="auto"/>
              <w:right w:val="single" w:sz="4" w:space="0" w:color="auto"/>
            </w:tcBorders>
            <w:vAlign w:val="center"/>
          </w:tcPr>
          <w:p w14:paraId="2AE0169D" w14:textId="77777777" w:rsidR="000939E0" w:rsidRPr="00490FBB" w:rsidRDefault="000939E0" w:rsidP="00C40CC4">
            <w:pPr>
              <w:pStyle w:val="Tabletext"/>
              <w:keepNext/>
            </w:pPr>
            <w:r w:rsidRPr="00490FBB">
              <w:t>? Likely CEA/CUA</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71D0525C" w14:textId="77777777" w:rsidR="000939E0" w:rsidRPr="00490FBB" w:rsidRDefault="000939E0" w:rsidP="00C40CC4">
            <w:pPr>
              <w:pStyle w:val="Tabletext"/>
              <w:keepNext/>
            </w:pPr>
            <w:r w:rsidRPr="00490FBB">
              <w:t>CEA/CUA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FF47EA5" w14:textId="77777777" w:rsidR="000939E0" w:rsidRPr="00490FBB" w:rsidRDefault="000939E0" w:rsidP="00C40CC4">
            <w:pPr>
              <w:pStyle w:val="Tabletext"/>
              <w:keepNext/>
            </w:pPr>
            <w:r w:rsidRPr="00490FBB">
              <w:t>CEA/CUA</w:t>
            </w:r>
          </w:p>
        </w:tc>
      </w:tr>
    </w:tbl>
    <w:p w14:paraId="6538A3FB" w14:textId="77777777" w:rsidR="000939E0" w:rsidRPr="00490FBB" w:rsidRDefault="000939E0" w:rsidP="00EA03C6">
      <w:pPr>
        <w:pStyle w:val="Tablenotes"/>
        <w:keepNext/>
        <w:spacing w:after="0"/>
        <w:rPr>
          <w:szCs w:val="18"/>
        </w:rPr>
      </w:pPr>
      <w:r w:rsidRPr="00490FBB">
        <w:rPr>
          <w:szCs w:val="18"/>
        </w:rPr>
        <w:t>CEA=cost-effectiveness analysis; CMA=cost-minimisation analysis; CUA=cost-utility analysis</w:t>
      </w:r>
    </w:p>
    <w:p w14:paraId="48F7CED7" w14:textId="77777777" w:rsidR="000939E0" w:rsidRPr="00490FBB" w:rsidRDefault="000939E0" w:rsidP="00EA03C6">
      <w:pPr>
        <w:pStyle w:val="Tablenotes"/>
        <w:keepNext/>
        <w:spacing w:after="0"/>
        <w:rPr>
          <w:b/>
          <w:szCs w:val="18"/>
        </w:rPr>
      </w:pPr>
      <w:r w:rsidRPr="00490FBB">
        <w:rPr>
          <w:szCs w:val="18"/>
        </w:rPr>
        <w:t xml:space="preserve">? = reflect uncertainties and any identified health trade-offs in the economic evaluation, as a minimum in a cost-consequences analysis </w:t>
      </w:r>
    </w:p>
    <w:p w14:paraId="65C6F534" w14:textId="77777777" w:rsidR="000939E0" w:rsidRPr="00490FBB" w:rsidRDefault="000939E0" w:rsidP="00EA03C6">
      <w:pPr>
        <w:pStyle w:val="Tablenotes"/>
        <w:keepNext/>
        <w:spacing w:after="0"/>
        <w:rPr>
          <w:b/>
          <w:szCs w:val="18"/>
        </w:rPr>
      </w:pPr>
      <w:r w:rsidRPr="00490FBB">
        <w:rPr>
          <w:szCs w:val="18"/>
          <w:vertAlign w:val="superscript"/>
        </w:rPr>
        <w:t>a</w:t>
      </w:r>
      <w:r w:rsidRPr="00490FBB">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0E6DEE1A" w14:textId="6317B2C7" w:rsidR="005536B3" w:rsidRPr="00ED4AD4" w:rsidRDefault="000939E0" w:rsidP="00ED4AD4">
      <w:pPr>
        <w:pStyle w:val="Tablenotes"/>
        <w:rPr>
          <w:szCs w:val="18"/>
        </w:rPr>
      </w:pPr>
      <w:r w:rsidRPr="00490FBB">
        <w:rPr>
          <w:szCs w:val="18"/>
          <w:vertAlign w:val="superscript"/>
        </w:rPr>
        <w:t>b</w:t>
      </w:r>
      <w:r w:rsidRPr="00490FBB">
        <w:rPr>
          <w:szCs w:val="18"/>
        </w:rPr>
        <w:t> An adequate assessment of ‘noninferiority’ is the preferred basis for demonstrating equivalence</w:t>
      </w:r>
    </w:p>
    <w:p w14:paraId="047E4738" w14:textId="1D501EE9" w:rsidR="00D73332" w:rsidRPr="00DE762F" w:rsidRDefault="00D73332" w:rsidP="00DE762F">
      <w:pPr>
        <w:pStyle w:val="Heading2"/>
      </w:pPr>
      <w:r w:rsidRPr="00DE762F">
        <w:t>Propos</w:t>
      </w:r>
      <w:r w:rsidR="000D1FCF" w:rsidRPr="00DE762F">
        <w:t>al for public funding</w:t>
      </w:r>
    </w:p>
    <w:p w14:paraId="35AE5185" w14:textId="1384DE00" w:rsidR="002F3E40" w:rsidRDefault="00E26265" w:rsidP="009478E9">
      <w:pPr>
        <w:spacing w:before="200"/>
      </w:pPr>
      <w:r>
        <w:t xml:space="preserve">The application requested a single MBS item, </w:t>
      </w:r>
      <w:r w:rsidRPr="00066772">
        <w:t>but that has since been updated to three to include the PSMA and FDG PET/CT scans</w:t>
      </w:r>
      <w:r w:rsidRPr="001E2A2A">
        <w:t xml:space="preserve">. </w:t>
      </w:r>
      <w:r>
        <w:t>The proposed items</w:t>
      </w:r>
      <w:r w:rsidR="00612929">
        <w:t>, drafted by the applicant</w:t>
      </w:r>
      <w:r w:rsidR="00BA4321">
        <w:t>,</w:t>
      </w:r>
      <w:r>
        <w:t xml:space="preserve"> are</w:t>
      </w:r>
      <w:r w:rsidR="00BA4321">
        <w:t xml:space="preserve"> presented</w:t>
      </w:r>
      <w:r>
        <w:t xml:space="preserve"> in the tables below</w:t>
      </w:r>
      <w:r w:rsidR="00932C92">
        <w:t xml:space="preserve">; </w:t>
      </w:r>
      <w:r w:rsidR="00932C92" w:rsidRPr="00066772">
        <w:t xml:space="preserve">suggested amendments to the item descriptors are denoted by italicised text (additions) or </w:t>
      </w:r>
      <w:r w:rsidR="005E66BD" w:rsidRPr="00066772">
        <w:t>struck through</w:t>
      </w:r>
      <w:r w:rsidR="00932C92" w:rsidRPr="00066772">
        <w:t xml:space="preserve"> text (deletions)</w:t>
      </w:r>
      <w:r w:rsidRPr="001E2A2A">
        <w:t>.</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E26265" w:rsidRPr="00E26265" w14:paraId="0FDDF0BB" w14:textId="77777777" w:rsidTr="00E26265">
        <w:tc>
          <w:tcPr>
            <w:tcW w:w="9242" w:type="dxa"/>
          </w:tcPr>
          <w:p w14:paraId="29572973" w14:textId="2B299AC9" w:rsidR="00E26265" w:rsidRPr="00E26265" w:rsidRDefault="00E26265" w:rsidP="00BA4321">
            <w:pPr>
              <w:spacing w:before="40" w:after="40" w:line="240" w:lineRule="auto"/>
              <w:rPr>
                <w:rFonts w:ascii="Arial Narrow" w:hAnsi="Arial Narrow"/>
                <w:sz w:val="20"/>
                <w:szCs w:val="20"/>
              </w:rPr>
            </w:pPr>
            <w:r w:rsidRPr="00E26265">
              <w:rPr>
                <w:rFonts w:ascii="Arial Narrow" w:hAnsi="Arial Narrow"/>
                <w:sz w:val="20"/>
                <w:szCs w:val="20"/>
              </w:rPr>
              <w:t>Category 5</w:t>
            </w:r>
            <w:r w:rsidR="00932C92">
              <w:rPr>
                <w:rFonts w:ascii="Arial Narrow" w:hAnsi="Arial Narrow"/>
                <w:sz w:val="20"/>
                <w:szCs w:val="20"/>
              </w:rPr>
              <w:t xml:space="preserve"> </w:t>
            </w:r>
            <w:r w:rsidRPr="00E26265">
              <w:rPr>
                <w:rFonts w:ascii="Arial Narrow" w:hAnsi="Arial Narrow"/>
                <w:sz w:val="20"/>
                <w:szCs w:val="20"/>
              </w:rPr>
              <w:t>- Diagnostic Imaging Services</w:t>
            </w:r>
          </w:p>
        </w:tc>
      </w:tr>
      <w:tr w:rsidR="00E26265" w:rsidRPr="00E26265" w14:paraId="329281A1" w14:textId="77777777" w:rsidTr="00E26265">
        <w:tc>
          <w:tcPr>
            <w:tcW w:w="9242" w:type="dxa"/>
          </w:tcPr>
          <w:p w14:paraId="1128D3C4" w14:textId="66D2793B" w:rsidR="00E26265" w:rsidRDefault="00E26265" w:rsidP="00E26265">
            <w:pPr>
              <w:spacing w:before="40" w:after="40" w:line="240" w:lineRule="auto"/>
              <w:rPr>
                <w:rFonts w:ascii="Arial Narrow" w:hAnsi="Arial Narrow"/>
                <w:sz w:val="20"/>
                <w:szCs w:val="20"/>
              </w:rPr>
            </w:pPr>
            <w:r>
              <w:rPr>
                <w:rFonts w:ascii="Arial Narrow" w:hAnsi="Arial Narrow"/>
                <w:sz w:val="20"/>
                <w:szCs w:val="20"/>
              </w:rPr>
              <w:t>MBS</w:t>
            </w:r>
            <w:r w:rsidR="00B73FCB">
              <w:rPr>
                <w:rFonts w:ascii="Arial Narrow" w:hAnsi="Arial Narrow"/>
                <w:sz w:val="20"/>
                <w:szCs w:val="20"/>
              </w:rPr>
              <w:t xml:space="preserve"> item</w:t>
            </w:r>
            <w:r>
              <w:rPr>
                <w:rFonts w:ascii="Arial Narrow" w:hAnsi="Arial Narrow"/>
                <w:sz w:val="20"/>
                <w:szCs w:val="20"/>
              </w:rPr>
              <w:t xml:space="preserve"> XXXX</w:t>
            </w:r>
          </w:p>
          <w:p w14:paraId="562F35EB" w14:textId="5BACD9B5" w:rsidR="00E26265" w:rsidRPr="00E26265" w:rsidRDefault="00E26265" w:rsidP="00E26265">
            <w:pPr>
              <w:spacing w:before="40" w:after="40" w:line="240" w:lineRule="auto"/>
              <w:rPr>
                <w:rFonts w:ascii="Arial Narrow" w:hAnsi="Arial Narrow"/>
                <w:sz w:val="20"/>
                <w:szCs w:val="20"/>
              </w:rPr>
            </w:pPr>
            <w:r w:rsidRPr="00E26265">
              <w:rPr>
                <w:rFonts w:ascii="Arial Narrow" w:hAnsi="Arial Narrow"/>
                <w:sz w:val="20"/>
                <w:szCs w:val="20"/>
              </w:rPr>
              <w:t>Whole body prostate-specific membrane antigen (PSMA) positron emission tomography (PET)/computerised tomography (CT) study, performed for the assessment of suitability for 177 Lu -PSMA therapy in a patient with metastatic castrate resistant prostate cancer who has previously received a taxane chemotherapy and androgen signalling inhibitor.</w:t>
            </w:r>
          </w:p>
          <w:p w14:paraId="6C346EFB" w14:textId="7A51D658" w:rsidR="00E26265" w:rsidRPr="00E26265" w:rsidRDefault="00E26265" w:rsidP="00E26265">
            <w:pPr>
              <w:spacing w:before="40" w:after="40" w:line="240" w:lineRule="auto"/>
              <w:rPr>
                <w:rFonts w:ascii="Arial Narrow" w:hAnsi="Arial Narrow"/>
                <w:sz w:val="20"/>
                <w:szCs w:val="20"/>
              </w:rPr>
            </w:pPr>
            <w:r w:rsidRPr="00E26265">
              <w:rPr>
                <w:rFonts w:ascii="Arial Narrow" w:hAnsi="Arial Narrow"/>
                <w:sz w:val="20"/>
                <w:szCs w:val="20"/>
              </w:rPr>
              <w:t>Applicable only once per lifetime</w:t>
            </w:r>
          </w:p>
        </w:tc>
      </w:tr>
      <w:tr w:rsidR="00E26265" w:rsidRPr="00E26265" w14:paraId="106D1443" w14:textId="77777777" w:rsidTr="00E26265">
        <w:tc>
          <w:tcPr>
            <w:tcW w:w="9242" w:type="dxa"/>
          </w:tcPr>
          <w:p w14:paraId="3983CD70" w14:textId="77777777" w:rsidR="00E26265" w:rsidRPr="00E26265" w:rsidRDefault="00E26265" w:rsidP="00E26265">
            <w:pPr>
              <w:spacing w:before="40" w:after="40" w:line="240" w:lineRule="auto"/>
              <w:rPr>
                <w:rFonts w:ascii="Arial Narrow" w:hAnsi="Arial Narrow"/>
                <w:sz w:val="20"/>
                <w:szCs w:val="20"/>
              </w:rPr>
            </w:pPr>
            <w:r w:rsidRPr="00E26265">
              <w:rPr>
                <w:rFonts w:ascii="Arial Narrow" w:hAnsi="Arial Narrow"/>
                <w:sz w:val="20"/>
                <w:szCs w:val="20"/>
              </w:rPr>
              <w:t>Fee $1400</w:t>
            </w:r>
          </w:p>
        </w:tc>
      </w:tr>
    </w:tbl>
    <w:p w14:paraId="4AECD26F" w14:textId="56398133" w:rsidR="00E26265" w:rsidRDefault="00612929" w:rsidP="00560B45">
      <w:pPr>
        <w:spacing w:before="200"/>
        <w:rPr>
          <w:rFonts w:asciiTheme="minorHAnsi" w:hAnsiTheme="minorHAnsi" w:cstheme="minorHAnsi"/>
          <w:i/>
          <w:iCs/>
        </w:rPr>
      </w:pPr>
      <w:r>
        <w:t>The item descriptor and requested fee are consistent with those considered and supported by MSAC in its consideration of the MSAC 1632 application (MSAC 1632 PSD, July 2021).</w:t>
      </w:r>
      <w:r w:rsidR="00560B45">
        <w:t xml:space="preserve"> </w:t>
      </w:r>
      <w:r w:rsidR="00BA256B">
        <w:rPr>
          <w:rFonts w:asciiTheme="minorHAnsi" w:hAnsiTheme="minorHAnsi" w:cstheme="minorHAnsi"/>
          <w:i/>
          <w:iCs/>
        </w:rPr>
        <w:t>PASC noted the requested fee for PSMA PET/CT was the same as that supported by MSAC in July 2021 for PSMA PET/CT in the context of MSAC 1632.</w:t>
      </w:r>
    </w:p>
    <w:p w14:paraId="455E0290" w14:textId="771E7297" w:rsidR="00BA256B" w:rsidRDefault="00BA256B" w:rsidP="00560B45">
      <w:pPr>
        <w:spacing w:before="200"/>
      </w:pPr>
      <w:r>
        <w:rPr>
          <w:rFonts w:asciiTheme="minorHAnsi" w:hAnsiTheme="minorHAnsi" w:cstheme="minorHAnsi"/>
          <w:i/>
          <w:iCs/>
        </w:rPr>
        <w:t xml:space="preserve">PASC suggested the applicant reconsider the limitation of the PSMA PET/CT to ‘once per lifetime’ which would prohibit reassessment prior to subsequent </w:t>
      </w:r>
      <w:r>
        <w:rPr>
          <w:rFonts w:asciiTheme="minorHAnsi" w:hAnsiTheme="minorHAnsi" w:cstheme="minorHAnsi"/>
          <w:i/>
          <w:iCs/>
          <w:vertAlign w:val="superscript"/>
        </w:rPr>
        <w:t>177</w:t>
      </w:r>
      <w:r>
        <w:rPr>
          <w:rFonts w:asciiTheme="minorHAnsi" w:hAnsiTheme="minorHAnsi" w:cstheme="minorHAnsi"/>
          <w:i/>
          <w:iCs/>
        </w:rPr>
        <w:t>Lu PSMA treatment cycles.</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E26265" w:rsidRPr="00B4393E" w14:paraId="7EF4670C" w14:textId="77777777" w:rsidTr="00E26265">
        <w:tc>
          <w:tcPr>
            <w:tcW w:w="9242" w:type="dxa"/>
          </w:tcPr>
          <w:p w14:paraId="0F27A512" w14:textId="7623E815" w:rsidR="00E26265" w:rsidRPr="00E26265" w:rsidRDefault="00E26265" w:rsidP="00BA4321">
            <w:pPr>
              <w:keepNext/>
              <w:spacing w:before="40" w:after="40" w:line="240" w:lineRule="auto"/>
              <w:rPr>
                <w:rFonts w:ascii="Arial Narrow" w:hAnsi="Arial Narrow"/>
                <w:sz w:val="20"/>
                <w:szCs w:val="20"/>
              </w:rPr>
            </w:pPr>
            <w:r w:rsidRPr="00E26265">
              <w:rPr>
                <w:rFonts w:ascii="Arial Narrow" w:hAnsi="Arial Narrow"/>
                <w:sz w:val="20"/>
                <w:szCs w:val="20"/>
              </w:rPr>
              <w:t>Category 5</w:t>
            </w:r>
            <w:r w:rsidR="00932C92">
              <w:rPr>
                <w:rFonts w:ascii="Arial Narrow" w:hAnsi="Arial Narrow"/>
                <w:sz w:val="20"/>
                <w:szCs w:val="20"/>
              </w:rPr>
              <w:t xml:space="preserve"> </w:t>
            </w:r>
            <w:r w:rsidRPr="00E26265">
              <w:rPr>
                <w:rFonts w:ascii="Arial Narrow" w:hAnsi="Arial Narrow"/>
                <w:sz w:val="20"/>
                <w:szCs w:val="20"/>
              </w:rPr>
              <w:t>- Diagnostic Imaging Services</w:t>
            </w:r>
          </w:p>
        </w:tc>
      </w:tr>
      <w:tr w:rsidR="00E26265" w:rsidRPr="00E26265" w14:paraId="05649DE0" w14:textId="77777777" w:rsidTr="00E26265">
        <w:tc>
          <w:tcPr>
            <w:tcW w:w="9242" w:type="dxa"/>
          </w:tcPr>
          <w:p w14:paraId="209EE466" w14:textId="6735F0DE" w:rsidR="00E26265" w:rsidRDefault="00E26265" w:rsidP="00E26265">
            <w:pPr>
              <w:keepNext/>
              <w:spacing w:before="40" w:after="40" w:line="240" w:lineRule="auto"/>
              <w:rPr>
                <w:rFonts w:ascii="Arial Narrow" w:hAnsi="Arial Narrow"/>
                <w:sz w:val="20"/>
                <w:szCs w:val="20"/>
              </w:rPr>
            </w:pPr>
            <w:r w:rsidRPr="00E26265">
              <w:rPr>
                <w:rFonts w:ascii="Arial Narrow" w:hAnsi="Arial Narrow"/>
                <w:sz w:val="20"/>
                <w:szCs w:val="20"/>
              </w:rPr>
              <w:t>MBS</w:t>
            </w:r>
            <w:r w:rsidR="00B73FCB">
              <w:rPr>
                <w:rFonts w:ascii="Arial Narrow" w:hAnsi="Arial Narrow"/>
                <w:sz w:val="20"/>
                <w:szCs w:val="20"/>
              </w:rPr>
              <w:t xml:space="preserve"> item</w:t>
            </w:r>
            <w:r w:rsidR="004D2329">
              <w:rPr>
                <w:rFonts w:ascii="Arial Narrow" w:hAnsi="Arial Narrow"/>
                <w:sz w:val="20"/>
                <w:szCs w:val="20"/>
              </w:rPr>
              <w:t xml:space="preserve"> YYYY</w:t>
            </w:r>
          </w:p>
          <w:p w14:paraId="5F051A12" w14:textId="7581A5C7" w:rsidR="00E26265" w:rsidRPr="00E26265" w:rsidRDefault="00E26265" w:rsidP="00E26265">
            <w:pPr>
              <w:keepNext/>
              <w:spacing w:before="40" w:after="40" w:line="240" w:lineRule="auto"/>
              <w:rPr>
                <w:rFonts w:ascii="Arial Narrow" w:hAnsi="Arial Narrow"/>
                <w:sz w:val="20"/>
                <w:szCs w:val="20"/>
              </w:rPr>
            </w:pPr>
            <w:r w:rsidRPr="00E26265">
              <w:rPr>
                <w:rFonts w:ascii="Arial Narrow" w:hAnsi="Arial Narrow"/>
                <w:sz w:val="20"/>
                <w:szCs w:val="20"/>
              </w:rPr>
              <w:t>Whole body F18 Fluorine deoxyglucose (FDG) positron emission tomography (PET)/computerised tomography (CT) study, performed for the assessment of suitability for 177 Lu -PSMA therapy in a patient with metastatic castrate resistant prostate cancer who has previously received a taxane chemotherapy and androgen signalling inhibitor, and in whom a PSMA PET undertaken with the previous 60 days has demonstrated suitability for 177</w:t>
            </w:r>
            <w:r w:rsidR="00560B45">
              <w:rPr>
                <w:rFonts w:ascii="Arial Narrow" w:hAnsi="Arial Narrow"/>
                <w:sz w:val="20"/>
                <w:szCs w:val="20"/>
              </w:rPr>
              <w:t xml:space="preserve"> </w:t>
            </w:r>
            <w:r w:rsidRPr="00E26265">
              <w:rPr>
                <w:rFonts w:ascii="Arial Narrow" w:hAnsi="Arial Narrow"/>
                <w:sz w:val="20"/>
                <w:szCs w:val="20"/>
              </w:rPr>
              <w:t xml:space="preserve">Lu PSMA therapy (PSMA PET demonstrating an SUV max &gt;15 at a single site of disease and SUVmax </w:t>
            </w:r>
            <w:r w:rsidR="00204E4D" w:rsidRPr="00E26265">
              <w:rPr>
                <w:rFonts w:ascii="Arial Narrow" w:hAnsi="Arial Narrow"/>
                <w:sz w:val="20"/>
                <w:szCs w:val="20"/>
              </w:rPr>
              <w:t>&gt;</w:t>
            </w:r>
            <w:r w:rsidRPr="00E26265">
              <w:rPr>
                <w:rFonts w:ascii="Arial Narrow" w:hAnsi="Arial Narrow"/>
                <w:sz w:val="20"/>
                <w:szCs w:val="20"/>
              </w:rPr>
              <w:t>10 at all sites of measurable disease).</w:t>
            </w:r>
          </w:p>
          <w:p w14:paraId="61C6096E" w14:textId="77777777" w:rsidR="00E26265" w:rsidRPr="00E26265" w:rsidRDefault="00E26265" w:rsidP="00E26265">
            <w:pPr>
              <w:keepNext/>
              <w:spacing w:before="40" w:after="40" w:line="240" w:lineRule="auto"/>
              <w:rPr>
                <w:rFonts w:ascii="Arial Narrow" w:hAnsi="Arial Narrow"/>
                <w:sz w:val="20"/>
                <w:szCs w:val="20"/>
              </w:rPr>
            </w:pPr>
            <w:r w:rsidRPr="00E26265">
              <w:rPr>
                <w:rFonts w:ascii="Arial Narrow" w:hAnsi="Arial Narrow"/>
                <w:sz w:val="20"/>
                <w:szCs w:val="20"/>
              </w:rPr>
              <w:t>Applicable only once per lifetime</w:t>
            </w:r>
          </w:p>
        </w:tc>
      </w:tr>
      <w:tr w:rsidR="00E26265" w:rsidRPr="00E26265" w14:paraId="0155665A" w14:textId="77777777" w:rsidTr="00E26265">
        <w:tc>
          <w:tcPr>
            <w:tcW w:w="9242" w:type="dxa"/>
          </w:tcPr>
          <w:p w14:paraId="000956D9" w14:textId="77777777" w:rsidR="00E26265" w:rsidRPr="00E26265" w:rsidRDefault="00E26265" w:rsidP="00E26265">
            <w:pPr>
              <w:keepNext/>
              <w:spacing w:before="40" w:after="40" w:line="240" w:lineRule="auto"/>
              <w:rPr>
                <w:sz w:val="22"/>
              </w:rPr>
            </w:pPr>
            <w:r w:rsidRPr="00E26265">
              <w:rPr>
                <w:rFonts w:ascii="Arial Narrow" w:hAnsi="Arial Narrow"/>
                <w:sz w:val="20"/>
                <w:szCs w:val="20"/>
              </w:rPr>
              <w:t>Fee $1000</w:t>
            </w:r>
          </w:p>
        </w:tc>
      </w:tr>
    </w:tbl>
    <w:p w14:paraId="0F0F4877" w14:textId="12933C86" w:rsidR="00E26265" w:rsidRDefault="00612929" w:rsidP="00204E4D">
      <w:pPr>
        <w:spacing w:before="200"/>
        <w:rPr>
          <w:rFonts w:asciiTheme="minorHAnsi" w:hAnsiTheme="minorHAnsi" w:cstheme="minorHAnsi"/>
          <w:i/>
          <w:iCs/>
        </w:rPr>
      </w:pPr>
      <w:r w:rsidRPr="00066772">
        <w:t xml:space="preserve">The requested fee is </w:t>
      </w:r>
      <w:r w:rsidR="00CE61D7">
        <w:t>similar</w:t>
      </w:r>
      <w:r w:rsidR="001B1599">
        <w:t xml:space="preserve"> to</w:t>
      </w:r>
      <w:r w:rsidRPr="00066772">
        <w:t xml:space="preserve"> current </w:t>
      </w:r>
      <w:r w:rsidR="001B1599">
        <w:t xml:space="preserve">fees for </w:t>
      </w:r>
      <w:r w:rsidRPr="00066772">
        <w:t>whole body FDG PET/CT currently listed on the MBS</w:t>
      </w:r>
      <w:r w:rsidR="001B1599">
        <w:t>,</w:t>
      </w:r>
      <w:r w:rsidRPr="00066772">
        <w:t xml:space="preserve"> </w:t>
      </w:r>
      <w:r w:rsidR="001B1599">
        <w:t>which</w:t>
      </w:r>
      <w:r w:rsidR="001B1599" w:rsidRPr="00066772">
        <w:t xml:space="preserve"> </w:t>
      </w:r>
      <w:r w:rsidRPr="00066772">
        <w:t>range from $953.00 to $999.00</w:t>
      </w:r>
      <w:r w:rsidR="001B1599">
        <w:t xml:space="preserve"> for the PET component</w:t>
      </w:r>
      <w:r w:rsidRPr="00066772">
        <w:t xml:space="preserve"> </w:t>
      </w:r>
      <w:r w:rsidR="001B1599">
        <w:t>(</w:t>
      </w:r>
      <w:r w:rsidRPr="00066772">
        <w:t xml:space="preserve">see </w:t>
      </w:r>
      <w:r w:rsidRPr="00066772">
        <w:fldChar w:fldCharType="begin"/>
      </w:r>
      <w:r w:rsidRPr="00066772">
        <w:instrText xml:space="preserve"> REF _Ref87389017 \h </w:instrText>
      </w:r>
      <w:r w:rsidR="00910DF7" w:rsidRPr="00066772">
        <w:rPr>
          <w:highlight w:val="yellow"/>
        </w:rPr>
        <w:instrText xml:space="preserve"> \* MERGEFORMAT </w:instrText>
      </w:r>
      <w:r w:rsidRPr="00066772">
        <w:fldChar w:fldCharType="separate"/>
      </w:r>
      <w:r w:rsidR="00D5641A" w:rsidRPr="00BA256B">
        <w:t xml:space="preserve">Table </w:t>
      </w:r>
      <w:r w:rsidR="00D5641A" w:rsidRPr="00BA256B">
        <w:rPr>
          <w:noProof/>
        </w:rPr>
        <w:t>4</w:t>
      </w:r>
      <w:r w:rsidRPr="00066772">
        <w:fldChar w:fldCharType="end"/>
      </w:r>
      <w:r w:rsidRPr="00066772">
        <w:t xml:space="preserve"> in the attachment</w:t>
      </w:r>
      <w:r w:rsidR="001B1599">
        <w:t>) plus $100 for the associated CT component (MBS item 61505)</w:t>
      </w:r>
      <w:r w:rsidRPr="00066772">
        <w:t>.</w:t>
      </w:r>
      <w:r w:rsidR="00BA256B">
        <w:t xml:space="preserve"> </w:t>
      </w:r>
      <w:r w:rsidR="000A7E45">
        <w:rPr>
          <w:rFonts w:asciiTheme="minorHAnsi" w:hAnsiTheme="minorHAnsi" w:cstheme="minorHAnsi"/>
          <w:i/>
          <w:iCs/>
        </w:rPr>
        <w:t>PASC requested that t</w:t>
      </w:r>
      <w:r w:rsidR="00BA256B">
        <w:rPr>
          <w:rFonts w:asciiTheme="minorHAnsi" w:hAnsiTheme="minorHAnsi" w:cstheme="minorHAnsi"/>
          <w:i/>
          <w:iCs/>
        </w:rPr>
        <w:t>he applicant justify the proposed fee</w:t>
      </w:r>
      <w:r w:rsidR="000A7E45">
        <w:rPr>
          <w:rFonts w:asciiTheme="minorHAnsi" w:hAnsiTheme="minorHAnsi" w:cstheme="minorHAnsi"/>
          <w:i/>
          <w:iCs/>
        </w:rPr>
        <w:t xml:space="preserve"> for FDG PET/CT</w:t>
      </w:r>
      <w:r w:rsidR="00BA256B">
        <w:rPr>
          <w:rFonts w:asciiTheme="minorHAnsi" w:hAnsiTheme="minorHAnsi" w:cstheme="minorHAnsi"/>
          <w:i/>
          <w:iCs/>
        </w:rPr>
        <w:t>, which would need to be considered by MSAC.</w:t>
      </w:r>
    </w:p>
    <w:p w14:paraId="0401AC0E" w14:textId="292A22C6" w:rsidR="00BA256B" w:rsidRPr="00E41841" w:rsidRDefault="00BA256B" w:rsidP="00204E4D">
      <w:pPr>
        <w:spacing w:before="200"/>
      </w:pPr>
      <w:r>
        <w:rPr>
          <w:rFonts w:asciiTheme="minorHAnsi" w:hAnsiTheme="minorHAnsi" w:cstheme="minorHAnsi"/>
          <w:i/>
          <w:iCs/>
        </w:rPr>
        <w:t>PASC questioned the requirement that FDG PET/CT be conducted within 60 days of the PSMA PET/CT. PASC suggested the applicant reconsider this</w:t>
      </w:r>
      <w:r w:rsidR="001B1599">
        <w:rPr>
          <w:rFonts w:asciiTheme="minorHAnsi" w:hAnsiTheme="minorHAnsi" w:cstheme="minorHAnsi"/>
          <w:i/>
          <w:iCs/>
        </w:rPr>
        <w:t xml:space="preserve"> lengthy interval</w:t>
      </w:r>
      <w:r>
        <w:rPr>
          <w:rFonts w:asciiTheme="minorHAnsi" w:hAnsiTheme="minorHAnsi" w:cstheme="minorHAnsi"/>
          <w:i/>
          <w:iCs/>
        </w:rPr>
        <w:t>.</w:t>
      </w:r>
      <w:r w:rsidR="001B1599">
        <w:rPr>
          <w:rFonts w:asciiTheme="minorHAnsi" w:hAnsiTheme="minorHAnsi" w:cstheme="minorHAnsi"/>
          <w:i/>
          <w:iCs/>
        </w:rPr>
        <w:t xml:space="preserve"> </w:t>
      </w:r>
      <w:r>
        <w:rPr>
          <w:rFonts w:asciiTheme="minorHAnsi" w:hAnsiTheme="minorHAnsi" w:cstheme="minorHAnsi"/>
          <w:i/>
          <w:iCs/>
        </w:rPr>
        <w:t>PASC requested that, overall, any minimum or maximum time intervals between any of the codependent elements be included where appropriate in the proposed item descriptors and a justification provided for each such interval.</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2F3E40" w:rsidRPr="00E26265" w14:paraId="4034848D" w14:textId="77777777" w:rsidTr="00E26265">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171FF631" w14:textId="0BE05020" w:rsidR="002F3E40" w:rsidRPr="00E26265" w:rsidRDefault="002F3E40" w:rsidP="00E26265">
            <w:pPr>
              <w:spacing w:before="40" w:after="40" w:line="240" w:lineRule="auto"/>
              <w:rPr>
                <w:rFonts w:ascii="Arial Narrow" w:hAnsi="Arial Narrow"/>
                <w:sz w:val="20"/>
                <w:szCs w:val="20"/>
              </w:rPr>
            </w:pPr>
            <w:r w:rsidRPr="00E26265">
              <w:rPr>
                <w:rFonts w:ascii="Arial Narrow" w:hAnsi="Arial Narrow"/>
                <w:sz w:val="20"/>
                <w:szCs w:val="20"/>
              </w:rPr>
              <w:t>Category</w:t>
            </w:r>
            <w:r w:rsidR="003930EF">
              <w:rPr>
                <w:rFonts w:ascii="Arial Narrow" w:hAnsi="Arial Narrow"/>
                <w:sz w:val="20"/>
                <w:szCs w:val="20"/>
              </w:rPr>
              <w:t xml:space="preserve"> 3</w:t>
            </w:r>
            <w:r w:rsidR="00932C92">
              <w:rPr>
                <w:rFonts w:ascii="Arial Narrow" w:hAnsi="Arial Narrow"/>
                <w:sz w:val="20"/>
                <w:szCs w:val="20"/>
              </w:rPr>
              <w:t xml:space="preserve"> – Therapeutic Procedures </w:t>
            </w:r>
            <w:r w:rsidR="003930EF">
              <w:rPr>
                <w:rFonts w:ascii="Arial Narrow" w:hAnsi="Arial Narrow"/>
                <w:sz w:val="20"/>
                <w:szCs w:val="20"/>
              </w:rPr>
              <w:t xml:space="preserve">T3. </w:t>
            </w:r>
            <w:r w:rsidR="00932C92">
              <w:rPr>
                <w:rFonts w:ascii="Arial Narrow" w:hAnsi="Arial Narrow"/>
                <w:sz w:val="20"/>
                <w:szCs w:val="20"/>
              </w:rPr>
              <w:t>Therapeutic Nuclear Medicine</w:t>
            </w:r>
          </w:p>
        </w:tc>
      </w:tr>
      <w:tr w:rsidR="002F3E40" w:rsidRPr="00E26265" w14:paraId="028C0CFB" w14:textId="77777777" w:rsidTr="00E26265">
        <w:trPr>
          <w:cantSplit/>
          <w:tblHeader/>
        </w:trPr>
        <w:tc>
          <w:tcPr>
            <w:tcW w:w="9242" w:type="dxa"/>
            <w:tcBorders>
              <w:top w:val="single" w:sz="4" w:space="0" w:color="auto"/>
              <w:left w:val="single" w:sz="4" w:space="0" w:color="auto"/>
              <w:bottom w:val="single" w:sz="4" w:space="0" w:color="auto"/>
              <w:right w:val="single" w:sz="4" w:space="0" w:color="auto"/>
            </w:tcBorders>
          </w:tcPr>
          <w:p w14:paraId="39CDEB64" w14:textId="7391CE79" w:rsidR="002F3E40" w:rsidRPr="00E26265" w:rsidRDefault="000D1FCF" w:rsidP="00E26265">
            <w:pPr>
              <w:spacing w:before="40" w:after="40" w:line="240" w:lineRule="auto"/>
              <w:rPr>
                <w:rFonts w:ascii="Arial Narrow" w:hAnsi="Arial Narrow"/>
                <w:sz w:val="20"/>
                <w:szCs w:val="20"/>
              </w:rPr>
            </w:pPr>
            <w:r w:rsidRPr="00E26265">
              <w:rPr>
                <w:rFonts w:ascii="Arial Narrow" w:hAnsi="Arial Narrow"/>
                <w:sz w:val="20"/>
                <w:szCs w:val="20"/>
              </w:rPr>
              <w:t xml:space="preserve">MBS item </w:t>
            </w:r>
            <w:r w:rsidR="00B9688B">
              <w:rPr>
                <w:rFonts w:ascii="Arial Narrow" w:hAnsi="Arial Narrow"/>
                <w:sz w:val="20"/>
                <w:szCs w:val="20"/>
              </w:rPr>
              <w:t>ZZZZ</w:t>
            </w:r>
          </w:p>
          <w:p w14:paraId="5379CBCB" w14:textId="265E6CE8" w:rsidR="002F3E40" w:rsidRPr="00E26265" w:rsidRDefault="00782767" w:rsidP="00E26265">
            <w:pPr>
              <w:spacing w:before="40" w:after="40" w:line="240" w:lineRule="auto"/>
              <w:rPr>
                <w:rFonts w:ascii="Arial Narrow" w:hAnsi="Arial Narrow"/>
                <w:sz w:val="20"/>
                <w:szCs w:val="20"/>
              </w:rPr>
            </w:pPr>
            <w:r>
              <w:rPr>
                <w:rFonts w:ascii="Arial Narrow" w:hAnsi="Arial Narrow"/>
                <w:i/>
                <w:iCs/>
                <w:sz w:val="20"/>
                <w:szCs w:val="20"/>
              </w:rPr>
              <w:t>Administration of</w:t>
            </w:r>
            <w:r w:rsidR="003930EF">
              <w:rPr>
                <w:rFonts w:ascii="Arial Narrow" w:hAnsi="Arial Narrow"/>
                <w:sz w:val="20"/>
                <w:szCs w:val="20"/>
              </w:rPr>
              <w:t xml:space="preserve"> </w:t>
            </w:r>
            <w:r w:rsidR="00E26265" w:rsidRPr="00E26265">
              <w:rPr>
                <w:rFonts w:ascii="Arial Narrow" w:hAnsi="Arial Narrow"/>
                <w:sz w:val="20"/>
                <w:szCs w:val="20"/>
              </w:rPr>
              <w:t xml:space="preserve">Lu PSMA therapy for treatment of </w:t>
            </w:r>
            <w:r w:rsidR="00E26265" w:rsidRPr="000F1405">
              <w:rPr>
                <w:rFonts w:ascii="Arial Narrow" w:hAnsi="Arial Narrow"/>
                <w:strike/>
                <w:sz w:val="20"/>
                <w:szCs w:val="20"/>
              </w:rPr>
              <w:t>men</w:t>
            </w:r>
            <w:r w:rsidR="00E26265" w:rsidRPr="00E26265">
              <w:rPr>
                <w:rFonts w:ascii="Arial Narrow" w:hAnsi="Arial Narrow"/>
                <w:sz w:val="20"/>
                <w:szCs w:val="20"/>
              </w:rPr>
              <w:t xml:space="preserve"> </w:t>
            </w:r>
            <w:r w:rsidR="005E66BD">
              <w:rPr>
                <w:rFonts w:ascii="Arial Narrow" w:hAnsi="Arial Narrow"/>
                <w:i/>
                <w:iCs/>
                <w:sz w:val="20"/>
                <w:szCs w:val="20"/>
              </w:rPr>
              <w:t xml:space="preserve">patients </w:t>
            </w:r>
            <w:r w:rsidR="00E26265" w:rsidRPr="00E26265">
              <w:rPr>
                <w:rFonts w:ascii="Arial Narrow" w:hAnsi="Arial Narrow"/>
                <w:sz w:val="20"/>
                <w:szCs w:val="20"/>
              </w:rPr>
              <w:t>with progressive metastatic castrate resistant prostate cancer after disease progression on chemotherapy and at least one androgen signalling inhibitor</w:t>
            </w:r>
            <w:r w:rsidR="00B9688B">
              <w:rPr>
                <w:rFonts w:ascii="Arial Narrow" w:hAnsi="Arial Narrow"/>
                <w:sz w:val="20"/>
                <w:szCs w:val="20"/>
              </w:rPr>
              <w:t xml:space="preserve"> </w:t>
            </w:r>
            <w:r w:rsidR="00B9688B">
              <w:rPr>
                <w:rFonts w:ascii="Arial Narrow" w:hAnsi="Arial Narrow"/>
                <w:i/>
                <w:iCs/>
                <w:sz w:val="20"/>
                <w:szCs w:val="20"/>
              </w:rPr>
              <w:t>and i</w:t>
            </w:r>
            <w:r w:rsidR="00B9688B" w:rsidRPr="00B9688B">
              <w:rPr>
                <w:rFonts w:ascii="Arial Narrow" w:hAnsi="Arial Narrow"/>
                <w:i/>
                <w:iCs/>
                <w:sz w:val="20"/>
                <w:szCs w:val="20"/>
              </w:rPr>
              <w:t xml:space="preserve">maging (Lu PSMA </w:t>
            </w:r>
            <w:r w:rsidR="006E5B64">
              <w:rPr>
                <w:rFonts w:ascii="Arial Narrow" w:hAnsi="Arial Narrow"/>
                <w:i/>
                <w:iCs/>
                <w:sz w:val="20"/>
                <w:szCs w:val="20"/>
              </w:rPr>
              <w:t>s</w:t>
            </w:r>
            <w:r w:rsidR="006E5B64" w:rsidRPr="006E5B64">
              <w:rPr>
                <w:rFonts w:ascii="Arial Narrow" w:hAnsi="Arial Narrow"/>
                <w:i/>
                <w:iCs/>
                <w:sz w:val="20"/>
                <w:szCs w:val="20"/>
              </w:rPr>
              <w:t xml:space="preserve">ingle-photon emission computed tomography </w:t>
            </w:r>
            <w:r w:rsidR="006E5B64">
              <w:rPr>
                <w:rFonts w:ascii="Arial Narrow" w:hAnsi="Arial Narrow"/>
                <w:i/>
                <w:iCs/>
                <w:sz w:val="20"/>
                <w:szCs w:val="20"/>
              </w:rPr>
              <w:t>(</w:t>
            </w:r>
            <w:r w:rsidR="00B9688B" w:rsidRPr="00B9688B">
              <w:rPr>
                <w:rFonts w:ascii="Arial Narrow" w:hAnsi="Arial Narrow"/>
                <w:i/>
                <w:iCs/>
                <w:sz w:val="20"/>
                <w:szCs w:val="20"/>
              </w:rPr>
              <w:t>SPECT</w:t>
            </w:r>
            <w:r w:rsidR="006E5B64">
              <w:rPr>
                <w:rFonts w:ascii="Arial Narrow" w:hAnsi="Arial Narrow"/>
                <w:i/>
                <w:iCs/>
                <w:sz w:val="20"/>
                <w:szCs w:val="20"/>
              </w:rPr>
              <w:t>)/</w:t>
            </w:r>
            <w:r w:rsidR="00B9688B" w:rsidRPr="00B9688B">
              <w:rPr>
                <w:rFonts w:ascii="Arial Narrow" w:hAnsi="Arial Narrow"/>
                <w:i/>
                <w:iCs/>
                <w:sz w:val="20"/>
                <w:szCs w:val="20"/>
              </w:rPr>
              <w:t>computerised tomography (CT)</w:t>
            </w:r>
            <w:r>
              <w:rPr>
                <w:rFonts w:ascii="Arial Narrow" w:hAnsi="Arial Narrow"/>
                <w:i/>
                <w:iCs/>
                <w:sz w:val="20"/>
                <w:szCs w:val="20"/>
              </w:rPr>
              <w:t>)</w:t>
            </w:r>
            <w:r w:rsidR="00B9688B" w:rsidRPr="00B9688B">
              <w:rPr>
                <w:rFonts w:ascii="Arial Narrow" w:hAnsi="Arial Narrow"/>
                <w:i/>
                <w:iCs/>
                <w:sz w:val="20"/>
                <w:szCs w:val="20"/>
              </w:rPr>
              <w:t xml:space="preserve"> involving a whole-body scan acquired 24 hours following injection.</w:t>
            </w:r>
          </w:p>
        </w:tc>
      </w:tr>
      <w:tr w:rsidR="00D2670B" w:rsidRPr="00E26265" w14:paraId="4130676A" w14:textId="77777777" w:rsidTr="00E26265">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56A2DE20" w14:textId="11B92477" w:rsidR="00D2670B" w:rsidRPr="00E26265" w:rsidRDefault="00D2670B" w:rsidP="00E26265">
            <w:pPr>
              <w:spacing w:before="40" w:after="40" w:line="240" w:lineRule="auto"/>
              <w:rPr>
                <w:rFonts w:ascii="Arial Narrow" w:hAnsi="Arial Narrow"/>
                <w:sz w:val="20"/>
                <w:szCs w:val="20"/>
              </w:rPr>
            </w:pPr>
            <w:r w:rsidRPr="00E26265">
              <w:rPr>
                <w:rFonts w:ascii="Arial Narrow" w:hAnsi="Arial Narrow"/>
                <w:sz w:val="20"/>
                <w:szCs w:val="20"/>
              </w:rPr>
              <w:t xml:space="preserve">Fee: </w:t>
            </w:r>
            <w:r w:rsidR="00E26265" w:rsidRPr="000F1405">
              <w:rPr>
                <w:rFonts w:ascii="Arial Narrow" w:hAnsi="Arial Narrow"/>
                <w:sz w:val="20"/>
                <w:szCs w:val="20"/>
              </w:rPr>
              <w:t>$8000</w:t>
            </w:r>
            <w:r w:rsidR="003930EF">
              <w:rPr>
                <w:rFonts w:ascii="Arial Narrow" w:hAnsi="Arial Narrow"/>
                <w:i/>
                <w:iCs/>
                <w:sz w:val="20"/>
                <w:szCs w:val="20"/>
              </w:rPr>
              <w:t xml:space="preserve">  </w:t>
            </w:r>
            <w:r w:rsidR="003930EF" w:rsidRPr="005876A4">
              <w:rPr>
                <w:rFonts w:ascii="Arial Narrow" w:hAnsi="Arial Narrow"/>
                <w:i/>
                <w:sz w:val="20"/>
                <w:szCs w:val="20"/>
              </w:rPr>
              <w:t>Benefit: 85% =</w:t>
            </w:r>
            <w:r w:rsidR="005876A4" w:rsidRPr="005876A4">
              <w:rPr>
                <w:rFonts w:ascii="Arial Narrow" w:hAnsi="Arial Narrow"/>
                <w:i/>
                <w:sz w:val="20"/>
                <w:szCs w:val="20"/>
              </w:rPr>
              <w:t xml:space="preserve"> $6800</w:t>
            </w:r>
          </w:p>
        </w:tc>
      </w:tr>
    </w:tbl>
    <w:p w14:paraId="3E90A3B5" w14:textId="10ADC3FD" w:rsidR="00A20CF9" w:rsidRDefault="00E26265" w:rsidP="00E26265">
      <w:pPr>
        <w:spacing w:before="200"/>
      </w:pPr>
      <w:r>
        <w:t xml:space="preserve">The proposed fee for </w:t>
      </w:r>
      <w:r>
        <w:rPr>
          <w:vertAlign w:val="superscript"/>
        </w:rPr>
        <w:t>177</w:t>
      </w:r>
      <w:r>
        <w:t xml:space="preserve">Lu PSMA </w:t>
      </w:r>
      <w:r w:rsidR="00E41841">
        <w:t>I&amp;T</w:t>
      </w:r>
      <w:r>
        <w:t xml:space="preserve"> was updated from </w:t>
      </w:r>
      <w:r w:rsidR="00204E4D">
        <w:t xml:space="preserve">$7000 per dose ($5500 for </w:t>
      </w:r>
      <w:r w:rsidR="00204E4D">
        <w:rPr>
          <w:vertAlign w:val="superscript"/>
        </w:rPr>
        <w:t>177</w:t>
      </w:r>
      <w:r w:rsidR="00204E4D">
        <w:t xml:space="preserve">Lu PSMA </w:t>
      </w:r>
      <w:r w:rsidR="00E41841">
        <w:t>I&amp;T</w:t>
      </w:r>
      <w:r w:rsidR="00204E4D">
        <w:t xml:space="preserve"> production</w:t>
      </w:r>
      <w:r w:rsidR="00CE61D7">
        <w:t xml:space="preserve"> and</w:t>
      </w:r>
      <w:r w:rsidR="00204E4D">
        <w:t xml:space="preserve"> </w:t>
      </w:r>
      <w:r w:rsidR="00A61410">
        <w:t>administration</w:t>
      </w:r>
      <w:r w:rsidR="00204E4D">
        <w:t xml:space="preserve"> plus $1500 for </w:t>
      </w:r>
      <w:r w:rsidR="00204E4D" w:rsidRPr="00204E4D">
        <w:t>post</w:t>
      </w:r>
      <w:r w:rsidR="00CE61D7">
        <w:t>-</w:t>
      </w:r>
      <w:r w:rsidR="00204E4D" w:rsidRPr="00204E4D">
        <w:t>therapy SPECT scan</w:t>
      </w:r>
      <w:r w:rsidR="00204E4D">
        <w:t>) in the application to $8000 (</w:t>
      </w:r>
      <w:r w:rsidR="00204E4D" w:rsidRPr="00204E4D">
        <w:t xml:space="preserve">$5500 for </w:t>
      </w:r>
      <w:r w:rsidR="001B1599">
        <w:t xml:space="preserve">preparation of </w:t>
      </w:r>
      <w:r w:rsidR="00204E4D" w:rsidRPr="00204E4D">
        <w:rPr>
          <w:vertAlign w:val="superscript"/>
        </w:rPr>
        <w:t>177</w:t>
      </w:r>
      <w:r w:rsidR="00204E4D" w:rsidRPr="00204E4D">
        <w:t xml:space="preserve">Lu PSMA </w:t>
      </w:r>
      <w:r w:rsidR="00E41841">
        <w:t>I&amp;T</w:t>
      </w:r>
      <w:r w:rsidR="00204E4D" w:rsidRPr="00204E4D">
        <w:t xml:space="preserve"> plus $2500 for </w:t>
      </w:r>
      <w:r w:rsidR="001B1599">
        <w:t>administration</w:t>
      </w:r>
      <w:r w:rsidR="00D97A25">
        <w:t>, immediate aftercare, and 24-hour post-therapy SPECT/CT</w:t>
      </w:r>
      <w:r w:rsidR="00204E4D">
        <w:t xml:space="preserve">). </w:t>
      </w:r>
      <w:r w:rsidR="00204E4D" w:rsidRPr="00066772">
        <w:t>Although the requested fee includes the post</w:t>
      </w:r>
      <w:r w:rsidR="00BA256B" w:rsidRPr="00066772">
        <w:t>-t</w:t>
      </w:r>
      <w:r w:rsidR="008A595F">
        <w:t>herapy</w:t>
      </w:r>
      <w:r w:rsidR="00204E4D" w:rsidRPr="00066772">
        <w:t xml:space="preserve"> SPECT</w:t>
      </w:r>
      <w:r w:rsidR="00BA256B" w:rsidRPr="00066772">
        <w:t>/CT</w:t>
      </w:r>
      <w:r w:rsidR="00204E4D" w:rsidRPr="00066772">
        <w:t xml:space="preserve"> scan, the </w:t>
      </w:r>
      <w:r w:rsidR="00D97A25">
        <w:t xml:space="preserve">proposed </w:t>
      </w:r>
      <w:r w:rsidR="00204E4D" w:rsidRPr="00066772">
        <w:t xml:space="preserve">item descriptor </w:t>
      </w:r>
      <w:r w:rsidR="00D97A25">
        <w:t>did</w:t>
      </w:r>
      <w:r w:rsidR="00D97A25" w:rsidRPr="00066772">
        <w:t xml:space="preserve"> </w:t>
      </w:r>
      <w:r w:rsidR="00204E4D" w:rsidRPr="00066772">
        <w:t xml:space="preserve">not specify this, </w:t>
      </w:r>
      <w:r w:rsidR="008A595F">
        <w:t xml:space="preserve">and so </w:t>
      </w:r>
      <w:r w:rsidR="00204E4D" w:rsidRPr="00066772">
        <w:t xml:space="preserve">this </w:t>
      </w:r>
      <w:r w:rsidR="005876A4" w:rsidRPr="00066772">
        <w:t xml:space="preserve">has been included in the </w:t>
      </w:r>
      <w:r w:rsidR="00D97A25">
        <w:t xml:space="preserve">revised </w:t>
      </w:r>
      <w:r w:rsidR="005876A4" w:rsidRPr="00066772">
        <w:t xml:space="preserve">item descriptor above. The fee for </w:t>
      </w:r>
      <w:r w:rsidR="005876A4" w:rsidRPr="00066772">
        <w:rPr>
          <w:vertAlign w:val="superscript"/>
        </w:rPr>
        <w:t>177</w:t>
      </w:r>
      <w:r w:rsidR="005876A4" w:rsidRPr="00066772">
        <w:t xml:space="preserve">Lu PSMA </w:t>
      </w:r>
      <w:r w:rsidR="00E41841">
        <w:t>I&amp;T</w:t>
      </w:r>
      <w:r w:rsidR="005876A4" w:rsidRPr="00066772">
        <w:t xml:space="preserve"> and the </w:t>
      </w:r>
      <w:r w:rsidR="00E41841">
        <w:t>post-treatment</w:t>
      </w:r>
      <w:r w:rsidR="00E41841" w:rsidRPr="00066772">
        <w:t xml:space="preserve"> </w:t>
      </w:r>
      <w:r w:rsidR="005876A4" w:rsidRPr="00066772">
        <w:rPr>
          <w:vertAlign w:val="superscript"/>
        </w:rPr>
        <w:t>177</w:t>
      </w:r>
      <w:r w:rsidR="005876A4" w:rsidRPr="00066772">
        <w:t>Lu SPECT/CT scan will need to be justified in the assessment report</w:t>
      </w:r>
      <w:r w:rsidR="00204E4D" w:rsidRPr="00066772">
        <w:t>.</w:t>
      </w:r>
    </w:p>
    <w:p w14:paraId="72A32B83" w14:textId="39FABCF5" w:rsidR="00303D4B" w:rsidRPr="00E9039C" w:rsidRDefault="00303D4B" w:rsidP="00CE61D7">
      <w:pPr>
        <w:autoSpaceDE w:val="0"/>
        <w:autoSpaceDN w:val="0"/>
        <w:adjustRightInd w:val="0"/>
        <w:rPr>
          <w:rFonts w:asciiTheme="minorHAnsi" w:hAnsiTheme="minorHAnsi" w:cstheme="minorHAnsi"/>
          <w:i/>
          <w:iCs/>
        </w:rPr>
      </w:pPr>
      <w:r w:rsidRPr="00E9039C">
        <w:rPr>
          <w:rFonts w:asciiTheme="minorHAnsi" w:hAnsiTheme="minorHAnsi" w:cstheme="minorHAnsi"/>
          <w:i/>
          <w:iCs/>
        </w:rPr>
        <w:t xml:space="preserve">PASC noted that the proposed descriptor for </w:t>
      </w:r>
      <w:r w:rsidRPr="00E9039C">
        <w:rPr>
          <w:rFonts w:asciiTheme="minorHAnsi" w:hAnsiTheme="minorHAnsi" w:cstheme="minorHAnsi"/>
          <w:i/>
          <w:iCs/>
          <w:vertAlign w:val="superscript"/>
        </w:rPr>
        <w:t>177</w:t>
      </w:r>
      <w:r w:rsidRPr="00E9039C">
        <w:rPr>
          <w:rFonts w:asciiTheme="minorHAnsi" w:hAnsiTheme="minorHAnsi" w:cstheme="minorHAnsi"/>
          <w:i/>
          <w:iCs/>
        </w:rPr>
        <w:t xml:space="preserve">Lu PSMA therapy (Item ZZZZ) was agnostic to </w:t>
      </w:r>
      <w:r w:rsidRPr="00E9039C">
        <w:rPr>
          <w:rFonts w:asciiTheme="minorHAnsi" w:hAnsiTheme="minorHAnsi" w:cstheme="minorHAnsi"/>
          <w:i/>
          <w:iCs/>
          <w:vertAlign w:val="superscript"/>
        </w:rPr>
        <w:t>177</w:t>
      </w:r>
      <w:r w:rsidRPr="00E9039C">
        <w:rPr>
          <w:rFonts w:asciiTheme="minorHAnsi" w:hAnsiTheme="minorHAnsi" w:cstheme="minorHAnsi"/>
          <w:i/>
          <w:iCs/>
        </w:rPr>
        <w:t xml:space="preserve">Lu PSMA </w:t>
      </w:r>
      <w:r w:rsidR="00E41A95" w:rsidRPr="00E9039C">
        <w:rPr>
          <w:rFonts w:asciiTheme="minorHAnsi" w:hAnsiTheme="minorHAnsi" w:cstheme="minorHAnsi"/>
          <w:i/>
          <w:iCs/>
        </w:rPr>
        <w:t>ligands and</w:t>
      </w:r>
      <w:r w:rsidRPr="00E9039C">
        <w:rPr>
          <w:rFonts w:asciiTheme="minorHAnsi" w:hAnsiTheme="minorHAnsi" w:cstheme="minorHAnsi"/>
          <w:i/>
          <w:iCs/>
        </w:rPr>
        <w:t xml:space="preserve"> considered this appropriate subject to demonstration of therapeutic equivalence between ligands as previously </w:t>
      </w:r>
      <w:r>
        <w:rPr>
          <w:rFonts w:asciiTheme="minorHAnsi" w:hAnsiTheme="minorHAnsi" w:cstheme="minorHAnsi"/>
          <w:i/>
          <w:iCs/>
        </w:rPr>
        <w:t>requested</w:t>
      </w:r>
      <w:r w:rsidRPr="00E9039C">
        <w:rPr>
          <w:rFonts w:asciiTheme="minorHAnsi" w:hAnsiTheme="minorHAnsi" w:cstheme="minorHAnsi"/>
          <w:i/>
          <w:iCs/>
        </w:rPr>
        <w:t>.</w:t>
      </w:r>
    </w:p>
    <w:p w14:paraId="1599E1E3" w14:textId="77777777" w:rsidR="00E41841" w:rsidRPr="00E41841" w:rsidRDefault="00E41841" w:rsidP="00E41841">
      <w:pPr>
        <w:autoSpaceDE w:val="0"/>
        <w:autoSpaceDN w:val="0"/>
        <w:adjustRightInd w:val="0"/>
        <w:rPr>
          <w:rFonts w:asciiTheme="minorHAnsi" w:hAnsiTheme="minorHAnsi" w:cstheme="minorHAnsi"/>
          <w:i/>
          <w:iCs/>
        </w:rPr>
      </w:pPr>
      <w:r w:rsidRPr="00E41841">
        <w:rPr>
          <w:rFonts w:asciiTheme="minorHAnsi" w:hAnsiTheme="minorHAnsi" w:cstheme="minorHAnsi"/>
          <w:i/>
          <w:iCs/>
        </w:rPr>
        <w:t xml:space="preserve">PASC discussed the requested fee breakdown for </w:t>
      </w:r>
      <w:r w:rsidRPr="00E41841">
        <w:rPr>
          <w:rFonts w:asciiTheme="minorHAnsi" w:hAnsiTheme="minorHAnsi" w:cstheme="minorHAnsi"/>
          <w:i/>
          <w:iCs/>
          <w:vertAlign w:val="superscript"/>
        </w:rPr>
        <w:t>177</w:t>
      </w:r>
      <w:r w:rsidRPr="00E41841">
        <w:rPr>
          <w:rFonts w:asciiTheme="minorHAnsi" w:hAnsiTheme="minorHAnsi" w:cstheme="minorHAnsi"/>
          <w:i/>
          <w:iCs/>
        </w:rPr>
        <w:t>Lu</w:t>
      </w:r>
      <w:r w:rsidRPr="00E41841">
        <w:rPr>
          <w:rFonts w:asciiTheme="minorHAnsi" w:hAnsiTheme="minorHAnsi" w:cstheme="minorHAnsi"/>
          <w:i/>
          <w:iCs/>
          <w:vertAlign w:val="superscript"/>
        </w:rPr>
        <w:t xml:space="preserve"> </w:t>
      </w:r>
      <w:r w:rsidRPr="00E41841">
        <w:rPr>
          <w:rFonts w:asciiTheme="minorHAnsi" w:hAnsiTheme="minorHAnsi" w:cstheme="minorHAnsi"/>
          <w:i/>
          <w:iCs/>
        </w:rPr>
        <w:t>PSMA including:</w:t>
      </w:r>
    </w:p>
    <w:p w14:paraId="4B7B6E0C" w14:textId="5F55626D" w:rsidR="00E41841" w:rsidRDefault="00CE61D7" w:rsidP="00CE61D7">
      <w:pPr>
        <w:pStyle w:val="ListParagraph"/>
        <w:numPr>
          <w:ilvl w:val="0"/>
          <w:numId w:val="31"/>
        </w:numPr>
        <w:ind w:left="284" w:hanging="284"/>
        <w:rPr>
          <w:rFonts w:asciiTheme="minorHAnsi" w:hAnsiTheme="minorHAnsi" w:cstheme="minorHAnsi"/>
          <w:i/>
          <w:iCs/>
        </w:rPr>
      </w:pPr>
      <w:r>
        <w:rPr>
          <w:rFonts w:asciiTheme="minorHAnsi" w:hAnsiTheme="minorHAnsi" w:cstheme="minorHAnsi"/>
          <w:i/>
          <w:iCs/>
        </w:rPr>
        <w:t>m</w:t>
      </w:r>
      <w:r w:rsidR="00E41841">
        <w:rPr>
          <w:rFonts w:asciiTheme="minorHAnsi" w:hAnsiTheme="minorHAnsi" w:cstheme="minorHAnsi"/>
          <w:i/>
          <w:iCs/>
        </w:rPr>
        <w:t xml:space="preserve">anufacture of </w:t>
      </w:r>
      <w:r w:rsidR="00E41841">
        <w:rPr>
          <w:rFonts w:asciiTheme="minorHAnsi" w:hAnsiTheme="minorHAnsi" w:cstheme="minorHAnsi"/>
          <w:i/>
          <w:iCs/>
          <w:vertAlign w:val="superscript"/>
        </w:rPr>
        <w:t>177</w:t>
      </w:r>
      <w:r w:rsidR="00E41841">
        <w:rPr>
          <w:rFonts w:asciiTheme="minorHAnsi" w:hAnsiTheme="minorHAnsi" w:cstheme="minorHAnsi"/>
          <w:i/>
          <w:iCs/>
        </w:rPr>
        <w:t>Lu PSMA;</w:t>
      </w:r>
    </w:p>
    <w:p w14:paraId="5939AA9F" w14:textId="4FB5EA14" w:rsidR="00E41841" w:rsidRDefault="00CE61D7" w:rsidP="00CE61D7">
      <w:pPr>
        <w:pStyle w:val="ListParagraph"/>
        <w:numPr>
          <w:ilvl w:val="0"/>
          <w:numId w:val="31"/>
        </w:numPr>
        <w:ind w:left="284" w:hanging="284"/>
        <w:rPr>
          <w:rFonts w:asciiTheme="minorHAnsi" w:hAnsiTheme="minorHAnsi" w:cstheme="minorHAnsi"/>
          <w:i/>
          <w:iCs/>
        </w:rPr>
      </w:pPr>
      <w:r>
        <w:rPr>
          <w:rFonts w:asciiTheme="minorHAnsi" w:hAnsiTheme="minorHAnsi" w:cstheme="minorHAnsi"/>
          <w:i/>
          <w:iCs/>
        </w:rPr>
        <w:t>a</w:t>
      </w:r>
      <w:r w:rsidR="00E41841">
        <w:rPr>
          <w:rFonts w:asciiTheme="minorHAnsi" w:hAnsiTheme="minorHAnsi" w:cstheme="minorHAnsi"/>
          <w:i/>
          <w:iCs/>
        </w:rPr>
        <w:t xml:space="preserve">dministration of </w:t>
      </w:r>
      <w:r w:rsidR="00E41841">
        <w:rPr>
          <w:rFonts w:asciiTheme="minorHAnsi" w:hAnsiTheme="minorHAnsi" w:cstheme="minorHAnsi"/>
          <w:i/>
          <w:iCs/>
          <w:vertAlign w:val="superscript"/>
        </w:rPr>
        <w:t>177</w:t>
      </w:r>
      <w:r w:rsidR="00E41841">
        <w:rPr>
          <w:rFonts w:asciiTheme="minorHAnsi" w:hAnsiTheme="minorHAnsi" w:cstheme="minorHAnsi"/>
          <w:i/>
          <w:iCs/>
        </w:rPr>
        <w:t>Lu PSMA; and</w:t>
      </w:r>
    </w:p>
    <w:p w14:paraId="14537945" w14:textId="4212BE54" w:rsidR="00E41841" w:rsidRDefault="00CE61D7" w:rsidP="00CE61D7">
      <w:pPr>
        <w:pStyle w:val="ListParagraph"/>
        <w:numPr>
          <w:ilvl w:val="0"/>
          <w:numId w:val="31"/>
        </w:numPr>
        <w:ind w:left="284" w:hanging="284"/>
        <w:rPr>
          <w:rFonts w:asciiTheme="minorHAnsi" w:hAnsiTheme="minorHAnsi" w:cstheme="minorHAnsi"/>
          <w:i/>
          <w:iCs/>
        </w:rPr>
      </w:pPr>
      <w:r>
        <w:rPr>
          <w:rFonts w:asciiTheme="minorHAnsi" w:hAnsiTheme="minorHAnsi" w:cstheme="minorHAnsi"/>
          <w:i/>
          <w:iCs/>
        </w:rPr>
        <w:t>p</w:t>
      </w:r>
      <w:r w:rsidR="00E41841">
        <w:rPr>
          <w:rFonts w:asciiTheme="minorHAnsi" w:hAnsiTheme="minorHAnsi" w:cstheme="minorHAnsi"/>
          <w:i/>
          <w:iCs/>
        </w:rPr>
        <w:t>ost-treatment SPECT/CT.</w:t>
      </w:r>
    </w:p>
    <w:p w14:paraId="6D42CF0C" w14:textId="11BC5911" w:rsidR="00E41841" w:rsidRDefault="00E41841" w:rsidP="00E41841">
      <w:pPr>
        <w:spacing w:before="200"/>
        <w:rPr>
          <w:rFonts w:asciiTheme="minorHAnsi" w:hAnsiTheme="minorHAnsi" w:cstheme="minorHAnsi"/>
          <w:i/>
          <w:iCs/>
        </w:rPr>
      </w:pPr>
      <w:r>
        <w:rPr>
          <w:rFonts w:asciiTheme="minorHAnsi" w:hAnsiTheme="minorHAnsi" w:cstheme="minorHAnsi"/>
          <w:i/>
          <w:iCs/>
        </w:rPr>
        <w:t>PASC considered that appropriate fee justification was required in the assessment report, including the use and cost of post-treatment SPECT/CT.</w:t>
      </w:r>
    </w:p>
    <w:p w14:paraId="01B1AA29" w14:textId="0E263BEF" w:rsidR="00E41841" w:rsidRDefault="00E41841" w:rsidP="00E41841">
      <w:pPr>
        <w:spacing w:before="200"/>
        <w:rPr>
          <w:rFonts w:asciiTheme="minorHAnsi" w:hAnsiTheme="minorHAnsi" w:cstheme="minorHAnsi"/>
          <w:i/>
          <w:iCs/>
        </w:rPr>
      </w:pPr>
      <w:r w:rsidRPr="003F3441">
        <w:rPr>
          <w:rFonts w:asciiTheme="minorHAnsi" w:hAnsiTheme="minorHAnsi" w:cstheme="minorHAnsi"/>
          <w:i/>
          <w:iCs/>
        </w:rPr>
        <w:t xml:space="preserve">PASC stated that </w:t>
      </w:r>
      <w:r>
        <w:rPr>
          <w:rFonts w:asciiTheme="minorHAnsi" w:hAnsiTheme="minorHAnsi" w:cstheme="minorHAnsi"/>
          <w:i/>
          <w:iCs/>
        </w:rPr>
        <w:t>there should be no co-claiming of</w:t>
      </w:r>
      <w:r w:rsidRPr="004B5963">
        <w:rPr>
          <w:rFonts w:asciiTheme="minorHAnsi" w:hAnsiTheme="minorHAnsi" w:cstheme="minorHAnsi"/>
          <w:i/>
          <w:iCs/>
        </w:rPr>
        <w:t xml:space="preserve"> specialist/consultant physician </w:t>
      </w:r>
      <w:r>
        <w:rPr>
          <w:rFonts w:asciiTheme="minorHAnsi" w:hAnsiTheme="minorHAnsi" w:cstheme="minorHAnsi"/>
          <w:i/>
          <w:iCs/>
        </w:rPr>
        <w:t xml:space="preserve">consultation items with the proposed item combining </w:t>
      </w:r>
      <w:r>
        <w:rPr>
          <w:rFonts w:asciiTheme="minorHAnsi" w:hAnsiTheme="minorHAnsi" w:cstheme="minorHAnsi"/>
          <w:i/>
          <w:iCs/>
          <w:vertAlign w:val="superscript"/>
        </w:rPr>
        <w:t>177</w:t>
      </w:r>
      <w:r w:rsidRPr="00E41841">
        <w:rPr>
          <w:rFonts w:asciiTheme="minorHAnsi" w:hAnsiTheme="minorHAnsi" w:cstheme="minorHAnsi"/>
          <w:i/>
          <w:iCs/>
        </w:rPr>
        <w:t>Lu</w:t>
      </w:r>
      <w:r>
        <w:rPr>
          <w:rFonts w:asciiTheme="minorHAnsi" w:hAnsiTheme="minorHAnsi" w:cstheme="minorHAnsi"/>
          <w:i/>
          <w:iCs/>
          <w:vertAlign w:val="superscript"/>
        </w:rPr>
        <w:t xml:space="preserve"> </w:t>
      </w:r>
      <w:r>
        <w:rPr>
          <w:rFonts w:asciiTheme="minorHAnsi" w:hAnsiTheme="minorHAnsi" w:cstheme="minorHAnsi"/>
          <w:i/>
          <w:iCs/>
        </w:rPr>
        <w:t>PSMA and subsequent SPECT/CT.</w:t>
      </w:r>
    </w:p>
    <w:p w14:paraId="136C49AC" w14:textId="3D876F3D" w:rsidR="00E41841" w:rsidRDefault="00E41841" w:rsidP="00E41841">
      <w:pPr>
        <w:spacing w:before="200"/>
        <w:rPr>
          <w:rFonts w:asciiTheme="minorHAnsi" w:hAnsiTheme="minorHAnsi" w:cstheme="minorHAnsi"/>
          <w:i/>
          <w:iCs/>
        </w:rPr>
      </w:pPr>
      <w:r w:rsidRPr="00E41841">
        <w:rPr>
          <w:rFonts w:asciiTheme="minorHAnsi" w:hAnsiTheme="minorHAnsi" w:cstheme="minorHAnsi"/>
          <w:i/>
          <w:iCs/>
        </w:rPr>
        <w:t>PASC advised that the item descriptors include reference to MDTs and referring clinicians, which was suggested to be restricted to medical oncologists.</w:t>
      </w:r>
    </w:p>
    <w:p w14:paraId="6BD5E882" w14:textId="13FF1B22" w:rsidR="00E41841" w:rsidRPr="00E41841" w:rsidRDefault="00E41841" w:rsidP="00E41841">
      <w:pPr>
        <w:spacing w:before="200"/>
      </w:pPr>
      <w:r w:rsidRPr="004B5963">
        <w:rPr>
          <w:rFonts w:asciiTheme="minorHAnsi" w:hAnsiTheme="minorHAnsi" w:cstheme="minorHAnsi"/>
          <w:i/>
          <w:iCs/>
        </w:rPr>
        <w:t xml:space="preserve">PASC </w:t>
      </w:r>
      <w:r>
        <w:rPr>
          <w:rFonts w:asciiTheme="minorHAnsi" w:hAnsiTheme="minorHAnsi" w:cstheme="minorHAnsi"/>
          <w:i/>
          <w:iCs/>
        </w:rPr>
        <w:t>a</w:t>
      </w:r>
      <w:r w:rsidRPr="004B5963">
        <w:rPr>
          <w:rFonts w:asciiTheme="minorHAnsi" w:hAnsiTheme="minorHAnsi" w:cstheme="minorHAnsi"/>
          <w:i/>
          <w:iCs/>
        </w:rPr>
        <w:t>dvised that</w:t>
      </w:r>
      <w:r>
        <w:rPr>
          <w:rFonts w:asciiTheme="minorHAnsi" w:hAnsiTheme="minorHAnsi" w:cstheme="minorHAnsi"/>
        </w:rPr>
        <w:t xml:space="preserve"> </w:t>
      </w:r>
      <w:r>
        <w:rPr>
          <w:rFonts w:asciiTheme="minorHAnsi" w:hAnsiTheme="minorHAnsi" w:cstheme="minorHAnsi"/>
          <w:i/>
          <w:iCs/>
        </w:rPr>
        <w:t xml:space="preserve">details regarding training and accreditation </w:t>
      </w:r>
      <w:r w:rsidR="00273DEE">
        <w:rPr>
          <w:rFonts w:asciiTheme="minorHAnsi" w:hAnsiTheme="minorHAnsi" w:cstheme="minorHAnsi"/>
          <w:i/>
          <w:iCs/>
        </w:rPr>
        <w:t xml:space="preserve">of </w:t>
      </w:r>
      <w:r>
        <w:rPr>
          <w:rFonts w:asciiTheme="minorHAnsi" w:hAnsiTheme="minorHAnsi" w:cstheme="minorHAnsi"/>
          <w:i/>
          <w:iCs/>
        </w:rPr>
        <w:t>providers be addressed and was aware that those developed by the Committee for Joint College Training (CJCT) still</w:t>
      </w:r>
      <w:r w:rsidRPr="004B5963">
        <w:rPr>
          <w:rFonts w:asciiTheme="minorHAnsi" w:hAnsiTheme="minorHAnsi" w:cstheme="minorHAnsi"/>
          <w:i/>
          <w:iCs/>
        </w:rPr>
        <w:t xml:space="preserve"> needs formal approval </w:t>
      </w:r>
      <w:r w:rsidR="000A7E45">
        <w:rPr>
          <w:rFonts w:asciiTheme="minorHAnsi" w:hAnsiTheme="minorHAnsi" w:cstheme="minorHAnsi"/>
          <w:i/>
          <w:iCs/>
        </w:rPr>
        <w:t>and</w:t>
      </w:r>
      <w:r w:rsidRPr="004B5963">
        <w:rPr>
          <w:rFonts w:asciiTheme="minorHAnsi" w:hAnsiTheme="minorHAnsi" w:cstheme="minorHAnsi"/>
          <w:i/>
          <w:iCs/>
        </w:rPr>
        <w:t xml:space="preserve"> endorsement by </w:t>
      </w:r>
      <w:r w:rsidR="000A7E45">
        <w:rPr>
          <w:rFonts w:asciiTheme="minorHAnsi" w:hAnsiTheme="minorHAnsi" w:cstheme="minorHAnsi"/>
          <w:i/>
          <w:iCs/>
        </w:rPr>
        <w:t xml:space="preserve">the </w:t>
      </w:r>
      <w:r w:rsidR="000A7E45" w:rsidRPr="000A7E45">
        <w:rPr>
          <w:rFonts w:asciiTheme="minorHAnsi" w:hAnsiTheme="minorHAnsi" w:cstheme="minorHAnsi"/>
          <w:i/>
          <w:iCs/>
        </w:rPr>
        <w:t xml:space="preserve">Royal Australasian College of Physicians </w:t>
      </w:r>
      <w:r w:rsidR="000A7E45">
        <w:rPr>
          <w:rFonts w:asciiTheme="minorHAnsi" w:hAnsiTheme="minorHAnsi" w:cstheme="minorHAnsi"/>
          <w:i/>
          <w:iCs/>
        </w:rPr>
        <w:t>(</w:t>
      </w:r>
      <w:r w:rsidRPr="004B5963">
        <w:rPr>
          <w:rFonts w:asciiTheme="minorHAnsi" w:hAnsiTheme="minorHAnsi" w:cstheme="minorHAnsi"/>
          <w:i/>
          <w:iCs/>
        </w:rPr>
        <w:t>RACP</w:t>
      </w:r>
      <w:r w:rsidR="000A7E45">
        <w:rPr>
          <w:rFonts w:asciiTheme="minorHAnsi" w:hAnsiTheme="minorHAnsi" w:cstheme="minorHAnsi"/>
          <w:i/>
          <w:iCs/>
        </w:rPr>
        <w:t>)</w:t>
      </w:r>
      <w:r w:rsidRPr="004B5963">
        <w:rPr>
          <w:rFonts w:asciiTheme="minorHAnsi" w:hAnsiTheme="minorHAnsi" w:cstheme="minorHAnsi"/>
          <w:i/>
          <w:iCs/>
        </w:rPr>
        <w:t xml:space="preserve"> </w:t>
      </w:r>
      <w:r>
        <w:rPr>
          <w:rFonts w:asciiTheme="minorHAnsi" w:hAnsiTheme="minorHAnsi" w:cstheme="minorHAnsi"/>
          <w:i/>
          <w:iCs/>
        </w:rPr>
        <w:t>and</w:t>
      </w:r>
      <w:r w:rsidRPr="004B5963">
        <w:rPr>
          <w:rFonts w:asciiTheme="minorHAnsi" w:hAnsiTheme="minorHAnsi" w:cstheme="minorHAnsi"/>
          <w:i/>
          <w:iCs/>
        </w:rPr>
        <w:t xml:space="preserve"> </w:t>
      </w:r>
      <w:r w:rsidR="000A7E45">
        <w:rPr>
          <w:rFonts w:asciiTheme="minorHAnsi" w:hAnsiTheme="minorHAnsi" w:cstheme="minorHAnsi"/>
          <w:i/>
          <w:iCs/>
        </w:rPr>
        <w:t xml:space="preserve">the </w:t>
      </w:r>
      <w:r w:rsidR="000A7E45" w:rsidRPr="000A7E45">
        <w:rPr>
          <w:rFonts w:asciiTheme="minorHAnsi" w:hAnsiTheme="minorHAnsi" w:cstheme="minorHAnsi"/>
          <w:i/>
          <w:iCs/>
        </w:rPr>
        <w:t xml:space="preserve">Royal Australian and New Zealand College of Radiologists </w:t>
      </w:r>
      <w:r w:rsidR="000A7E45">
        <w:rPr>
          <w:rFonts w:asciiTheme="minorHAnsi" w:hAnsiTheme="minorHAnsi" w:cstheme="minorHAnsi"/>
          <w:i/>
          <w:iCs/>
        </w:rPr>
        <w:t>(</w:t>
      </w:r>
      <w:r w:rsidRPr="004B5963">
        <w:rPr>
          <w:rFonts w:asciiTheme="minorHAnsi" w:hAnsiTheme="minorHAnsi" w:cstheme="minorHAnsi"/>
          <w:i/>
          <w:iCs/>
        </w:rPr>
        <w:t>RANZCR</w:t>
      </w:r>
      <w:r w:rsidR="000A7E45">
        <w:rPr>
          <w:rFonts w:asciiTheme="minorHAnsi" w:hAnsiTheme="minorHAnsi" w:cstheme="minorHAnsi"/>
          <w:i/>
          <w:iCs/>
        </w:rPr>
        <w:t>)</w:t>
      </w:r>
      <w:r w:rsidRPr="004B5963">
        <w:rPr>
          <w:rFonts w:asciiTheme="minorHAnsi" w:hAnsiTheme="minorHAnsi" w:cstheme="minorHAnsi"/>
          <w:i/>
          <w:iCs/>
        </w:rPr>
        <w:t>.</w:t>
      </w:r>
    </w:p>
    <w:p w14:paraId="4F8E0692" w14:textId="46ACE7FA" w:rsidR="009F1181" w:rsidRPr="00F12861" w:rsidRDefault="003F0A39" w:rsidP="00F12861">
      <w:pPr>
        <w:pStyle w:val="Heading2"/>
      </w:pPr>
      <w:r>
        <w:t>Summary of public consultation</w:t>
      </w:r>
      <w:r w:rsidRPr="00D37A3F">
        <w:t xml:space="preserve"> </w:t>
      </w:r>
      <w:r w:rsidR="00E470B0">
        <w:t>input</w:t>
      </w:r>
    </w:p>
    <w:tbl>
      <w:tblPr>
        <w:tblStyle w:val="TableGrid"/>
        <w:tblpPr w:leftFromText="180" w:rightFromText="180" w:vertAnchor="text" w:tblpY="1"/>
        <w:tblOverlap w:val="never"/>
        <w:tblW w:w="0" w:type="auto"/>
        <w:tblInd w:w="0" w:type="dxa"/>
        <w:tblLook w:val="04A0" w:firstRow="1" w:lastRow="0" w:firstColumn="1" w:lastColumn="0" w:noHBand="0" w:noVBand="1"/>
      </w:tblPr>
      <w:tblGrid>
        <w:gridCol w:w="5240"/>
        <w:gridCol w:w="3686"/>
      </w:tblGrid>
      <w:tr w:rsidR="009F1181" w:rsidRPr="005468CE" w14:paraId="29381D54" w14:textId="77777777" w:rsidTr="0005639D">
        <w:tc>
          <w:tcPr>
            <w:tcW w:w="5240" w:type="dxa"/>
          </w:tcPr>
          <w:p w14:paraId="169EE01D" w14:textId="606D6C71" w:rsidR="009F1181" w:rsidRPr="005468CE" w:rsidRDefault="009F1181" w:rsidP="00105077">
            <w:pPr>
              <w:spacing w:before="60" w:after="60"/>
              <w:jc w:val="center"/>
              <w:rPr>
                <w:rFonts w:asciiTheme="minorHAnsi" w:hAnsiTheme="minorHAnsi" w:cstheme="minorHAnsi"/>
                <w:b/>
              </w:rPr>
            </w:pPr>
            <w:r w:rsidRPr="005468CE">
              <w:rPr>
                <w:rFonts w:asciiTheme="minorHAnsi" w:hAnsiTheme="minorHAnsi" w:cstheme="minorHAnsi"/>
                <w:b/>
              </w:rPr>
              <w:t xml:space="preserve">Input </w:t>
            </w:r>
            <w:r w:rsidR="00A1754C">
              <w:rPr>
                <w:rFonts w:asciiTheme="minorHAnsi" w:hAnsiTheme="minorHAnsi" w:cstheme="minorHAnsi"/>
                <w:b/>
              </w:rPr>
              <w:t>t</w:t>
            </w:r>
            <w:r w:rsidRPr="005468CE">
              <w:rPr>
                <w:rFonts w:asciiTheme="minorHAnsi" w:hAnsiTheme="minorHAnsi" w:cstheme="minorHAnsi"/>
                <w:b/>
              </w:rPr>
              <w:t>ype</w:t>
            </w:r>
          </w:p>
        </w:tc>
        <w:tc>
          <w:tcPr>
            <w:tcW w:w="3686" w:type="dxa"/>
          </w:tcPr>
          <w:p w14:paraId="6808808A" w14:textId="361B9492" w:rsidR="009F1181" w:rsidRPr="005468CE" w:rsidRDefault="009F1181" w:rsidP="0005639D">
            <w:pPr>
              <w:spacing w:before="60" w:after="60"/>
              <w:rPr>
                <w:rFonts w:asciiTheme="minorHAnsi" w:hAnsiTheme="minorHAnsi" w:cstheme="minorHAnsi"/>
                <w:b/>
              </w:rPr>
            </w:pPr>
            <w:r w:rsidRPr="005468CE">
              <w:rPr>
                <w:rFonts w:asciiTheme="minorHAnsi" w:hAnsiTheme="minorHAnsi" w:cstheme="minorHAnsi"/>
                <w:b/>
              </w:rPr>
              <w:t xml:space="preserve">Number of </w:t>
            </w:r>
            <w:r w:rsidR="00A1754C">
              <w:rPr>
                <w:rFonts w:asciiTheme="minorHAnsi" w:hAnsiTheme="minorHAnsi" w:cstheme="minorHAnsi"/>
                <w:b/>
              </w:rPr>
              <w:t>c</w:t>
            </w:r>
            <w:r w:rsidRPr="005468CE">
              <w:rPr>
                <w:rFonts w:asciiTheme="minorHAnsi" w:hAnsiTheme="minorHAnsi" w:cstheme="minorHAnsi"/>
                <w:b/>
              </w:rPr>
              <w:t xml:space="preserve">omments </w:t>
            </w:r>
            <w:r w:rsidR="00A1754C">
              <w:rPr>
                <w:rFonts w:asciiTheme="minorHAnsi" w:hAnsiTheme="minorHAnsi" w:cstheme="minorHAnsi"/>
                <w:b/>
              </w:rPr>
              <w:t>r</w:t>
            </w:r>
            <w:r w:rsidRPr="005468CE">
              <w:rPr>
                <w:rFonts w:asciiTheme="minorHAnsi" w:hAnsiTheme="minorHAnsi" w:cstheme="minorHAnsi"/>
                <w:b/>
              </w:rPr>
              <w:t>eceived</w:t>
            </w:r>
          </w:p>
        </w:tc>
      </w:tr>
      <w:tr w:rsidR="009F1181" w:rsidRPr="005468CE" w14:paraId="54B03540" w14:textId="77777777" w:rsidTr="0005639D">
        <w:tc>
          <w:tcPr>
            <w:tcW w:w="5240" w:type="dxa"/>
          </w:tcPr>
          <w:p w14:paraId="68C9E845" w14:textId="5B1F83BF" w:rsidR="009F1181" w:rsidRPr="005468CE" w:rsidRDefault="009F1181" w:rsidP="0005639D">
            <w:pPr>
              <w:spacing w:before="60" w:after="60"/>
              <w:rPr>
                <w:rFonts w:asciiTheme="minorHAnsi" w:hAnsiTheme="minorHAnsi" w:cstheme="minorHAnsi"/>
              </w:rPr>
            </w:pPr>
            <w:r>
              <w:rPr>
                <w:rFonts w:asciiTheme="minorHAnsi" w:hAnsiTheme="minorHAnsi" w:cstheme="minorHAnsi"/>
              </w:rPr>
              <w:t>Responses</w:t>
            </w:r>
            <w:r w:rsidRPr="005468CE">
              <w:rPr>
                <w:rFonts w:asciiTheme="minorHAnsi" w:hAnsiTheme="minorHAnsi" w:cstheme="minorHAnsi"/>
              </w:rPr>
              <w:t xml:space="preserve"> from groups/organisations</w:t>
            </w:r>
          </w:p>
        </w:tc>
        <w:tc>
          <w:tcPr>
            <w:tcW w:w="3686" w:type="dxa"/>
          </w:tcPr>
          <w:p w14:paraId="24E08738" w14:textId="77777777" w:rsidR="009F1181" w:rsidRPr="005468CE" w:rsidRDefault="009F1181" w:rsidP="0005639D">
            <w:pPr>
              <w:spacing w:before="60" w:after="60"/>
              <w:jc w:val="center"/>
              <w:rPr>
                <w:rFonts w:asciiTheme="minorHAnsi" w:hAnsiTheme="minorHAnsi" w:cstheme="minorHAnsi"/>
              </w:rPr>
            </w:pPr>
            <w:r>
              <w:rPr>
                <w:rFonts w:asciiTheme="minorHAnsi" w:hAnsiTheme="minorHAnsi" w:cstheme="minorHAnsi"/>
              </w:rPr>
              <w:t>18</w:t>
            </w:r>
          </w:p>
        </w:tc>
      </w:tr>
      <w:tr w:rsidR="009F1181" w:rsidRPr="005468CE" w14:paraId="4F3D0B95" w14:textId="77777777" w:rsidTr="0005639D">
        <w:tc>
          <w:tcPr>
            <w:tcW w:w="5240" w:type="dxa"/>
            <w:shd w:val="clear" w:color="auto" w:fill="auto"/>
          </w:tcPr>
          <w:p w14:paraId="06F7C427" w14:textId="4F577979" w:rsidR="009F1181" w:rsidRPr="005468CE" w:rsidRDefault="009F1181" w:rsidP="0005639D">
            <w:pPr>
              <w:spacing w:before="60" w:after="60"/>
              <w:rPr>
                <w:rFonts w:asciiTheme="minorHAnsi" w:hAnsiTheme="minorHAnsi" w:cstheme="minorHAnsi"/>
              </w:rPr>
            </w:pPr>
            <w:r>
              <w:rPr>
                <w:rFonts w:asciiTheme="minorHAnsi" w:hAnsiTheme="minorHAnsi" w:cstheme="minorHAnsi"/>
              </w:rPr>
              <w:t xml:space="preserve">Responses from </w:t>
            </w:r>
            <w:r w:rsidR="00A1754C">
              <w:rPr>
                <w:rFonts w:asciiTheme="minorHAnsi" w:hAnsiTheme="minorHAnsi" w:cstheme="minorHAnsi"/>
              </w:rPr>
              <w:t>i</w:t>
            </w:r>
            <w:r>
              <w:rPr>
                <w:rFonts w:asciiTheme="minorHAnsi" w:hAnsiTheme="minorHAnsi" w:cstheme="minorHAnsi"/>
              </w:rPr>
              <w:t>ndividuals</w:t>
            </w:r>
          </w:p>
        </w:tc>
        <w:tc>
          <w:tcPr>
            <w:tcW w:w="3686" w:type="dxa"/>
          </w:tcPr>
          <w:p w14:paraId="6A2CAEDC" w14:textId="77777777" w:rsidR="009F1181" w:rsidRPr="005468CE" w:rsidRDefault="009F1181" w:rsidP="0005639D">
            <w:pPr>
              <w:spacing w:before="60" w:after="60"/>
              <w:jc w:val="center"/>
              <w:rPr>
                <w:rFonts w:asciiTheme="minorHAnsi" w:hAnsiTheme="minorHAnsi" w:cstheme="minorHAnsi"/>
              </w:rPr>
            </w:pPr>
            <w:r>
              <w:rPr>
                <w:rFonts w:asciiTheme="minorHAnsi" w:hAnsiTheme="minorHAnsi" w:cstheme="minorHAnsi"/>
              </w:rPr>
              <w:t>23</w:t>
            </w:r>
          </w:p>
        </w:tc>
      </w:tr>
      <w:tr w:rsidR="009F1181" w:rsidRPr="005468CE" w14:paraId="425BB4C0" w14:textId="77777777" w:rsidTr="0005639D">
        <w:tc>
          <w:tcPr>
            <w:tcW w:w="5240" w:type="dxa"/>
            <w:shd w:val="clear" w:color="auto" w:fill="auto"/>
          </w:tcPr>
          <w:p w14:paraId="73F22EEA" w14:textId="26246A2F" w:rsidR="009F1181" w:rsidRPr="005468CE" w:rsidRDefault="009F1181" w:rsidP="0005639D">
            <w:pPr>
              <w:spacing w:before="60" w:after="60"/>
              <w:ind w:left="720"/>
              <w:rPr>
                <w:rFonts w:asciiTheme="minorHAnsi" w:hAnsiTheme="minorHAnsi" w:cstheme="minorHAnsi"/>
              </w:rPr>
            </w:pPr>
            <w:r w:rsidRPr="005468CE">
              <w:rPr>
                <w:rFonts w:asciiTheme="minorHAnsi" w:hAnsiTheme="minorHAnsi" w:cstheme="minorHAnsi"/>
              </w:rPr>
              <w:t xml:space="preserve">Individuals — </w:t>
            </w:r>
            <w:r w:rsidR="00A1754C">
              <w:rPr>
                <w:rFonts w:asciiTheme="minorHAnsi" w:hAnsiTheme="minorHAnsi" w:cstheme="minorHAnsi"/>
              </w:rPr>
              <w:t>m</w:t>
            </w:r>
            <w:r w:rsidRPr="005468CE">
              <w:rPr>
                <w:rFonts w:asciiTheme="minorHAnsi" w:hAnsiTheme="minorHAnsi" w:cstheme="minorHAnsi"/>
              </w:rPr>
              <w:t xml:space="preserve">edical </w:t>
            </w:r>
            <w:r w:rsidR="00A1754C">
              <w:rPr>
                <w:rFonts w:asciiTheme="minorHAnsi" w:hAnsiTheme="minorHAnsi" w:cstheme="minorHAnsi"/>
              </w:rPr>
              <w:t>p</w:t>
            </w:r>
            <w:r w:rsidRPr="005468CE">
              <w:rPr>
                <w:rFonts w:asciiTheme="minorHAnsi" w:hAnsiTheme="minorHAnsi" w:cstheme="minorHAnsi"/>
              </w:rPr>
              <w:t>rofessionals</w:t>
            </w:r>
          </w:p>
        </w:tc>
        <w:tc>
          <w:tcPr>
            <w:tcW w:w="3686" w:type="dxa"/>
          </w:tcPr>
          <w:p w14:paraId="2CFEB468" w14:textId="77777777" w:rsidR="009F1181" w:rsidRPr="009C1D0A" w:rsidRDefault="009F1181" w:rsidP="0005639D">
            <w:pPr>
              <w:spacing w:before="60" w:after="60"/>
              <w:jc w:val="center"/>
              <w:rPr>
                <w:rFonts w:asciiTheme="minorHAnsi" w:hAnsiTheme="minorHAnsi" w:cstheme="minorHAnsi"/>
                <w:i/>
                <w:iCs/>
              </w:rPr>
            </w:pPr>
            <w:r w:rsidRPr="009C1D0A">
              <w:rPr>
                <w:rFonts w:asciiTheme="minorHAnsi" w:hAnsiTheme="minorHAnsi" w:cstheme="minorHAnsi"/>
                <w:i/>
                <w:iCs/>
              </w:rPr>
              <w:t>2</w:t>
            </w:r>
          </w:p>
        </w:tc>
      </w:tr>
      <w:tr w:rsidR="009F1181" w:rsidRPr="005468CE" w14:paraId="7088822A" w14:textId="77777777" w:rsidTr="0005639D">
        <w:tc>
          <w:tcPr>
            <w:tcW w:w="5240" w:type="dxa"/>
            <w:shd w:val="clear" w:color="auto" w:fill="auto"/>
          </w:tcPr>
          <w:p w14:paraId="533201B7" w14:textId="5AB6C0C9" w:rsidR="009F1181" w:rsidRPr="005468CE" w:rsidRDefault="009F1181" w:rsidP="0005639D">
            <w:pPr>
              <w:spacing w:before="60" w:after="60"/>
              <w:ind w:left="720"/>
              <w:rPr>
                <w:rFonts w:asciiTheme="minorHAnsi" w:hAnsiTheme="minorHAnsi" w:cstheme="minorHAnsi"/>
              </w:rPr>
            </w:pPr>
            <w:r w:rsidRPr="005468CE">
              <w:rPr>
                <w:rFonts w:asciiTheme="minorHAnsi" w:hAnsiTheme="minorHAnsi" w:cstheme="minorHAnsi"/>
              </w:rPr>
              <w:t xml:space="preserve">Individuals — </w:t>
            </w:r>
            <w:r w:rsidR="00A1754C">
              <w:rPr>
                <w:rFonts w:asciiTheme="minorHAnsi" w:hAnsiTheme="minorHAnsi" w:cstheme="minorHAnsi"/>
              </w:rPr>
              <w:t>c</w:t>
            </w:r>
            <w:r w:rsidRPr="005468CE">
              <w:rPr>
                <w:rFonts w:asciiTheme="minorHAnsi" w:hAnsiTheme="minorHAnsi" w:cstheme="minorHAnsi"/>
              </w:rPr>
              <w:t>onsumers</w:t>
            </w:r>
          </w:p>
        </w:tc>
        <w:tc>
          <w:tcPr>
            <w:tcW w:w="3686" w:type="dxa"/>
          </w:tcPr>
          <w:p w14:paraId="4078ACC3" w14:textId="77777777" w:rsidR="009F1181" w:rsidRPr="009C1D0A" w:rsidRDefault="009F1181" w:rsidP="0005639D">
            <w:pPr>
              <w:spacing w:before="60" w:after="60"/>
              <w:jc w:val="center"/>
              <w:rPr>
                <w:rFonts w:asciiTheme="minorHAnsi" w:hAnsiTheme="minorHAnsi" w:cstheme="minorHAnsi"/>
                <w:i/>
                <w:iCs/>
              </w:rPr>
            </w:pPr>
            <w:r w:rsidRPr="009C1D0A">
              <w:rPr>
                <w:rFonts w:asciiTheme="minorHAnsi" w:hAnsiTheme="minorHAnsi" w:cstheme="minorHAnsi"/>
                <w:i/>
                <w:iCs/>
              </w:rPr>
              <w:t>19</w:t>
            </w:r>
          </w:p>
        </w:tc>
      </w:tr>
      <w:tr w:rsidR="009F1181" w:rsidRPr="005468CE" w14:paraId="52F48302" w14:textId="77777777" w:rsidTr="0005639D">
        <w:tc>
          <w:tcPr>
            <w:tcW w:w="5240" w:type="dxa"/>
            <w:shd w:val="clear" w:color="auto" w:fill="auto"/>
          </w:tcPr>
          <w:p w14:paraId="3FF6707B" w14:textId="20270643" w:rsidR="009F1181" w:rsidRPr="005468CE" w:rsidRDefault="009F1181" w:rsidP="0005639D">
            <w:pPr>
              <w:spacing w:before="60" w:after="60"/>
              <w:ind w:left="720"/>
              <w:rPr>
                <w:rFonts w:asciiTheme="minorHAnsi" w:hAnsiTheme="minorHAnsi" w:cstheme="minorHAnsi"/>
              </w:rPr>
            </w:pPr>
            <w:r w:rsidRPr="005468CE">
              <w:rPr>
                <w:rFonts w:asciiTheme="minorHAnsi" w:hAnsiTheme="minorHAnsi" w:cstheme="minorHAnsi"/>
              </w:rPr>
              <w:t xml:space="preserve">Individuals — </w:t>
            </w:r>
            <w:r w:rsidR="00A1754C">
              <w:rPr>
                <w:rFonts w:asciiTheme="minorHAnsi" w:hAnsiTheme="minorHAnsi" w:cstheme="minorHAnsi"/>
              </w:rPr>
              <w:t>c</w:t>
            </w:r>
            <w:r w:rsidRPr="005468CE">
              <w:rPr>
                <w:rFonts w:asciiTheme="minorHAnsi" w:hAnsiTheme="minorHAnsi" w:cstheme="minorHAnsi"/>
              </w:rPr>
              <w:t xml:space="preserve">are </w:t>
            </w:r>
            <w:r w:rsidR="00A1754C">
              <w:rPr>
                <w:rFonts w:asciiTheme="minorHAnsi" w:hAnsiTheme="minorHAnsi" w:cstheme="minorHAnsi"/>
              </w:rPr>
              <w:t>g</w:t>
            </w:r>
            <w:r w:rsidRPr="005468CE">
              <w:rPr>
                <w:rFonts w:asciiTheme="minorHAnsi" w:hAnsiTheme="minorHAnsi" w:cstheme="minorHAnsi"/>
              </w:rPr>
              <w:t>ivers</w:t>
            </w:r>
          </w:p>
        </w:tc>
        <w:tc>
          <w:tcPr>
            <w:tcW w:w="3686" w:type="dxa"/>
          </w:tcPr>
          <w:p w14:paraId="6C45F5D3" w14:textId="77777777" w:rsidR="009F1181" w:rsidRPr="009C1D0A" w:rsidRDefault="009F1181" w:rsidP="0005639D">
            <w:pPr>
              <w:spacing w:before="60" w:after="60"/>
              <w:jc w:val="center"/>
              <w:rPr>
                <w:rFonts w:asciiTheme="minorHAnsi" w:hAnsiTheme="minorHAnsi" w:cstheme="minorHAnsi"/>
                <w:i/>
                <w:iCs/>
              </w:rPr>
            </w:pPr>
            <w:r w:rsidRPr="009C1D0A">
              <w:rPr>
                <w:rFonts w:asciiTheme="minorHAnsi" w:hAnsiTheme="minorHAnsi" w:cstheme="minorHAnsi"/>
                <w:i/>
                <w:iCs/>
              </w:rPr>
              <w:t>2</w:t>
            </w:r>
          </w:p>
        </w:tc>
      </w:tr>
      <w:tr w:rsidR="009F1181" w:rsidRPr="005468CE" w14:paraId="7E20A897" w14:textId="77777777" w:rsidTr="0005639D">
        <w:tc>
          <w:tcPr>
            <w:tcW w:w="5240" w:type="dxa"/>
          </w:tcPr>
          <w:p w14:paraId="0952B82D" w14:textId="77777777" w:rsidR="009F1181" w:rsidRPr="005468CE" w:rsidRDefault="009F1181" w:rsidP="00105077">
            <w:pPr>
              <w:spacing w:before="60" w:after="60"/>
              <w:jc w:val="center"/>
              <w:rPr>
                <w:rFonts w:asciiTheme="minorHAnsi" w:hAnsiTheme="minorHAnsi" w:cstheme="minorHAnsi"/>
                <w:b/>
              </w:rPr>
            </w:pPr>
            <w:r w:rsidRPr="005468CE">
              <w:rPr>
                <w:rFonts w:asciiTheme="minorHAnsi" w:hAnsiTheme="minorHAnsi" w:cstheme="minorHAnsi"/>
                <w:b/>
              </w:rPr>
              <w:t>Total all Input</w:t>
            </w:r>
          </w:p>
        </w:tc>
        <w:tc>
          <w:tcPr>
            <w:tcW w:w="3686" w:type="dxa"/>
          </w:tcPr>
          <w:p w14:paraId="45703EA9" w14:textId="77777777" w:rsidR="009F1181" w:rsidRPr="005468CE" w:rsidRDefault="009F1181" w:rsidP="0005639D">
            <w:pPr>
              <w:spacing w:before="60" w:after="60"/>
              <w:jc w:val="center"/>
              <w:rPr>
                <w:rFonts w:asciiTheme="minorHAnsi" w:hAnsiTheme="minorHAnsi" w:cstheme="minorHAnsi"/>
                <w:b/>
              </w:rPr>
            </w:pPr>
            <w:r>
              <w:rPr>
                <w:rFonts w:asciiTheme="minorHAnsi" w:hAnsiTheme="minorHAnsi" w:cstheme="minorHAnsi"/>
                <w:b/>
              </w:rPr>
              <w:t>41</w:t>
            </w:r>
          </w:p>
        </w:tc>
      </w:tr>
    </w:tbl>
    <w:p w14:paraId="45F0A8D5" w14:textId="77777777" w:rsidR="009F1181" w:rsidRPr="00F67B9B" w:rsidRDefault="009F1181" w:rsidP="009F1181">
      <w:pPr>
        <w:rPr>
          <w:rFonts w:asciiTheme="minorHAnsi" w:hAnsiTheme="minorHAnsi" w:cstheme="minorHAnsi"/>
        </w:rPr>
      </w:pPr>
    </w:p>
    <w:p w14:paraId="66FB1AB4" w14:textId="77777777" w:rsidR="009F1181" w:rsidRDefault="009F1181" w:rsidP="009F1181">
      <w:pPr>
        <w:rPr>
          <w:rFonts w:asciiTheme="minorHAnsi" w:hAnsiTheme="minorHAnsi" w:cstheme="minorHAnsi"/>
          <w:b/>
        </w:rPr>
      </w:pPr>
    </w:p>
    <w:p w14:paraId="0D12897C" w14:textId="77777777" w:rsidR="009F1181" w:rsidRDefault="009F1181" w:rsidP="009F1181">
      <w:pPr>
        <w:rPr>
          <w:rFonts w:asciiTheme="minorHAnsi" w:hAnsiTheme="minorHAnsi" w:cstheme="minorHAnsi"/>
          <w:b/>
        </w:rPr>
      </w:pPr>
    </w:p>
    <w:p w14:paraId="424591D8" w14:textId="77777777" w:rsidR="009F1181" w:rsidRDefault="009F1181" w:rsidP="009F1181">
      <w:pPr>
        <w:rPr>
          <w:rFonts w:asciiTheme="minorHAnsi" w:hAnsiTheme="minorHAnsi" w:cstheme="minorHAnsi"/>
          <w:b/>
        </w:rPr>
      </w:pPr>
    </w:p>
    <w:p w14:paraId="521B8D32" w14:textId="3F57953D" w:rsidR="009F1181" w:rsidRDefault="009F1181" w:rsidP="009F1181">
      <w:pPr>
        <w:rPr>
          <w:rFonts w:asciiTheme="minorHAnsi" w:hAnsiTheme="minorHAnsi" w:cstheme="minorHAnsi"/>
        </w:rPr>
      </w:pPr>
    </w:p>
    <w:p w14:paraId="79FEF0BA" w14:textId="77777777" w:rsidR="009F1181" w:rsidRDefault="009F1181" w:rsidP="009F1181">
      <w:pPr>
        <w:rPr>
          <w:rFonts w:asciiTheme="minorHAnsi" w:hAnsiTheme="minorHAnsi" w:cstheme="minorHAnsi"/>
        </w:rPr>
      </w:pPr>
    </w:p>
    <w:p w14:paraId="1B2D089B" w14:textId="77777777" w:rsidR="009F1181" w:rsidRDefault="009F1181" w:rsidP="009F1181">
      <w:pPr>
        <w:rPr>
          <w:rFonts w:asciiTheme="minorHAnsi" w:hAnsiTheme="minorHAnsi" w:cstheme="minorHAnsi"/>
        </w:rPr>
      </w:pPr>
    </w:p>
    <w:p w14:paraId="0EF71EFC" w14:textId="6EF24029" w:rsidR="009F1181" w:rsidRPr="009F1181" w:rsidRDefault="009F1181" w:rsidP="009F1181">
      <w:r w:rsidRPr="009F1181">
        <w:rPr>
          <w:rFonts w:asciiTheme="minorHAnsi" w:hAnsiTheme="minorHAnsi" w:cstheme="minorHAnsi"/>
        </w:rPr>
        <w:t xml:space="preserve">The </w:t>
      </w:r>
      <w:r w:rsidRPr="009F1181">
        <w:t>following organisations provided input on the application:</w:t>
      </w:r>
    </w:p>
    <w:p w14:paraId="396C5049" w14:textId="75447F06" w:rsidR="009F1181" w:rsidRPr="009F1181" w:rsidRDefault="009F1181" w:rsidP="009F1181">
      <w:pPr>
        <w:pStyle w:val="ListParagraph"/>
        <w:numPr>
          <w:ilvl w:val="0"/>
          <w:numId w:val="15"/>
        </w:numPr>
        <w:spacing w:after="240" w:line="240" w:lineRule="auto"/>
        <w:ind w:left="567" w:hanging="567"/>
        <w:rPr>
          <w:rFonts w:asciiTheme="minorHAnsi" w:hAnsiTheme="minorHAnsi" w:cstheme="minorHAnsi"/>
        </w:rPr>
      </w:pPr>
      <w:r w:rsidRPr="009F1181">
        <w:rPr>
          <w:rFonts w:asciiTheme="minorHAnsi" w:hAnsiTheme="minorHAnsi" w:cstheme="minorHAnsi"/>
        </w:rPr>
        <w:t>GenesisCare</w:t>
      </w:r>
    </w:p>
    <w:p w14:paraId="0B50D6D7" w14:textId="77777777" w:rsidR="009F1181" w:rsidRPr="009F1181" w:rsidRDefault="009F1181" w:rsidP="009F1181">
      <w:pPr>
        <w:pStyle w:val="ListParagraph"/>
        <w:numPr>
          <w:ilvl w:val="0"/>
          <w:numId w:val="15"/>
        </w:numPr>
        <w:spacing w:after="240" w:line="240" w:lineRule="auto"/>
        <w:ind w:left="567" w:hanging="567"/>
        <w:rPr>
          <w:rFonts w:asciiTheme="minorHAnsi" w:hAnsiTheme="minorHAnsi" w:cstheme="minorHAnsi"/>
        </w:rPr>
      </w:pPr>
      <w:r w:rsidRPr="009F1181">
        <w:rPr>
          <w:rFonts w:asciiTheme="minorHAnsi" w:hAnsiTheme="minorHAnsi" w:cstheme="minorHAnsi"/>
        </w:rPr>
        <w:t>Advanced Prostate Cancer Support Group Australia</w:t>
      </w:r>
    </w:p>
    <w:p w14:paraId="374EB32C" w14:textId="77777777" w:rsidR="009F1181" w:rsidRPr="009F1181" w:rsidRDefault="009F1181" w:rsidP="009F1181">
      <w:pPr>
        <w:pStyle w:val="ListParagraph"/>
        <w:numPr>
          <w:ilvl w:val="0"/>
          <w:numId w:val="15"/>
        </w:numPr>
        <w:spacing w:after="240" w:line="240" w:lineRule="auto"/>
        <w:ind w:left="567" w:hanging="567"/>
        <w:rPr>
          <w:rFonts w:asciiTheme="minorHAnsi" w:hAnsiTheme="minorHAnsi" w:cstheme="minorHAnsi"/>
        </w:rPr>
      </w:pPr>
      <w:r w:rsidRPr="009F1181">
        <w:rPr>
          <w:rFonts w:asciiTheme="minorHAnsi" w:hAnsiTheme="minorHAnsi" w:cstheme="minorHAnsi"/>
        </w:rPr>
        <w:t>St Vincent’s Health Australia</w:t>
      </w:r>
    </w:p>
    <w:p w14:paraId="613C7A3F" w14:textId="77777777" w:rsidR="009F1181" w:rsidRPr="009F1181" w:rsidRDefault="009F1181" w:rsidP="009F1181">
      <w:pPr>
        <w:pStyle w:val="ListParagraph"/>
        <w:numPr>
          <w:ilvl w:val="0"/>
          <w:numId w:val="15"/>
        </w:numPr>
        <w:spacing w:after="240" w:line="240" w:lineRule="auto"/>
        <w:ind w:left="567" w:hanging="567"/>
        <w:rPr>
          <w:rFonts w:asciiTheme="minorHAnsi" w:hAnsiTheme="minorHAnsi" w:cstheme="minorHAnsi"/>
        </w:rPr>
      </w:pPr>
      <w:r w:rsidRPr="009F1181">
        <w:rPr>
          <w:rFonts w:asciiTheme="minorHAnsi" w:hAnsiTheme="minorHAnsi" w:cstheme="minorHAnsi"/>
        </w:rPr>
        <w:t>Prostate Cancer Foundation Australia</w:t>
      </w:r>
    </w:p>
    <w:p w14:paraId="682AA5DD" w14:textId="77777777" w:rsidR="009F1181" w:rsidRPr="009F1181" w:rsidRDefault="009F1181" w:rsidP="009F1181">
      <w:pPr>
        <w:pStyle w:val="ListParagraph"/>
        <w:numPr>
          <w:ilvl w:val="0"/>
          <w:numId w:val="15"/>
        </w:numPr>
        <w:spacing w:after="240" w:line="240" w:lineRule="auto"/>
        <w:ind w:left="567" w:hanging="567"/>
        <w:rPr>
          <w:rFonts w:asciiTheme="minorHAnsi" w:hAnsiTheme="minorHAnsi" w:cstheme="minorHAnsi"/>
        </w:rPr>
      </w:pPr>
      <w:r w:rsidRPr="009F1181">
        <w:rPr>
          <w:rFonts w:asciiTheme="minorHAnsi" w:hAnsiTheme="minorHAnsi" w:cstheme="minorHAnsi"/>
        </w:rPr>
        <w:t>Tamworth Prostate Cancer Support Group</w:t>
      </w:r>
    </w:p>
    <w:p w14:paraId="472A0D77" w14:textId="77777777" w:rsidR="009F1181" w:rsidRPr="009F1181" w:rsidRDefault="009F1181" w:rsidP="009F1181">
      <w:pPr>
        <w:pStyle w:val="ListParagraph"/>
        <w:numPr>
          <w:ilvl w:val="0"/>
          <w:numId w:val="15"/>
        </w:numPr>
        <w:spacing w:after="240" w:line="240" w:lineRule="auto"/>
        <w:ind w:left="567" w:hanging="567"/>
        <w:rPr>
          <w:rFonts w:asciiTheme="minorHAnsi" w:hAnsiTheme="minorHAnsi" w:cstheme="minorHAnsi"/>
        </w:rPr>
      </w:pPr>
      <w:r w:rsidRPr="009F1181">
        <w:rPr>
          <w:rFonts w:asciiTheme="minorHAnsi" w:hAnsiTheme="minorHAnsi" w:cstheme="minorHAnsi"/>
        </w:rPr>
        <w:t>Prostate Heidelberg Cancer Support Group (PHCSG)</w:t>
      </w:r>
    </w:p>
    <w:p w14:paraId="33536393" w14:textId="4562E5D5" w:rsidR="009F1181" w:rsidRPr="009F1181" w:rsidRDefault="009F1181" w:rsidP="009F1181">
      <w:pPr>
        <w:pStyle w:val="ListParagraph"/>
        <w:numPr>
          <w:ilvl w:val="0"/>
          <w:numId w:val="15"/>
        </w:numPr>
        <w:spacing w:after="240" w:line="240" w:lineRule="auto"/>
        <w:ind w:left="567" w:hanging="567"/>
        <w:rPr>
          <w:rFonts w:asciiTheme="minorHAnsi" w:hAnsiTheme="minorHAnsi" w:cstheme="minorHAnsi"/>
        </w:rPr>
      </w:pPr>
      <w:r w:rsidRPr="009F1181">
        <w:rPr>
          <w:rFonts w:asciiTheme="minorHAnsi" w:hAnsiTheme="minorHAnsi" w:cstheme="minorHAnsi"/>
        </w:rPr>
        <w:t>Prostate Cancer Foundation Australia</w:t>
      </w:r>
    </w:p>
    <w:p w14:paraId="211FD3F9" w14:textId="77777777" w:rsidR="009F1181" w:rsidRPr="009F1181" w:rsidRDefault="009F1181" w:rsidP="009F1181">
      <w:pPr>
        <w:pStyle w:val="ListParagraph"/>
        <w:numPr>
          <w:ilvl w:val="0"/>
          <w:numId w:val="15"/>
        </w:numPr>
        <w:spacing w:after="240" w:line="240" w:lineRule="auto"/>
        <w:ind w:left="567" w:hanging="567"/>
        <w:rPr>
          <w:rFonts w:asciiTheme="minorHAnsi" w:hAnsiTheme="minorHAnsi" w:cstheme="minorHAnsi"/>
        </w:rPr>
      </w:pPr>
      <w:r w:rsidRPr="009F1181">
        <w:rPr>
          <w:rFonts w:asciiTheme="minorHAnsi" w:hAnsiTheme="minorHAnsi" w:cstheme="minorHAnsi"/>
        </w:rPr>
        <w:t>Urological Society of Australia and New Zealand (USANZ)</w:t>
      </w:r>
    </w:p>
    <w:p w14:paraId="5D13BB91" w14:textId="77777777" w:rsidR="009F1181" w:rsidRPr="009F1181" w:rsidRDefault="009F1181" w:rsidP="009F1181">
      <w:pPr>
        <w:pStyle w:val="ListParagraph"/>
        <w:numPr>
          <w:ilvl w:val="0"/>
          <w:numId w:val="15"/>
        </w:numPr>
        <w:spacing w:after="240" w:line="240" w:lineRule="auto"/>
        <w:ind w:left="567" w:hanging="567"/>
        <w:rPr>
          <w:rFonts w:asciiTheme="minorHAnsi" w:hAnsiTheme="minorHAnsi" w:cstheme="minorHAnsi"/>
        </w:rPr>
      </w:pPr>
      <w:r w:rsidRPr="009F1181">
        <w:rPr>
          <w:rFonts w:asciiTheme="minorHAnsi" w:hAnsiTheme="minorHAnsi" w:cstheme="minorHAnsi"/>
        </w:rPr>
        <w:t>South Eastern Prostate Cancer Support Group</w:t>
      </w:r>
    </w:p>
    <w:p w14:paraId="590F87C9" w14:textId="77777777" w:rsidR="009F1181" w:rsidRPr="009F1181" w:rsidRDefault="009F1181" w:rsidP="009F1181">
      <w:pPr>
        <w:pStyle w:val="ListParagraph"/>
        <w:numPr>
          <w:ilvl w:val="0"/>
          <w:numId w:val="15"/>
        </w:numPr>
        <w:spacing w:after="240" w:line="240" w:lineRule="auto"/>
        <w:ind w:left="567" w:hanging="567"/>
        <w:rPr>
          <w:rFonts w:asciiTheme="minorHAnsi" w:hAnsiTheme="minorHAnsi" w:cstheme="minorHAnsi"/>
        </w:rPr>
      </w:pPr>
      <w:r w:rsidRPr="009F1181">
        <w:rPr>
          <w:rFonts w:asciiTheme="minorHAnsi" w:hAnsiTheme="minorHAnsi" w:cstheme="minorHAnsi"/>
        </w:rPr>
        <w:t>Applied Molecular Therapies (AMT)</w:t>
      </w:r>
    </w:p>
    <w:p w14:paraId="43D90941" w14:textId="77777777" w:rsidR="009F1181" w:rsidRPr="009F1181" w:rsidRDefault="009F1181" w:rsidP="009F1181">
      <w:pPr>
        <w:pStyle w:val="ListParagraph"/>
        <w:numPr>
          <w:ilvl w:val="0"/>
          <w:numId w:val="15"/>
        </w:numPr>
        <w:spacing w:after="240" w:line="240" w:lineRule="auto"/>
        <w:ind w:left="567" w:hanging="567"/>
        <w:rPr>
          <w:rFonts w:asciiTheme="minorHAnsi" w:hAnsiTheme="minorHAnsi" w:cstheme="minorHAnsi"/>
        </w:rPr>
      </w:pPr>
      <w:r w:rsidRPr="009F1181">
        <w:rPr>
          <w:rFonts w:asciiTheme="minorHAnsi" w:hAnsiTheme="minorHAnsi" w:cstheme="minorHAnsi"/>
        </w:rPr>
        <w:t>Peter MacCallum Cancer Centre</w:t>
      </w:r>
    </w:p>
    <w:p w14:paraId="7844D747" w14:textId="77777777" w:rsidR="009F1181" w:rsidRPr="009F1181" w:rsidRDefault="009F1181" w:rsidP="009F1181">
      <w:pPr>
        <w:pStyle w:val="ListParagraph"/>
        <w:numPr>
          <w:ilvl w:val="0"/>
          <w:numId w:val="15"/>
        </w:numPr>
        <w:spacing w:after="240" w:line="240" w:lineRule="auto"/>
        <w:ind w:left="567" w:hanging="567"/>
        <w:rPr>
          <w:rFonts w:asciiTheme="minorHAnsi" w:hAnsiTheme="minorHAnsi" w:cstheme="minorHAnsi"/>
        </w:rPr>
      </w:pPr>
      <w:r w:rsidRPr="009F1181">
        <w:rPr>
          <w:rFonts w:asciiTheme="minorHAnsi" w:hAnsiTheme="minorHAnsi" w:cstheme="minorHAnsi"/>
        </w:rPr>
        <w:t>Australasian Association of Nuclear Medicine Specialists (AANMS)</w:t>
      </w:r>
    </w:p>
    <w:p w14:paraId="0403C8BD" w14:textId="77777777" w:rsidR="009F1181" w:rsidRPr="009F1181" w:rsidRDefault="009F1181" w:rsidP="009F1181">
      <w:pPr>
        <w:pStyle w:val="ListParagraph"/>
        <w:numPr>
          <w:ilvl w:val="0"/>
          <w:numId w:val="15"/>
        </w:numPr>
        <w:spacing w:after="240" w:line="240" w:lineRule="auto"/>
        <w:ind w:left="567" w:hanging="567"/>
        <w:rPr>
          <w:rFonts w:asciiTheme="minorHAnsi" w:hAnsiTheme="minorHAnsi" w:cstheme="minorHAnsi"/>
        </w:rPr>
      </w:pPr>
      <w:r w:rsidRPr="009F1181">
        <w:rPr>
          <w:rFonts w:asciiTheme="minorHAnsi" w:hAnsiTheme="minorHAnsi" w:cstheme="minorHAnsi"/>
        </w:rPr>
        <w:t>Movember</w:t>
      </w:r>
    </w:p>
    <w:p w14:paraId="2038BD93" w14:textId="77777777" w:rsidR="009F1181" w:rsidRPr="009F1181" w:rsidRDefault="009F1181" w:rsidP="009F1181">
      <w:pPr>
        <w:pStyle w:val="ListParagraph"/>
        <w:numPr>
          <w:ilvl w:val="0"/>
          <w:numId w:val="15"/>
        </w:numPr>
        <w:spacing w:after="240" w:line="240" w:lineRule="auto"/>
        <w:ind w:left="567" w:hanging="567"/>
        <w:rPr>
          <w:rFonts w:asciiTheme="minorHAnsi" w:hAnsiTheme="minorHAnsi" w:cstheme="minorHAnsi"/>
        </w:rPr>
      </w:pPr>
      <w:bookmarkStart w:id="10" w:name="_Hlk92910352"/>
      <w:r w:rsidRPr="009F1181">
        <w:rPr>
          <w:rFonts w:asciiTheme="minorHAnsi" w:hAnsiTheme="minorHAnsi" w:cstheme="minorHAnsi"/>
        </w:rPr>
        <w:t xml:space="preserve">Royal Australian and New Zealand College of Radiologists </w:t>
      </w:r>
      <w:bookmarkEnd w:id="10"/>
      <w:r w:rsidRPr="009F1181">
        <w:rPr>
          <w:rFonts w:asciiTheme="minorHAnsi" w:hAnsiTheme="minorHAnsi" w:cstheme="minorHAnsi"/>
        </w:rPr>
        <w:t>(RANZCR)</w:t>
      </w:r>
    </w:p>
    <w:p w14:paraId="3BCD6BBF" w14:textId="77777777" w:rsidR="009F1181" w:rsidRPr="009F1181" w:rsidRDefault="009F1181" w:rsidP="009F1181">
      <w:pPr>
        <w:pStyle w:val="ListParagraph"/>
        <w:numPr>
          <w:ilvl w:val="0"/>
          <w:numId w:val="15"/>
        </w:numPr>
        <w:spacing w:after="240" w:line="240" w:lineRule="auto"/>
        <w:ind w:left="567" w:hanging="567"/>
        <w:rPr>
          <w:rFonts w:asciiTheme="minorHAnsi" w:hAnsiTheme="minorHAnsi" w:cstheme="minorHAnsi"/>
        </w:rPr>
      </w:pPr>
      <w:r w:rsidRPr="009F1181">
        <w:rPr>
          <w:rFonts w:asciiTheme="minorHAnsi" w:hAnsiTheme="minorHAnsi" w:cstheme="minorHAnsi"/>
        </w:rPr>
        <w:t>Australian and New Zealand Society of Nuclear Medicine (ANZSNM)</w:t>
      </w:r>
    </w:p>
    <w:p w14:paraId="52AB52D5" w14:textId="77777777" w:rsidR="009F1181" w:rsidRPr="009F1181" w:rsidRDefault="009F1181" w:rsidP="009F1181">
      <w:pPr>
        <w:pStyle w:val="ListParagraph"/>
        <w:numPr>
          <w:ilvl w:val="0"/>
          <w:numId w:val="15"/>
        </w:numPr>
        <w:spacing w:after="240" w:line="240" w:lineRule="auto"/>
        <w:ind w:left="567" w:hanging="567"/>
        <w:rPr>
          <w:rFonts w:asciiTheme="minorHAnsi" w:hAnsiTheme="minorHAnsi" w:cstheme="minorHAnsi"/>
        </w:rPr>
      </w:pPr>
      <w:r w:rsidRPr="009F1181">
        <w:rPr>
          <w:rFonts w:asciiTheme="minorHAnsi" w:hAnsiTheme="minorHAnsi" w:cstheme="minorHAnsi"/>
        </w:rPr>
        <w:t>Australian Radiopharmaceutical Trials Network (ARTnet)</w:t>
      </w:r>
    </w:p>
    <w:p w14:paraId="1195840F" w14:textId="77777777" w:rsidR="009F1181" w:rsidRPr="009F1181" w:rsidRDefault="009F1181" w:rsidP="009F1181">
      <w:pPr>
        <w:pStyle w:val="ListParagraph"/>
        <w:numPr>
          <w:ilvl w:val="0"/>
          <w:numId w:val="15"/>
        </w:numPr>
        <w:spacing w:after="240" w:line="240" w:lineRule="auto"/>
        <w:ind w:left="567" w:hanging="567"/>
        <w:rPr>
          <w:rFonts w:asciiTheme="minorHAnsi" w:hAnsiTheme="minorHAnsi" w:cstheme="minorHAnsi"/>
        </w:rPr>
      </w:pPr>
      <w:r w:rsidRPr="009F1181">
        <w:rPr>
          <w:rFonts w:asciiTheme="minorHAnsi" w:hAnsiTheme="minorHAnsi" w:cstheme="minorHAnsi"/>
        </w:rPr>
        <w:t>Norvatis</w:t>
      </w:r>
    </w:p>
    <w:p w14:paraId="2FF7DC49" w14:textId="5FC9F945" w:rsidR="009F1181" w:rsidRPr="009F1181" w:rsidRDefault="009F1181" w:rsidP="009F1181">
      <w:pPr>
        <w:pStyle w:val="ListParagraph"/>
        <w:numPr>
          <w:ilvl w:val="0"/>
          <w:numId w:val="15"/>
        </w:numPr>
        <w:spacing w:after="240" w:line="240" w:lineRule="auto"/>
        <w:ind w:left="567" w:hanging="567"/>
        <w:rPr>
          <w:rFonts w:asciiTheme="minorHAnsi" w:hAnsiTheme="minorHAnsi" w:cstheme="minorHAnsi"/>
        </w:rPr>
      </w:pPr>
      <w:r w:rsidRPr="009F1181">
        <w:rPr>
          <w:rFonts w:asciiTheme="minorHAnsi" w:hAnsiTheme="minorHAnsi" w:cstheme="minorHAnsi"/>
        </w:rPr>
        <w:t>Telix Pharmaceuticals</w:t>
      </w:r>
      <w:r w:rsidR="008A595F">
        <w:rPr>
          <w:rFonts w:asciiTheme="minorHAnsi" w:hAnsiTheme="minorHAnsi" w:cstheme="minorHAnsi"/>
        </w:rPr>
        <w:t>.</w:t>
      </w:r>
    </w:p>
    <w:p w14:paraId="6E798314" w14:textId="142801A3" w:rsidR="00C2322F" w:rsidRDefault="009F1181" w:rsidP="009F1181">
      <w:pPr>
        <w:rPr>
          <w:rFonts w:asciiTheme="minorHAnsi" w:hAnsiTheme="minorHAnsi" w:cstheme="minorHAnsi"/>
        </w:rPr>
      </w:pPr>
      <w:r w:rsidRPr="009F1181">
        <w:rPr>
          <w:rFonts w:asciiTheme="minorHAnsi" w:hAnsiTheme="minorHAnsi" w:cstheme="minorHAnsi"/>
        </w:rPr>
        <w:t>All organisations were supportive of the application, apart from RANZCR and two competitor companies. All consumers and specialists were supportive of the application. RANZCR was concerned that there is no policy framework in place for theranostics before MSAC considers this application, and it does not support the AANMS Position Statement of Practice of Theranostics.</w:t>
      </w:r>
    </w:p>
    <w:p w14:paraId="5DD3851B" w14:textId="77777777" w:rsidR="00C2322F" w:rsidRDefault="00C2322F">
      <w:pPr>
        <w:spacing w:after="160" w:line="259" w:lineRule="auto"/>
        <w:rPr>
          <w:rFonts w:asciiTheme="minorHAnsi" w:hAnsiTheme="minorHAnsi" w:cstheme="minorHAnsi"/>
        </w:rPr>
      </w:pPr>
      <w:r>
        <w:rPr>
          <w:rFonts w:asciiTheme="minorHAnsi" w:hAnsiTheme="minorHAnsi" w:cstheme="minorHAnsi"/>
        </w:rPr>
        <w:br w:type="page"/>
      </w:r>
    </w:p>
    <w:p w14:paraId="45BA197B" w14:textId="77777777" w:rsidR="009F1181" w:rsidRPr="009F1181" w:rsidRDefault="009F1181" w:rsidP="009F1181">
      <w:pPr>
        <w:rPr>
          <w:rFonts w:asciiTheme="minorHAnsi" w:hAnsiTheme="minorHAnsi" w:cstheme="minorHAnsi"/>
          <w:u w:val="single"/>
        </w:rPr>
      </w:pPr>
      <w:r w:rsidRPr="009F1181">
        <w:rPr>
          <w:rFonts w:asciiTheme="minorHAnsi" w:hAnsiTheme="minorHAnsi" w:cstheme="minorHAnsi"/>
          <w:u w:val="single"/>
        </w:rPr>
        <w:t>Benefits</w:t>
      </w:r>
    </w:p>
    <w:p w14:paraId="0F706971" w14:textId="56568C34" w:rsidR="009F1181" w:rsidRPr="009F1181" w:rsidRDefault="009F1181" w:rsidP="009F1181">
      <w:pPr>
        <w:rPr>
          <w:rFonts w:asciiTheme="minorHAnsi" w:hAnsiTheme="minorHAnsi" w:cstheme="minorHAnsi"/>
        </w:rPr>
      </w:pPr>
      <w:r w:rsidRPr="009F1181">
        <w:rPr>
          <w:rFonts w:asciiTheme="minorHAnsi" w:hAnsiTheme="minorHAnsi" w:cstheme="minorHAnsi"/>
        </w:rPr>
        <w:t xml:space="preserve">Organisations and specialists considered that the proposed treatment is well tolerated by patients, improves progression free and overall survival and quality of life for patients with advanced prostate cancer. The USANZ noted that this treatment would provide another layer of treatment for patients who received all available treatment. It was also noted that the treatment provides improved palliation, improved mobility and could lead to reduced hospital admission and reduced need for palliative care services. Consumers noted benefits relating to extension of life, improvement in quality of life and wellbeing for themselves, their </w:t>
      </w:r>
      <w:proofErr w:type="spellStart"/>
      <w:r w:rsidRPr="009F1181">
        <w:rPr>
          <w:rFonts w:asciiTheme="minorHAnsi" w:hAnsiTheme="minorHAnsi" w:cstheme="minorHAnsi"/>
        </w:rPr>
        <w:t>carers</w:t>
      </w:r>
      <w:proofErr w:type="spellEnd"/>
      <w:r w:rsidRPr="009F1181">
        <w:rPr>
          <w:rFonts w:asciiTheme="minorHAnsi" w:hAnsiTheme="minorHAnsi" w:cstheme="minorHAnsi"/>
        </w:rPr>
        <w:t xml:space="preserve">, </w:t>
      </w:r>
      <w:r w:rsidR="00E41A95" w:rsidRPr="009F1181">
        <w:rPr>
          <w:rFonts w:asciiTheme="minorHAnsi" w:hAnsiTheme="minorHAnsi" w:cstheme="minorHAnsi"/>
        </w:rPr>
        <w:t>family,</w:t>
      </w:r>
      <w:r w:rsidRPr="009F1181">
        <w:rPr>
          <w:rFonts w:asciiTheme="minorHAnsi" w:hAnsiTheme="minorHAnsi" w:cstheme="minorHAnsi"/>
        </w:rPr>
        <w:t xml:space="preserve"> and friends.</w:t>
      </w:r>
    </w:p>
    <w:p w14:paraId="6689BAC9" w14:textId="77777777" w:rsidR="009F1181" w:rsidRPr="009F1181" w:rsidRDefault="009F1181" w:rsidP="009F1181">
      <w:pPr>
        <w:rPr>
          <w:rFonts w:asciiTheme="minorHAnsi" w:hAnsiTheme="minorHAnsi" w:cstheme="minorHAnsi"/>
        </w:rPr>
      </w:pPr>
      <w:r w:rsidRPr="009F1181">
        <w:rPr>
          <w:rFonts w:asciiTheme="minorHAnsi" w:hAnsiTheme="minorHAnsi" w:cstheme="minorHAnsi"/>
        </w:rPr>
        <w:t>Consumers and consumer organisations considered that public funding would make this treatment more accessible and affordable, which would provide more equitable access to this treatment.</w:t>
      </w:r>
    </w:p>
    <w:p w14:paraId="4CCFADB3" w14:textId="14D7E130" w:rsidR="009F1181" w:rsidRPr="009F1181" w:rsidRDefault="009F1181" w:rsidP="009F1181">
      <w:pPr>
        <w:rPr>
          <w:rFonts w:asciiTheme="minorHAnsi" w:hAnsiTheme="minorHAnsi" w:cstheme="minorHAnsi"/>
        </w:rPr>
      </w:pPr>
      <w:r w:rsidRPr="009F1181">
        <w:rPr>
          <w:rFonts w:asciiTheme="minorHAnsi" w:hAnsiTheme="minorHAnsi" w:cstheme="minorHAnsi"/>
        </w:rPr>
        <w:t xml:space="preserve">The USANZ considered that this treatment must be administered in collaboration with nuclear radiologists, radiation oncologist and medical oncologists as part of a multidisciplinary team. Other organisations and specialists noted that services associated with the proposed treatment would be routine pathology (blood) tests, monitoring PSA levels, and PSMA PET-CT and FDG PET/CT scans for confirmation and location of prostate metastases and to select that patients who are most likely to benefit from the treatment. GenesisCare noted that FDG PET is not routinely used in screening globally and based on the VISION trial, not required in significantly improving patient outcomes. GenesisCare considered the cut-off for platelets </w:t>
      </w:r>
      <w:r w:rsidR="008A595F">
        <w:rPr>
          <w:rFonts w:asciiTheme="minorHAnsi" w:hAnsiTheme="minorHAnsi" w:cstheme="minorHAnsi"/>
        </w:rPr>
        <w:t xml:space="preserve">of </w:t>
      </w:r>
      <w:r w:rsidRPr="009F1181">
        <w:rPr>
          <w:rFonts w:asciiTheme="minorHAnsi" w:hAnsiTheme="minorHAnsi" w:cstheme="minorHAnsi"/>
        </w:rPr>
        <w:t xml:space="preserve">&gt;75 </w:t>
      </w:r>
      <w:r w:rsidR="00536149">
        <w:rPr>
          <w:rFonts w:asciiTheme="minorHAnsi" w:hAnsiTheme="minorHAnsi" w:cstheme="minorHAnsi"/>
        </w:rPr>
        <w:t>x 10</w:t>
      </w:r>
      <w:r w:rsidR="00536149" w:rsidRPr="00E9039C">
        <w:rPr>
          <w:rFonts w:asciiTheme="minorHAnsi" w:hAnsiTheme="minorHAnsi" w:cstheme="minorHAnsi"/>
          <w:vertAlign w:val="superscript"/>
        </w:rPr>
        <w:t>9</w:t>
      </w:r>
      <w:r w:rsidR="00536149">
        <w:rPr>
          <w:rFonts w:asciiTheme="minorHAnsi" w:hAnsiTheme="minorHAnsi" w:cstheme="minorHAnsi"/>
        </w:rPr>
        <w:t>/L</w:t>
      </w:r>
      <w:r w:rsidR="008A595F">
        <w:rPr>
          <w:rFonts w:asciiTheme="minorHAnsi" w:hAnsiTheme="minorHAnsi" w:cstheme="minorHAnsi"/>
        </w:rPr>
        <w:t xml:space="preserve"> </w:t>
      </w:r>
      <w:r w:rsidRPr="009F1181">
        <w:rPr>
          <w:rFonts w:asciiTheme="minorHAnsi" w:hAnsiTheme="minorHAnsi" w:cstheme="minorHAnsi"/>
        </w:rPr>
        <w:t xml:space="preserve">for patients </w:t>
      </w:r>
      <w:r w:rsidR="008A595F">
        <w:rPr>
          <w:rFonts w:asciiTheme="minorHAnsi" w:hAnsiTheme="minorHAnsi" w:cstheme="minorHAnsi"/>
        </w:rPr>
        <w:t xml:space="preserve">to be </w:t>
      </w:r>
      <w:r w:rsidRPr="009F1181">
        <w:rPr>
          <w:rFonts w:asciiTheme="minorHAnsi" w:hAnsiTheme="minorHAnsi" w:cstheme="minorHAnsi"/>
        </w:rPr>
        <w:t xml:space="preserve">too low, as most trials have </w:t>
      </w:r>
      <w:r w:rsidR="00E86D78">
        <w:rPr>
          <w:rFonts w:asciiTheme="minorHAnsi" w:hAnsiTheme="minorHAnsi" w:cstheme="minorHAnsi"/>
        </w:rPr>
        <w:t>specified</w:t>
      </w:r>
      <w:r w:rsidR="00E86D78" w:rsidRPr="009F1181">
        <w:rPr>
          <w:rFonts w:asciiTheme="minorHAnsi" w:hAnsiTheme="minorHAnsi" w:cstheme="minorHAnsi"/>
        </w:rPr>
        <w:t xml:space="preserve"> </w:t>
      </w:r>
      <w:r w:rsidRPr="009F1181">
        <w:rPr>
          <w:rFonts w:asciiTheme="minorHAnsi" w:hAnsiTheme="minorHAnsi" w:cstheme="minorHAnsi"/>
        </w:rPr>
        <w:t xml:space="preserve">platelets </w:t>
      </w:r>
      <w:r w:rsidR="008A595F">
        <w:rPr>
          <w:rFonts w:asciiTheme="minorHAnsi" w:hAnsiTheme="minorHAnsi" w:cstheme="minorHAnsi"/>
        </w:rPr>
        <w:t xml:space="preserve">to be </w:t>
      </w:r>
      <w:r w:rsidRPr="009F1181">
        <w:rPr>
          <w:rFonts w:asciiTheme="minorHAnsi" w:hAnsiTheme="minorHAnsi" w:cstheme="minorHAnsi"/>
        </w:rPr>
        <w:t>&gt;100</w:t>
      </w:r>
      <w:r w:rsidR="00536149">
        <w:rPr>
          <w:rFonts w:asciiTheme="minorHAnsi" w:hAnsiTheme="minorHAnsi" w:cstheme="minorHAnsi"/>
        </w:rPr>
        <w:t xml:space="preserve"> x 10</w:t>
      </w:r>
      <w:r w:rsidR="00536149" w:rsidRPr="00BB7249">
        <w:rPr>
          <w:rFonts w:asciiTheme="minorHAnsi" w:hAnsiTheme="minorHAnsi" w:cstheme="minorHAnsi"/>
          <w:vertAlign w:val="superscript"/>
        </w:rPr>
        <w:t>9</w:t>
      </w:r>
      <w:r w:rsidR="00536149">
        <w:rPr>
          <w:rFonts w:asciiTheme="minorHAnsi" w:hAnsiTheme="minorHAnsi" w:cstheme="minorHAnsi"/>
        </w:rPr>
        <w:t>/L</w:t>
      </w:r>
      <w:r w:rsidRPr="009F1181">
        <w:rPr>
          <w:rFonts w:asciiTheme="minorHAnsi" w:hAnsiTheme="minorHAnsi" w:cstheme="minorHAnsi"/>
        </w:rPr>
        <w:t>.</w:t>
      </w:r>
    </w:p>
    <w:p w14:paraId="56478F75" w14:textId="4F3DAFED" w:rsidR="009F1181" w:rsidRPr="009F1181" w:rsidRDefault="009F1181" w:rsidP="009F1181">
      <w:pPr>
        <w:rPr>
          <w:rFonts w:asciiTheme="minorHAnsi" w:hAnsiTheme="minorHAnsi" w:cstheme="minorHAnsi"/>
        </w:rPr>
      </w:pPr>
      <w:r w:rsidRPr="009F1181">
        <w:rPr>
          <w:rFonts w:asciiTheme="minorHAnsi" w:hAnsiTheme="minorHAnsi" w:cstheme="minorHAnsi"/>
        </w:rPr>
        <w:t xml:space="preserve">Most responses agreed with the proposed treatment cost. However, GenesisCare considered that the costs were underestimated, as the cost of the isotope would be around $6,000, and costs associated with the physician, physicist, nurse, IV fluids, facility fee and dosimetry imaging would also need to be considered. A specialist noted that the proposed fee appeared to be based on at-cost pricing of </w:t>
      </w:r>
      <w:r w:rsidRPr="008A595F">
        <w:rPr>
          <w:rFonts w:asciiTheme="minorHAnsi" w:hAnsiTheme="minorHAnsi" w:cstheme="minorHAnsi"/>
          <w:vertAlign w:val="superscript"/>
        </w:rPr>
        <w:t>177</w:t>
      </w:r>
      <w:r w:rsidR="008A595F">
        <w:rPr>
          <w:rFonts w:asciiTheme="minorHAnsi" w:hAnsiTheme="minorHAnsi" w:cstheme="minorHAnsi"/>
        </w:rPr>
        <w:t>Lu</w:t>
      </w:r>
      <w:r w:rsidRPr="009F1181">
        <w:rPr>
          <w:rFonts w:asciiTheme="minorHAnsi" w:hAnsiTheme="minorHAnsi" w:cstheme="minorHAnsi"/>
        </w:rPr>
        <w:t>.</w:t>
      </w:r>
    </w:p>
    <w:p w14:paraId="125756C5" w14:textId="77777777" w:rsidR="009F1181" w:rsidRPr="009F1181" w:rsidRDefault="009F1181" w:rsidP="009F1181">
      <w:pPr>
        <w:rPr>
          <w:rFonts w:asciiTheme="minorHAnsi" w:hAnsiTheme="minorHAnsi" w:cstheme="minorHAnsi"/>
          <w:u w:val="single"/>
        </w:rPr>
      </w:pPr>
      <w:r w:rsidRPr="009F1181">
        <w:rPr>
          <w:rFonts w:asciiTheme="minorHAnsi" w:hAnsiTheme="minorHAnsi" w:cstheme="minorHAnsi"/>
          <w:u w:val="single"/>
        </w:rPr>
        <w:t>Disadvantages</w:t>
      </w:r>
    </w:p>
    <w:p w14:paraId="3BA8802F" w14:textId="77777777" w:rsidR="009F1181" w:rsidRPr="009F1181" w:rsidRDefault="009F1181" w:rsidP="009F1181">
      <w:pPr>
        <w:rPr>
          <w:rFonts w:asciiTheme="minorHAnsi" w:hAnsiTheme="minorHAnsi" w:cstheme="minorHAnsi"/>
        </w:rPr>
      </w:pPr>
      <w:r w:rsidRPr="009F1181">
        <w:rPr>
          <w:rFonts w:asciiTheme="minorHAnsi" w:hAnsiTheme="minorHAnsi" w:cstheme="minorHAnsi"/>
        </w:rPr>
        <w:t>GenesisCare considered that the main disadvantage would be the need for specialised facilities to safely administer this treatment and enough practitioners trained in this specialised area of medicine.</w:t>
      </w:r>
    </w:p>
    <w:p w14:paraId="4A4A62E4" w14:textId="513E3A53" w:rsidR="009F1181" w:rsidRPr="009F1181" w:rsidRDefault="009F1181" w:rsidP="009F1181">
      <w:pPr>
        <w:rPr>
          <w:rFonts w:asciiTheme="minorHAnsi" w:hAnsiTheme="minorHAnsi" w:cstheme="minorHAnsi"/>
        </w:rPr>
      </w:pPr>
      <w:r w:rsidRPr="009F1181">
        <w:rPr>
          <w:rFonts w:asciiTheme="minorHAnsi" w:hAnsiTheme="minorHAnsi" w:cstheme="minorHAnsi"/>
        </w:rPr>
        <w:t xml:space="preserve">Two competitor companies consider that there was insufficient evidence to support the application’s claim that </w:t>
      </w:r>
      <w:r w:rsidRPr="009F1181">
        <w:rPr>
          <w:rFonts w:asciiTheme="minorHAnsi" w:hAnsiTheme="minorHAnsi" w:cstheme="minorHAnsi"/>
          <w:vertAlign w:val="superscript"/>
        </w:rPr>
        <w:t>177</w:t>
      </w:r>
      <w:r w:rsidRPr="009F1181">
        <w:rPr>
          <w:rFonts w:asciiTheme="minorHAnsi" w:hAnsiTheme="minorHAnsi" w:cstheme="minorHAnsi"/>
        </w:rPr>
        <w:t xml:space="preserve">Lu PSMA I&amp;T and </w:t>
      </w:r>
      <w:r w:rsidRPr="009F1181">
        <w:rPr>
          <w:rFonts w:asciiTheme="minorHAnsi" w:hAnsiTheme="minorHAnsi" w:cstheme="minorHAnsi"/>
          <w:vertAlign w:val="superscript"/>
        </w:rPr>
        <w:t>177</w:t>
      </w:r>
      <w:r w:rsidRPr="009F1181">
        <w:rPr>
          <w:rFonts w:asciiTheme="minorHAnsi" w:hAnsiTheme="minorHAnsi" w:cstheme="minorHAnsi"/>
        </w:rPr>
        <w:t xml:space="preserve">Lu PSMA 617 are equivalent, and that the limited body of available data does not allow for a reliable clinical comparison of biodistribution between </w:t>
      </w:r>
      <w:r w:rsidRPr="009F1181">
        <w:rPr>
          <w:rFonts w:asciiTheme="minorHAnsi" w:hAnsiTheme="minorHAnsi" w:cstheme="minorHAnsi"/>
          <w:vertAlign w:val="superscript"/>
        </w:rPr>
        <w:t>177</w:t>
      </w:r>
      <w:r w:rsidRPr="009F1181">
        <w:rPr>
          <w:rFonts w:asciiTheme="minorHAnsi" w:hAnsiTheme="minorHAnsi" w:cstheme="minorHAnsi"/>
        </w:rPr>
        <w:t xml:space="preserve">Lu PSMA 617 and </w:t>
      </w:r>
      <w:r w:rsidRPr="009F1181">
        <w:rPr>
          <w:rFonts w:asciiTheme="minorHAnsi" w:hAnsiTheme="minorHAnsi" w:cstheme="minorHAnsi"/>
          <w:vertAlign w:val="superscript"/>
        </w:rPr>
        <w:t>177</w:t>
      </w:r>
      <w:r w:rsidRPr="009F1181">
        <w:rPr>
          <w:rFonts w:asciiTheme="minorHAnsi" w:hAnsiTheme="minorHAnsi" w:cstheme="minorHAnsi"/>
        </w:rPr>
        <w:t>Lu PSMA I&amp;T.</w:t>
      </w:r>
      <w:r w:rsidRPr="009F1181">
        <w:t xml:space="preserve"> </w:t>
      </w:r>
      <w:r w:rsidRPr="009F1181">
        <w:rPr>
          <w:rFonts w:asciiTheme="minorHAnsi" w:hAnsiTheme="minorHAnsi" w:cstheme="minorHAnsi"/>
        </w:rPr>
        <w:t xml:space="preserve">It was noted that there weren’t any randomised controlled trials to confirm the safety, </w:t>
      </w:r>
      <w:r w:rsidR="00E41A95" w:rsidRPr="009F1181">
        <w:rPr>
          <w:rFonts w:asciiTheme="minorHAnsi" w:hAnsiTheme="minorHAnsi" w:cstheme="minorHAnsi"/>
        </w:rPr>
        <w:t>efficacy,</w:t>
      </w:r>
      <w:r w:rsidRPr="009F1181">
        <w:rPr>
          <w:rFonts w:asciiTheme="minorHAnsi" w:hAnsiTheme="minorHAnsi" w:cstheme="minorHAnsi"/>
        </w:rPr>
        <w:t xml:space="preserve"> and favourable benefit-risk profile of this agent, nor any study investigating the optimum administered activity, number of cycles, or interval between cycles.</w:t>
      </w:r>
    </w:p>
    <w:p w14:paraId="1B4B82FE" w14:textId="35674B20" w:rsidR="005536B3" w:rsidRDefault="009F1181" w:rsidP="00ED4AD4">
      <w:pPr>
        <w:rPr>
          <w:rFonts w:asciiTheme="minorHAnsi" w:hAnsiTheme="minorHAnsi" w:cstheme="minorHAnsi"/>
        </w:rPr>
      </w:pPr>
      <w:r w:rsidRPr="009F1181">
        <w:rPr>
          <w:rFonts w:asciiTheme="minorHAnsi" w:hAnsiTheme="minorHAnsi" w:cstheme="minorHAnsi"/>
        </w:rPr>
        <w:t xml:space="preserve">One competitor company noted that </w:t>
      </w:r>
      <w:r w:rsidRPr="009F1181">
        <w:rPr>
          <w:rFonts w:asciiTheme="minorHAnsi" w:hAnsiTheme="minorHAnsi" w:cstheme="minorHAnsi"/>
          <w:vertAlign w:val="superscript"/>
        </w:rPr>
        <w:t>177</w:t>
      </w:r>
      <w:r w:rsidRPr="009F1181">
        <w:rPr>
          <w:rFonts w:asciiTheme="minorHAnsi" w:hAnsiTheme="minorHAnsi" w:cstheme="minorHAnsi"/>
        </w:rPr>
        <w:t xml:space="preserve">Lu PSMA I&amp;T is proposed to be produced under TGA exemption in public hospitals. It considered that this would limit the availability of the </w:t>
      </w:r>
      <w:r w:rsidR="00E41A95" w:rsidRPr="009F1181">
        <w:rPr>
          <w:rFonts w:asciiTheme="minorHAnsi" w:hAnsiTheme="minorHAnsi" w:cstheme="minorHAnsi"/>
        </w:rPr>
        <w:t>service and</w:t>
      </w:r>
      <w:r w:rsidRPr="009F1181">
        <w:rPr>
          <w:rFonts w:asciiTheme="minorHAnsi" w:hAnsiTheme="minorHAnsi" w:cstheme="minorHAnsi"/>
        </w:rPr>
        <w:t xml:space="preserve"> may result in variable service due to the lack of regulated quality standards and oversight.</w:t>
      </w:r>
    </w:p>
    <w:p w14:paraId="5BF786AB" w14:textId="7966181C" w:rsidR="00E41841" w:rsidRPr="00ED4AD4" w:rsidRDefault="00E41841" w:rsidP="00ED4AD4">
      <w:pPr>
        <w:rPr>
          <w:rFonts w:asciiTheme="minorHAnsi" w:hAnsiTheme="minorHAnsi" w:cstheme="minorHAnsi"/>
        </w:rPr>
      </w:pPr>
      <w:r>
        <w:rPr>
          <w:rFonts w:asciiTheme="minorHAnsi" w:hAnsiTheme="minorHAnsi" w:cstheme="minorHAnsi"/>
          <w:i/>
          <w:iCs/>
        </w:rPr>
        <w:t>PASC noted there was a significant volume of consultation feedback.</w:t>
      </w:r>
    </w:p>
    <w:p w14:paraId="4E68667F" w14:textId="77777777" w:rsidR="00D37A3F" w:rsidRPr="00D37A3F" w:rsidRDefault="00D37A3F" w:rsidP="00713728">
      <w:pPr>
        <w:pStyle w:val="Heading2"/>
      </w:pPr>
      <w:r w:rsidRPr="00D37A3F">
        <w:t>Next steps</w:t>
      </w:r>
    </w:p>
    <w:p w14:paraId="6D0F7E4C" w14:textId="4E68A7FC" w:rsidR="00E41841" w:rsidRDefault="00E41841" w:rsidP="004631C2">
      <w:pPr>
        <w:spacing w:before="200"/>
      </w:pPr>
      <w:r w:rsidRPr="00066772">
        <w:t>The applicant advised this application will be progressing as an ADAR (applicant-developed assessment report).</w:t>
      </w:r>
    </w:p>
    <w:p w14:paraId="20014BFC" w14:textId="3C0AB652" w:rsidR="001E3B25" w:rsidRDefault="001E3B25" w:rsidP="001E3B25">
      <w:pPr>
        <w:pStyle w:val="Heading2"/>
      </w:pPr>
      <w:r>
        <w:t>Applicant comment on ratified PICO Confirmation</w:t>
      </w:r>
    </w:p>
    <w:p w14:paraId="02013605" w14:textId="2171D80C" w:rsidR="001E3B25" w:rsidRPr="00B17E87" w:rsidRDefault="001E3B25" w:rsidP="001E3B25">
      <w:pPr>
        <w:rPr>
          <w:i/>
          <w:iCs/>
          <w:u w:val="single"/>
        </w:rPr>
      </w:pPr>
      <w:r w:rsidRPr="001E3B25">
        <w:rPr>
          <w:u w:val="single"/>
        </w:rPr>
        <w:t>Population</w:t>
      </w:r>
    </w:p>
    <w:p w14:paraId="277A1330" w14:textId="7AF876AB" w:rsidR="001E3B25" w:rsidRDefault="001E3B25" w:rsidP="001E3B25">
      <w:pPr>
        <w:rPr>
          <w:rFonts w:asciiTheme="minorHAnsi" w:hAnsiTheme="minorHAnsi" w:cstheme="minorHAnsi"/>
          <w:i/>
          <w:iCs/>
        </w:rPr>
      </w:pPr>
      <w:r w:rsidRPr="00B17E87">
        <w:rPr>
          <w:rFonts w:asciiTheme="minorHAnsi" w:hAnsiTheme="minorHAnsi" w:cstheme="minorHAnsi"/>
          <w:i/>
          <w:iCs/>
        </w:rPr>
        <w:t xml:space="preserve">The </w:t>
      </w:r>
      <w:r w:rsidR="00B17E87">
        <w:rPr>
          <w:rFonts w:asciiTheme="minorHAnsi" w:hAnsiTheme="minorHAnsi" w:cstheme="minorHAnsi"/>
          <w:i/>
          <w:iCs/>
        </w:rPr>
        <w:t>a</w:t>
      </w:r>
      <w:r w:rsidRPr="00B17E87">
        <w:rPr>
          <w:rFonts w:asciiTheme="minorHAnsi" w:hAnsiTheme="minorHAnsi" w:cstheme="minorHAnsi"/>
          <w:i/>
          <w:iCs/>
        </w:rPr>
        <w:t xml:space="preserve">pplicant </w:t>
      </w:r>
      <w:r w:rsidR="00B17E87" w:rsidRPr="00B17E87">
        <w:rPr>
          <w:rFonts w:asciiTheme="minorHAnsi" w:hAnsiTheme="minorHAnsi" w:cstheme="minorHAnsi"/>
          <w:i/>
          <w:iCs/>
        </w:rPr>
        <w:t xml:space="preserve">indicated that they </w:t>
      </w:r>
      <w:r w:rsidR="00E41A95" w:rsidRPr="00B17E87">
        <w:rPr>
          <w:rFonts w:asciiTheme="minorHAnsi" w:hAnsiTheme="minorHAnsi" w:cstheme="minorHAnsi"/>
          <w:i/>
          <w:iCs/>
        </w:rPr>
        <w:t>would</w:t>
      </w:r>
      <w:r w:rsidRPr="00B17E87">
        <w:rPr>
          <w:rFonts w:asciiTheme="minorHAnsi" w:hAnsiTheme="minorHAnsi" w:cstheme="minorHAnsi"/>
          <w:i/>
          <w:iCs/>
        </w:rPr>
        <w:t xml:space="preserve"> address the points raised by PASC in the ADAR.</w:t>
      </w:r>
    </w:p>
    <w:p w14:paraId="37083694" w14:textId="1406D67D" w:rsidR="00B17E87" w:rsidRDefault="00B17E87" w:rsidP="001E3B25">
      <w:pPr>
        <w:rPr>
          <w:u w:val="single"/>
        </w:rPr>
      </w:pPr>
      <w:r>
        <w:rPr>
          <w:u w:val="single"/>
        </w:rPr>
        <w:t>Intervention</w:t>
      </w:r>
    </w:p>
    <w:p w14:paraId="0EB458DD" w14:textId="3A8A9F0A" w:rsidR="00B17E87" w:rsidRPr="00E2378A" w:rsidRDefault="00B17E87" w:rsidP="00B17E87">
      <w:pPr>
        <w:spacing w:line="23" w:lineRule="atLeast"/>
        <w:rPr>
          <w:i/>
          <w:iCs/>
        </w:rPr>
      </w:pPr>
      <w:r w:rsidRPr="00E2378A">
        <w:rPr>
          <w:rFonts w:asciiTheme="minorHAnsi" w:hAnsiTheme="minorHAnsi" w:cstheme="minorHAnsi"/>
          <w:i/>
          <w:iCs/>
        </w:rPr>
        <w:t>The applicant acknowled</w:t>
      </w:r>
      <w:r w:rsidR="00456FF1" w:rsidRPr="00E2378A">
        <w:rPr>
          <w:rFonts w:asciiTheme="minorHAnsi" w:hAnsiTheme="minorHAnsi" w:cstheme="minorHAnsi"/>
          <w:i/>
          <w:iCs/>
        </w:rPr>
        <w:t>ged</w:t>
      </w:r>
      <w:r w:rsidRPr="00E2378A">
        <w:rPr>
          <w:rFonts w:asciiTheme="minorHAnsi" w:hAnsiTheme="minorHAnsi" w:cstheme="minorHAnsi"/>
          <w:i/>
          <w:iCs/>
        </w:rPr>
        <w:t xml:space="preserve"> the issues raised by PASC</w:t>
      </w:r>
      <w:r w:rsidR="00456FF1" w:rsidRPr="00E2378A">
        <w:rPr>
          <w:rFonts w:asciiTheme="minorHAnsi" w:hAnsiTheme="minorHAnsi" w:cstheme="minorHAnsi"/>
          <w:i/>
          <w:iCs/>
        </w:rPr>
        <w:t xml:space="preserve"> and</w:t>
      </w:r>
      <w:r w:rsidRPr="00E2378A">
        <w:rPr>
          <w:rFonts w:asciiTheme="minorHAnsi" w:hAnsiTheme="minorHAnsi" w:cstheme="minorHAnsi"/>
          <w:i/>
          <w:iCs/>
        </w:rPr>
        <w:t xml:space="preserve"> propose</w:t>
      </w:r>
      <w:r w:rsidR="00456FF1" w:rsidRPr="00E2378A">
        <w:rPr>
          <w:rFonts w:asciiTheme="minorHAnsi" w:hAnsiTheme="minorHAnsi" w:cstheme="minorHAnsi"/>
          <w:i/>
          <w:iCs/>
        </w:rPr>
        <w:t>d</w:t>
      </w:r>
      <w:r w:rsidRPr="00E2378A">
        <w:rPr>
          <w:rFonts w:asciiTheme="minorHAnsi" w:hAnsiTheme="minorHAnsi" w:cstheme="minorHAnsi"/>
          <w:i/>
          <w:iCs/>
        </w:rPr>
        <w:t xml:space="preserve"> a simplified treatment algorithm that omits the requirement for confirmatory FDG PET/CT testing for </w:t>
      </w:r>
      <w:r w:rsidRPr="00E2378A">
        <w:rPr>
          <w:rFonts w:asciiTheme="minorHAnsi" w:hAnsiTheme="minorHAnsi" w:cstheme="minorHAnsi"/>
          <w:i/>
          <w:iCs/>
          <w:vertAlign w:val="superscript"/>
        </w:rPr>
        <w:t>177</w:t>
      </w:r>
      <w:r w:rsidRPr="00E2378A">
        <w:rPr>
          <w:rFonts w:asciiTheme="minorHAnsi" w:hAnsiTheme="minorHAnsi" w:cstheme="minorHAnsi"/>
          <w:i/>
          <w:iCs/>
        </w:rPr>
        <w:t xml:space="preserve">Lu PSMA i&amp;t eligibility. However, the </w:t>
      </w:r>
      <w:r w:rsidR="00456FF1" w:rsidRPr="00E2378A">
        <w:rPr>
          <w:rFonts w:asciiTheme="minorHAnsi" w:hAnsiTheme="minorHAnsi" w:cstheme="minorHAnsi"/>
          <w:i/>
          <w:iCs/>
        </w:rPr>
        <w:t xml:space="preserve">applicant advised that the </w:t>
      </w:r>
      <w:r w:rsidRPr="00E2378A">
        <w:rPr>
          <w:rFonts w:asciiTheme="minorHAnsi" w:hAnsiTheme="minorHAnsi" w:cstheme="minorHAnsi"/>
          <w:i/>
          <w:iCs/>
        </w:rPr>
        <w:t xml:space="preserve">ADAR will still consider the evidence for FDG PET/CT testing and the economic evaluation will include scenario analyses including FDG PET/CT.  </w:t>
      </w:r>
      <w:r w:rsidRPr="00E2378A">
        <w:rPr>
          <w:i/>
          <w:iCs/>
        </w:rPr>
        <w:t xml:space="preserve"> </w:t>
      </w:r>
    </w:p>
    <w:p w14:paraId="655F28FD" w14:textId="681419B5" w:rsidR="00B17E87" w:rsidRDefault="00B17E87" w:rsidP="00B17E87">
      <w:pPr>
        <w:rPr>
          <w:i/>
          <w:iCs/>
        </w:rPr>
      </w:pPr>
      <w:r w:rsidRPr="00E2378A">
        <w:rPr>
          <w:rFonts w:asciiTheme="minorHAnsi" w:hAnsiTheme="minorHAnsi" w:cstheme="minorHAnsi"/>
          <w:i/>
          <w:iCs/>
        </w:rPr>
        <w:t xml:space="preserve">In response to the consideration by the MSAC Executive, the </w:t>
      </w:r>
      <w:r w:rsidR="00456FF1" w:rsidRPr="00E2378A">
        <w:rPr>
          <w:rFonts w:asciiTheme="minorHAnsi" w:hAnsiTheme="minorHAnsi" w:cstheme="minorHAnsi"/>
          <w:i/>
          <w:iCs/>
        </w:rPr>
        <w:t>a</w:t>
      </w:r>
      <w:r w:rsidRPr="00E2378A">
        <w:rPr>
          <w:rFonts w:asciiTheme="minorHAnsi" w:hAnsiTheme="minorHAnsi" w:cstheme="minorHAnsi"/>
          <w:i/>
          <w:iCs/>
        </w:rPr>
        <w:t>pplicant state</w:t>
      </w:r>
      <w:r w:rsidR="00456FF1" w:rsidRPr="00E2378A">
        <w:rPr>
          <w:rFonts w:asciiTheme="minorHAnsi" w:hAnsiTheme="minorHAnsi" w:cstheme="minorHAnsi"/>
          <w:i/>
          <w:iCs/>
        </w:rPr>
        <w:t>d</w:t>
      </w:r>
      <w:r w:rsidRPr="00E2378A">
        <w:rPr>
          <w:rFonts w:asciiTheme="minorHAnsi" w:hAnsiTheme="minorHAnsi" w:cstheme="minorHAnsi"/>
          <w:i/>
          <w:iCs/>
        </w:rPr>
        <w:t xml:space="preserve"> that </w:t>
      </w:r>
      <w:r w:rsidRPr="00E2378A">
        <w:rPr>
          <w:rFonts w:asciiTheme="minorHAnsi" w:hAnsiTheme="minorHAnsi" w:cstheme="minorHAnsi"/>
          <w:i/>
          <w:iCs/>
          <w:vertAlign w:val="superscript"/>
        </w:rPr>
        <w:t>177</w:t>
      </w:r>
      <w:r w:rsidRPr="00E2378A">
        <w:rPr>
          <w:rFonts w:asciiTheme="minorHAnsi" w:hAnsiTheme="minorHAnsi" w:cstheme="minorHAnsi"/>
          <w:i/>
          <w:iCs/>
        </w:rPr>
        <w:t xml:space="preserve">Lu PSMA-617 is </w:t>
      </w:r>
      <w:r w:rsidRPr="00E2378A">
        <w:rPr>
          <w:rFonts w:asciiTheme="minorHAnsi" w:hAnsiTheme="minorHAnsi" w:cstheme="minorHAnsi"/>
          <w:i/>
          <w:iCs/>
          <w:u w:val="single"/>
        </w:rPr>
        <w:t>radio-equivalent</w:t>
      </w:r>
      <w:r w:rsidRPr="00E2378A">
        <w:rPr>
          <w:rFonts w:asciiTheme="minorHAnsi" w:hAnsiTheme="minorHAnsi" w:cstheme="minorHAnsi"/>
          <w:i/>
          <w:iCs/>
        </w:rPr>
        <w:t xml:space="preserve"> to </w:t>
      </w:r>
      <w:r w:rsidRPr="00E2378A">
        <w:rPr>
          <w:rFonts w:asciiTheme="minorHAnsi" w:hAnsiTheme="minorHAnsi" w:cstheme="minorHAnsi"/>
          <w:i/>
          <w:iCs/>
          <w:vertAlign w:val="superscript"/>
        </w:rPr>
        <w:t>177</w:t>
      </w:r>
      <w:r w:rsidRPr="00E2378A">
        <w:rPr>
          <w:rFonts w:asciiTheme="minorHAnsi" w:hAnsiTheme="minorHAnsi" w:cstheme="minorHAnsi"/>
          <w:i/>
          <w:iCs/>
        </w:rPr>
        <w:t xml:space="preserve">Lu PSMA i&amp;t, meaning the </w:t>
      </w:r>
      <w:r w:rsidRPr="00E2378A">
        <w:rPr>
          <w:i/>
          <w:iCs/>
        </w:rPr>
        <w:t xml:space="preserve">radiation dose delivered to tumour and non-tumour organs are equivalent between both agents. </w:t>
      </w:r>
      <w:r w:rsidR="00456FF1" w:rsidRPr="00E2378A">
        <w:rPr>
          <w:i/>
          <w:iCs/>
        </w:rPr>
        <w:t xml:space="preserve">The applicant advised that, importantly, </w:t>
      </w:r>
      <w:r w:rsidRPr="00E2378A">
        <w:rPr>
          <w:i/>
          <w:iCs/>
        </w:rPr>
        <w:t xml:space="preserve">patient outcomes between both agents have been shown to be equivalent. The </w:t>
      </w:r>
      <w:r w:rsidR="00456FF1" w:rsidRPr="00E2378A">
        <w:rPr>
          <w:i/>
          <w:iCs/>
        </w:rPr>
        <w:t>a</w:t>
      </w:r>
      <w:r w:rsidRPr="00E2378A">
        <w:rPr>
          <w:i/>
          <w:iCs/>
        </w:rPr>
        <w:t>pplicant</w:t>
      </w:r>
      <w:r w:rsidR="00456FF1" w:rsidRPr="00E2378A">
        <w:rPr>
          <w:i/>
          <w:iCs/>
        </w:rPr>
        <w:t xml:space="preserve"> further stated that they</w:t>
      </w:r>
      <w:r w:rsidRPr="00E2378A">
        <w:rPr>
          <w:i/>
          <w:iCs/>
        </w:rPr>
        <w:t xml:space="preserve"> will present the best available evidence to support this claim.</w:t>
      </w:r>
    </w:p>
    <w:p w14:paraId="662B24C5" w14:textId="63125284" w:rsidR="00E2378A" w:rsidRDefault="00E2378A" w:rsidP="00B17E87">
      <w:pPr>
        <w:rPr>
          <w:u w:val="single"/>
        </w:rPr>
      </w:pPr>
      <w:r>
        <w:rPr>
          <w:u w:val="single"/>
        </w:rPr>
        <w:t>Comparator</w:t>
      </w:r>
    </w:p>
    <w:p w14:paraId="4E535FD6" w14:textId="02AF60A8" w:rsidR="00E2378A" w:rsidRDefault="00E2378A" w:rsidP="00E2378A">
      <w:pPr>
        <w:rPr>
          <w:rFonts w:asciiTheme="minorHAnsi" w:hAnsiTheme="minorHAnsi" w:cstheme="minorHAnsi"/>
          <w:i/>
          <w:iCs/>
        </w:rPr>
      </w:pPr>
      <w:r w:rsidRPr="00B17E87">
        <w:rPr>
          <w:rFonts w:asciiTheme="minorHAnsi" w:hAnsiTheme="minorHAnsi" w:cstheme="minorHAnsi"/>
          <w:i/>
          <w:iCs/>
        </w:rPr>
        <w:t xml:space="preserve">The </w:t>
      </w:r>
      <w:r>
        <w:rPr>
          <w:rFonts w:asciiTheme="minorHAnsi" w:hAnsiTheme="minorHAnsi" w:cstheme="minorHAnsi"/>
          <w:i/>
          <w:iCs/>
        </w:rPr>
        <w:t>a</w:t>
      </w:r>
      <w:r w:rsidRPr="00B17E87">
        <w:rPr>
          <w:rFonts w:asciiTheme="minorHAnsi" w:hAnsiTheme="minorHAnsi" w:cstheme="minorHAnsi"/>
          <w:i/>
          <w:iCs/>
        </w:rPr>
        <w:t xml:space="preserve">pplicant indicated that they </w:t>
      </w:r>
      <w:r w:rsidR="00E41A95" w:rsidRPr="00B17E87">
        <w:rPr>
          <w:rFonts w:asciiTheme="minorHAnsi" w:hAnsiTheme="minorHAnsi" w:cstheme="minorHAnsi"/>
          <w:i/>
          <w:iCs/>
        </w:rPr>
        <w:t>would</w:t>
      </w:r>
      <w:r w:rsidRPr="00B17E87">
        <w:rPr>
          <w:rFonts w:asciiTheme="minorHAnsi" w:hAnsiTheme="minorHAnsi" w:cstheme="minorHAnsi"/>
          <w:i/>
          <w:iCs/>
        </w:rPr>
        <w:t xml:space="preserve"> address the points raised by PASC in the ADAR.</w:t>
      </w:r>
    </w:p>
    <w:p w14:paraId="50F47C5A" w14:textId="2188B1E4" w:rsidR="00E2378A" w:rsidRDefault="00950325" w:rsidP="00B17E87">
      <w:r>
        <w:rPr>
          <w:u w:val="single"/>
        </w:rPr>
        <w:t>Reference standard</w:t>
      </w:r>
    </w:p>
    <w:p w14:paraId="417FD990" w14:textId="3362B3AA" w:rsidR="00950325" w:rsidRDefault="00950325" w:rsidP="00950325">
      <w:pPr>
        <w:rPr>
          <w:rFonts w:asciiTheme="minorHAnsi" w:hAnsiTheme="minorHAnsi" w:cstheme="minorHAnsi"/>
          <w:i/>
          <w:iCs/>
        </w:rPr>
      </w:pPr>
      <w:r w:rsidRPr="00B17E87">
        <w:rPr>
          <w:rFonts w:asciiTheme="minorHAnsi" w:hAnsiTheme="minorHAnsi" w:cstheme="minorHAnsi"/>
          <w:i/>
          <w:iCs/>
        </w:rPr>
        <w:t xml:space="preserve">The </w:t>
      </w:r>
      <w:r>
        <w:rPr>
          <w:rFonts w:asciiTheme="minorHAnsi" w:hAnsiTheme="minorHAnsi" w:cstheme="minorHAnsi"/>
          <w:i/>
          <w:iCs/>
        </w:rPr>
        <w:t>a</w:t>
      </w:r>
      <w:r w:rsidRPr="00B17E87">
        <w:rPr>
          <w:rFonts w:asciiTheme="minorHAnsi" w:hAnsiTheme="minorHAnsi" w:cstheme="minorHAnsi"/>
          <w:i/>
          <w:iCs/>
        </w:rPr>
        <w:t xml:space="preserve">pplicant indicated that they </w:t>
      </w:r>
      <w:r w:rsidR="00E41A95" w:rsidRPr="00B17E87">
        <w:rPr>
          <w:rFonts w:asciiTheme="minorHAnsi" w:hAnsiTheme="minorHAnsi" w:cstheme="minorHAnsi"/>
          <w:i/>
          <w:iCs/>
        </w:rPr>
        <w:t>would</w:t>
      </w:r>
      <w:r w:rsidRPr="00B17E87">
        <w:rPr>
          <w:rFonts w:asciiTheme="minorHAnsi" w:hAnsiTheme="minorHAnsi" w:cstheme="minorHAnsi"/>
          <w:i/>
          <w:iCs/>
        </w:rPr>
        <w:t xml:space="preserve"> address the points raised by PASC in the ADAR.</w:t>
      </w:r>
    </w:p>
    <w:p w14:paraId="141D4229" w14:textId="6F4817F7" w:rsidR="00950325" w:rsidRDefault="00950325" w:rsidP="00B17E87">
      <w:r>
        <w:rPr>
          <w:u w:val="single"/>
        </w:rPr>
        <w:t>Clinical utility standard</w:t>
      </w:r>
    </w:p>
    <w:p w14:paraId="26DF1120" w14:textId="62B7F0C9" w:rsidR="00950325" w:rsidRDefault="00950325" w:rsidP="00950325">
      <w:pPr>
        <w:rPr>
          <w:rFonts w:asciiTheme="minorHAnsi" w:hAnsiTheme="minorHAnsi" w:cstheme="minorHAnsi"/>
          <w:i/>
          <w:iCs/>
        </w:rPr>
      </w:pPr>
      <w:r w:rsidRPr="00B17E87">
        <w:rPr>
          <w:rFonts w:asciiTheme="minorHAnsi" w:hAnsiTheme="minorHAnsi" w:cstheme="minorHAnsi"/>
          <w:i/>
          <w:iCs/>
        </w:rPr>
        <w:t xml:space="preserve">The </w:t>
      </w:r>
      <w:r>
        <w:rPr>
          <w:rFonts w:asciiTheme="minorHAnsi" w:hAnsiTheme="minorHAnsi" w:cstheme="minorHAnsi"/>
          <w:i/>
          <w:iCs/>
        </w:rPr>
        <w:t>a</w:t>
      </w:r>
      <w:r w:rsidRPr="00B17E87">
        <w:rPr>
          <w:rFonts w:asciiTheme="minorHAnsi" w:hAnsiTheme="minorHAnsi" w:cstheme="minorHAnsi"/>
          <w:i/>
          <w:iCs/>
        </w:rPr>
        <w:t xml:space="preserve">pplicant indicated that they </w:t>
      </w:r>
      <w:r w:rsidR="00E41A95" w:rsidRPr="00B17E87">
        <w:rPr>
          <w:rFonts w:asciiTheme="minorHAnsi" w:hAnsiTheme="minorHAnsi" w:cstheme="minorHAnsi"/>
          <w:i/>
          <w:iCs/>
        </w:rPr>
        <w:t>would</w:t>
      </w:r>
      <w:r w:rsidRPr="00B17E87">
        <w:rPr>
          <w:rFonts w:asciiTheme="minorHAnsi" w:hAnsiTheme="minorHAnsi" w:cstheme="minorHAnsi"/>
          <w:i/>
          <w:iCs/>
        </w:rPr>
        <w:t xml:space="preserve"> address the points raised by PASC in the ADAR.</w:t>
      </w:r>
    </w:p>
    <w:p w14:paraId="3BCC477B" w14:textId="71D4F5EF" w:rsidR="00950325" w:rsidRDefault="00950325" w:rsidP="00B17E87">
      <w:r>
        <w:rPr>
          <w:u w:val="single"/>
        </w:rPr>
        <w:t>Clinical Management Algorithms</w:t>
      </w:r>
    </w:p>
    <w:p w14:paraId="1FD0DDB0" w14:textId="1DF0DA5E" w:rsidR="00950325" w:rsidRDefault="00950325" w:rsidP="00950325">
      <w:pPr>
        <w:rPr>
          <w:rFonts w:asciiTheme="minorHAnsi" w:hAnsiTheme="minorHAnsi" w:cstheme="minorHAnsi"/>
          <w:i/>
          <w:iCs/>
        </w:rPr>
      </w:pPr>
      <w:r w:rsidRPr="00B17E87">
        <w:rPr>
          <w:rFonts w:asciiTheme="minorHAnsi" w:hAnsiTheme="minorHAnsi" w:cstheme="minorHAnsi"/>
          <w:i/>
          <w:iCs/>
        </w:rPr>
        <w:t xml:space="preserve">The </w:t>
      </w:r>
      <w:r>
        <w:rPr>
          <w:rFonts w:asciiTheme="minorHAnsi" w:hAnsiTheme="minorHAnsi" w:cstheme="minorHAnsi"/>
          <w:i/>
          <w:iCs/>
        </w:rPr>
        <w:t>a</w:t>
      </w:r>
      <w:r w:rsidRPr="00B17E87">
        <w:rPr>
          <w:rFonts w:asciiTheme="minorHAnsi" w:hAnsiTheme="minorHAnsi" w:cstheme="minorHAnsi"/>
          <w:i/>
          <w:iCs/>
        </w:rPr>
        <w:t xml:space="preserve">pplicant indicated that they </w:t>
      </w:r>
      <w:r w:rsidR="00E41A95" w:rsidRPr="00B17E87">
        <w:rPr>
          <w:rFonts w:asciiTheme="minorHAnsi" w:hAnsiTheme="minorHAnsi" w:cstheme="minorHAnsi"/>
          <w:i/>
          <w:iCs/>
        </w:rPr>
        <w:t>would</w:t>
      </w:r>
      <w:r w:rsidRPr="00B17E87">
        <w:rPr>
          <w:rFonts w:asciiTheme="minorHAnsi" w:hAnsiTheme="minorHAnsi" w:cstheme="minorHAnsi"/>
          <w:i/>
          <w:iCs/>
        </w:rPr>
        <w:t xml:space="preserve"> address the points raised by PASC in the ADAR.</w:t>
      </w:r>
    </w:p>
    <w:p w14:paraId="11EBD82C" w14:textId="29707D83" w:rsidR="00950325" w:rsidRDefault="00950325" w:rsidP="00B17E87">
      <w:r>
        <w:rPr>
          <w:u w:val="single"/>
        </w:rPr>
        <w:t>Proposed economic evaluation</w:t>
      </w:r>
    </w:p>
    <w:p w14:paraId="1D578935" w14:textId="21B25836" w:rsidR="00950325" w:rsidRDefault="00950325" w:rsidP="00950325">
      <w:pPr>
        <w:rPr>
          <w:rFonts w:asciiTheme="minorHAnsi" w:hAnsiTheme="minorHAnsi" w:cstheme="minorHAnsi"/>
          <w:i/>
          <w:iCs/>
        </w:rPr>
      </w:pPr>
      <w:r w:rsidRPr="00B17E87">
        <w:rPr>
          <w:rFonts w:asciiTheme="minorHAnsi" w:hAnsiTheme="minorHAnsi" w:cstheme="minorHAnsi"/>
          <w:i/>
          <w:iCs/>
        </w:rPr>
        <w:t xml:space="preserve">The </w:t>
      </w:r>
      <w:r>
        <w:rPr>
          <w:rFonts w:asciiTheme="minorHAnsi" w:hAnsiTheme="minorHAnsi" w:cstheme="minorHAnsi"/>
          <w:i/>
          <w:iCs/>
        </w:rPr>
        <w:t>a</w:t>
      </w:r>
      <w:r w:rsidRPr="00B17E87">
        <w:rPr>
          <w:rFonts w:asciiTheme="minorHAnsi" w:hAnsiTheme="minorHAnsi" w:cstheme="minorHAnsi"/>
          <w:i/>
          <w:iCs/>
        </w:rPr>
        <w:t xml:space="preserve">pplicant indicated that they </w:t>
      </w:r>
      <w:r w:rsidR="00E41A95" w:rsidRPr="00B17E87">
        <w:rPr>
          <w:rFonts w:asciiTheme="minorHAnsi" w:hAnsiTheme="minorHAnsi" w:cstheme="minorHAnsi"/>
          <w:i/>
          <w:iCs/>
        </w:rPr>
        <w:t>would</w:t>
      </w:r>
      <w:r w:rsidRPr="00B17E87">
        <w:rPr>
          <w:rFonts w:asciiTheme="minorHAnsi" w:hAnsiTheme="minorHAnsi" w:cstheme="minorHAnsi"/>
          <w:i/>
          <w:iCs/>
        </w:rPr>
        <w:t xml:space="preserve"> address the points raised by PASC in the ADAR.</w:t>
      </w:r>
    </w:p>
    <w:p w14:paraId="5B8BCD80" w14:textId="4BD7C8E5" w:rsidR="00950325" w:rsidRDefault="00950325" w:rsidP="00B17E87">
      <w:pPr>
        <w:rPr>
          <w:u w:val="single"/>
        </w:rPr>
      </w:pPr>
      <w:r>
        <w:rPr>
          <w:u w:val="single"/>
        </w:rPr>
        <w:t>Proposal for public funding</w:t>
      </w:r>
    </w:p>
    <w:p w14:paraId="109DB4F3" w14:textId="5A1B73FC" w:rsidR="00950325" w:rsidRPr="00492D60" w:rsidRDefault="00492D60" w:rsidP="00950325">
      <w:pPr>
        <w:spacing w:line="23" w:lineRule="atLeast"/>
        <w:rPr>
          <w:rFonts w:asciiTheme="minorHAnsi" w:hAnsiTheme="minorHAnsi" w:cstheme="minorHAnsi"/>
          <w:i/>
          <w:iCs/>
        </w:rPr>
      </w:pPr>
      <w:r w:rsidRPr="00492D60">
        <w:rPr>
          <w:rFonts w:asciiTheme="minorHAnsi" w:hAnsiTheme="minorHAnsi" w:cstheme="minorHAnsi"/>
          <w:i/>
          <w:iCs/>
        </w:rPr>
        <w:t>The</w:t>
      </w:r>
      <w:r w:rsidR="00950325" w:rsidRPr="00492D60">
        <w:rPr>
          <w:rFonts w:asciiTheme="minorHAnsi" w:hAnsiTheme="minorHAnsi" w:cstheme="minorHAnsi"/>
          <w:i/>
          <w:iCs/>
        </w:rPr>
        <w:t xml:space="preserve"> </w:t>
      </w:r>
      <w:r w:rsidRPr="00492D60">
        <w:rPr>
          <w:rFonts w:asciiTheme="minorHAnsi" w:hAnsiTheme="minorHAnsi" w:cstheme="minorHAnsi"/>
          <w:i/>
          <w:iCs/>
        </w:rPr>
        <w:t>a</w:t>
      </w:r>
      <w:r w:rsidR="00950325" w:rsidRPr="00492D60">
        <w:rPr>
          <w:rFonts w:asciiTheme="minorHAnsi" w:hAnsiTheme="minorHAnsi" w:cstheme="minorHAnsi"/>
          <w:i/>
          <w:iCs/>
        </w:rPr>
        <w:t>pplicant</w:t>
      </w:r>
      <w:r w:rsidRPr="00492D60">
        <w:rPr>
          <w:rFonts w:asciiTheme="minorHAnsi" w:hAnsiTheme="minorHAnsi" w:cstheme="minorHAnsi"/>
          <w:i/>
          <w:iCs/>
        </w:rPr>
        <w:t xml:space="preserve"> advised that they</w:t>
      </w:r>
      <w:r w:rsidR="00950325" w:rsidRPr="00492D60">
        <w:rPr>
          <w:rFonts w:asciiTheme="minorHAnsi" w:hAnsiTheme="minorHAnsi" w:cstheme="minorHAnsi"/>
          <w:i/>
          <w:iCs/>
        </w:rPr>
        <w:t xml:space="preserve"> no longer propose FDG PET/CT confirmatory testing to inform eligibility for </w:t>
      </w:r>
      <w:r w:rsidR="00950325" w:rsidRPr="00492D60">
        <w:rPr>
          <w:rFonts w:asciiTheme="minorHAnsi" w:hAnsiTheme="minorHAnsi" w:cstheme="minorHAnsi"/>
          <w:i/>
          <w:iCs/>
          <w:vertAlign w:val="superscript"/>
        </w:rPr>
        <w:t>177</w:t>
      </w:r>
      <w:r w:rsidR="00950325" w:rsidRPr="00492D60">
        <w:rPr>
          <w:rFonts w:asciiTheme="minorHAnsi" w:hAnsiTheme="minorHAnsi" w:cstheme="minorHAnsi"/>
          <w:i/>
          <w:iCs/>
        </w:rPr>
        <w:t>Lu PSMA i&amp;t treatment.</w:t>
      </w:r>
    </w:p>
    <w:p w14:paraId="3042E025" w14:textId="3BE45B2D" w:rsidR="00950325" w:rsidRPr="00492D60" w:rsidRDefault="00950325" w:rsidP="00950325">
      <w:pPr>
        <w:rPr>
          <w:i/>
          <w:iCs/>
        </w:rPr>
      </w:pPr>
      <w:r w:rsidRPr="00492D60">
        <w:rPr>
          <w:rFonts w:asciiTheme="minorHAnsi" w:hAnsiTheme="minorHAnsi" w:cstheme="minorHAnsi"/>
          <w:i/>
          <w:iCs/>
        </w:rPr>
        <w:t xml:space="preserve">The </w:t>
      </w:r>
      <w:r w:rsidR="00492D60" w:rsidRPr="00492D60">
        <w:rPr>
          <w:rFonts w:asciiTheme="minorHAnsi" w:hAnsiTheme="minorHAnsi" w:cstheme="minorHAnsi"/>
          <w:i/>
          <w:iCs/>
        </w:rPr>
        <w:t>a</w:t>
      </w:r>
      <w:r w:rsidRPr="00492D60">
        <w:rPr>
          <w:rFonts w:asciiTheme="minorHAnsi" w:hAnsiTheme="minorHAnsi" w:cstheme="minorHAnsi"/>
          <w:i/>
          <w:iCs/>
        </w:rPr>
        <w:t xml:space="preserve">pplicant </w:t>
      </w:r>
      <w:r w:rsidR="00492D60" w:rsidRPr="00492D60">
        <w:rPr>
          <w:rFonts w:asciiTheme="minorHAnsi" w:hAnsiTheme="minorHAnsi" w:cstheme="minorHAnsi"/>
          <w:i/>
          <w:iCs/>
        </w:rPr>
        <w:t xml:space="preserve">has advised that they </w:t>
      </w:r>
      <w:r w:rsidRPr="00492D60">
        <w:rPr>
          <w:rFonts w:asciiTheme="minorHAnsi" w:hAnsiTheme="minorHAnsi" w:cstheme="minorHAnsi"/>
          <w:i/>
          <w:iCs/>
        </w:rPr>
        <w:t xml:space="preserve">will provide a breakdown of each cost component to justify the proposed fee of $8,000 per dose for </w:t>
      </w:r>
      <w:r w:rsidRPr="00492D60">
        <w:rPr>
          <w:rFonts w:asciiTheme="minorHAnsi" w:hAnsiTheme="minorHAnsi" w:cstheme="minorHAnsi"/>
          <w:i/>
          <w:iCs/>
          <w:vertAlign w:val="superscript"/>
        </w:rPr>
        <w:t>177</w:t>
      </w:r>
      <w:r w:rsidRPr="00492D60">
        <w:rPr>
          <w:rFonts w:asciiTheme="minorHAnsi" w:hAnsiTheme="minorHAnsi" w:cstheme="minorHAnsi"/>
          <w:i/>
          <w:iCs/>
        </w:rPr>
        <w:t>Lu PSMA i&amp;t.</w:t>
      </w:r>
    </w:p>
    <w:p w14:paraId="08CF5E9B" w14:textId="77777777" w:rsidR="00950325" w:rsidRPr="00950325" w:rsidRDefault="00950325" w:rsidP="00B17E87"/>
    <w:p w14:paraId="395E6E46" w14:textId="2A2BCACA" w:rsidR="008F5903" w:rsidRDefault="008F5903" w:rsidP="00612929">
      <w:pPr>
        <w:pStyle w:val="Instructionaltext"/>
      </w:pPr>
      <w:r>
        <w:br w:type="page"/>
      </w:r>
    </w:p>
    <w:p w14:paraId="3E435CD3" w14:textId="198A59AD" w:rsidR="008F5903" w:rsidRDefault="00C267D8" w:rsidP="00C267D8">
      <w:pPr>
        <w:pStyle w:val="Heading2"/>
      </w:pPr>
      <w:r>
        <w:t>Attachment</w:t>
      </w:r>
    </w:p>
    <w:p w14:paraId="555C8DA7" w14:textId="524C4B57" w:rsidR="008F5903" w:rsidRDefault="00C267D8" w:rsidP="00C17E80">
      <w:pPr>
        <w:pStyle w:val="Caption"/>
        <w:spacing w:before="120"/>
      </w:pPr>
      <w:bookmarkStart w:id="11" w:name="_Ref87389017"/>
      <w:r>
        <w:t xml:space="preserve">Table </w:t>
      </w:r>
      <w:r>
        <w:fldChar w:fldCharType="begin"/>
      </w:r>
      <w:r>
        <w:instrText xml:space="preserve"> SEQ Table \* ARABIC </w:instrText>
      </w:r>
      <w:r>
        <w:fldChar w:fldCharType="separate"/>
      </w:r>
      <w:r w:rsidR="00D5641A">
        <w:rPr>
          <w:noProof/>
        </w:rPr>
        <w:t>4</w:t>
      </w:r>
      <w:r>
        <w:fldChar w:fldCharType="end"/>
      </w:r>
      <w:bookmarkEnd w:id="11"/>
      <w:r>
        <w:tab/>
        <w:t>Current MBS items for FDG PET</w:t>
      </w:r>
    </w:p>
    <w:tbl>
      <w:tblPr>
        <w:tblStyle w:val="TableGrid"/>
        <w:tblW w:w="0" w:type="auto"/>
        <w:tblInd w:w="0" w:type="dxa"/>
        <w:tblCellMar>
          <w:left w:w="28" w:type="dxa"/>
          <w:right w:w="28" w:type="dxa"/>
        </w:tblCellMar>
        <w:tblLook w:val="04A0" w:firstRow="1" w:lastRow="0" w:firstColumn="1" w:lastColumn="0" w:noHBand="0" w:noVBand="1"/>
      </w:tblPr>
      <w:tblGrid>
        <w:gridCol w:w="988"/>
        <w:gridCol w:w="6945"/>
        <w:gridCol w:w="1638"/>
      </w:tblGrid>
      <w:tr w:rsidR="008F5903" w:rsidRPr="00681CA6" w14:paraId="21D1616F" w14:textId="77777777" w:rsidTr="008F5903">
        <w:trPr>
          <w:tblHeader/>
        </w:trPr>
        <w:tc>
          <w:tcPr>
            <w:tcW w:w="988" w:type="dxa"/>
            <w:vAlign w:val="center"/>
          </w:tcPr>
          <w:p w14:paraId="38A129DB" w14:textId="77777777" w:rsidR="008F5903" w:rsidRPr="00681CA6" w:rsidRDefault="008F5903" w:rsidP="008F5903">
            <w:pPr>
              <w:spacing w:before="40" w:after="40" w:line="240" w:lineRule="auto"/>
              <w:rPr>
                <w:rFonts w:ascii="Arial Narrow" w:hAnsi="Arial Narrow"/>
                <w:b/>
                <w:bCs/>
                <w:sz w:val="20"/>
                <w:szCs w:val="18"/>
              </w:rPr>
            </w:pPr>
            <w:r w:rsidRPr="00681CA6">
              <w:rPr>
                <w:rFonts w:ascii="Arial Narrow" w:hAnsi="Arial Narrow"/>
                <w:b/>
                <w:bCs/>
                <w:sz w:val="20"/>
                <w:szCs w:val="18"/>
              </w:rPr>
              <w:t xml:space="preserve">MBS item </w:t>
            </w:r>
          </w:p>
        </w:tc>
        <w:tc>
          <w:tcPr>
            <w:tcW w:w="6945" w:type="dxa"/>
            <w:vAlign w:val="center"/>
          </w:tcPr>
          <w:p w14:paraId="19CF7A26" w14:textId="77777777" w:rsidR="008F5903" w:rsidRPr="00681CA6" w:rsidRDefault="008F5903" w:rsidP="008F5903">
            <w:pPr>
              <w:spacing w:before="40" w:after="40" w:line="240" w:lineRule="auto"/>
              <w:jc w:val="center"/>
              <w:rPr>
                <w:rFonts w:ascii="Arial Narrow" w:hAnsi="Arial Narrow"/>
                <w:b/>
                <w:bCs/>
                <w:sz w:val="20"/>
                <w:szCs w:val="18"/>
              </w:rPr>
            </w:pPr>
            <w:r w:rsidRPr="00681CA6">
              <w:rPr>
                <w:rFonts w:ascii="Arial Narrow" w:hAnsi="Arial Narrow"/>
                <w:b/>
                <w:bCs/>
                <w:sz w:val="20"/>
                <w:szCs w:val="18"/>
              </w:rPr>
              <w:t>Indication</w:t>
            </w:r>
          </w:p>
        </w:tc>
        <w:tc>
          <w:tcPr>
            <w:tcW w:w="1638" w:type="dxa"/>
            <w:vAlign w:val="center"/>
          </w:tcPr>
          <w:p w14:paraId="478DB123" w14:textId="77777777" w:rsidR="008F5903" w:rsidRPr="00681CA6" w:rsidRDefault="008F5903" w:rsidP="008F5903">
            <w:pPr>
              <w:spacing w:before="40" w:after="40" w:line="240" w:lineRule="auto"/>
              <w:jc w:val="center"/>
              <w:rPr>
                <w:rFonts w:ascii="Arial Narrow" w:hAnsi="Arial Narrow"/>
                <w:b/>
                <w:bCs/>
                <w:sz w:val="20"/>
                <w:szCs w:val="18"/>
              </w:rPr>
            </w:pPr>
            <w:r w:rsidRPr="00681CA6">
              <w:rPr>
                <w:rFonts w:ascii="Arial Narrow" w:hAnsi="Arial Narrow"/>
                <w:b/>
                <w:bCs/>
                <w:sz w:val="20"/>
                <w:szCs w:val="18"/>
              </w:rPr>
              <w:t>Fee</w:t>
            </w:r>
          </w:p>
        </w:tc>
      </w:tr>
      <w:tr w:rsidR="008F5903" w:rsidRPr="00681CA6" w14:paraId="585BD413" w14:textId="77777777" w:rsidTr="008F5903">
        <w:tc>
          <w:tcPr>
            <w:tcW w:w="988" w:type="dxa"/>
            <w:vAlign w:val="center"/>
          </w:tcPr>
          <w:p w14:paraId="7893B15E" w14:textId="77777777" w:rsidR="008F5903" w:rsidRPr="00681CA6" w:rsidRDefault="008F5903" w:rsidP="008F5903">
            <w:pPr>
              <w:spacing w:before="40" w:after="40" w:line="240" w:lineRule="auto"/>
              <w:rPr>
                <w:rFonts w:ascii="Arial Narrow" w:hAnsi="Arial Narrow"/>
                <w:sz w:val="20"/>
                <w:szCs w:val="18"/>
              </w:rPr>
            </w:pPr>
            <w:r>
              <w:rPr>
                <w:rFonts w:ascii="Arial Narrow" w:hAnsi="Arial Narrow"/>
                <w:sz w:val="20"/>
                <w:szCs w:val="18"/>
              </w:rPr>
              <w:t>61523</w:t>
            </w:r>
          </w:p>
        </w:tc>
        <w:tc>
          <w:tcPr>
            <w:tcW w:w="6945" w:type="dxa"/>
          </w:tcPr>
          <w:p w14:paraId="55085F61" w14:textId="345C936B" w:rsidR="008F5903" w:rsidRPr="00681CA6" w:rsidRDefault="008F5903" w:rsidP="008F5903">
            <w:pPr>
              <w:spacing w:before="40" w:after="40" w:line="240" w:lineRule="auto"/>
              <w:rPr>
                <w:rFonts w:ascii="Arial Narrow" w:hAnsi="Arial Narrow"/>
                <w:sz w:val="20"/>
                <w:szCs w:val="18"/>
              </w:rPr>
            </w:pPr>
            <w:r>
              <w:rPr>
                <w:rFonts w:ascii="Arial Narrow" w:hAnsi="Arial Narrow"/>
                <w:sz w:val="20"/>
                <w:szCs w:val="18"/>
              </w:rPr>
              <w:t xml:space="preserve">Whole body: </w:t>
            </w:r>
            <w:r w:rsidR="00C267D8">
              <w:rPr>
                <w:rFonts w:ascii="Arial Narrow" w:hAnsi="Arial Narrow"/>
                <w:sz w:val="20"/>
                <w:szCs w:val="18"/>
              </w:rPr>
              <w:t>e</w:t>
            </w:r>
            <w:r w:rsidRPr="00681CA6">
              <w:rPr>
                <w:rFonts w:ascii="Arial Narrow" w:hAnsi="Arial Narrow"/>
                <w:sz w:val="20"/>
                <w:szCs w:val="18"/>
              </w:rPr>
              <w:t>valuation of a solitary pulmonary nodule where the lesion is considered unsuitable for transthoracic fine needle aspiration biopsy, or for which an attempt at pathological characterisation has failed</w:t>
            </w:r>
          </w:p>
        </w:tc>
        <w:tc>
          <w:tcPr>
            <w:tcW w:w="1638" w:type="dxa"/>
            <w:vAlign w:val="center"/>
          </w:tcPr>
          <w:p w14:paraId="3D3FEC5F" w14:textId="77777777" w:rsidR="008F5903" w:rsidRPr="00681CA6" w:rsidRDefault="008F5903" w:rsidP="008F5903">
            <w:pPr>
              <w:spacing w:before="40" w:after="40" w:line="240" w:lineRule="auto"/>
              <w:jc w:val="center"/>
              <w:rPr>
                <w:rFonts w:ascii="Arial Narrow" w:hAnsi="Arial Narrow"/>
                <w:sz w:val="20"/>
                <w:szCs w:val="18"/>
              </w:rPr>
            </w:pPr>
            <w:r>
              <w:rPr>
                <w:rFonts w:ascii="Arial Narrow" w:hAnsi="Arial Narrow"/>
                <w:sz w:val="20"/>
                <w:szCs w:val="18"/>
              </w:rPr>
              <w:t>$953.00</w:t>
            </w:r>
          </w:p>
        </w:tc>
      </w:tr>
      <w:tr w:rsidR="008F5903" w:rsidRPr="00681CA6" w14:paraId="35A099AA" w14:textId="77777777" w:rsidTr="008F5903">
        <w:tc>
          <w:tcPr>
            <w:tcW w:w="988" w:type="dxa"/>
            <w:vAlign w:val="center"/>
          </w:tcPr>
          <w:p w14:paraId="55E3B564" w14:textId="77777777" w:rsidR="008F5903" w:rsidRPr="00681CA6" w:rsidRDefault="008F5903" w:rsidP="008F5903">
            <w:pPr>
              <w:spacing w:before="40" w:after="40" w:line="240" w:lineRule="auto"/>
              <w:rPr>
                <w:rFonts w:ascii="Arial Narrow" w:hAnsi="Arial Narrow"/>
                <w:sz w:val="20"/>
                <w:szCs w:val="18"/>
              </w:rPr>
            </w:pPr>
            <w:r>
              <w:rPr>
                <w:rFonts w:ascii="Arial Narrow" w:hAnsi="Arial Narrow"/>
                <w:sz w:val="20"/>
                <w:szCs w:val="18"/>
              </w:rPr>
              <w:t>61524</w:t>
            </w:r>
          </w:p>
        </w:tc>
        <w:tc>
          <w:tcPr>
            <w:tcW w:w="6945" w:type="dxa"/>
          </w:tcPr>
          <w:p w14:paraId="1BB2AB07" w14:textId="600F80CC" w:rsidR="008F5903" w:rsidRPr="00681CA6" w:rsidRDefault="008F5903" w:rsidP="008F5903">
            <w:pPr>
              <w:spacing w:before="40" w:after="40" w:line="240" w:lineRule="auto"/>
              <w:rPr>
                <w:rFonts w:ascii="Arial Narrow" w:hAnsi="Arial Narrow"/>
                <w:sz w:val="20"/>
                <w:szCs w:val="18"/>
              </w:rPr>
            </w:pPr>
            <w:r>
              <w:rPr>
                <w:rFonts w:ascii="Arial Narrow" w:hAnsi="Arial Narrow"/>
                <w:sz w:val="20"/>
                <w:szCs w:val="18"/>
              </w:rPr>
              <w:t xml:space="preserve">Whole body: </w:t>
            </w:r>
            <w:r w:rsidR="00C267D8">
              <w:rPr>
                <w:rFonts w:ascii="Arial Narrow" w:hAnsi="Arial Narrow"/>
                <w:sz w:val="20"/>
                <w:szCs w:val="18"/>
              </w:rPr>
              <w:t>s</w:t>
            </w:r>
            <w:r w:rsidRPr="00681CA6">
              <w:rPr>
                <w:rFonts w:ascii="Arial Narrow" w:hAnsi="Arial Narrow"/>
                <w:sz w:val="20"/>
                <w:szCs w:val="18"/>
              </w:rPr>
              <w:t>taging of locally advanced (Stage III) breast cancer, for a patient who is considered suitable for active therapy</w:t>
            </w:r>
          </w:p>
        </w:tc>
        <w:tc>
          <w:tcPr>
            <w:tcW w:w="1638" w:type="dxa"/>
            <w:vAlign w:val="center"/>
          </w:tcPr>
          <w:p w14:paraId="3057DC06" w14:textId="77777777" w:rsidR="008F5903" w:rsidRPr="00681CA6" w:rsidRDefault="008F5903" w:rsidP="008F5903">
            <w:pPr>
              <w:spacing w:before="40" w:after="40" w:line="240" w:lineRule="auto"/>
              <w:jc w:val="center"/>
              <w:rPr>
                <w:rFonts w:ascii="Arial Narrow" w:hAnsi="Arial Narrow"/>
                <w:sz w:val="20"/>
                <w:szCs w:val="18"/>
              </w:rPr>
            </w:pPr>
            <w:r>
              <w:rPr>
                <w:rFonts w:ascii="Arial Narrow" w:hAnsi="Arial Narrow"/>
                <w:sz w:val="20"/>
                <w:szCs w:val="18"/>
              </w:rPr>
              <w:t>$953.00</w:t>
            </w:r>
          </w:p>
        </w:tc>
      </w:tr>
      <w:tr w:rsidR="008F5903" w:rsidRPr="00681CA6" w14:paraId="30E8A474" w14:textId="77777777" w:rsidTr="008F5903">
        <w:tc>
          <w:tcPr>
            <w:tcW w:w="988" w:type="dxa"/>
            <w:vAlign w:val="center"/>
          </w:tcPr>
          <w:p w14:paraId="6D33CD2C" w14:textId="77777777" w:rsidR="008F5903" w:rsidRPr="00681CA6" w:rsidRDefault="008F5903" w:rsidP="008F5903">
            <w:pPr>
              <w:spacing w:before="40" w:after="40" w:line="240" w:lineRule="auto"/>
              <w:rPr>
                <w:rFonts w:ascii="Arial Narrow" w:hAnsi="Arial Narrow"/>
                <w:sz w:val="20"/>
                <w:szCs w:val="18"/>
              </w:rPr>
            </w:pPr>
            <w:r>
              <w:rPr>
                <w:rFonts w:ascii="Arial Narrow" w:hAnsi="Arial Narrow"/>
                <w:sz w:val="20"/>
                <w:szCs w:val="18"/>
              </w:rPr>
              <w:t>61525</w:t>
            </w:r>
          </w:p>
        </w:tc>
        <w:tc>
          <w:tcPr>
            <w:tcW w:w="6945" w:type="dxa"/>
          </w:tcPr>
          <w:p w14:paraId="7752F696" w14:textId="4B5925DE" w:rsidR="008F5903" w:rsidRPr="00681CA6" w:rsidRDefault="008F5903" w:rsidP="008F5903">
            <w:pPr>
              <w:spacing w:before="40" w:after="40" w:line="240" w:lineRule="auto"/>
              <w:rPr>
                <w:rFonts w:ascii="Arial Narrow" w:hAnsi="Arial Narrow"/>
                <w:sz w:val="20"/>
                <w:szCs w:val="18"/>
              </w:rPr>
            </w:pPr>
            <w:r>
              <w:rPr>
                <w:rFonts w:ascii="Arial Narrow" w:hAnsi="Arial Narrow"/>
                <w:sz w:val="20"/>
                <w:szCs w:val="18"/>
              </w:rPr>
              <w:t xml:space="preserve">Whole body: </w:t>
            </w:r>
            <w:r w:rsidR="00C267D8">
              <w:rPr>
                <w:rFonts w:ascii="Arial Narrow" w:hAnsi="Arial Narrow"/>
                <w:sz w:val="20"/>
                <w:szCs w:val="18"/>
              </w:rPr>
              <w:t>e</w:t>
            </w:r>
            <w:r w:rsidRPr="00681CA6">
              <w:rPr>
                <w:rFonts w:ascii="Arial Narrow" w:hAnsi="Arial Narrow"/>
                <w:sz w:val="20"/>
                <w:szCs w:val="18"/>
              </w:rPr>
              <w:t>valuation of suspected metastatic or suspected locally or regionally recurrent breast carcinoma, for a patient who is considered suitable for active therapy</w:t>
            </w:r>
          </w:p>
        </w:tc>
        <w:tc>
          <w:tcPr>
            <w:tcW w:w="1638" w:type="dxa"/>
            <w:vAlign w:val="center"/>
          </w:tcPr>
          <w:p w14:paraId="44CABE05" w14:textId="77777777" w:rsidR="008F5903" w:rsidRPr="00681CA6" w:rsidRDefault="008F5903" w:rsidP="008F5903">
            <w:pPr>
              <w:spacing w:before="40" w:after="40" w:line="240" w:lineRule="auto"/>
              <w:jc w:val="center"/>
              <w:rPr>
                <w:rFonts w:ascii="Arial Narrow" w:hAnsi="Arial Narrow"/>
                <w:sz w:val="20"/>
                <w:szCs w:val="18"/>
              </w:rPr>
            </w:pPr>
            <w:r>
              <w:rPr>
                <w:rFonts w:ascii="Arial Narrow" w:hAnsi="Arial Narrow"/>
                <w:sz w:val="20"/>
                <w:szCs w:val="18"/>
              </w:rPr>
              <w:t>$953.00</w:t>
            </w:r>
          </w:p>
        </w:tc>
      </w:tr>
      <w:tr w:rsidR="008F5903" w:rsidRPr="00681CA6" w14:paraId="57B11678" w14:textId="77777777" w:rsidTr="008F5903">
        <w:tc>
          <w:tcPr>
            <w:tcW w:w="988" w:type="dxa"/>
            <w:vAlign w:val="center"/>
          </w:tcPr>
          <w:p w14:paraId="67F9B96D" w14:textId="77777777" w:rsidR="008F5903" w:rsidRPr="00681CA6" w:rsidRDefault="008F5903" w:rsidP="008F5903">
            <w:pPr>
              <w:spacing w:before="40" w:after="40" w:line="240" w:lineRule="auto"/>
              <w:rPr>
                <w:rFonts w:ascii="Arial Narrow" w:hAnsi="Arial Narrow"/>
                <w:sz w:val="20"/>
                <w:szCs w:val="18"/>
              </w:rPr>
            </w:pPr>
            <w:r>
              <w:rPr>
                <w:rFonts w:ascii="Arial Narrow" w:hAnsi="Arial Narrow"/>
                <w:sz w:val="20"/>
                <w:szCs w:val="18"/>
              </w:rPr>
              <w:t>61529</w:t>
            </w:r>
          </w:p>
        </w:tc>
        <w:tc>
          <w:tcPr>
            <w:tcW w:w="6945" w:type="dxa"/>
          </w:tcPr>
          <w:p w14:paraId="724B68C8" w14:textId="6A63C065" w:rsidR="008F5903" w:rsidRPr="00681CA6" w:rsidRDefault="008F5903" w:rsidP="008F5903">
            <w:pPr>
              <w:spacing w:before="40" w:after="40" w:line="240" w:lineRule="auto"/>
              <w:rPr>
                <w:rFonts w:ascii="Arial Narrow" w:hAnsi="Arial Narrow"/>
                <w:sz w:val="20"/>
                <w:szCs w:val="18"/>
              </w:rPr>
            </w:pPr>
            <w:r>
              <w:rPr>
                <w:rFonts w:ascii="Arial Narrow" w:hAnsi="Arial Narrow"/>
                <w:sz w:val="20"/>
                <w:szCs w:val="18"/>
              </w:rPr>
              <w:t xml:space="preserve">Whole body: </w:t>
            </w:r>
            <w:r w:rsidR="00C267D8">
              <w:rPr>
                <w:rFonts w:ascii="Arial Narrow" w:hAnsi="Arial Narrow"/>
                <w:sz w:val="20"/>
                <w:szCs w:val="18"/>
              </w:rPr>
              <w:t>s</w:t>
            </w:r>
            <w:r w:rsidRPr="00681CA6">
              <w:rPr>
                <w:rFonts w:ascii="Arial Narrow" w:hAnsi="Arial Narrow"/>
                <w:sz w:val="20"/>
                <w:szCs w:val="18"/>
              </w:rPr>
              <w:t>taging of proven non-small cell lung cancer, where curative surgery or radiotherapy is planned</w:t>
            </w:r>
          </w:p>
        </w:tc>
        <w:tc>
          <w:tcPr>
            <w:tcW w:w="1638" w:type="dxa"/>
            <w:vAlign w:val="center"/>
          </w:tcPr>
          <w:p w14:paraId="51FFA6DC" w14:textId="77777777" w:rsidR="008F5903" w:rsidRPr="00681CA6" w:rsidRDefault="008F5903" w:rsidP="008F5903">
            <w:pPr>
              <w:spacing w:before="40" w:after="40" w:line="240" w:lineRule="auto"/>
              <w:jc w:val="center"/>
              <w:rPr>
                <w:rFonts w:ascii="Arial Narrow" w:hAnsi="Arial Narrow"/>
                <w:sz w:val="20"/>
                <w:szCs w:val="18"/>
              </w:rPr>
            </w:pPr>
            <w:r>
              <w:rPr>
                <w:rFonts w:ascii="Arial Narrow" w:hAnsi="Arial Narrow"/>
                <w:sz w:val="20"/>
                <w:szCs w:val="18"/>
              </w:rPr>
              <w:t>$953.00</w:t>
            </w:r>
          </w:p>
        </w:tc>
      </w:tr>
      <w:tr w:rsidR="008F5903" w:rsidRPr="00681CA6" w14:paraId="67AE6024" w14:textId="77777777" w:rsidTr="008F5903">
        <w:tc>
          <w:tcPr>
            <w:tcW w:w="988" w:type="dxa"/>
            <w:vAlign w:val="center"/>
          </w:tcPr>
          <w:p w14:paraId="3FB7DD8C" w14:textId="77777777" w:rsidR="008F5903" w:rsidRPr="00681CA6" w:rsidRDefault="008F5903" w:rsidP="008F5903">
            <w:pPr>
              <w:spacing w:before="40" w:after="40" w:line="240" w:lineRule="auto"/>
              <w:rPr>
                <w:rFonts w:ascii="Arial Narrow" w:hAnsi="Arial Narrow"/>
                <w:sz w:val="20"/>
                <w:szCs w:val="18"/>
              </w:rPr>
            </w:pPr>
            <w:r>
              <w:rPr>
                <w:rFonts w:ascii="Arial Narrow" w:hAnsi="Arial Narrow"/>
                <w:sz w:val="20"/>
                <w:szCs w:val="18"/>
              </w:rPr>
              <w:t>61538</w:t>
            </w:r>
          </w:p>
        </w:tc>
        <w:tc>
          <w:tcPr>
            <w:tcW w:w="6945" w:type="dxa"/>
          </w:tcPr>
          <w:p w14:paraId="0BBB298A" w14:textId="77777777" w:rsidR="008F5903" w:rsidRPr="00681CA6" w:rsidRDefault="008F5903" w:rsidP="008F5903">
            <w:pPr>
              <w:spacing w:before="40" w:after="40" w:line="240" w:lineRule="auto"/>
              <w:rPr>
                <w:rFonts w:ascii="Arial Narrow" w:hAnsi="Arial Narrow"/>
                <w:sz w:val="20"/>
                <w:szCs w:val="18"/>
              </w:rPr>
            </w:pPr>
            <w:r>
              <w:rPr>
                <w:rFonts w:ascii="Arial Narrow" w:hAnsi="Arial Narrow"/>
                <w:sz w:val="20"/>
                <w:szCs w:val="18"/>
              </w:rPr>
              <w:t>Brain: E</w:t>
            </w:r>
            <w:r w:rsidRPr="00681CA6">
              <w:rPr>
                <w:rFonts w:ascii="Arial Narrow" w:hAnsi="Arial Narrow"/>
                <w:sz w:val="20"/>
                <w:szCs w:val="18"/>
              </w:rPr>
              <w:t>valuation of suspected residual or recurrent malignant brain tumour based on anatomical imaging findings, after definitive therapy (or during ongoing chemotherapy) in patients who are considered suitable for further active therapy</w:t>
            </w:r>
          </w:p>
        </w:tc>
        <w:tc>
          <w:tcPr>
            <w:tcW w:w="1638" w:type="dxa"/>
            <w:vAlign w:val="center"/>
          </w:tcPr>
          <w:p w14:paraId="26355945" w14:textId="77777777" w:rsidR="008F5903" w:rsidRPr="00681CA6" w:rsidRDefault="008F5903" w:rsidP="008F5903">
            <w:pPr>
              <w:spacing w:before="40" w:after="40" w:line="240" w:lineRule="auto"/>
              <w:jc w:val="center"/>
              <w:rPr>
                <w:rFonts w:ascii="Arial Narrow" w:hAnsi="Arial Narrow"/>
                <w:sz w:val="20"/>
                <w:szCs w:val="18"/>
              </w:rPr>
            </w:pPr>
            <w:r>
              <w:rPr>
                <w:rFonts w:ascii="Arial Narrow" w:hAnsi="Arial Narrow"/>
                <w:sz w:val="20"/>
                <w:szCs w:val="18"/>
              </w:rPr>
              <w:t>$901.00</w:t>
            </w:r>
          </w:p>
        </w:tc>
      </w:tr>
      <w:tr w:rsidR="008F5903" w:rsidRPr="00681CA6" w14:paraId="6207F721" w14:textId="77777777" w:rsidTr="008F5903">
        <w:tc>
          <w:tcPr>
            <w:tcW w:w="988" w:type="dxa"/>
            <w:vAlign w:val="center"/>
          </w:tcPr>
          <w:p w14:paraId="27AB2823" w14:textId="77777777" w:rsidR="008F5903" w:rsidRPr="00681CA6" w:rsidRDefault="008F5903" w:rsidP="008F5903">
            <w:pPr>
              <w:spacing w:before="40" w:after="40" w:line="240" w:lineRule="auto"/>
              <w:rPr>
                <w:rFonts w:ascii="Arial Narrow" w:hAnsi="Arial Narrow"/>
                <w:sz w:val="20"/>
                <w:szCs w:val="18"/>
              </w:rPr>
            </w:pPr>
            <w:r>
              <w:rPr>
                <w:rFonts w:ascii="Arial Narrow" w:hAnsi="Arial Narrow"/>
                <w:sz w:val="20"/>
                <w:szCs w:val="18"/>
              </w:rPr>
              <w:t>61541</w:t>
            </w:r>
          </w:p>
        </w:tc>
        <w:tc>
          <w:tcPr>
            <w:tcW w:w="6945" w:type="dxa"/>
          </w:tcPr>
          <w:p w14:paraId="6C2F7F22" w14:textId="0C9F72B9" w:rsidR="008F5903" w:rsidRPr="00681CA6" w:rsidRDefault="008F5903" w:rsidP="008F5903">
            <w:pPr>
              <w:spacing w:before="40" w:after="40" w:line="240" w:lineRule="auto"/>
              <w:rPr>
                <w:rFonts w:ascii="Arial Narrow" w:hAnsi="Arial Narrow"/>
                <w:sz w:val="20"/>
                <w:szCs w:val="18"/>
              </w:rPr>
            </w:pPr>
            <w:r>
              <w:rPr>
                <w:rFonts w:ascii="Arial Narrow" w:hAnsi="Arial Narrow"/>
                <w:sz w:val="20"/>
                <w:szCs w:val="18"/>
              </w:rPr>
              <w:t xml:space="preserve">Whole body: </w:t>
            </w:r>
            <w:r w:rsidR="00C267D8">
              <w:rPr>
                <w:rFonts w:ascii="Arial Narrow" w:hAnsi="Arial Narrow"/>
                <w:sz w:val="20"/>
                <w:szCs w:val="18"/>
              </w:rPr>
              <w:t>f</w:t>
            </w:r>
            <w:r w:rsidRPr="00681CA6">
              <w:rPr>
                <w:rFonts w:ascii="Arial Narrow" w:hAnsi="Arial Narrow"/>
                <w:sz w:val="20"/>
                <w:szCs w:val="18"/>
              </w:rPr>
              <w:t>ollowing initial therapy, for the evaluation of suspected residual, metastatic or recurrent colorectal carcinoma in patients considered suitable for active therapy</w:t>
            </w:r>
          </w:p>
        </w:tc>
        <w:tc>
          <w:tcPr>
            <w:tcW w:w="1638" w:type="dxa"/>
            <w:vAlign w:val="center"/>
          </w:tcPr>
          <w:p w14:paraId="752D32EF" w14:textId="77777777" w:rsidR="008F5903" w:rsidRPr="00681CA6" w:rsidRDefault="008F5903" w:rsidP="008F5903">
            <w:pPr>
              <w:spacing w:before="40" w:after="40" w:line="240" w:lineRule="auto"/>
              <w:jc w:val="center"/>
              <w:rPr>
                <w:rFonts w:ascii="Arial Narrow" w:hAnsi="Arial Narrow"/>
                <w:sz w:val="20"/>
                <w:szCs w:val="18"/>
              </w:rPr>
            </w:pPr>
            <w:r>
              <w:rPr>
                <w:rFonts w:ascii="Arial Narrow" w:hAnsi="Arial Narrow"/>
                <w:sz w:val="20"/>
                <w:szCs w:val="18"/>
              </w:rPr>
              <w:t>$953.00</w:t>
            </w:r>
          </w:p>
        </w:tc>
      </w:tr>
      <w:tr w:rsidR="008F5903" w:rsidRPr="00681CA6" w14:paraId="15D8A16E" w14:textId="77777777" w:rsidTr="008F5903">
        <w:tc>
          <w:tcPr>
            <w:tcW w:w="988" w:type="dxa"/>
            <w:vAlign w:val="center"/>
          </w:tcPr>
          <w:p w14:paraId="66A09403" w14:textId="77777777" w:rsidR="008F5903" w:rsidRPr="00681CA6" w:rsidRDefault="008F5903" w:rsidP="008F5903">
            <w:pPr>
              <w:spacing w:before="40" w:after="40" w:line="240" w:lineRule="auto"/>
              <w:rPr>
                <w:rFonts w:ascii="Arial Narrow" w:hAnsi="Arial Narrow"/>
                <w:sz w:val="20"/>
                <w:szCs w:val="18"/>
              </w:rPr>
            </w:pPr>
            <w:r>
              <w:rPr>
                <w:rFonts w:ascii="Arial Narrow" w:hAnsi="Arial Narrow"/>
                <w:sz w:val="20"/>
                <w:szCs w:val="18"/>
              </w:rPr>
              <w:t>61553</w:t>
            </w:r>
          </w:p>
        </w:tc>
        <w:tc>
          <w:tcPr>
            <w:tcW w:w="6945" w:type="dxa"/>
          </w:tcPr>
          <w:p w14:paraId="395B2DED" w14:textId="77777777" w:rsidR="008F5903" w:rsidRPr="00681CA6" w:rsidRDefault="008F5903" w:rsidP="008F5903">
            <w:pPr>
              <w:spacing w:before="40" w:after="40" w:line="240" w:lineRule="auto"/>
              <w:rPr>
                <w:rFonts w:ascii="Arial Narrow" w:hAnsi="Arial Narrow"/>
                <w:sz w:val="20"/>
                <w:szCs w:val="18"/>
              </w:rPr>
            </w:pPr>
            <w:r>
              <w:rPr>
                <w:rFonts w:ascii="Arial Narrow" w:hAnsi="Arial Narrow"/>
                <w:sz w:val="20"/>
                <w:szCs w:val="18"/>
              </w:rPr>
              <w:t xml:space="preserve">Whole body: </w:t>
            </w:r>
            <w:r w:rsidRPr="008F5903">
              <w:rPr>
                <w:rFonts w:ascii="Arial Narrow" w:hAnsi="Arial Narrow"/>
                <w:sz w:val="20"/>
                <w:szCs w:val="18"/>
              </w:rPr>
              <w:t>following initial therapy, performed for the evaluation of suspected metastatic or recurrent malignant melanoma in patients considered suitable for active therapy</w:t>
            </w:r>
          </w:p>
        </w:tc>
        <w:tc>
          <w:tcPr>
            <w:tcW w:w="1638" w:type="dxa"/>
            <w:vAlign w:val="center"/>
          </w:tcPr>
          <w:p w14:paraId="79FDBA15" w14:textId="77777777" w:rsidR="008F5903" w:rsidRPr="00681CA6" w:rsidRDefault="008F5903" w:rsidP="008F5903">
            <w:pPr>
              <w:spacing w:before="40" w:after="40" w:line="240" w:lineRule="auto"/>
              <w:jc w:val="center"/>
              <w:rPr>
                <w:rFonts w:ascii="Arial Narrow" w:hAnsi="Arial Narrow"/>
                <w:sz w:val="20"/>
                <w:szCs w:val="18"/>
              </w:rPr>
            </w:pPr>
            <w:r>
              <w:rPr>
                <w:rFonts w:ascii="Arial Narrow" w:hAnsi="Arial Narrow"/>
                <w:sz w:val="20"/>
                <w:szCs w:val="18"/>
              </w:rPr>
              <w:t>$999.00</w:t>
            </w:r>
          </w:p>
        </w:tc>
      </w:tr>
      <w:tr w:rsidR="008F5903" w:rsidRPr="00681CA6" w14:paraId="477D8B44" w14:textId="77777777" w:rsidTr="008F5903">
        <w:tc>
          <w:tcPr>
            <w:tcW w:w="988" w:type="dxa"/>
            <w:vAlign w:val="center"/>
          </w:tcPr>
          <w:p w14:paraId="32B5BEB8" w14:textId="77777777" w:rsidR="008F5903" w:rsidRDefault="008F5903" w:rsidP="008F5903">
            <w:pPr>
              <w:spacing w:before="40" w:after="40" w:line="240" w:lineRule="auto"/>
              <w:rPr>
                <w:rFonts w:ascii="Arial Narrow" w:hAnsi="Arial Narrow"/>
                <w:sz w:val="20"/>
                <w:szCs w:val="18"/>
              </w:rPr>
            </w:pPr>
            <w:r>
              <w:rPr>
                <w:rFonts w:ascii="Arial Narrow" w:hAnsi="Arial Narrow"/>
                <w:sz w:val="20"/>
                <w:szCs w:val="18"/>
              </w:rPr>
              <w:t>61559</w:t>
            </w:r>
          </w:p>
        </w:tc>
        <w:tc>
          <w:tcPr>
            <w:tcW w:w="6945" w:type="dxa"/>
          </w:tcPr>
          <w:p w14:paraId="016276CF" w14:textId="77777777" w:rsidR="008F5903" w:rsidRDefault="008F5903" w:rsidP="008F5903">
            <w:pPr>
              <w:spacing w:before="40" w:after="40" w:line="240" w:lineRule="auto"/>
              <w:rPr>
                <w:rFonts w:ascii="Arial Narrow" w:hAnsi="Arial Narrow"/>
                <w:sz w:val="20"/>
                <w:szCs w:val="18"/>
              </w:rPr>
            </w:pPr>
            <w:r>
              <w:rPr>
                <w:rFonts w:ascii="Arial Narrow" w:hAnsi="Arial Narrow"/>
                <w:sz w:val="20"/>
                <w:szCs w:val="18"/>
              </w:rPr>
              <w:t xml:space="preserve">Brain: </w:t>
            </w:r>
            <w:r w:rsidRPr="008F5903">
              <w:rPr>
                <w:rFonts w:ascii="Arial Narrow" w:hAnsi="Arial Narrow"/>
                <w:sz w:val="20"/>
                <w:szCs w:val="18"/>
              </w:rPr>
              <w:t>evaluation of refractory epilepsy which is being evaluated for surgery</w:t>
            </w:r>
          </w:p>
        </w:tc>
        <w:tc>
          <w:tcPr>
            <w:tcW w:w="1638" w:type="dxa"/>
            <w:vAlign w:val="center"/>
          </w:tcPr>
          <w:p w14:paraId="39748E22" w14:textId="77777777" w:rsidR="008F5903" w:rsidRDefault="008F5903" w:rsidP="008F5903">
            <w:pPr>
              <w:spacing w:before="40" w:after="40" w:line="240" w:lineRule="auto"/>
              <w:jc w:val="center"/>
              <w:rPr>
                <w:rFonts w:ascii="Arial Narrow" w:hAnsi="Arial Narrow"/>
                <w:sz w:val="20"/>
                <w:szCs w:val="18"/>
              </w:rPr>
            </w:pPr>
            <w:r>
              <w:rPr>
                <w:rFonts w:ascii="Arial Narrow" w:hAnsi="Arial Narrow"/>
                <w:sz w:val="20"/>
                <w:szCs w:val="18"/>
              </w:rPr>
              <w:t>$918.00</w:t>
            </w:r>
          </w:p>
        </w:tc>
      </w:tr>
      <w:tr w:rsidR="008F5903" w:rsidRPr="00681CA6" w14:paraId="3E9AA2DB" w14:textId="77777777" w:rsidTr="008F5903">
        <w:tc>
          <w:tcPr>
            <w:tcW w:w="988" w:type="dxa"/>
            <w:vAlign w:val="center"/>
          </w:tcPr>
          <w:p w14:paraId="365477A3" w14:textId="77777777" w:rsidR="008F5903" w:rsidRDefault="008F5903" w:rsidP="008F5903">
            <w:pPr>
              <w:spacing w:before="40" w:after="40" w:line="240" w:lineRule="auto"/>
              <w:rPr>
                <w:rFonts w:ascii="Arial Narrow" w:hAnsi="Arial Narrow"/>
                <w:sz w:val="20"/>
                <w:szCs w:val="18"/>
              </w:rPr>
            </w:pPr>
            <w:r>
              <w:rPr>
                <w:rFonts w:ascii="Arial Narrow" w:hAnsi="Arial Narrow"/>
                <w:sz w:val="20"/>
                <w:szCs w:val="18"/>
              </w:rPr>
              <w:t>61560</w:t>
            </w:r>
          </w:p>
        </w:tc>
        <w:tc>
          <w:tcPr>
            <w:tcW w:w="6945" w:type="dxa"/>
          </w:tcPr>
          <w:p w14:paraId="617E6A13" w14:textId="77777777" w:rsidR="008F5903" w:rsidRDefault="008F5903" w:rsidP="008F5903">
            <w:pPr>
              <w:spacing w:before="40" w:after="40" w:line="240" w:lineRule="auto"/>
              <w:rPr>
                <w:rFonts w:ascii="Arial Narrow" w:hAnsi="Arial Narrow"/>
                <w:sz w:val="20"/>
                <w:szCs w:val="18"/>
              </w:rPr>
            </w:pPr>
            <w:r>
              <w:rPr>
                <w:rFonts w:ascii="Arial Narrow" w:hAnsi="Arial Narrow"/>
                <w:sz w:val="20"/>
                <w:szCs w:val="18"/>
              </w:rPr>
              <w:t xml:space="preserve">Brain: </w:t>
            </w:r>
            <w:r w:rsidRPr="008F5903">
              <w:rPr>
                <w:rFonts w:ascii="Arial Narrow" w:hAnsi="Arial Narrow"/>
                <w:sz w:val="20"/>
                <w:szCs w:val="18"/>
              </w:rPr>
              <w:t>diagnosis of Alzheimer’s disease</w:t>
            </w:r>
          </w:p>
        </w:tc>
        <w:tc>
          <w:tcPr>
            <w:tcW w:w="1638" w:type="dxa"/>
            <w:vAlign w:val="center"/>
          </w:tcPr>
          <w:p w14:paraId="49B84E24" w14:textId="77777777" w:rsidR="008F5903" w:rsidRDefault="008F5903" w:rsidP="008F5903">
            <w:pPr>
              <w:spacing w:before="40" w:after="40" w:line="240" w:lineRule="auto"/>
              <w:jc w:val="center"/>
              <w:rPr>
                <w:rFonts w:ascii="Arial Narrow" w:hAnsi="Arial Narrow"/>
                <w:sz w:val="20"/>
                <w:szCs w:val="18"/>
              </w:rPr>
            </w:pPr>
            <w:r>
              <w:rPr>
                <w:rFonts w:ascii="Arial Narrow" w:hAnsi="Arial Narrow"/>
                <w:sz w:val="20"/>
                <w:szCs w:val="18"/>
              </w:rPr>
              <w:t>$605.05</w:t>
            </w:r>
          </w:p>
        </w:tc>
      </w:tr>
      <w:tr w:rsidR="008F5903" w:rsidRPr="00681CA6" w14:paraId="5A2EEA56" w14:textId="77777777" w:rsidTr="008F5903">
        <w:tc>
          <w:tcPr>
            <w:tcW w:w="988" w:type="dxa"/>
            <w:vAlign w:val="center"/>
          </w:tcPr>
          <w:p w14:paraId="4D6674FD" w14:textId="77777777" w:rsidR="008F5903" w:rsidRDefault="008F5903" w:rsidP="008F5903">
            <w:pPr>
              <w:spacing w:before="40" w:after="40" w:line="240" w:lineRule="auto"/>
              <w:rPr>
                <w:rFonts w:ascii="Arial Narrow" w:hAnsi="Arial Narrow"/>
                <w:sz w:val="20"/>
                <w:szCs w:val="18"/>
              </w:rPr>
            </w:pPr>
            <w:r>
              <w:rPr>
                <w:rFonts w:ascii="Arial Narrow" w:hAnsi="Arial Narrow"/>
                <w:sz w:val="20"/>
                <w:szCs w:val="18"/>
              </w:rPr>
              <w:t>61565</w:t>
            </w:r>
          </w:p>
        </w:tc>
        <w:tc>
          <w:tcPr>
            <w:tcW w:w="6945" w:type="dxa"/>
          </w:tcPr>
          <w:p w14:paraId="6EA2E80C" w14:textId="77777777" w:rsidR="008F5903" w:rsidRDefault="008F5903" w:rsidP="008F5903">
            <w:pPr>
              <w:spacing w:before="40" w:after="40" w:line="240" w:lineRule="auto"/>
              <w:rPr>
                <w:rFonts w:ascii="Arial Narrow" w:hAnsi="Arial Narrow"/>
                <w:sz w:val="20"/>
                <w:szCs w:val="18"/>
              </w:rPr>
            </w:pPr>
            <w:r>
              <w:rPr>
                <w:rFonts w:ascii="Arial Narrow" w:hAnsi="Arial Narrow"/>
                <w:sz w:val="20"/>
                <w:szCs w:val="18"/>
              </w:rPr>
              <w:t xml:space="preserve">Whole body: </w:t>
            </w:r>
            <w:r w:rsidRPr="008F5903">
              <w:rPr>
                <w:rFonts w:ascii="Arial Narrow" w:hAnsi="Arial Narrow"/>
                <w:sz w:val="20"/>
                <w:szCs w:val="18"/>
              </w:rPr>
              <w:t>following initial therapy, performed for the evaluation of suspected residual, metastatic or recurrent ovarian carcinoma in patients considered suitable for active therapy</w:t>
            </w:r>
          </w:p>
        </w:tc>
        <w:tc>
          <w:tcPr>
            <w:tcW w:w="1638" w:type="dxa"/>
            <w:vAlign w:val="center"/>
          </w:tcPr>
          <w:p w14:paraId="7AAD01E7" w14:textId="77777777" w:rsidR="008F5903" w:rsidRDefault="008F5903" w:rsidP="008F5903">
            <w:pPr>
              <w:spacing w:before="40" w:after="40" w:line="240" w:lineRule="auto"/>
              <w:jc w:val="center"/>
              <w:rPr>
                <w:rFonts w:ascii="Arial Narrow" w:hAnsi="Arial Narrow"/>
                <w:sz w:val="20"/>
                <w:szCs w:val="18"/>
              </w:rPr>
            </w:pPr>
            <w:r>
              <w:rPr>
                <w:rFonts w:ascii="Arial Narrow" w:hAnsi="Arial Narrow"/>
                <w:sz w:val="20"/>
                <w:szCs w:val="18"/>
              </w:rPr>
              <w:t>$953.00</w:t>
            </w:r>
          </w:p>
        </w:tc>
      </w:tr>
      <w:tr w:rsidR="008F5903" w:rsidRPr="00681CA6" w14:paraId="39A8A98E" w14:textId="77777777" w:rsidTr="008F5903">
        <w:tc>
          <w:tcPr>
            <w:tcW w:w="988" w:type="dxa"/>
            <w:vAlign w:val="center"/>
          </w:tcPr>
          <w:p w14:paraId="54E0C2FA" w14:textId="77777777" w:rsidR="008F5903" w:rsidRDefault="008F5903" w:rsidP="008F5903">
            <w:pPr>
              <w:spacing w:before="40" w:after="40" w:line="240" w:lineRule="auto"/>
              <w:rPr>
                <w:rFonts w:ascii="Arial Narrow" w:hAnsi="Arial Narrow"/>
                <w:sz w:val="20"/>
                <w:szCs w:val="18"/>
              </w:rPr>
            </w:pPr>
            <w:r>
              <w:rPr>
                <w:rFonts w:ascii="Arial Narrow" w:hAnsi="Arial Narrow"/>
                <w:sz w:val="20"/>
                <w:szCs w:val="18"/>
              </w:rPr>
              <w:t>61571</w:t>
            </w:r>
          </w:p>
        </w:tc>
        <w:tc>
          <w:tcPr>
            <w:tcW w:w="6945" w:type="dxa"/>
          </w:tcPr>
          <w:p w14:paraId="4DA4D393" w14:textId="77777777" w:rsidR="008F5903" w:rsidRDefault="008F5903" w:rsidP="008F5903">
            <w:pPr>
              <w:spacing w:before="40" w:after="40" w:line="240" w:lineRule="auto"/>
              <w:rPr>
                <w:rFonts w:ascii="Arial Narrow" w:hAnsi="Arial Narrow"/>
                <w:sz w:val="20"/>
                <w:szCs w:val="18"/>
              </w:rPr>
            </w:pPr>
            <w:r>
              <w:rPr>
                <w:rFonts w:ascii="Arial Narrow" w:hAnsi="Arial Narrow"/>
                <w:sz w:val="20"/>
                <w:szCs w:val="18"/>
              </w:rPr>
              <w:t xml:space="preserve">Whole body: </w:t>
            </w:r>
            <w:r w:rsidRPr="008F5903">
              <w:rPr>
                <w:rFonts w:ascii="Arial Narrow" w:hAnsi="Arial Narrow"/>
                <w:sz w:val="20"/>
                <w:szCs w:val="18"/>
              </w:rPr>
              <w:t>further primary staging of patients with histologically proven carcinoma of the uterine cervix, at FIGO stage IB2 or greater by conventional staging, prior to planned radical radiation therapy or combined modality therapy with curative intent</w:t>
            </w:r>
          </w:p>
        </w:tc>
        <w:tc>
          <w:tcPr>
            <w:tcW w:w="1638" w:type="dxa"/>
            <w:vAlign w:val="center"/>
          </w:tcPr>
          <w:p w14:paraId="475597AD" w14:textId="77777777" w:rsidR="008F5903" w:rsidRDefault="008F5903" w:rsidP="008F5903">
            <w:pPr>
              <w:spacing w:before="40" w:after="40" w:line="240" w:lineRule="auto"/>
              <w:jc w:val="center"/>
              <w:rPr>
                <w:rFonts w:ascii="Arial Narrow" w:hAnsi="Arial Narrow"/>
                <w:sz w:val="20"/>
                <w:szCs w:val="18"/>
              </w:rPr>
            </w:pPr>
            <w:r>
              <w:rPr>
                <w:rFonts w:ascii="Arial Narrow" w:hAnsi="Arial Narrow"/>
                <w:sz w:val="20"/>
                <w:szCs w:val="18"/>
              </w:rPr>
              <w:t>$953.00</w:t>
            </w:r>
          </w:p>
        </w:tc>
      </w:tr>
      <w:tr w:rsidR="008F5903" w:rsidRPr="00681CA6" w14:paraId="52067521" w14:textId="77777777" w:rsidTr="008F5903">
        <w:tc>
          <w:tcPr>
            <w:tcW w:w="988" w:type="dxa"/>
            <w:vAlign w:val="center"/>
          </w:tcPr>
          <w:p w14:paraId="167D8108" w14:textId="77777777" w:rsidR="008F5903" w:rsidRDefault="008F5903" w:rsidP="008F5903">
            <w:pPr>
              <w:spacing w:before="40" w:after="40" w:line="240" w:lineRule="auto"/>
              <w:rPr>
                <w:rFonts w:ascii="Arial Narrow" w:hAnsi="Arial Narrow"/>
                <w:sz w:val="20"/>
                <w:szCs w:val="18"/>
              </w:rPr>
            </w:pPr>
            <w:r>
              <w:rPr>
                <w:rFonts w:ascii="Arial Narrow" w:hAnsi="Arial Narrow"/>
                <w:sz w:val="20"/>
                <w:szCs w:val="18"/>
              </w:rPr>
              <w:t>61575</w:t>
            </w:r>
          </w:p>
        </w:tc>
        <w:tc>
          <w:tcPr>
            <w:tcW w:w="6945" w:type="dxa"/>
          </w:tcPr>
          <w:p w14:paraId="67CBDE94" w14:textId="77777777" w:rsidR="008F5903" w:rsidRDefault="008F5903" w:rsidP="008F5903">
            <w:pPr>
              <w:spacing w:before="40" w:after="40" w:line="240" w:lineRule="auto"/>
              <w:rPr>
                <w:rFonts w:ascii="Arial Narrow" w:hAnsi="Arial Narrow"/>
                <w:sz w:val="20"/>
                <w:szCs w:val="18"/>
              </w:rPr>
            </w:pPr>
            <w:r>
              <w:rPr>
                <w:rFonts w:ascii="Arial Narrow" w:hAnsi="Arial Narrow"/>
                <w:sz w:val="20"/>
                <w:szCs w:val="18"/>
              </w:rPr>
              <w:t xml:space="preserve">Whole body: </w:t>
            </w:r>
            <w:r w:rsidRPr="008F5903">
              <w:rPr>
                <w:rFonts w:ascii="Arial Narrow" w:hAnsi="Arial Narrow"/>
                <w:sz w:val="20"/>
                <w:szCs w:val="18"/>
              </w:rPr>
              <w:t>further staging of patients with confirmed local recurrence of carcinoma of the uterine cervix considered suitable for salvage pelvic chemoradiotherapy or pelvic exenteration with curative intent</w:t>
            </w:r>
          </w:p>
        </w:tc>
        <w:tc>
          <w:tcPr>
            <w:tcW w:w="1638" w:type="dxa"/>
            <w:vAlign w:val="center"/>
          </w:tcPr>
          <w:p w14:paraId="1326C955" w14:textId="77777777" w:rsidR="008F5903" w:rsidRDefault="008F5903" w:rsidP="008F5903">
            <w:pPr>
              <w:spacing w:before="40" w:after="40" w:line="240" w:lineRule="auto"/>
              <w:jc w:val="center"/>
              <w:rPr>
                <w:rFonts w:ascii="Arial Narrow" w:hAnsi="Arial Narrow"/>
                <w:sz w:val="20"/>
                <w:szCs w:val="18"/>
              </w:rPr>
            </w:pPr>
            <w:r>
              <w:rPr>
                <w:rFonts w:ascii="Arial Narrow" w:hAnsi="Arial Narrow"/>
                <w:sz w:val="20"/>
                <w:szCs w:val="18"/>
              </w:rPr>
              <w:t>$953.00</w:t>
            </w:r>
          </w:p>
        </w:tc>
      </w:tr>
      <w:tr w:rsidR="008F5903" w:rsidRPr="00681CA6" w14:paraId="7DCF34E1" w14:textId="77777777" w:rsidTr="008F5903">
        <w:tc>
          <w:tcPr>
            <w:tcW w:w="988" w:type="dxa"/>
            <w:vAlign w:val="center"/>
          </w:tcPr>
          <w:p w14:paraId="5CC8561E" w14:textId="77777777" w:rsidR="008F5903" w:rsidRDefault="008F5903" w:rsidP="008F5903">
            <w:pPr>
              <w:spacing w:before="40" w:after="40" w:line="240" w:lineRule="auto"/>
              <w:rPr>
                <w:rFonts w:ascii="Arial Narrow" w:hAnsi="Arial Narrow"/>
                <w:sz w:val="20"/>
                <w:szCs w:val="18"/>
              </w:rPr>
            </w:pPr>
            <w:r>
              <w:rPr>
                <w:rFonts w:ascii="Arial Narrow" w:hAnsi="Arial Narrow"/>
                <w:sz w:val="20"/>
                <w:szCs w:val="18"/>
              </w:rPr>
              <w:t>61577</w:t>
            </w:r>
          </w:p>
        </w:tc>
        <w:tc>
          <w:tcPr>
            <w:tcW w:w="6945" w:type="dxa"/>
          </w:tcPr>
          <w:p w14:paraId="0C9CA2A8" w14:textId="77777777" w:rsidR="008F5903" w:rsidRDefault="008F5903" w:rsidP="008F5903">
            <w:pPr>
              <w:spacing w:before="40" w:after="40" w:line="240" w:lineRule="auto"/>
              <w:rPr>
                <w:rFonts w:ascii="Arial Narrow" w:hAnsi="Arial Narrow"/>
                <w:sz w:val="20"/>
                <w:szCs w:val="18"/>
              </w:rPr>
            </w:pPr>
            <w:r>
              <w:rPr>
                <w:rFonts w:ascii="Arial Narrow" w:hAnsi="Arial Narrow"/>
                <w:sz w:val="20"/>
                <w:szCs w:val="18"/>
              </w:rPr>
              <w:t xml:space="preserve">Whole body: </w:t>
            </w:r>
            <w:r w:rsidRPr="008F5903">
              <w:rPr>
                <w:rFonts w:ascii="Arial Narrow" w:hAnsi="Arial Narrow"/>
                <w:sz w:val="20"/>
                <w:szCs w:val="18"/>
              </w:rPr>
              <w:t>staging of proven oesophageal or GEJ carcinoma, in patients considered suitable for active therapy</w:t>
            </w:r>
          </w:p>
        </w:tc>
        <w:tc>
          <w:tcPr>
            <w:tcW w:w="1638" w:type="dxa"/>
            <w:vAlign w:val="center"/>
          </w:tcPr>
          <w:p w14:paraId="7018ADC4" w14:textId="77777777" w:rsidR="008F5903" w:rsidRDefault="008F5903" w:rsidP="008F5903">
            <w:pPr>
              <w:spacing w:before="40" w:after="40" w:line="240" w:lineRule="auto"/>
              <w:jc w:val="center"/>
              <w:rPr>
                <w:rFonts w:ascii="Arial Narrow" w:hAnsi="Arial Narrow"/>
                <w:sz w:val="20"/>
                <w:szCs w:val="18"/>
              </w:rPr>
            </w:pPr>
            <w:r>
              <w:rPr>
                <w:rFonts w:ascii="Arial Narrow" w:hAnsi="Arial Narrow"/>
                <w:sz w:val="20"/>
                <w:szCs w:val="18"/>
              </w:rPr>
              <w:t>$953.00</w:t>
            </w:r>
          </w:p>
        </w:tc>
      </w:tr>
      <w:tr w:rsidR="008F5903" w:rsidRPr="00681CA6" w14:paraId="6DF2134D" w14:textId="77777777" w:rsidTr="008F5903">
        <w:tc>
          <w:tcPr>
            <w:tcW w:w="988" w:type="dxa"/>
            <w:vAlign w:val="center"/>
          </w:tcPr>
          <w:p w14:paraId="112CA589" w14:textId="77777777" w:rsidR="008F5903" w:rsidRDefault="008F5903" w:rsidP="008F5903">
            <w:pPr>
              <w:spacing w:before="40" w:after="40" w:line="240" w:lineRule="auto"/>
              <w:rPr>
                <w:rFonts w:ascii="Arial Narrow" w:hAnsi="Arial Narrow"/>
                <w:sz w:val="20"/>
                <w:szCs w:val="18"/>
              </w:rPr>
            </w:pPr>
            <w:r>
              <w:rPr>
                <w:rFonts w:ascii="Arial Narrow" w:hAnsi="Arial Narrow"/>
                <w:sz w:val="20"/>
                <w:szCs w:val="18"/>
              </w:rPr>
              <w:t>61598</w:t>
            </w:r>
          </w:p>
        </w:tc>
        <w:tc>
          <w:tcPr>
            <w:tcW w:w="6945" w:type="dxa"/>
          </w:tcPr>
          <w:p w14:paraId="78D72DBE" w14:textId="77777777" w:rsidR="008F5903" w:rsidRDefault="008F5903" w:rsidP="008F5903">
            <w:pPr>
              <w:spacing w:before="40" w:after="40" w:line="240" w:lineRule="auto"/>
              <w:rPr>
                <w:rFonts w:ascii="Arial Narrow" w:hAnsi="Arial Narrow"/>
                <w:sz w:val="20"/>
                <w:szCs w:val="18"/>
              </w:rPr>
            </w:pPr>
            <w:r>
              <w:rPr>
                <w:rFonts w:ascii="Arial Narrow" w:hAnsi="Arial Narrow"/>
                <w:sz w:val="20"/>
                <w:szCs w:val="18"/>
              </w:rPr>
              <w:t xml:space="preserve">Whole body: </w:t>
            </w:r>
            <w:r w:rsidRPr="008F5903">
              <w:rPr>
                <w:rFonts w:ascii="Arial Narrow" w:hAnsi="Arial Narrow"/>
                <w:sz w:val="20"/>
                <w:szCs w:val="18"/>
              </w:rPr>
              <w:t>staging of biopsy-proven newly diagnosed or recurrent head and neck cancer</w:t>
            </w:r>
          </w:p>
        </w:tc>
        <w:tc>
          <w:tcPr>
            <w:tcW w:w="1638" w:type="dxa"/>
            <w:vAlign w:val="center"/>
          </w:tcPr>
          <w:p w14:paraId="7202BBF8" w14:textId="77777777" w:rsidR="008F5903" w:rsidRDefault="008F5903" w:rsidP="008F5903">
            <w:pPr>
              <w:spacing w:before="40" w:after="40" w:line="240" w:lineRule="auto"/>
              <w:jc w:val="center"/>
              <w:rPr>
                <w:rFonts w:ascii="Arial Narrow" w:hAnsi="Arial Narrow"/>
                <w:sz w:val="20"/>
                <w:szCs w:val="18"/>
              </w:rPr>
            </w:pPr>
            <w:r>
              <w:rPr>
                <w:rFonts w:ascii="Arial Narrow" w:hAnsi="Arial Narrow"/>
                <w:sz w:val="20"/>
                <w:szCs w:val="18"/>
              </w:rPr>
              <w:t>$953.00</w:t>
            </w:r>
          </w:p>
        </w:tc>
      </w:tr>
      <w:tr w:rsidR="008F5903" w:rsidRPr="00681CA6" w14:paraId="19FAD631" w14:textId="77777777" w:rsidTr="008F5903">
        <w:tc>
          <w:tcPr>
            <w:tcW w:w="988" w:type="dxa"/>
            <w:vAlign w:val="center"/>
          </w:tcPr>
          <w:p w14:paraId="7ADB54B3" w14:textId="77777777" w:rsidR="008F5903" w:rsidRDefault="008F5903" w:rsidP="008F5903">
            <w:pPr>
              <w:spacing w:before="40" w:after="40" w:line="240" w:lineRule="auto"/>
              <w:rPr>
                <w:rFonts w:ascii="Arial Narrow" w:hAnsi="Arial Narrow"/>
                <w:sz w:val="20"/>
                <w:szCs w:val="18"/>
              </w:rPr>
            </w:pPr>
            <w:r>
              <w:rPr>
                <w:rFonts w:ascii="Arial Narrow" w:hAnsi="Arial Narrow"/>
                <w:sz w:val="20"/>
                <w:szCs w:val="18"/>
              </w:rPr>
              <w:t>61604</w:t>
            </w:r>
          </w:p>
        </w:tc>
        <w:tc>
          <w:tcPr>
            <w:tcW w:w="6945" w:type="dxa"/>
          </w:tcPr>
          <w:p w14:paraId="4B4D4E3D" w14:textId="77777777" w:rsidR="008F5903" w:rsidRDefault="008F5903" w:rsidP="008F5903">
            <w:pPr>
              <w:spacing w:before="40" w:after="40" w:line="240" w:lineRule="auto"/>
              <w:rPr>
                <w:rFonts w:ascii="Arial Narrow" w:hAnsi="Arial Narrow"/>
                <w:sz w:val="20"/>
                <w:szCs w:val="18"/>
              </w:rPr>
            </w:pPr>
            <w:r>
              <w:rPr>
                <w:rFonts w:ascii="Arial Narrow" w:hAnsi="Arial Narrow"/>
                <w:sz w:val="20"/>
                <w:szCs w:val="18"/>
              </w:rPr>
              <w:t xml:space="preserve">Whole body: </w:t>
            </w:r>
            <w:r w:rsidRPr="008F5903">
              <w:rPr>
                <w:rFonts w:ascii="Arial Narrow" w:hAnsi="Arial Narrow"/>
                <w:sz w:val="20"/>
                <w:szCs w:val="18"/>
              </w:rPr>
              <w:t>evaluation of patients with suspected residual head and neck cancer after definitive treatment, and who are suitable for active therapy</w:t>
            </w:r>
          </w:p>
        </w:tc>
        <w:tc>
          <w:tcPr>
            <w:tcW w:w="1638" w:type="dxa"/>
            <w:vAlign w:val="center"/>
          </w:tcPr>
          <w:p w14:paraId="6FBF53B2" w14:textId="77777777" w:rsidR="008F5903" w:rsidRDefault="008F5903" w:rsidP="008F5903">
            <w:pPr>
              <w:spacing w:before="40" w:after="40" w:line="240" w:lineRule="auto"/>
              <w:jc w:val="center"/>
              <w:rPr>
                <w:rFonts w:ascii="Arial Narrow" w:hAnsi="Arial Narrow"/>
                <w:sz w:val="20"/>
                <w:szCs w:val="18"/>
              </w:rPr>
            </w:pPr>
            <w:r>
              <w:rPr>
                <w:rFonts w:ascii="Arial Narrow" w:hAnsi="Arial Narrow"/>
                <w:sz w:val="20"/>
                <w:szCs w:val="18"/>
              </w:rPr>
              <w:t>$953.00</w:t>
            </w:r>
          </w:p>
        </w:tc>
      </w:tr>
      <w:tr w:rsidR="008F5903" w:rsidRPr="00681CA6" w14:paraId="502C4DC9" w14:textId="77777777" w:rsidTr="008F5903">
        <w:tc>
          <w:tcPr>
            <w:tcW w:w="988" w:type="dxa"/>
            <w:vAlign w:val="center"/>
          </w:tcPr>
          <w:p w14:paraId="46F7D976" w14:textId="77777777" w:rsidR="008F5903" w:rsidRDefault="008F5903" w:rsidP="008F5903">
            <w:pPr>
              <w:spacing w:before="40" w:after="40" w:line="240" w:lineRule="auto"/>
              <w:rPr>
                <w:rFonts w:ascii="Arial Narrow" w:hAnsi="Arial Narrow"/>
                <w:sz w:val="20"/>
                <w:szCs w:val="18"/>
              </w:rPr>
            </w:pPr>
            <w:r>
              <w:rPr>
                <w:rFonts w:ascii="Arial Narrow" w:hAnsi="Arial Narrow"/>
                <w:sz w:val="20"/>
                <w:szCs w:val="18"/>
              </w:rPr>
              <w:t>61610</w:t>
            </w:r>
          </w:p>
        </w:tc>
        <w:tc>
          <w:tcPr>
            <w:tcW w:w="6945" w:type="dxa"/>
          </w:tcPr>
          <w:p w14:paraId="2D5E5E88" w14:textId="77777777" w:rsidR="008F5903" w:rsidRDefault="008F5903" w:rsidP="008F5903">
            <w:pPr>
              <w:spacing w:before="40" w:after="40" w:line="240" w:lineRule="auto"/>
              <w:rPr>
                <w:rFonts w:ascii="Arial Narrow" w:hAnsi="Arial Narrow"/>
                <w:sz w:val="20"/>
                <w:szCs w:val="18"/>
              </w:rPr>
            </w:pPr>
            <w:r>
              <w:rPr>
                <w:rFonts w:ascii="Arial Narrow" w:hAnsi="Arial Narrow"/>
                <w:sz w:val="20"/>
                <w:szCs w:val="18"/>
              </w:rPr>
              <w:t xml:space="preserve">Whole body: </w:t>
            </w:r>
            <w:r w:rsidRPr="008F5903">
              <w:rPr>
                <w:rFonts w:ascii="Arial Narrow" w:hAnsi="Arial Narrow"/>
                <w:sz w:val="20"/>
                <w:szCs w:val="18"/>
              </w:rPr>
              <w:t>evaluation of metastatic squamous cell carcinoma of unknown primary site involving cervical nodes</w:t>
            </w:r>
          </w:p>
        </w:tc>
        <w:tc>
          <w:tcPr>
            <w:tcW w:w="1638" w:type="dxa"/>
            <w:vAlign w:val="center"/>
          </w:tcPr>
          <w:p w14:paraId="185D5902" w14:textId="77777777" w:rsidR="008F5903" w:rsidRDefault="008F5903" w:rsidP="008F5903">
            <w:pPr>
              <w:spacing w:before="40" w:after="40" w:line="240" w:lineRule="auto"/>
              <w:jc w:val="center"/>
              <w:rPr>
                <w:rFonts w:ascii="Arial Narrow" w:hAnsi="Arial Narrow"/>
                <w:sz w:val="20"/>
                <w:szCs w:val="18"/>
              </w:rPr>
            </w:pPr>
            <w:r>
              <w:rPr>
                <w:rFonts w:ascii="Arial Narrow" w:hAnsi="Arial Narrow"/>
                <w:sz w:val="20"/>
                <w:szCs w:val="18"/>
              </w:rPr>
              <w:t>$953.00</w:t>
            </w:r>
          </w:p>
        </w:tc>
      </w:tr>
      <w:tr w:rsidR="008F5903" w:rsidRPr="00681CA6" w14:paraId="7B1A80B1" w14:textId="77777777" w:rsidTr="008F5903">
        <w:tc>
          <w:tcPr>
            <w:tcW w:w="988" w:type="dxa"/>
            <w:vAlign w:val="center"/>
          </w:tcPr>
          <w:p w14:paraId="4EB0EA5D" w14:textId="77777777" w:rsidR="008F5903" w:rsidRDefault="008F5903" w:rsidP="008F5903">
            <w:pPr>
              <w:spacing w:before="40" w:after="40" w:line="240" w:lineRule="auto"/>
              <w:rPr>
                <w:rFonts w:ascii="Arial Narrow" w:hAnsi="Arial Narrow"/>
                <w:sz w:val="20"/>
                <w:szCs w:val="18"/>
              </w:rPr>
            </w:pPr>
            <w:r>
              <w:rPr>
                <w:rFonts w:ascii="Arial Narrow" w:hAnsi="Arial Narrow"/>
                <w:sz w:val="20"/>
                <w:szCs w:val="18"/>
              </w:rPr>
              <w:t>61620</w:t>
            </w:r>
          </w:p>
        </w:tc>
        <w:tc>
          <w:tcPr>
            <w:tcW w:w="6945" w:type="dxa"/>
          </w:tcPr>
          <w:p w14:paraId="741BE386" w14:textId="77777777" w:rsidR="008F5903" w:rsidRDefault="008F5903" w:rsidP="008F5903">
            <w:pPr>
              <w:spacing w:before="40" w:after="40" w:line="240" w:lineRule="auto"/>
              <w:rPr>
                <w:rFonts w:ascii="Arial Narrow" w:hAnsi="Arial Narrow"/>
                <w:sz w:val="20"/>
                <w:szCs w:val="18"/>
              </w:rPr>
            </w:pPr>
            <w:r>
              <w:rPr>
                <w:rFonts w:ascii="Arial Narrow" w:hAnsi="Arial Narrow"/>
                <w:sz w:val="20"/>
                <w:szCs w:val="18"/>
              </w:rPr>
              <w:t xml:space="preserve">Whole body: </w:t>
            </w:r>
            <w:r w:rsidRPr="008F5903">
              <w:rPr>
                <w:rFonts w:ascii="Arial Narrow" w:hAnsi="Arial Narrow"/>
                <w:sz w:val="20"/>
                <w:szCs w:val="18"/>
              </w:rPr>
              <w:t>initial staging of newly diagnosed or previously untreated Hodgkin or non-Hodgkin lymphoma</w:t>
            </w:r>
          </w:p>
        </w:tc>
        <w:tc>
          <w:tcPr>
            <w:tcW w:w="1638" w:type="dxa"/>
            <w:vAlign w:val="center"/>
          </w:tcPr>
          <w:p w14:paraId="6CF4818A" w14:textId="77777777" w:rsidR="008F5903" w:rsidRDefault="008F5903" w:rsidP="008F5903">
            <w:pPr>
              <w:spacing w:before="40" w:after="40" w:line="240" w:lineRule="auto"/>
              <w:jc w:val="center"/>
              <w:rPr>
                <w:rFonts w:ascii="Arial Narrow" w:hAnsi="Arial Narrow"/>
                <w:sz w:val="20"/>
                <w:szCs w:val="18"/>
              </w:rPr>
            </w:pPr>
            <w:r>
              <w:rPr>
                <w:rFonts w:ascii="Arial Narrow" w:hAnsi="Arial Narrow"/>
                <w:sz w:val="20"/>
                <w:szCs w:val="18"/>
              </w:rPr>
              <w:t>$953.00</w:t>
            </w:r>
          </w:p>
        </w:tc>
      </w:tr>
      <w:tr w:rsidR="008F5903" w:rsidRPr="00681CA6" w14:paraId="392AED9B" w14:textId="77777777" w:rsidTr="008F5903">
        <w:tc>
          <w:tcPr>
            <w:tcW w:w="988" w:type="dxa"/>
            <w:vAlign w:val="center"/>
          </w:tcPr>
          <w:p w14:paraId="42C8065A" w14:textId="77777777" w:rsidR="008F5903" w:rsidRDefault="008F5903" w:rsidP="008F5903">
            <w:pPr>
              <w:spacing w:before="40" w:after="40" w:line="240" w:lineRule="auto"/>
              <w:rPr>
                <w:rFonts w:ascii="Arial Narrow" w:hAnsi="Arial Narrow"/>
                <w:sz w:val="20"/>
                <w:szCs w:val="18"/>
              </w:rPr>
            </w:pPr>
            <w:r>
              <w:rPr>
                <w:rFonts w:ascii="Arial Narrow" w:hAnsi="Arial Narrow"/>
                <w:sz w:val="20"/>
                <w:szCs w:val="18"/>
              </w:rPr>
              <w:t>61622</w:t>
            </w:r>
          </w:p>
        </w:tc>
        <w:tc>
          <w:tcPr>
            <w:tcW w:w="6945" w:type="dxa"/>
          </w:tcPr>
          <w:p w14:paraId="0EA894DF" w14:textId="77777777" w:rsidR="008F5903" w:rsidRDefault="008F5903" w:rsidP="008F5903">
            <w:pPr>
              <w:spacing w:before="40" w:after="40" w:line="240" w:lineRule="auto"/>
              <w:rPr>
                <w:rFonts w:ascii="Arial Narrow" w:hAnsi="Arial Narrow"/>
                <w:sz w:val="20"/>
                <w:szCs w:val="18"/>
              </w:rPr>
            </w:pPr>
            <w:r>
              <w:rPr>
                <w:rFonts w:ascii="Arial Narrow" w:hAnsi="Arial Narrow"/>
                <w:sz w:val="20"/>
                <w:szCs w:val="18"/>
              </w:rPr>
              <w:t xml:space="preserve">Whole body: </w:t>
            </w:r>
            <w:r w:rsidRPr="008F5903">
              <w:rPr>
                <w:rFonts w:ascii="Arial Narrow" w:hAnsi="Arial Narrow"/>
                <w:sz w:val="20"/>
                <w:szCs w:val="18"/>
              </w:rPr>
              <w:t>assess response to first line therapy either during treatment or within three months of completing definitive first line treatment for Hodgkin or non-Hodgkin lymphoma</w:t>
            </w:r>
          </w:p>
        </w:tc>
        <w:tc>
          <w:tcPr>
            <w:tcW w:w="1638" w:type="dxa"/>
            <w:vAlign w:val="center"/>
          </w:tcPr>
          <w:p w14:paraId="7463F13F" w14:textId="77777777" w:rsidR="008F5903" w:rsidRDefault="008F5903" w:rsidP="008F5903">
            <w:pPr>
              <w:spacing w:before="40" w:after="40" w:line="240" w:lineRule="auto"/>
              <w:jc w:val="center"/>
              <w:rPr>
                <w:rFonts w:ascii="Arial Narrow" w:hAnsi="Arial Narrow"/>
                <w:sz w:val="20"/>
                <w:szCs w:val="18"/>
              </w:rPr>
            </w:pPr>
            <w:r>
              <w:rPr>
                <w:rFonts w:ascii="Arial Narrow" w:hAnsi="Arial Narrow"/>
                <w:sz w:val="20"/>
                <w:szCs w:val="18"/>
              </w:rPr>
              <w:t>$953.00</w:t>
            </w:r>
          </w:p>
        </w:tc>
      </w:tr>
      <w:tr w:rsidR="008F5903" w:rsidRPr="00681CA6" w14:paraId="601C3B7F" w14:textId="77777777" w:rsidTr="008F5903">
        <w:tc>
          <w:tcPr>
            <w:tcW w:w="988" w:type="dxa"/>
            <w:vAlign w:val="center"/>
          </w:tcPr>
          <w:p w14:paraId="3EEA268E" w14:textId="77777777" w:rsidR="008F5903" w:rsidRDefault="008F5903" w:rsidP="008F5903">
            <w:pPr>
              <w:spacing w:before="40" w:after="40" w:line="240" w:lineRule="auto"/>
              <w:rPr>
                <w:rFonts w:ascii="Arial Narrow" w:hAnsi="Arial Narrow"/>
                <w:sz w:val="20"/>
                <w:szCs w:val="18"/>
              </w:rPr>
            </w:pPr>
            <w:r>
              <w:rPr>
                <w:rFonts w:ascii="Arial Narrow" w:hAnsi="Arial Narrow"/>
                <w:sz w:val="20"/>
                <w:szCs w:val="18"/>
              </w:rPr>
              <w:t>61628</w:t>
            </w:r>
          </w:p>
        </w:tc>
        <w:tc>
          <w:tcPr>
            <w:tcW w:w="6945" w:type="dxa"/>
          </w:tcPr>
          <w:p w14:paraId="37D5E7DC" w14:textId="77777777" w:rsidR="008F5903" w:rsidRDefault="008F5903" w:rsidP="008F5903">
            <w:pPr>
              <w:spacing w:before="40" w:after="40" w:line="240" w:lineRule="auto"/>
              <w:rPr>
                <w:rFonts w:ascii="Arial Narrow" w:hAnsi="Arial Narrow"/>
                <w:sz w:val="20"/>
                <w:szCs w:val="18"/>
              </w:rPr>
            </w:pPr>
            <w:r>
              <w:rPr>
                <w:rFonts w:ascii="Arial Narrow" w:hAnsi="Arial Narrow"/>
                <w:sz w:val="20"/>
                <w:szCs w:val="18"/>
              </w:rPr>
              <w:t xml:space="preserve">Whole body: </w:t>
            </w:r>
            <w:r w:rsidRPr="008F5903">
              <w:rPr>
                <w:rFonts w:ascii="Arial Narrow" w:hAnsi="Arial Narrow"/>
                <w:sz w:val="20"/>
                <w:szCs w:val="18"/>
              </w:rPr>
              <w:t>restaging following confirmation of recurrence of Hodgkin or non-Hodgkin lymphoma</w:t>
            </w:r>
          </w:p>
        </w:tc>
        <w:tc>
          <w:tcPr>
            <w:tcW w:w="1638" w:type="dxa"/>
            <w:vAlign w:val="center"/>
          </w:tcPr>
          <w:p w14:paraId="242CA755" w14:textId="77777777" w:rsidR="008F5903" w:rsidRDefault="008F5903" w:rsidP="008F5903">
            <w:pPr>
              <w:spacing w:before="40" w:after="40" w:line="240" w:lineRule="auto"/>
              <w:jc w:val="center"/>
              <w:rPr>
                <w:rFonts w:ascii="Arial Narrow" w:hAnsi="Arial Narrow"/>
                <w:sz w:val="20"/>
                <w:szCs w:val="18"/>
              </w:rPr>
            </w:pPr>
            <w:r>
              <w:rPr>
                <w:rFonts w:ascii="Arial Narrow" w:hAnsi="Arial Narrow"/>
                <w:sz w:val="20"/>
                <w:szCs w:val="18"/>
              </w:rPr>
              <w:t>$953.00</w:t>
            </w:r>
          </w:p>
        </w:tc>
      </w:tr>
      <w:tr w:rsidR="008F5903" w:rsidRPr="00681CA6" w14:paraId="22B12A4B" w14:textId="77777777" w:rsidTr="008F5903">
        <w:tc>
          <w:tcPr>
            <w:tcW w:w="988" w:type="dxa"/>
            <w:vAlign w:val="center"/>
          </w:tcPr>
          <w:p w14:paraId="36236C40" w14:textId="77777777" w:rsidR="008F5903" w:rsidRDefault="008F5903" w:rsidP="008F5903">
            <w:pPr>
              <w:spacing w:before="40" w:after="40" w:line="240" w:lineRule="auto"/>
              <w:rPr>
                <w:rFonts w:ascii="Arial Narrow" w:hAnsi="Arial Narrow"/>
                <w:sz w:val="20"/>
                <w:szCs w:val="18"/>
              </w:rPr>
            </w:pPr>
            <w:r>
              <w:rPr>
                <w:rFonts w:ascii="Arial Narrow" w:hAnsi="Arial Narrow"/>
                <w:sz w:val="20"/>
                <w:szCs w:val="18"/>
              </w:rPr>
              <w:t>61632</w:t>
            </w:r>
          </w:p>
        </w:tc>
        <w:tc>
          <w:tcPr>
            <w:tcW w:w="6945" w:type="dxa"/>
          </w:tcPr>
          <w:p w14:paraId="07FCA96C" w14:textId="77777777" w:rsidR="008F5903" w:rsidRDefault="008F5903" w:rsidP="008F5903">
            <w:pPr>
              <w:spacing w:before="40" w:after="40" w:line="240" w:lineRule="auto"/>
              <w:rPr>
                <w:rFonts w:ascii="Arial Narrow" w:hAnsi="Arial Narrow"/>
                <w:sz w:val="20"/>
                <w:szCs w:val="18"/>
              </w:rPr>
            </w:pPr>
            <w:r>
              <w:rPr>
                <w:rFonts w:ascii="Arial Narrow" w:hAnsi="Arial Narrow"/>
                <w:sz w:val="20"/>
                <w:szCs w:val="18"/>
              </w:rPr>
              <w:t xml:space="preserve">Whole body: </w:t>
            </w:r>
            <w:r w:rsidRPr="008F5903">
              <w:rPr>
                <w:rFonts w:ascii="Arial Narrow" w:hAnsi="Arial Narrow"/>
                <w:sz w:val="20"/>
                <w:szCs w:val="18"/>
              </w:rPr>
              <w:t>assess response to second-line chemotherapy if haemopoietic stem cell transplantation is being considered for Hodgkin or non-Hodgkin lymphoma</w:t>
            </w:r>
          </w:p>
        </w:tc>
        <w:tc>
          <w:tcPr>
            <w:tcW w:w="1638" w:type="dxa"/>
            <w:vAlign w:val="center"/>
          </w:tcPr>
          <w:p w14:paraId="02FC435E" w14:textId="77777777" w:rsidR="008F5903" w:rsidRDefault="008F5903" w:rsidP="008F5903">
            <w:pPr>
              <w:spacing w:before="40" w:after="40" w:line="240" w:lineRule="auto"/>
              <w:jc w:val="center"/>
              <w:rPr>
                <w:rFonts w:ascii="Arial Narrow" w:hAnsi="Arial Narrow"/>
                <w:sz w:val="20"/>
                <w:szCs w:val="18"/>
              </w:rPr>
            </w:pPr>
            <w:r>
              <w:rPr>
                <w:rFonts w:ascii="Arial Narrow" w:hAnsi="Arial Narrow"/>
                <w:sz w:val="20"/>
                <w:szCs w:val="18"/>
              </w:rPr>
              <w:t>$953.00</w:t>
            </w:r>
          </w:p>
        </w:tc>
      </w:tr>
      <w:tr w:rsidR="008F5903" w:rsidRPr="00681CA6" w14:paraId="308DEB5C" w14:textId="77777777" w:rsidTr="008F5903">
        <w:tc>
          <w:tcPr>
            <w:tcW w:w="988" w:type="dxa"/>
            <w:vAlign w:val="center"/>
          </w:tcPr>
          <w:p w14:paraId="01B03B1F" w14:textId="77777777" w:rsidR="008F5903" w:rsidRDefault="008F5903" w:rsidP="008F5903">
            <w:pPr>
              <w:spacing w:before="40" w:after="40" w:line="240" w:lineRule="auto"/>
              <w:rPr>
                <w:rFonts w:ascii="Arial Narrow" w:hAnsi="Arial Narrow"/>
                <w:sz w:val="20"/>
                <w:szCs w:val="18"/>
              </w:rPr>
            </w:pPr>
            <w:r>
              <w:rPr>
                <w:rFonts w:ascii="Arial Narrow" w:hAnsi="Arial Narrow"/>
                <w:sz w:val="20"/>
                <w:szCs w:val="18"/>
              </w:rPr>
              <w:t>61640</w:t>
            </w:r>
          </w:p>
        </w:tc>
        <w:tc>
          <w:tcPr>
            <w:tcW w:w="6945" w:type="dxa"/>
          </w:tcPr>
          <w:p w14:paraId="60D8BD65" w14:textId="77777777" w:rsidR="008F5903" w:rsidRDefault="008F5903" w:rsidP="008F5903">
            <w:pPr>
              <w:spacing w:before="40" w:after="40" w:line="240" w:lineRule="auto"/>
              <w:rPr>
                <w:rFonts w:ascii="Arial Narrow" w:hAnsi="Arial Narrow"/>
                <w:sz w:val="20"/>
                <w:szCs w:val="18"/>
              </w:rPr>
            </w:pPr>
            <w:r>
              <w:rPr>
                <w:rFonts w:ascii="Arial Narrow" w:hAnsi="Arial Narrow"/>
                <w:sz w:val="20"/>
                <w:szCs w:val="18"/>
              </w:rPr>
              <w:t xml:space="preserve">Whole body: </w:t>
            </w:r>
            <w:r w:rsidRPr="008F5903">
              <w:rPr>
                <w:rFonts w:ascii="Arial Narrow" w:hAnsi="Arial Narrow"/>
                <w:sz w:val="20"/>
                <w:szCs w:val="18"/>
              </w:rPr>
              <w:t>initial staging of patients with biopsy-proven bone or soft tissue sarcoma (excluding gastrointestinal stromal tumour) considered by conventional staging to be potentially curable</w:t>
            </w:r>
          </w:p>
        </w:tc>
        <w:tc>
          <w:tcPr>
            <w:tcW w:w="1638" w:type="dxa"/>
            <w:vAlign w:val="center"/>
          </w:tcPr>
          <w:p w14:paraId="75E6C12E" w14:textId="77777777" w:rsidR="008F5903" w:rsidRDefault="008F5903" w:rsidP="008F5903">
            <w:pPr>
              <w:spacing w:before="40" w:after="40" w:line="240" w:lineRule="auto"/>
              <w:jc w:val="center"/>
              <w:rPr>
                <w:rFonts w:ascii="Arial Narrow" w:hAnsi="Arial Narrow"/>
                <w:sz w:val="20"/>
                <w:szCs w:val="18"/>
              </w:rPr>
            </w:pPr>
            <w:r>
              <w:rPr>
                <w:rFonts w:ascii="Arial Narrow" w:hAnsi="Arial Narrow"/>
                <w:sz w:val="20"/>
                <w:szCs w:val="18"/>
              </w:rPr>
              <w:t>$999.00</w:t>
            </w:r>
          </w:p>
        </w:tc>
      </w:tr>
      <w:tr w:rsidR="008F5903" w:rsidRPr="00681CA6" w14:paraId="44C46B13" w14:textId="77777777" w:rsidTr="008F5903">
        <w:tc>
          <w:tcPr>
            <w:tcW w:w="988" w:type="dxa"/>
            <w:vAlign w:val="center"/>
          </w:tcPr>
          <w:p w14:paraId="4F8B06C2" w14:textId="77777777" w:rsidR="008F5903" w:rsidRDefault="008F5903" w:rsidP="008F5903">
            <w:pPr>
              <w:spacing w:before="40" w:after="40" w:line="240" w:lineRule="auto"/>
              <w:rPr>
                <w:rFonts w:ascii="Arial Narrow" w:hAnsi="Arial Narrow"/>
                <w:sz w:val="20"/>
                <w:szCs w:val="18"/>
              </w:rPr>
            </w:pPr>
            <w:r>
              <w:rPr>
                <w:rFonts w:ascii="Arial Narrow" w:hAnsi="Arial Narrow"/>
                <w:sz w:val="20"/>
                <w:szCs w:val="18"/>
              </w:rPr>
              <w:t>61646</w:t>
            </w:r>
          </w:p>
        </w:tc>
        <w:tc>
          <w:tcPr>
            <w:tcW w:w="6945" w:type="dxa"/>
          </w:tcPr>
          <w:p w14:paraId="238F0E41" w14:textId="77777777" w:rsidR="008F5903" w:rsidRDefault="008F5903" w:rsidP="008F5903">
            <w:pPr>
              <w:spacing w:before="40" w:after="40" w:line="240" w:lineRule="auto"/>
              <w:rPr>
                <w:rFonts w:ascii="Arial Narrow" w:hAnsi="Arial Narrow"/>
                <w:sz w:val="20"/>
                <w:szCs w:val="18"/>
              </w:rPr>
            </w:pPr>
            <w:r>
              <w:rPr>
                <w:rFonts w:ascii="Arial Narrow" w:hAnsi="Arial Narrow"/>
                <w:sz w:val="20"/>
                <w:szCs w:val="18"/>
              </w:rPr>
              <w:t xml:space="preserve">Whole body: </w:t>
            </w:r>
            <w:r w:rsidRPr="008F5903">
              <w:rPr>
                <w:rFonts w:ascii="Arial Narrow" w:hAnsi="Arial Narrow"/>
                <w:sz w:val="20"/>
                <w:szCs w:val="18"/>
              </w:rPr>
              <w:t>evaluation of patients with suspected residual or recurrent sarcoma (excluding gastrointestinal stromal tumour) after the initial course of definitive therapy to determine suitability for subsequent therapy with curative intent</w:t>
            </w:r>
          </w:p>
        </w:tc>
        <w:tc>
          <w:tcPr>
            <w:tcW w:w="1638" w:type="dxa"/>
            <w:vAlign w:val="center"/>
          </w:tcPr>
          <w:p w14:paraId="42229BEB" w14:textId="77777777" w:rsidR="008F5903" w:rsidRDefault="008F5903" w:rsidP="008F5903">
            <w:pPr>
              <w:spacing w:before="40" w:after="40" w:line="240" w:lineRule="auto"/>
              <w:jc w:val="center"/>
              <w:rPr>
                <w:rFonts w:ascii="Arial Narrow" w:hAnsi="Arial Narrow"/>
                <w:sz w:val="20"/>
                <w:szCs w:val="18"/>
              </w:rPr>
            </w:pPr>
            <w:r>
              <w:rPr>
                <w:rFonts w:ascii="Arial Narrow" w:hAnsi="Arial Narrow"/>
                <w:sz w:val="20"/>
                <w:szCs w:val="18"/>
              </w:rPr>
              <w:t>$999.00</w:t>
            </w:r>
          </w:p>
        </w:tc>
      </w:tr>
    </w:tbl>
    <w:p w14:paraId="60A22CB4" w14:textId="3DF128F4" w:rsidR="008D5A61" w:rsidRDefault="008F5903" w:rsidP="00C17E80">
      <w:pPr>
        <w:rPr>
          <w:rFonts w:ascii="Arial Narrow" w:hAnsi="Arial Narrow"/>
          <w:sz w:val="18"/>
          <w:szCs w:val="18"/>
        </w:rPr>
      </w:pPr>
      <w:r>
        <w:rPr>
          <w:rFonts w:ascii="Arial Narrow" w:hAnsi="Arial Narrow"/>
          <w:sz w:val="18"/>
          <w:szCs w:val="18"/>
        </w:rPr>
        <w:t>Source: MBS online (</w:t>
      </w:r>
      <w:hyperlink r:id="rId16" w:history="1">
        <w:r w:rsidRPr="0088732F">
          <w:rPr>
            <w:rStyle w:val="Hyperlink"/>
            <w:rFonts w:ascii="Arial Narrow" w:hAnsi="Arial Narrow"/>
            <w:sz w:val="18"/>
            <w:szCs w:val="18"/>
          </w:rPr>
          <w:t>http://www.mbsonline.gov.au/internet/mbsonline/publishing.nsf/Content/Home</w:t>
        </w:r>
      </w:hyperlink>
      <w:r>
        <w:rPr>
          <w:rFonts w:ascii="Arial Narrow" w:hAnsi="Arial Narrow"/>
          <w:sz w:val="18"/>
          <w:szCs w:val="18"/>
        </w:rPr>
        <w:t>)</w:t>
      </w:r>
      <w:r w:rsidR="008D5A61">
        <w:rPr>
          <w:rFonts w:ascii="Arial Narrow" w:hAnsi="Arial Narrow"/>
          <w:sz w:val="18"/>
          <w:szCs w:val="18"/>
        </w:rPr>
        <w:br w:type="page"/>
      </w:r>
    </w:p>
    <w:p w14:paraId="4F4B40A2" w14:textId="4F11005D" w:rsidR="008D5A61" w:rsidRDefault="008D5A61" w:rsidP="008D5A61">
      <w:pPr>
        <w:pStyle w:val="Caption"/>
      </w:pPr>
      <w:bookmarkStart w:id="12" w:name="_Ref87460892"/>
      <w:r>
        <w:t xml:space="preserve">Table </w:t>
      </w:r>
      <w:r>
        <w:fldChar w:fldCharType="begin"/>
      </w:r>
      <w:r>
        <w:instrText xml:space="preserve"> SEQ Table \* ARABIC </w:instrText>
      </w:r>
      <w:r>
        <w:fldChar w:fldCharType="separate"/>
      </w:r>
      <w:r w:rsidR="00D5641A">
        <w:rPr>
          <w:noProof/>
        </w:rPr>
        <w:t>5</w:t>
      </w:r>
      <w:r>
        <w:fldChar w:fldCharType="end"/>
      </w:r>
      <w:bookmarkEnd w:id="12"/>
      <w:r>
        <w:tab/>
        <w:t>PBS restrictions for ASIs (abiraterone, enzalutamide) and cabazitaxel</w:t>
      </w:r>
    </w:p>
    <w:tbl>
      <w:tblPr>
        <w:tblStyle w:val="TableGrid"/>
        <w:tblW w:w="0" w:type="auto"/>
        <w:tblInd w:w="0" w:type="dxa"/>
        <w:tblLook w:val="04A0" w:firstRow="1" w:lastRow="0" w:firstColumn="1" w:lastColumn="0" w:noHBand="0" w:noVBand="1"/>
      </w:tblPr>
      <w:tblGrid>
        <w:gridCol w:w="9571"/>
      </w:tblGrid>
      <w:tr w:rsidR="008D5A61" w:rsidRPr="008D5A61" w14:paraId="4893235C" w14:textId="77777777" w:rsidTr="008D5A61">
        <w:tc>
          <w:tcPr>
            <w:tcW w:w="9571" w:type="dxa"/>
          </w:tcPr>
          <w:p w14:paraId="77B3821D" w14:textId="77777777" w:rsidR="00B549ED" w:rsidRDefault="00B549ED" w:rsidP="008D5A61">
            <w:pPr>
              <w:spacing w:before="40" w:after="40" w:line="240" w:lineRule="auto"/>
              <w:rPr>
                <w:rFonts w:ascii="Arial Narrow" w:hAnsi="Arial Narrow"/>
                <w:b/>
                <w:bCs/>
                <w:sz w:val="20"/>
                <w:szCs w:val="18"/>
              </w:rPr>
            </w:pPr>
            <w:r w:rsidRPr="008D5A61">
              <w:rPr>
                <w:rFonts w:ascii="Arial Narrow" w:hAnsi="Arial Narrow"/>
                <w:b/>
                <w:bCs/>
                <w:sz w:val="20"/>
                <w:szCs w:val="18"/>
              </w:rPr>
              <w:t xml:space="preserve">Abiraterone </w:t>
            </w:r>
          </w:p>
          <w:p w14:paraId="24AB40EC" w14:textId="01A6D12E" w:rsidR="008D5A61" w:rsidRPr="008D5A61" w:rsidRDefault="008D5A61" w:rsidP="008D5A61">
            <w:pPr>
              <w:spacing w:before="40" w:after="40" w:line="240" w:lineRule="auto"/>
              <w:rPr>
                <w:rFonts w:ascii="Arial Narrow" w:hAnsi="Arial Narrow"/>
                <w:sz w:val="20"/>
                <w:szCs w:val="18"/>
              </w:rPr>
            </w:pPr>
            <w:r w:rsidRPr="008D5A61">
              <w:rPr>
                <w:rFonts w:ascii="Arial Narrow" w:hAnsi="Arial Narrow"/>
                <w:sz w:val="20"/>
                <w:szCs w:val="18"/>
              </w:rPr>
              <w:t>Castration resistant metastatic carcinoma of the prostate</w:t>
            </w:r>
          </w:p>
          <w:p w14:paraId="58E65F98" w14:textId="77777777" w:rsidR="008D5A61" w:rsidRPr="008D5A61" w:rsidRDefault="008D5A61" w:rsidP="008D5A61">
            <w:pPr>
              <w:spacing w:before="40" w:after="40" w:line="240" w:lineRule="auto"/>
              <w:rPr>
                <w:rFonts w:ascii="Arial Narrow" w:hAnsi="Arial Narrow"/>
                <w:sz w:val="20"/>
                <w:szCs w:val="18"/>
              </w:rPr>
            </w:pPr>
            <w:r w:rsidRPr="008D5A61">
              <w:rPr>
                <w:rFonts w:ascii="Arial Narrow" w:hAnsi="Arial Narrow"/>
                <w:sz w:val="20"/>
                <w:szCs w:val="18"/>
              </w:rPr>
              <w:t>Clinical criteria:</w:t>
            </w:r>
          </w:p>
          <w:p w14:paraId="18EE3D76" w14:textId="77777777" w:rsidR="008D5A61" w:rsidRPr="008D5A61" w:rsidRDefault="008D5A61" w:rsidP="008D5A61">
            <w:pPr>
              <w:spacing w:before="40" w:after="40" w:line="240" w:lineRule="auto"/>
              <w:rPr>
                <w:rFonts w:ascii="Arial Narrow" w:hAnsi="Arial Narrow"/>
                <w:sz w:val="20"/>
                <w:szCs w:val="18"/>
              </w:rPr>
            </w:pPr>
            <w:r w:rsidRPr="008D5A61">
              <w:rPr>
                <w:rFonts w:ascii="Arial Narrow" w:hAnsi="Arial Narrow"/>
                <w:sz w:val="20"/>
                <w:szCs w:val="18"/>
              </w:rPr>
              <w:t>• The treatment must be used in combination with a corticosteroid,</w:t>
            </w:r>
          </w:p>
          <w:p w14:paraId="06B89949" w14:textId="77777777" w:rsidR="008D5A61" w:rsidRPr="008D5A61" w:rsidRDefault="008D5A61" w:rsidP="008D5A61">
            <w:pPr>
              <w:spacing w:before="40" w:after="40" w:line="240" w:lineRule="auto"/>
              <w:rPr>
                <w:rFonts w:ascii="Arial Narrow" w:hAnsi="Arial Narrow"/>
                <w:sz w:val="20"/>
                <w:szCs w:val="18"/>
              </w:rPr>
            </w:pPr>
            <w:r w:rsidRPr="008D5A61">
              <w:rPr>
                <w:rFonts w:ascii="Arial Narrow" w:hAnsi="Arial Narrow"/>
                <w:sz w:val="20"/>
                <w:szCs w:val="18"/>
              </w:rPr>
              <w:t>AND</w:t>
            </w:r>
          </w:p>
          <w:p w14:paraId="72DD2895" w14:textId="77777777" w:rsidR="008D5A61" w:rsidRPr="008D5A61" w:rsidRDefault="008D5A61" w:rsidP="008D5A61">
            <w:pPr>
              <w:spacing w:before="40" w:after="40" w:line="240" w:lineRule="auto"/>
              <w:rPr>
                <w:rFonts w:ascii="Arial Narrow" w:hAnsi="Arial Narrow"/>
                <w:sz w:val="20"/>
                <w:szCs w:val="18"/>
              </w:rPr>
            </w:pPr>
            <w:r w:rsidRPr="008D5A61">
              <w:rPr>
                <w:rFonts w:ascii="Arial Narrow" w:hAnsi="Arial Narrow"/>
                <w:sz w:val="20"/>
                <w:szCs w:val="18"/>
              </w:rPr>
              <w:t>• The treatment must not be used in combination with chemotherapy,</w:t>
            </w:r>
          </w:p>
          <w:p w14:paraId="296ADCA2" w14:textId="77777777" w:rsidR="008D5A61" w:rsidRPr="008D5A61" w:rsidRDefault="008D5A61" w:rsidP="008D5A61">
            <w:pPr>
              <w:spacing w:before="40" w:after="40" w:line="240" w:lineRule="auto"/>
              <w:rPr>
                <w:rFonts w:ascii="Arial Narrow" w:hAnsi="Arial Narrow"/>
                <w:sz w:val="20"/>
                <w:szCs w:val="18"/>
              </w:rPr>
            </w:pPr>
            <w:r w:rsidRPr="008D5A61">
              <w:rPr>
                <w:rFonts w:ascii="Arial Narrow" w:hAnsi="Arial Narrow"/>
                <w:sz w:val="20"/>
                <w:szCs w:val="18"/>
              </w:rPr>
              <w:t>AND</w:t>
            </w:r>
          </w:p>
          <w:p w14:paraId="039EFA1D" w14:textId="77777777" w:rsidR="008D5A61" w:rsidRPr="008D5A61" w:rsidRDefault="008D5A61" w:rsidP="008D5A61">
            <w:pPr>
              <w:spacing w:before="40" w:after="40" w:line="240" w:lineRule="auto"/>
              <w:rPr>
                <w:rFonts w:ascii="Arial Narrow" w:hAnsi="Arial Narrow"/>
                <w:sz w:val="20"/>
                <w:szCs w:val="18"/>
              </w:rPr>
            </w:pPr>
            <w:r w:rsidRPr="008D5A61">
              <w:rPr>
                <w:rFonts w:ascii="Arial Narrow" w:hAnsi="Arial Narrow"/>
                <w:sz w:val="20"/>
                <w:szCs w:val="18"/>
              </w:rPr>
              <w:t>• Patient must have a WHO performance status of 2 or less,</w:t>
            </w:r>
          </w:p>
          <w:p w14:paraId="04EDD40D" w14:textId="77777777" w:rsidR="008D5A61" w:rsidRPr="008D5A61" w:rsidRDefault="008D5A61" w:rsidP="008D5A61">
            <w:pPr>
              <w:spacing w:before="40" w:after="40" w:line="240" w:lineRule="auto"/>
              <w:rPr>
                <w:rFonts w:ascii="Arial Narrow" w:hAnsi="Arial Narrow"/>
                <w:sz w:val="20"/>
                <w:szCs w:val="18"/>
              </w:rPr>
            </w:pPr>
            <w:r w:rsidRPr="008D5A61">
              <w:rPr>
                <w:rFonts w:ascii="Arial Narrow" w:hAnsi="Arial Narrow"/>
                <w:sz w:val="20"/>
                <w:szCs w:val="18"/>
              </w:rPr>
              <w:t>AND</w:t>
            </w:r>
          </w:p>
          <w:p w14:paraId="32EC9BF7" w14:textId="77777777" w:rsidR="008D5A61" w:rsidRPr="008D5A61" w:rsidRDefault="008D5A61" w:rsidP="008D5A61">
            <w:pPr>
              <w:spacing w:before="40" w:after="40" w:line="240" w:lineRule="auto"/>
              <w:rPr>
                <w:rFonts w:ascii="Arial Narrow" w:hAnsi="Arial Narrow"/>
                <w:sz w:val="20"/>
                <w:szCs w:val="18"/>
              </w:rPr>
            </w:pPr>
            <w:r w:rsidRPr="008D5A61">
              <w:rPr>
                <w:rFonts w:ascii="Arial Narrow" w:hAnsi="Arial Narrow"/>
                <w:sz w:val="20"/>
                <w:szCs w:val="18"/>
              </w:rPr>
              <w:t>• Patient must not receive PBS-subsidised abiraterone if progressive disease develops while on abiraterone,</w:t>
            </w:r>
          </w:p>
          <w:p w14:paraId="3A2810C6" w14:textId="77777777" w:rsidR="008D5A61" w:rsidRPr="008D5A61" w:rsidRDefault="008D5A61" w:rsidP="008D5A61">
            <w:pPr>
              <w:spacing w:before="40" w:after="40" w:line="240" w:lineRule="auto"/>
              <w:rPr>
                <w:rFonts w:ascii="Arial Narrow" w:hAnsi="Arial Narrow"/>
                <w:sz w:val="20"/>
                <w:szCs w:val="18"/>
              </w:rPr>
            </w:pPr>
            <w:r w:rsidRPr="008D5A61">
              <w:rPr>
                <w:rFonts w:ascii="Arial Narrow" w:hAnsi="Arial Narrow"/>
                <w:sz w:val="20"/>
                <w:szCs w:val="18"/>
              </w:rPr>
              <w:t>AND</w:t>
            </w:r>
          </w:p>
          <w:p w14:paraId="2E183EB1" w14:textId="77777777" w:rsidR="008D5A61" w:rsidRPr="008D5A61" w:rsidRDefault="008D5A61" w:rsidP="008D5A61">
            <w:pPr>
              <w:spacing w:before="40" w:after="40" w:line="240" w:lineRule="auto"/>
              <w:rPr>
                <w:rFonts w:ascii="Arial Narrow" w:hAnsi="Arial Narrow"/>
                <w:sz w:val="20"/>
                <w:szCs w:val="18"/>
              </w:rPr>
            </w:pPr>
            <w:r w:rsidRPr="008D5A61">
              <w:rPr>
                <w:rFonts w:ascii="Arial Narrow" w:hAnsi="Arial Narrow"/>
                <w:sz w:val="20"/>
                <w:szCs w:val="18"/>
              </w:rPr>
              <w:t>• Patient must not have received prior treatment with enzalutamide; OR</w:t>
            </w:r>
          </w:p>
          <w:p w14:paraId="3FDAD110" w14:textId="7329E011" w:rsidR="008D5A61" w:rsidRPr="008D5A61" w:rsidRDefault="008D5A61" w:rsidP="008D5A61">
            <w:pPr>
              <w:spacing w:before="40" w:after="40" w:line="240" w:lineRule="auto"/>
              <w:rPr>
                <w:rFonts w:ascii="Arial Narrow" w:hAnsi="Arial Narrow"/>
                <w:sz w:val="20"/>
                <w:szCs w:val="18"/>
              </w:rPr>
            </w:pPr>
            <w:r w:rsidRPr="008D5A61">
              <w:rPr>
                <w:rFonts w:ascii="Arial Narrow" w:hAnsi="Arial Narrow"/>
                <w:sz w:val="20"/>
                <w:szCs w:val="18"/>
              </w:rPr>
              <w:t>• Patient must have developed intolerance to enzalutamide of a severity necessitating permanent treatment withdrawal.</w:t>
            </w:r>
          </w:p>
        </w:tc>
      </w:tr>
      <w:tr w:rsidR="008D5A61" w:rsidRPr="008D5A61" w14:paraId="71EAA248" w14:textId="77777777" w:rsidTr="008D5A61">
        <w:tc>
          <w:tcPr>
            <w:tcW w:w="9571" w:type="dxa"/>
          </w:tcPr>
          <w:p w14:paraId="6ECDD80B" w14:textId="77777777" w:rsidR="00B549ED" w:rsidRDefault="00B549ED" w:rsidP="00540D03">
            <w:pPr>
              <w:spacing w:before="40" w:after="40" w:line="240" w:lineRule="auto"/>
              <w:rPr>
                <w:rFonts w:ascii="Arial Narrow" w:hAnsi="Arial Narrow"/>
                <w:sz w:val="20"/>
                <w:szCs w:val="18"/>
              </w:rPr>
            </w:pPr>
            <w:r>
              <w:rPr>
                <w:rFonts w:ascii="Arial Narrow" w:hAnsi="Arial Narrow"/>
                <w:b/>
                <w:bCs/>
                <w:sz w:val="20"/>
                <w:szCs w:val="18"/>
              </w:rPr>
              <w:t>Enzalutamide</w:t>
            </w:r>
            <w:r w:rsidRPr="00540D03">
              <w:rPr>
                <w:rFonts w:ascii="Arial Narrow" w:hAnsi="Arial Narrow"/>
                <w:sz w:val="20"/>
                <w:szCs w:val="18"/>
              </w:rPr>
              <w:t xml:space="preserve"> </w:t>
            </w:r>
          </w:p>
          <w:p w14:paraId="724AC468" w14:textId="794F35BF" w:rsidR="00540D03" w:rsidRPr="00540D03" w:rsidRDefault="00540D03" w:rsidP="00540D03">
            <w:pPr>
              <w:spacing w:before="40" w:after="40" w:line="240" w:lineRule="auto"/>
              <w:rPr>
                <w:rFonts w:ascii="Arial Narrow" w:hAnsi="Arial Narrow"/>
                <w:sz w:val="20"/>
                <w:szCs w:val="18"/>
              </w:rPr>
            </w:pPr>
            <w:r w:rsidRPr="00540D03">
              <w:rPr>
                <w:rFonts w:ascii="Arial Narrow" w:hAnsi="Arial Narrow"/>
                <w:sz w:val="20"/>
                <w:szCs w:val="18"/>
              </w:rPr>
              <w:t>Castration resistant metastatic carcinoma of the prostate</w:t>
            </w:r>
          </w:p>
          <w:p w14:paraId="395DC617" w14:textId="77777777" w:rsidR="00540D03" w:rsidRPr="00540D03" w:rsidRDefault="00540D03" w:rsidP="00540D03">
            <w:pPr>
              <w:spacing w:before="40" w:after="40" w:line="240" w:lineRule="auto"/>
              <w:rPr>
                <w:rFonts w:ascii="Arial Narrow" w:hAnsi="Arial Narrow"/>
                <w:sz w:val="20"/>
                <w:szCs w:val="18"/>
              </w:rPr>
            </w:pPr>
            <w:r w:rsidRPr="00540D03">
              <w:rPr>
                <w:rFonts w:ascii="Arial Narrow" w:hAnsi="Arial Narrow"/>
                <w:sz w:val="20"/>
                <w:szCs w:val="18"/>
              </w:rPr>
              <w:t>Clinical criteria:</w:t>
            </w:r>
          </w:p>
          <w:p w14:paraId="5D852104" w14:textId="77777777" w:rsidR="00540D03" w:rsidRPr="00540D03" w:rsidRDefault="00540D03" w:rsidP="00540D03">
            <w:pPr>
              <w:spacing w:before="40" w:after="40" w:line="240" w:lineRule="auto"/>
              <w:rPr>
                <w:rFonts w:ascii="Arial Narrow" w:hAnsi="Arial Narrow"/>
                <w:sz w:val="20"/>
                <w:szCs w:val="18"/>
              </w:rPr>
            </w:pPr>
            <w:r w:rsidRPr="00540D03">
              <w:rPr>
                <w:rFonts w:ascii="Arial Narrow" w:hAnsi="Arial Narrow"/>
                <w:sz w:val="20"/>
                <w:szCs w:val="18"/>
              </w:rPr>
              <w:t>• The treatment must not be used in combination with chemotherapy,</w:t>
            </w:r>
          </w:p>
          <w:p w14:paraId="57508D4A" w14:textId="77777777" w:rsidR="00540D03" w:rsidRPr="00540D03" w:rsidRDefault="00540D03" w:rsidP="00540D03">
            <w:pPr>
              <w:spacing w:before="40" w:after="40" w:line="240" w:lineRule="auto"/>
              <w:rPr>
                <w:rFonts w:ascii="Arial Narrow" w:hAnsi="Arial Narrow"/>
                <w:sz w:val="20"/>
                <w:szCs w:val="18"/>
              </w:rPr>
            </w:pPr>
            <w:r w:rsidRPr="00540D03">
              <w:rPr>
                <w:rFonts w:ascii="Arial Narrow" w:hAnsi="Arial Narrow"/>
                <w:sz w:val="20"/>
                <w:szCs w:val="18"/>
              </w:rPr>
              <w:t>AND</w:t>
            </w:r>
          </w:p>
          <w:p w14:paraId="48492CDE" w14:textId="77777777" w:rsidR="00540D03" w:rsidRPr="00540D03" w:rsidRDefault="00540D03" w:rsidP="00540D03">
            <w:pPr>
              <w:spacing w:before="40" w:after="40" w:line="240" w:lineRule="auto"/>
              <w:rPr>
                <w:rFonts w:ascii="Arial Narrow" w:hAnsi="Arial Narrow"/>
                <w:sz w:val="20"/>
                <w:szCs w:val="18"/>
              </w:rPr>
            </w:pPr>
            <w:r w:rsidRPr="00540D03">
              <w:rPr>
                <w:rFonts w:ascii="Arial Narrow" w:hAnsi="Arial Narrow"/>
                <w:sz w:val="20"/>
                <w:szCs w:val="18"/>
              </w:rPr>
              <w:t>• Patient must have a WHO performance status of 2 or less,</w:t>
            </w:r>
          </w:p>
          <w:p w14:paraId="3A4B2A73" w14:textId="77777777" w:rsidR="00540D03" w:rsidRPr="00540D03" w:rsidRDefault="00540D03" w:rsidP="00540D03">
            <w:pPr>
              <w:spacing w:before="40" w:after="40" w:line="240" w:lineRule="auto"/>
              <w:rPr>
                <w:rFonts w:ascii="Arial Narrow" w:hAnsi="Arial Narrow"/>
                <w:sz w:val="20"/>
                <w:szCs w:val="18"/>
              </w:rPr>
            </w:pPr>
            <w:r w:rsidRPr="00540D03">
              <w:rPr>
                <w:rFonts w:ascii="Arial Narrow" w:hAnsi="Arial Narrow"/>
                <w:sz w:val="20"/>
                <w:szCs w:val="18"/>
              </w:rPr>
              <w:t>AND</w:t>
            </w:r>
          </w:p>
          <w:p w14:paraId="70A84388" w14:textId="77777777" w:rsidR="00540D03" w:rsidRPr="00540D03" w:rsidRDefault="00540D03" w:rsidP="00540D03">
            <w:pPr>
              <w:spacing w:before="40" w:after="40" w:line="240" w:lineRule="auto"/>
              <w:rPr>
                <w:rFonts w:ascii="Arial Narrow" w:hAnsi="Arial Narrow"/>
                <w:sz w:val="20"/>
                <w:szCs w:val="18"/>
              </w:rPr>
            </w:pPr>
            <w:r w:rsidRPr="00540D03">
              <w:rPr>
                <w:rFonts w:ascii="Arial Narrow" w:hAnsi="Arial Narrow"/>
                <w:sz w:val="20"/>
                <w:szCs w:val="18"/>
              </w:rPr>
              <w:t>• Patient must not receive PBS-subsidised treatment with this drug if progressive disease develops while on this drug,</w:t>
            </w:r>
          </w:p>
          <w:p w14:paraId="0233BCBC" w14:textId="77777777" w:rsidR="00540D03" w:rsidRPr="00540D03" w:rsidRDefault="00540D03" w:rsidP="00540D03">
            <w:pPr>
              <w:spacing w:before="40" w:after="40" w:line="240" w:lineRule="auto"/>
              <w:rPr>
                <w:rFonts w:ascii="Arial Narrow" w:hAnsi="Arial Narrow"/>
                <w:sz w:val="20"/>
                <w:szCs w:val="18"/>
              </w:rPr>
            </w:pPr>
            <w:r w:rsidRPr="00540D03">
              <w:rPr>
                <w:rFonts w:ascii="Arial Narrow" w:hAnsi="Arial Narrow"/>
                <w:sz w:val="20"/>
                <w:szCs w:val="18"/>
              </w:rPr>
              <w:t>AND</w:t>
            </w:r>
          </w:p>
          <w:p w14:paraId="15DC2362" w14:textId="77777777" w:rsidR="00540D03" w:rsidRPr="00540D03" w:rsidRDefault="00540D03" w:rsidP="00540D03">
            <w:pPr>
              <w:spacing w:before="40" w:after="40" w:line="240" w:lineRule="auto"/>
              <w:rPr>
                <w:rFonts w:ascii="Arial Narrow" w:hAnsi="Arial Narrow"/>
                <w:sz w:val="20"/>
                <w:szCs w:val="18"/>
              </w:rPr>
            </w:pPr>
            <w:r w:rsidRPr="00540D03">
              <w:rPr>
                <w:rFonts w:ascii="Arial Narrow" w:hAnsi="Arial Narrow"/>
                <w:sz w:val="20"/>
                <w:szCs w:val="18"/>
              </w:rPr>
              <w:t>• Patient must not have received prior treatment with abiraterone; OR</w:t>
            </w:r>
          </w:p>
          <w:p w14:paraId="449DB9B8" w14:textId="39462B17" w:rsidR="008D5A61" w:rsidRPr="008D5A61" w:rsidRDefault="00540D03" w:rsidP="00540D03">
            <w:pPr>
              <w:spacing w:before="40" w:after="40" w:line="240" w:lineRule="auto"/>
              <w:rPr>
                <w:rFonts w:ascii="Arial Narrow" w:hAnsi="Arial Narrow"/>
                <w:sz w:val="20"/>
                <w:szCs w:val="18"/>
              </w:rPr>
            </w:pPr>
            <w:r w:rsidRPr="00540D03">
              <w:rPr>
                <w:rFonts w:ascii="Arial Narrow" w:hAnsi="Arial Narrow"/>
                <w:sz w:val="20"/>
                <w:szCs w:val="18"/>
              </w:rPr>
              <w:t>• Patient must have developed intolerance to abiraterone of a severity necessitating permanent treatment withdrawal.</w:t>
            </w:r>
          </w:p>
        </w:tc>
      </w:tr>
      <w:tr w:rsidR="008D5A61" w:rsidRPr="008D5A61" w14:paraId="0EE34675" w14:textId="77777777" w:rsidTr="008D5A61">
        <w:tc>
          <w:tcPr>
            <w:tcW w:w="9571" w:type="dxa"/>
          </w:tcPr>
          <w:p w14:paraId="386B7E75" w14:textId="77777777" w:rsidR="00B549ED" w:rsidRDefault="00B549ED" w:rsidP="00540D03">
            <w:pPr>
              <w:spacing w:before="40" w:after="40" w:line="240" w:lineRule="auto"/>
              <w:rPr>
                <w:rFonts w:ascii="Arial Narrow" w:hAnsi="Arial Narrow"/>
                <w:sz w:val="20"/>
                <w:szCs w:val="18"/>
              </w:rPr>
            </w:pPr>
            <w:r>
              <w:rPr>
                <w:rFonts w:ascii="Arial Narrow" w:hAnsi="Arial Narrow"/>
                <w:b/>
                <w:bCs/>
                <w:sz w:val="20"/>
                <w:szCs w:val="18"/>
              </w:rPr>
              <w:t>Cabazitaxel</w:t>
            </w:r>
            <w:r w:rsidRPr="00540D03">
              <w:rPr>
                <w:rFonts w:ascii="Arial Narrow" w:hAnsi="Arial Narrow"/>
                <w:sz w:val="20"/>
                <w:szCs w:val="18"/>
              </w:rPr>
              <w:t xml:space="preserve"> </w:t>
            </w:r>
          </w:p>
          <w:p w14:paraId="0AD17675" w14:textId="46A80F9B" w:rsidR="00540D03" w:rsidRPr="00540D03" w:rsidRDefault="00540D03" w:rsidP="00540D03">
            <w:pPr>
              <w:spacing w:before="40" w:after="40" w:line="240" w:lineRule="auto"/>
              <w:rPr>
                <w:rFonts w:ascii="Arial Narrow" w:hAnsi="Arial Narrow"/>
                <w:sz w:val="20"/>
                <w:szCs w:val="18"/>
              </w:rPr>
            </w:pPr>
            <w:r w:rsidRPr="00540D03">
              <w:rPr>
                <w:rFonts w:ascii="Arial Narrow" w:hAnsi="Arial Narrow"/>
                <w:sz w:val="20"/>
                <w:szCs w:val="18"/>
              </w:rPr>
              <w:t>Castration resistant metastatic carcinoma of the prostate</w:t>
            </w:r>
          </w:p>
          <w:p w14:paraId="20BA27B2" w14:textId="77777777" w:rsidR="00540D03" w:rsidRPr="00540D03" w:rsidRDefault="00540D03" w:rsidP="00540D03">
            <w:pPr>
              <w:spacing w:before="40" w:after="40" w:line="240" w:lineRule="auto"/>
              <w:rPr>
                <w:rFonts w:ascii="Arial Narrow" w:hAnsi="Arial Narrow"/>
                <w:sz w:val="20"/>
                <w:szCs w:val="18"/>
              </w:rPr>
            </w:pPr>
            <w:r w:rsidRPr="00540D03">
              <w:rPr>
                <w:rFonts w:ascii="Arial Narrow" w:hAnsi="Arial Narrow"/>
                <w:sz w:val="20"/>
                <w:szCs w:val="18"/>
              </w:rPr>
              <w:t>Clinical criteria:</w:t>
            </w:r>
          </w:p>
          <w:p w14:paraId="20918C31" w14:textId="77777777" w:rsidR="00540D03" w:rsidRPr="00540D03" w:rsidRDefault="00540D03" w:rsidP="00540D03">
            <w:pPr>
              <w:spacing w:before="40" w:after="40" w:line="240" w:lineRule="auto"/>
              <w:rPr>
                <w:rFonts w:ascii="Arial Narrow" w:hAnsi="Arial Narrow"/>
                <w:sz w:val="20"/>
                <w:szCs w:val="18"/>
              </w:rPr>
            </w:pPr>
            <w:r w:rsidRPr="00540D03">
              <w:rPr>
                <w:rFonts w:ascii="Arial Narrow" w:hAnsi="Arial Narrow"/>
                <w:sz w:val="20"/>
                <w:szCs w:val="18"/>
              </w:rPr>
              <w:t>• The treatment must be in combination with prednisone or prednisolone,</w:t>
            </w:r>
          </w:p>
          <w:p w14:paraId="0ABBF3F1" w14:textId="77777777" w:rsidR="00540D03" w:rsidRPr="00540D03" w:rsidRDefault="00540D03" w:rsidP="00540D03">
            <w:pPr>
              <w:spacing w:before="40" w:after="40" w:line="240" w:lineRule="auto"/>
              <w:rPr>
                <w:rFonts w:ascii="Arial Narrow" w:hAnsi="Arial Narrow"/>
                <w:sz w:val="20"/>
                <w:szCs w:val="18"/>
              </w:rPr>
            </w:pPr>
            <w:r w:rsidRPr="00540D03">
              <w:rPr>
                <w:rFonts w:ascii="Arial Narrow" w:hAnsi="Arial Narrow"/>
                <w:sz w:val="20"/>
                <w:szCs w:val="18"/>
              </w:rPr>
              <w:t>AND</w:t>
            </w:r>
          </w:p>
          <w:p w14:paraId="678A2A9B" w14:textId="77777777" w:rsidR="00540D03" w:rsidRPr="00540D03" w:rsidRDefault="00540D03" w:rsidP="00540D03">
            <w:pPr>
              <w:spacing w:before="40" w:after="40" w:line="240" w:lineRule="auto"/>
              <w:rPr>
                <w:rFonts w:ascii="Arial Narrow" w:hAnsi="Arial Narrow"/>
                <w:sz w:val="20"/>
                <w:szCs w:val="18"/>
              </w:rPr>
            </w:pPr>
            <w:r w:rsidRPr="00540D03">
              <w:rPr>
                <w:rFonts w:ascii="Arial Narrow" w:hAnsi="Arial Narrow"/>
                <w:sz w:val="20"/>
                <w:szCs w:val="18"/>
              </w:rPr>
              <w:t>• The treatment must not be used in combination with abiraterone,</w:t>
            </w:r>
          </w:p>
          <w:p w14:paraId="3A917625" w14:textId="77777777" w:rsidR="00540D03" w:rsidRPr="00540D03" w:rsidRDefault="00540D03" w:rsidP="00540D03">
            <w:pPr>
              <w:spacing w:before="40" w:after="40" w:line="240" w:lineRule="auto"/>
              <w:rPr>
                <w:rFonts w:ascii="Arial Narrow" w:hAnsi="Arial Narrow"/>
                <w:sz w:val="20"/>
                <w:szCs w:val="18"/>
              </w:rPr>
            </w:pPr>
            <w:r w:rsidRPr="00540D03">
              <w:rPr>
                <w:rFonts w:ascii="Arial Narrow" w:hAnsi="Arial Narrow"/>
                <w:sz w:val="20"/>
                <w:szCs w:val="18"/>
              </w:rPr>
              <w:t>AND</w:t>
            </w:r>
          </w:p>
          <w:p w14:paraId="796E2A40" w14:textId="77777777" w:rsidR="00540D03" w:rsidRPr="00540D03" w:rsidRDefault="00540D03" w:rsidP="00540D03">
            <w:pPr>
              <w:spacing w:before="40" w:after="40" w:line="240" w:lineRule="auto"/>
              <w:rPr>
                <w:rFonts w:ascii="Arial Narrow" w:hAnsi="Arial Narrow"/>
                <w:sz w:val="20"/>
                <w:szCs w:val="18"/>
              </w:rPr>
            </w:pPr>
            <w:r w:rsidRPr="00540D03">
              <w:rPr>
                <w:rFonts w:ascii="Arial Narrow" w:hAnsi="Arial Narrow"/>
                <w:sz w:val="20"/>
                <w:szCs w:val="18"/>
              </w:rPr>
              <w:t>• Patient must have failed treatment with docetaxel due to resistance or intolerance,</w:t>
            </w:r>
          </w:p>
          <w:p w14:paraId="1257DE07" w14:textId="77777777" w:rsidR="00540D03" w:rsidRPr="00540D03" w:rsidRDefault="00540D03" w:rsidP="00540D03">
            <w:pPr>
              <w:spacing w:before="40" w:after="40" w:line="240" w:lineRule="auto"/>
              <w:rPr>
                <w:rFonts w:ascii="Arial Narrow" w:hAnsi="Arial Narrow"/>
                <w:sz w:val="20"/>
                <w:szCs w:val="18"/>
              </w:rPr>
            </w:pPr>
            <w:r w:rsidRPr="00540D03">
              <w:rPr>
                <w:rFonts w:ascii="Arial Narrow" w:hAnsi="Arial Narrow"/>
                <w:sz w:val="20"/>
                <w:szCs w:val="18"/>
              </w:rPr>
              <w:t>AND</w:t>
            </w:r>
          </w:p>
          <w:p w14:paraId="4FED60EC" w14:textId="77777777" w:rsidR="00540D03" w:rsidRPr="00540D03" w:rsidRDefault="00540D03" w:rsidP="00540D03">
            <w:pPr>
              <w:spacing w:before="40" w:after="40" w:line="240" w:lineRule="auto"/>
              <w:rPr>
                <w:rFonts w:ascii="Arial Narrow" w:hAnsi="Arial Narrow"/>
                <w:sz w:val="20"/>
                <w:szCs w:val="18"/>
              </w:rPr>
            </w:pPr>
            <w:r w:rsidRPr="00540D03">
              <w:rPr>
                <w:rFonts w:ascii="Arial Narrow" w:hAnsi="Arial Narrow"/>
                <w:sz w:val="20"/>
                <w:szCs w:val="18"/>
              </w:rPr>
              <w:t>• Patient must have a WHO performance status of 2 or less,</w:t>
            </w:r>
          </w:p>
          <w:p w14:paraId="60AC2848" w14:textId="77777777" w:rsidR="00540D03" w:rsidRPr="00540D03" w:rsidRDefault="00540D03" w:rsidP="00540D03">
            <w:pPr>
              <w:spacing w:before="40" w:after="40" w:line="240" w:lineRule="auto"/>
              <w:rPr>
                <w:rFonts w:ascii="Arial Narrow" w:hAnsi="Arial Narrow"/>
                <w:sz w:val="20"/>
                <w:szCs w:val="18"/>
              </w:rPr>
            </w:pPr>
            <w:r w:rsidRPr="00540D03">
              <w:rPr>
                <w:rFonts w:ascii="Arial Narrow" w:hAnsi="Arial Narrow"/>
                <w:sz w:val="20"/>
                <w:szCs w:val="18"/>
              </w:rPr>
              <w:t>AND</w:t>
            </w:r>
          </w:p>
          <w:p w14:paraId="6FB85D61" w14:textId="4792373C" w:rsidR="008D5A61" w:rsidRPr="008D5A61" w:rsidRDefault="00540D03" w:rsidP="00540D03">
            <w:pPr>
              <w:spacing w:before="40" w:after="40" w:line="240" w:lineRule="auto"/>
              <w:rPr>
                <w:rFonts w:ascii="Arial Narrow" w:hAnsi="Arial Narrow"/>
                <w:sz w:val="20"/>
                <w:szCs w:val="18"/>
              </w:rPr>
            </w:pPr>
            <w:r w:rsidRPr="00540D03">
              <w:rPr>
                <w:rFonts w:ascii="Arial Narrow" w:hAnsi="Arial Narrow"/>
                <w:sz w:val="20"/>
                <w:szCs w:val="18"/>
              </w:rPr>
              <w:t>• Patient must not receive PBS-subsidised cabazitaxel if progressive disease develops while on cabazitaxel.</w:t>
            </w:r>
          </w:p>
        </w:tc>
      </w:tr>
    </w:tbl>
    <w:p w14:paraId="094668A9" w14:textId="77777777" w:rsidR="008D5A61" w:rsidRDefault="008D5A61" w:rsidP="00C267D8"/>
    <w:p w14:paraId="045B63F9" w14:textId="77777777" w:rsidR="00003DA3" w:rsidRDefault="00003DA3" w:rsidP="00204E4D">
      <w:pPr>
        <w:spacing w:after="0"/>
        <w:jc w:val="center"/>
      </w:pPr>
      <w:r>
        <w:rPr>
          <w:noProof/>
          <w:lang w:eastAsia="en-AU"/>
        </w:rPr>
        <w:drawing>
          <wp:inline distT="0" distB="0" distL="0" distR="0" wp14:anchorId="3661D535" wp14:editId="0C18CDF1">
            <wp:extent cx="5995179" cy="3333750"/>
            <wp:effectExtent l="0" t="0" r="5715" b="0"/>
            <wp:docPr id="151" name="Picture 151" descr="Figure 5 Current and proposed clinical management algorithms presented in the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51" descr="Figure 5 Current and proposed clinical management algorithms presented in the application"/>
                    <pic:cNvPicPr/>
                  </pic:nvPicPr>
                  <pic:blipFill>
                    <a:blip r:embed="rId17"/>
                    <a:stretch>
                      <a:fillRect/>
                    </a:stretch>
                  </pic:blipFill>
                  <pic:spPr>
                    <a:xfrm>
                      <a:off x="0" y="0"/>
                      <a:ext cx="6016277" cy="3345482"/>
                    </a:xfrm>
                    <a:prstGeom prst="rect">
                      <a:avLst/>
                    </a:prstGeom>
                  </pic:spPr>
                </pic:pic>
              </a:graphicData>
            </a:graphic>
          </wp:inline>
        </w:drawing>
      </w:r>
    </w:p>
    <w:p w14:paraId="496FE151" w14:textId="0C8A2393" w:rsidR="00003DA3" w:rsidRDefault="00003DA3" w:rsidP="00204E4D">
      <w:pPr>
        <w:pStyle w:val="Caption"/>
        <w:tabs>
          <w:tab w:val="left" w:pos="851"/>
        </w:tabs>
        <w:spacing w:before="0" w:after="40"/>
      </w:pPr>
      <w:bookmarkStart w:id="13" w:name="_Ref87480578"/>
      <w:r>
        <w:t xml:space="preserve">Figure </w:t>
      </w:r>
      <w:r>
        <w:fldChar w:fldCharType="begin"/>
      </w:r>
      <w:r>
        <w:instrText xml:space="preserve"> SEQ Figure \* ARABIC </w:instrText>
      </w:r>
      <w:r>
        <w:fldChar w:fldCharType="separate"/>
      </w:r>
      <w:r w:rsidR="0014288D">
        <w:rPr>
          <w:noProof/>
        </w:rPr>
        <w:t>5</w:t>
      </w:r>
      <w:r>
        <w:fldChar w:fldCharType="end"/>
      </w:r>
      <w:bookmarkEnd w:id="13"/>
      <w:r>
        <w:tab/>
        <w:t>Current and proposed clinical management algorithms presented in the application</w:t>
      </w:r>
    </w:p>
    <w:p w14:paraId="7DD1B8F3" w14:textId="0ABA34E8" w:rsidR="008F5903" w:rsidRDefault="00003DA3" w:rsidP="00612929">
      <w:pPr>
        <w:pStyle w:val="Caption"/>
        <w:tabs>
          <w:tab w:val="left" w:pos="851"/>
        </w:tabs>
        <w:spacing w:before="0" w:after="240"/>
        <w:ind w:left="0" w:firstLine="0"/>
        <w:rPr>
          <w:b w:val="0"/>
          <w:bCs/>
          <w:sz w:val="18"/>
          <w:szCs w:val="18"/>
        </w:rPr>
      </w:pPr>
      <w:r w:rsidRPr="00003DA3">
        <w:rPr>
          <w:b w:val="0"/>
          <w:bCs/>
          <w:sz w:val="18"/>
          <w:szCs w:val="18"/>
        </w:rPr>
        <w:t>Source: p25 of the application</w:t>
      </w:r>
    </w:p>
    <w:p w14:paraId="248C558A" w14:textId="77777777" w:rsidR="00612929" w:rsidRPr="00612929" w:rsidRDefault="00612929" w:rsidP="00612929">
      <w:pPr>
        <w:rPr>
          <w:lang w:val="en-GB" w:eastAsia="ja-JP"/>
        </w:rPr>
      </w:pPr>
    </w:p>
    <w:p w14:paraId="64E53E5C" w14:textId="46769D67" w:rsidR="00003DA3" w:rsidRDefault="00003DA3" w:rsidP="00612929">
      <w:pPr>
        <w:spacing w:after="0"/>
        <w:jc w:val="center"/>
        <w:rPr>
          <w:lang w:val="en-GB" w:eastAsia="ja-JP"/>
        </w:rPr>
      </w:pPr>
      <w:r w:rsidRPr="00B4393E">
        <w:rPr>
          <w:noProof/>
          <w:color w:val="FF0000"/>
          <w:lang w:eastAsia="en-AU"/>
        </w:rPr>
        <w:drawing>
          <wp:inline distT="0" distB="0" distL="0" distR="0" wp14:anchorId="260963D8" wp14:editId="16708018">
            <wp:extent cx="6138251" cy="4305300"/>
            <wp:effectExtent l="0" t="0" r="0" b="0"/>
            <wp:docPr id="2" name="Picture 2" descr="Figure 6 Updated proposed clinical management algorithm provided by the applic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6 Updated proposed clinical management algorithm provided by the applicant"/>
                    <pic:cNvPicPr/>
                  </pic:nvPicPr>
                  <pic:blipFill>
                    <a:blip r:embed="rId18"/>
                    <a:stretch>
                      <a:fillRect/>
                    </a:stretch>
                  </pic:blipFill>
                  <pic:spPr>
                    <a:xfrm>
                      <a:off x="0" y="0"/>
                      <a:ext cx="6175219" cy="4331229"/>
                    </a:xfrm>
                    <a:prstGeom prst="rect">
                      <a:avLst/>
                    </a:prstGeom>
                  </pic:spPr>
                </pic:pic>
              </a:graphicData>
            </a:graphic>
          </wp:inline>
        </w:drawing>
      </w:r>
    </w:p>
    <w:p w14:paraId="091B08DE" w14:textId="6162FE34" w:rsidR="00003DA3" w:rsidRDefault="00003DA3" w:rsidP="00204E4D">
      <w:pPr>
        <w:pStyle w:val="Caption"/>
        <w:spacing w:before="0" w:after="40"/>
      </w:pPr>
      <w:bookmarkStart w:id="14" w:name="_Ref87480682"/>
      <w:r>
        <w:t xml:space="preserve">Figure </w:t>
      </w:r>
      <w:r>
        <w:fldChar w:fldCharType="begin"/>
      </w:r>
      <w:r>
        <w:instrText xml:space="preserve"> SEQ Figure \* ARABIC </w:instrText>
      </w:r>
      <w:r>
        <w:fldChar w:fldCharType="separate"/>
      </w:r>
      <w:r w:rsidR="0014288D">
        <w:rPr>
          <w:noProof/>
        </w:rPr>
        <w:t>6</w:t>
      </w:r>
      <w:r>
        <w:fldChar w:fldCharType="end"/>
      </w:r>
      <w:bookmarkEnd w:id="14"/>
      <w:r>
        <w:tab/>
        <w:t>Updated proposed clinical management algorithm provided by the applicant</w:t>
      </w:r>
    </w:p>
    <w:p w14:paraId="7F686E3A" w14:textId="27B25482" w:rsidR="00612929" w:rsidRPr="00ED4AD4" w:rsidRDefault="00003DA3" w:rsidP="00ED4AD4">
      <w:pPr>
        <w:rPr>
          <w:rFonts w:ascii="Arial Narrow" w:hAnsi="Arial Narrow"/>
          <w:sz w:val="18"/>
          <w:szCs w:val="18"/>
          <w:lang w:val="en-GB" w:eastAsia="ja-JP"/>
        </w:rPr>
      </w:pPr>
      <w:r>
        <w:rPr>
          <w:rFonts w:ascii="Arial Narrow" w:hAnsi="Arial Narrow"/>
          <w:sz w:val="18"/>
          <w:szCs w:val="18"/>
          <w:lang w:val="en-GB" w:eastAsia="ja-JP"/>
        </w:rPr>
        <w:t>Source: provided by the applicant</w:t>
      </w:r>
      <w:r w:rsidR="00612929">
        <w:br w:type="page"/>
      </w:r>
    </w:p>
    <w:p w14:paraId="73A2A9C9" w14:textId="41309246" w:rsidR="006478E7" w:rsidRDefault="00A33126" w:rsidP="00713728">
      <w:pPr>
        <w:pStyle w:val="Heading2"/>
      </w:pPr>
      <w:r w:rsidRPr="00A33126">
        <w:t>References</w:t>
      </w:r>
    </w:p>
    <w:p w14:paraId="008D8411" w14:textId="6A2EE6F3" w:rsidR="00DD423A" w:rsidRDefault="00DD423A" w:rsidP="008D5A61">
      <w:pPr>
        <w:spacing w:after="120" w:line="240" w:lineRule="auto"/>
        <w:rPr>
          <w:sz w:val="20"/>
          <w:szCs w:val="20"/>
        </w:rPr>
      </w:pPr>
      <w:r w:rsidRPr="00DD423A">
        <w:rPr>
          <w:sz w:val="20"/>
          <w:szCs w:val="20"/>
        </w:rPr>
        <w:t>Australian Government Department of Health. 202</w:t>
      </w:r>
      <w:r>
        <w:rPr>
          <w:sz w:val="20"/>
          <w:szCs w:val="20"/>
        </w:rPr>
        <w:t>1</w:t>
      </w:r>
      <w:r w:rsidRPr="00DD423A">
        <w:rPr>
          <w:sz w:val="20"/>
          <w:szCs w:val="20"/>
        </w:rPr>
        <w:t>. PET unit locations by Australian state and</w:t>
      </w:r>
      <w:r>
        <w:rPr>
          <w:sz w:val="20"/>
          <w:szCs w:val="20"/>
        </w:rPr>
        <w:t xml:space="preserve"> </w:t>
      </w:r>
      <w:r w:rsidRPr="00DD423A">
        <w:rPr>
          <w:sz w:val="20"/>
          <w:szCs w:val="20"/>
        </w:rPr>
        <w:t>territory [Online].</w:t>
      </w:r>
      <w:r>
        <w:rPr>
          <w:sz w:val="20"/>
          <w:szCs w:val="20"/>
        </w:rPr>
        <w:t xml:space="preserve"> </w:t>
      </w:r>
      <w:hyperlink r:id="rId19" w:anchor="NTPET" w:history="1">
        <w:r w:rsidRPr="00334A23">
          <w:rPr>
            <w:rStyle w:val="Hyperlink"/>
            <w:rFonts w:ascii="Calibri" w:hAnsi="Calibri"/>
            <w:sz w:val="20"/>
            <w:szCs w:val="20"/>
          </w:rPr>
          <w:t>https://www1.health.gov.au/internet/main/publishing.nsf/Content/pet-unit-locations#NTPET</w:t>
        </w:r>
      </w:hyperlink>
      <w:r>
        <w:rPr>
          <w:sz w:val="20"/>
          <w:szCs w:val="20"/>
        </w:rPr>
        <w:t xml:space="preserve"> </w:t>
      </w:r>
    </w:p>
    <w:p w14:paraId="2164C673" w14:textId="66031B2E" w:rsidR="008F28BA" w:rsidRPr="008F28BA" w:rsidRDefault="008F28BA" w:rsidP="008F28BA">
      <w:pPr>
        <w:spacing w:after="120" w:line="240" w:lineRule="auto"/>
        <w:rPr>
          <w:sz w:val="20"/>
          <w:szCs w:val="20"/>
        </w:rPr>
      </w:pPr>
      <w:r w:rsidRPr="008F28BA">
        <w:rPr>
          <w:sz w:val="20"/>
          <w:szCs w:val="20"/>
        </w:rPr>
        <w:t xml:space="preserve">Emmett L, et al. 2019. Results of a Prospective Phase 2 Pilot Trial of </w:t>
      </w:r>
      <w:r w:rsidRPr="008F28BA">
        <w:rPr>
          <w:sz w:val="20"/>
          <w:szCs w:val="20"/>
          <w:vertAlign w:val="superscript"/>
        </w:rPr>
        <w:t>177</w:t>
      </w:r>
      <w:r w:rsidRPr="008F28BA">
        <w:rPr>
          <w:sz w:val="20"/>
          <w:szCs w:val="20"/>
        </w:rPr>
        <w:t>Lu-PSMA-617 Therapy for Metastatic Castration-Resistant Prostate Cancer Including Imaging Predictors of Treatment Response and Patterns of Progression</w:t>
      </w:r>
      <w:r>
        <w:rPr>
          <w:sz w:val="20"/>
          <w:szCs w:val="20"/>
        </w:rPr>
        <w:t xml:space="preserve">. </w:t>
      </w:r>
      <w:r>
        <w:rPr>
          <w:i/>
          <w:iCs/>
          <w:sz w:val="20"/>
          <w:szCs w:val="20"/>
        </w:rPr>
        <w:t xml:space="preserve">Clinical Genitourinary Cancer, </w:t>
      </w:r>
      <w:r>
        <w:rPr>
          <w:sz w:val="20"/>
          <w:szCs w:val="20"/>
        </w:rPr>
        <w:t>17(1): 15-22.</w:t>
      </w:r>
    </w:p>
    <w:p w14:paraId="141E7952" w14:textId="45AFB3B2" w:rsidR="00E01349" w:rsidRDefault="003E2D6E" w:rsidP="003E2D6E">
      <w:pPr>
        <w:spacing w:after="120" w:line="240" w:lineRule="auto"/>
        <w:rPr>
          <w:sz w:val="20"/>
          <w:szCs w:val="20"/>
        </w:rPr>
      </w:pPr>
      <w:r w:rsidRPr="003E2D6E">
        <w:rPr>
          <w:sz w:val="20"/>
          <w:szCs w:val="20"/>
        </w:rPr>
        <w:t>Hofman MS, et al. 2021. [¹⁷⁷Lu]Lu-PSMA-617 versus cabazitaxel in patients with metastatic castration-resistant prostate cancer (TheraP): a randomised, open-label, phase 2 trial</w:t>
      </w:r>
      <w:r>
        <w:rPr>
          <w:sz w:val="20"/>
          <w:szCs w:val="20"/>
        </w:rPr>
        <w:t xml:space="preserve">. </w:t>
      </w:r>
      <w:r>
        <w:rPr>
          <w:i/>
          <w:iCs/>
          <w:sz w:val="20"/>
          <w:szCs w:val="20"/>
        </w:rPr>
        <w:t>Lancet</w:t>
      </w:r>
      <w:r>
        <w:rPr>
          <w:sz w:val="20"/>
          <w:szCs w:val="20"/>
        </w:rPr>
        <w:t>, 397:797-804.</w:t>
      </w:r>
    </w:p>
    <w:p w14:paraId="7C2AA64E" w14:textId="6E7680D3" w:rsidR="00E177F3" w:rsidRPr="00E177F3" w:rsidRDefault="00E177F3" w:rsidP="003E2D6E">
      <w:pPr>
        <w:spacing w:after="120" w:line="240" w:lineRule="auto"/>
        <w:rPr>
          <w:sz w:val="20"/>
          <w:szCs w:val="20"/>
        </w:rPr>
      </w:pPr>
      <w:r>
        <w:rPr>
          <w:sz w:val="20"/>
          <w:szCs w:val="20"/>
        </w:rPr>
        <w:t xml:space="preserve">Hofman MS &amp; Hicks RJ. 2016. </w:t>
      </w:r>
      <w:r w:rsidRPr="00E177F3">
        <w:rPr>
          <w:sz w:val="20"/>
          <w:szCs w:val="20"/>
        </w:rPr>
        <w:t>How We Read Oncologic FDG PET/CT</w:t>
      </w:r>
      <w:r>
        <w:rPr>
          <w:sz w:val="20"/>
          <w:szCs w:val="20"/>
        </w:rPr>
        <w:t xml:space="preserve">. </w:t>
      </w:r>
      <w:r>
        <w:rPr>
          <w:i/>
          <w:iCs/>
          <w:sz w:val="20"/>
          <w:szCs w:val="20"/>
        </w:rPr>
        <w:t xml:space="preserve">Cancer Imaging, </w:t>
      </w:r>
      <w:r>
        <w:rPr>
          <w:sz w:val="20"/>
          <w:szCs w:val="20"/>
        </w:rPr>
        <w:t>16: 35.</w:t>
      </w:r>
    </w:p>
    <w:p w14:paraId="65E9519A" w14:textId="12CA838A" w:rsidR="003E2D6E" w:rsidRDefault="003E2D6E" w:rsidP="003E2D6E">
      <w:pPr>
        <w:spacing w:after="120" w:line="240" w:lineRule="auto"/>
        <w:rPr>
          <w:sz w:val="20"/>
          <w:szCs w:val="20"/>
        </w:rPr>
      </w:pPr>
      <w:r w:rsidRPr="003E2D6E">
        <w:rPr>
          <w:sz w:val="20"/>
          <w:szCs w:val="20"/>
        </w:rPr>
        <w:t>Hofman MS</w:t>
      </w:r>
      <w:r w:rsidR="00AA7588">
        <w:rPr>
          <w:sz w:val="20"/>
          <w:szCs w:val="20"/>
        </w:rPr>
        <w:t>, et al</w:t>
      </w:r>
      <w:r w:rsidRPr="003E2D6E">
        <w:rPr>
          <w:sz w:val="20"/>
          <w:szCs w:val="20"/>
        </w:rPr>
        <w:t>. 2020. Prostate-specific</w:t>
      </w:r>
      <w:r w:rsidR="00AA7588">
        <w:rPr>
          <w:sz w:val="20"/>
          <w:szCs w:val="20"/>
        </w:rPr>
        <w:t xml:space="preserve"> </w:t>
      </w:r>
      <w:r w:rsidRPr="003E2D6E">
        <w:rPr>
          <w:sz w:val="20"/>
          <w:szCs w:val="20"/>
        </w:rPr>
        <w:t>membrane antigen PET-CT in patients with high-risk prostate cancer before curative-intent</w:t>
      </w:r>
      <w:r w:rsidR="00AA7588">
        <w:rPr>
          <w:sz w:val="20"/>
          <w:szCs w:val="20"/>
        </w:rPr>
        <w:t xml:space="preserve"> </w:t>
      </w:r>
      <w:r w:rsidRPr="003E2D6E">
        <w:rPr>
          <w:sz w:val="20"/>
          <w:szCs w:val="20"/>
        </w:rPr>
        <w:t xml:space="preserve">surgery or radiotherapy (proPSMA): a prospective, randomised, multicentre study. </w:t>
      </w:r>
      <w:r w:rsidRPr="00AA7588">
        <w:rPr>
          <w:i/>
          <w:iCs/>
          <w:sz w:val="20"/>
          <w:szCs w:val="20"/>
        </w:rPr>
        <w:t>Lancet</w:t>
      </w:r>
      <w:r w:rsidRPr="003E2D6E">
        <w:rPr>
          <w:sz w:val="20"/>
          <w:szCs w:val="20"/>
        </w:rPr>
        <w:t>,</w:t>
      </w:r>
      <w:r w:rsidR="00AA7588">
        <w:rPr>
          <w:sz w:val="20"/>
          <w:szCs w:val="20"/>
        </w:rPr>
        <w:t xml:space="preserve"> </w:t>
      </w:r>
      <w:r w:rsidRPr="003E2D6E">
        <w:rPr>
          <w:sz w:val="20"/>
          <w:szCs w:val="20"/>
        </w:rPr>
        <w:t>395</w:t>
      </w:r>
      <w:r w:rsidR="00AA7588">
        <w:rPr>
          <w:sz w:val="20"/>
          <w:szCs w:val="20"/>
        </w:rPr>
        <w:t>:</w:t>
      </w:r>
      <w:r w:rsidRPr="003E2D6E">
        <w:rPr>
          <w:sz w:val="20"/>
          <w:szCs w:val="20"/>
        </w:rPr>
        <w:t xml:space="preserve"> 1208-1216.</w:t>
      </w:r>
    </w:p>
    <w:p w14:paraId="7E24FCCD" w14:textId="7D4CA550" w:rsidR="006D58F4" w:rsidRDefault="006D58F4" w:rsidP="003E2D6E">
      <w:pPr>
        <w:spacing w:after="120" w:line="240" w:lineRule="auto"/>
        <w:rPr>
          <w:sz w:val="20"/>
          <w:szCs w:val="20"/>
        </w:rPr>
      </w:pPr>
      <w:r w:rsidRPr="006D58F4">
        <w:rPr>
          <w:sz w:val="20"/>
          <w:szCs w:val="20"/>
        </w:rPr>
        <w:t xml:space="preserve">Kulkarni HR, </w:t>
      </w:r>
      <w:r>
        <w:rPr>
          <w:sz w:val="20"/>
          <w:szCs w:val="20"/>
        </w:rPr>
        <w:t>et al. 2016</w:t>
      </w:r>
      <w:r w:rsidRPr="006D58F4">
        <w:rPr>
          <w:sz w:val="20"/>
          <w:szCs w:val="20"/>
        </w:rPr>
        <w:t xml:space="preserve">. PSMA-Based Radioligand Therapy for Metastatic Castration-Resistant Prostate Cancer: The Bad Berka Experience Since 2013. </w:t>
      </w:r>
      <w:r w:rsidRPr="00BE66DE">
        <w:rPr>
          <w:i/>
          <w:iCs/>
          <w:sz w:val="20"/>
          <w:szCs w:val="20"/>
        </w:rPr>
        <w:t>J Nucl Med</w:t>
      </w:r>
      <w:r w:rsidRPr="006D58F4">
        <w:rPr>
          <w:sz w:val="20"/>
          <w:szCs w:val="20"/>
        </w:rPr>
        <w:t>. 57(Suppl 3):97S-104S. doi: 10.2967/jnumed.115.170167. PMID: 27694180.</w:t>
      </w:r>
    </w:p>
    <w:p w14:paraId="02998977" w14:textId="5CD5B9F4" w:rsidR="00D07B69" w:rsidRDefault="00D07B69" w:rsidP="003E2D6E">
      <w:pPr>
        <w:spacing w:after="120" w:line="240" w:lineRule="auto"/>
        <w:rPr>
          <w:sz w:val="20"/>
          <w:szCs w:val="20"/>
        </w:rPr>
      </w:pPr>
      <w:r w:rsidRPr="00D07B69">
        <w:rPr>
          <w:sz w:val="20"/>
          <w:szCs w:val="20"/>
        </w:rPr>
        <w:t>MSAC 1618 PSD, April 2021 MSAC meeting</w:t>
      </w:r>
      <w:r>
        <w:rPr>
          <w:sz w:val="20"/>
          <w:szCs w:val="20"/>
        </w:rPr>
        <w:t xml:space="preserve">. </w:t>
      </w:r>
      <w:r w:rsidRPr="00D07B69">
        <w:rPr>
          <w:sz w:val="20"/>
          <w:szCs w:val="20"/>
        </w:rPr>
        <w:t>http://www.msac.gov.au/internet/msac/publishing.nsf/Content/19F02703F69D97C9CA258522001DE2DA/$File/1618%20Final%20PSD%20-%20Mar-Apr%202021_redacted.pdf</w:t>
      </w:r>
    </w:p>
    <w:p w14:paraId="5FA9B027" w14:textId="245EDD8C" w:rsidR="00823033" w:rsidRDefault="00823033" w:rsidP="00823033">
      <w:pPr>
        <w:spacing w:after="120" w:line="240" w:lineRule="auto"/>
        <w:rPr>
          <w:sz w:val="20"/>
          <w:szCs w:val="20"/>
        </w:rPr>
      </w:pPr>
      <w:r>
        <w:rPr>
          <w:sz w:val="20"/>
          <w:szCs w:val="20"/>
        </w:rPr>
        <w:t xml:space="preserve">MSAC 1632 Public Summary Document. 2021. </w:t>
      </w:r>
      <w:r w:rsidRPr="00823033">
        <w:rPr>
          <w:sz w:val="20"/>
          <w:szCs w:val="20"/>
        </w:rPr>
        <w:t>Application 1632 – PSMA PET/CT imaging for informing treatment of patients with prostate cancer</w:t>
      </w:r>
      <w:r>
        <w:rPr>
          <w:sz w:val="20"/>
          <w:szCs w:val="20"/>
        </w:rPr>
        <w:t xml:space="preserve">. </w:t>
      </w:r>
      <w:hyperlink r:id="rId20" w:history="1">
        <w:r w:rsidRPr="0088732F">
          <w:rPr>
            <w:rStyle w:val="Hyperlink"/>
            <w:rFonts w:ascii="Calibri" w:hAnsi="Calibri"/>
            <w:sz w:val="20"/>
            <w:szCs w:val="20"/>
          </w:rPr>
          <w:t>http://www.msac.gov.au/internet/msac/publishing.nsf/Content/B2B42D6E89D50ED8CA258570001ED449/$File/1632%20Final%20PSD%20-%20July%202021.pdf</w:t>
        </w:r>
      </w:hyperlink>
      <w:r>
        <w:rPr>
          <w:sz w:val="20"/>
          <w:szCs w:val="20"/>
        </w:rPr>
        <w:t xml:space="preserve"> </w:t>
      </w:r>
    </w:p>
    <w:p w14:paraId="2DA30F55" w14:textId="0E4B9AEA" w:rsidR="00823033" w:rsidRDefault="00823033" w:rsidP="00823033">
      <w:pPr>
        <w:spacing w:after="120" w:line="240" w:lineRule="auto"/>
        <w:rPr>
          <w:sz w:val="20"/>
          <w:szCs w:val="20"/>
        </w:rPr>
      </w:pPr>
      <w:r>
        <w:rPr>
          <w:sz w:val="20"/>
          <w:szCs w:val="20"/>
        </w:rPr>
        <w:t xml:space="preserve">MSAC 1632 Ratified PICO Confirmation. 2020. </w:t>
      </w:r>
      <w:r w:rsidRPr="00823033">
        <w:rPr>
          <w:sz w:val="20"/>
          <w:szCs w:val="20"/>
        </w:rPr>
        <w:t>PSMA PET/CT imaging for informing</w:t>
      </w:r>
      <w:r>
        <w:rPr>
          <w:sz w:val="20"/>
          <w:szCs w:val="20"/>
        </w:rPr>
        <w:t xml:space="preserve"> </w:t>
      </w:r>
      <w:r w:rsidRPr="00823033">
        <w:rPr>
          <w:sz w:val="20"/>
          <w:szCs w:val="20"/>
        </w:rPr>
        <w:t>treatment of patients with Prostate Cancer</w:t>
      </w:r>
      <w:r>
        <w:rPr>
          <w:sz w:val="20"/>
          <w:szCs w:val="20"/>
        </w:rPr>
        <w:t xml:space="preserve">. </w:t>
      </w:r>
      <w:hyperlink r:id="rId21" w:history="1">
        <w:r w:rsidRPr="0088732F">
          <w:rPr>
            <w:rStyle w:val="Hyperlink"/>
            <w:rFonts w:ascii="Calibri" w:hAnsi="Calibri"/>
            <w:sz w:val="20"/>
            <w:szCs w:val="20"/>
          </w:rPr>
          <w:t>http://www.msac.gov.au/internet/msac/publishing.nsf/Content/B2B42D6E89D50ED8CA258570001ED449/$File/1632%20Ratified%20PICO.pdf</w:t>
        </w:r>
      </w:hyperlink>
      <w:r>
        <w:rPr>
          <w:sz w:val="20"/>
          <w:szCs w:val="20"/>
        </w:rPr>
        <w:t xml:space="preserve"> </w:t>
      </w:r>
    </w:p>
    <w:p w14:paraId="0582AB40" w14:textId="53C95B90" w:rsidR="00D07B69" w:rsidRDefault="005E66BD" w:rsidP="00823033">
      <w:pPr>
        <w:spacing w:after="120" w:line="240" w:lineRule="auto"/>
        <w:rPr>
          <w:sz w:val="20"/>
          <w:szCs w:val="20"/>
        </w:rPr>
      </w:pPr>
      <w:r w:rsidRPr="00D07B69">
        <w:rPr>
          <w:sz w:val="20"/>
          <w:szCs w:val="20"/>
        </w:rPr>
        <w:t>Olaparib</w:t>
      </w:r>
      <w:r w:rsidR="00D07B69" w:rsidRPr="00D07B69">
        <w:rPr>
          <w:sz w:val="20"/>
          <w:szCs w:val="20"/>
        </w:rPr>
        <w:t xml:space="preserve"> PSD, March 2021 PBAC meeting</w:t>
      </w:r>
      <w:r w:rsidR="00D07B69">
        <w:rPr>
          <w:sz w:val="20"/>
          <w:szCs w:val="20"/>
        </w:rPr>
        <w:t xml:space="preserve">. </w:t>
      </w:r>
      <w:r w:rsidR="00D07B69" w:rsidRPr="00D07B69">
        <w:rPr>
          <w:sz w:val="20"/>
          <w:szCs w:val="20"/>
        </w:rPr>
        <w:t>https://www.pbs.gov.au/industry/listing/elements/pbac-meetings/psd/2021-03/files/olaparib-psd-mar-2021.pdf</w:t>
      </w:r>
    </w:p>
    <w:p w14:paraId="2842B9AA" w14:textId="0AB29E43" w:rsidR="003E2D6E" w:rsidRDefault="003E2D6E" w:rsidP="003E2D6E">
      <w:pPr>
        <w:spacing w:after="120" w:line="240" w:lineRule="auto"/>
        <w:rPr>
          <w:sz w:val="20"/>
          <w:szCs w:val="20"/>
        </w:rPr>
      </w:pPr>
      <w:r w:rsidRPr="003E2D6E">
        <w:rPr>
          <w:sz w:val="20"/>
          <w:szCs w:val="20"/>
        </w:rPr>
        <w:t xml:space="preserve">Perera M, </w:t>
      </w:r>
      <w:r>
        <w:rPr>
          <w:sz w:val="20"/>
          <w:szCs w:val="20"/>
        </w:rPr>
        <w:t>et al</w:t>
      </w:r>
      <w:r w:rsidRPr="003E2D6E">
        <w:rPr>
          <w:sz w:val="20"/>
          <w:szCs w:val="20"/>
        </w:rPr>
        <w:t>. 2020. Gallium-68 Prostate-specific</w:t>
      </w:r>
      <w:r>
        <w:rPr>
          <w:sz w:val="20"/>
          <w:szCs w:val="20"/>
        </w:rPr>
        <w:t xml:space="preserve"> </w:t>
      </w:r>
      <w:r w:rsidRPr="003E2D6E">
        <w:rPr>
          <w:sz w:val="20"/>
          <w:szCs w:val="20"/>
        </w:rPr>
        <w:t>Membrane Antigen Positron Emission Tomography in Advanced Prostate Cancer-Updated</w:t>
      </w:r>
      <w:r>
        <w:rPr>
          <w:sz w:val="20"/>
          <w:szCs w:val="20"/>
        </w:rPr>
        <w:t xml:space="preserve"> </w:t>
      </w:r>
      <w:r w:rsidRPr="003E2D6E">
        <w:rPr>
          <w:sz w:val="20"/>
          <w:szCs w:val="20"/>
        </w:rPr>
        <w:t>Diagnostic Utility, Sensitivity, Specificity, and Distribution of Prostate-specific Membrane</w:t>
      </w:r>
      <w:r>
        <w:rPr>
          <w:sz w:val="20"/>
          <w:szCs w:val="20"/>
        </w:rPr>
        <w:t xml:space="preserve"> </w:t>
      </w:r>
      <w:r w:rsidRPr="003E2D6E">
        <w:rPr>
          <w:sz w:val="20"/>
          <w:szCs w:val="20"/>
        </w:rPr>
        <w:t xml:space="preserve">Antigen-avid Lesions: A Systematic Review and Meta-analysis. </w:t>
      </w:r>
      <w:r w:rsidRPr="003E2D6E">
        <w:rPr>
          <w:i/>
          <w:iCs/>
          <w:sz w:val="20"/>
          <w:szCs w:val="20"/>
        </w:rPr>
        <w:t>Eur Urol</w:t>
      </w:r>
      <w:r w:rsidRPr="003E2D6E">
        <w:rPr>
          <w:sz w:val="20"/>
          <w:szCs w:val="20"/>
        </w:rPr>
        <w:t>, 77</w:t>
      </w:r>
      <w:r>
        <w:rPr>
          <w:sz w:val="20"/>
          <w:szCs w:val="20"/>
        </w:rPr>
        <w:t>:</w:t>
      </w:r>
      <w:r w:rsidRPr="003E2D6E">
        <w:rPr>
          <w:sz w:val="20"/>
          <w:szCs w:val="20"/>
        </w:rPr>
        <w:t xml:space="preserve"> 403-417.</w:t>
      </w:r>
    </w:p>
    <w:p w14:paraId="016E258B" w14:textId="597C5B61" w:rsidR="006D58F4" w:rsidRDefault="006D58F4" w:rsidP="003E2D6E">
      <w:pPr>
        <w:spacing w:after="120" w:line="240" w:lineRule="auto"/>
        <w:rPr>
          <w:sz w:val="20"/>
          <w:szCs w:val="20"/>
        </w:rPr>
      </w:pPr>
      <w:r w:rsidRPr="006D58F4">
        <w:rPr>
          <w:sz w:val="20"/>
          <w:szCs w:val="20"/>
        </w:rPr>
        <w:t xml:space="preserve">Sadaghiani MS, </w:t>
      </w:r>
      <w:r>
        <w:rPr>
          <w:sz w:val="20"/>
          <w:szCs w:val="20"/>
        </w:rPr>
        <w:t>et al. 2021</w:t>
      </w:r>
      <w:r w:rsidRPr="006D58F4">
        <w:rPr>
          <w:sz w:val="20"/>
          <w:szCs w:val="20"/>
        </w:rPr>
        <w:t xml:space="preserve">. A Systematic Review and Meta-analysis of the Effectiveness and Toxicities of Lutetium-177-labeled Prostate-specific Membrane Antigen-targeted Radioligand Therapy in Metastatic Castration-Resistant Prostate Cancer. </w:t>
      </w:r>
      <w:r w:rsidRPr="00BE66DE">
        <w:rPr>
          <w:i/>
          <w:iCs/>
          <w:sz w:val="20"/>
          <w:szCs w:val="20"/>
        </w:rPr>
        <w:t>Eur Urol</w:t>
      </w:r>
      <w:r w:rsidRPr="006D58F4">
        <w:rPr>
          <w:sz w:val="20"/>
          <w:szCs w:val="20"/>
        </w:rPr>
        <w:t>. 80(1):82-94. doi: 10.1016/j.eururo.2021.03.004. Epub 2021 Apr 8. PMID: 33840558; PMCID: PMC8206006.</w:t>
      </w:r>
    </w:p>
    <w:p w14:paraId="7CA0A729" w14:textId="7EE6E40B" w:rsidR="003E2D6E" w:rsidRDefault="003E2D6E" w:rsidP="003E2D6E">
      <w:pPr>
        <w:spacing w:after="120" w:line="240" w:lineRule="auto"/>
        <w:rPr>
          <w:sz w:val="20"/>
          <w:szCs w:val="20"/>
        </w:rPr>
      </w:pPr>
      <w:r>
        <w:rPr>
          <w:sz w:val="20"/>
          <w:szCs w:val="20"/>
        </w:rPr>
        <w:t xml:space="preserve">Sartor O, et al. 2021. </w:t>
      </w:r>
      <w:r w:rsidRPr="003E2D6E">
        <w:rPr>
          <w:sz w:val="20"/>
          <w:szCs w:val="20"/>
        </w:rPr>
        <w:t>Lutetium-177–PSMA-617 for Metastatic</w:t>
      </w:r>
      <w:r>
        <w:rPr>
          <w:sz w:val="20"/>
          <w:szCs w:val="20"/>
        </w:rPr>
        <w:t xml:space="preserve"> </w:t>
      </w:r>
      <w:r w:rsidRPr="003E2D6E">
        <w:rPr>
          <w:sz w:val="20"/>
          <w:szCs w:val="20"/>
        </w:rPr>
        <w:t>Castration-Resistant Prostate Cancer</w:t>
      </w:r>
      <w:r>
        <w:rPr>
          <w:sz w:val="20"/>
          <w:szCs w:val="20"/>
        </w:rPr>
        <w:t xml:space="preserve">. </w:t>
      </w:r>
      <w:r>
        <w:rPr>
          <w:i/>
          <w:iCs/>
          <w:sz w:val="20"/>
          <w:szCs w:val="20"/>
        </w:rPr>
        <w:t>New England Journal of Medicine</w:t>
      </w:r>
      <w:r>
        <w:rPr>
          <w:sz w:val="20"/>
          <w:szCs w:val="20"/>
        </w:rPr>
        <w:t>, 385(12): 1091-1103.</w:t>
      </w:r>
    </w:p>
    <w:p w14:paraId="7AC775ED" w14:textId="48EC35D3" w:rsidR="00F709E7" w:rsidRPr="003E2D6E" w:rsidRDefault="00F709E7" w:rsidP="00F709E7">
      <w:pPr>
        <w:spacing w:after="120" w:line="240" w:lineRule="auto"/>
        <w:rPr>
          <w:sz w:val="20"/>
          <w:szCs w:val="20"/>
        </w:rPr>
      </w:pPr>
      <w:r w:rsidRPr="00F709E7">
        <w:rPr>
          <w:sz w:val="20"/>
          <w:szCs w:val="20"/>
        </w:rPr>
        <w:t xml:space="preserve">Scott AM. 2001. Current status of positron emission tomography in oncology. </w:t>
      </w:r>
      <w:r w:rsidRPr="00F709E7">
        <w:rPr>
          <w:i/>
          <w:iCs/>
          <w:sz w:val="20"/>
          <w:szCs w:val="20"/>
        </w:rPr>
        <w:t>Intern Med J</w:t>
      </w:r>
      <w:r w:rsidRPr="00F709E7">
        <w:rPr>
          <w:sz w:val="20"/>
          <w:szCs w:val="20"/>
        </w:rPr>
        <w:t>, 31, 27-36.</w:t>
      </w:r>
    </w:p>
    <w:sectPr w:rsidR="00F709E7" w:rsidRPr="003E2D6E" w:rsidSect="00AE6FE0">
      <w:footerReference w:type="even" r:id="rId22"/>
      <w:footerReference w:type="default" r:id="rId23"/>
      <w:pgSz w:w="11906" w:h="16838"/>
      <w:pgMar w:top="682"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F998E" w14:textId="77777777" w:rsidR="001E3B25" w:rsidRDefault="001E3B25" w:rsidP="0016315C">
      <w:pPr>
        <w:spacing w:after="0" w:line="240" w:lineRule="auto"/>
      </w:pPr>
      <w:r>
        <w:separator/>
      </w:r>
    </w:p>
  </w:endnote>
  <w:endnote w:type="continuationSeparator" w:id="0">
    <w:p w14:paraId="4C9E442E" w14:textId="77777777" w:rsidR="001E3B25" w:rsidRDefault="001E3B25" w:rsidP="0016315C">
      <w:pPr>
        <w:spacing w:after="0" w:line="240" w:lineRule="auto"/>
      </w:pPr>
      <w:r>
        <w:continuationSeparator/>
      </w:r>
    </w:p>
  </w:endnote>
  <w:endnote w:type="continuationNotice" w:id="1">
    <w:p w14:paraId="1A081345" w14:textId="77777777" w:rsidR="001E3B25" w:rsidRDefault="001E3B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92114567"/>
      <w:docPartObj>
        <w:docPartGallery w:val="Page Numbers (Bottom of Page)"/>
        <w:docPartUnique/>
      </w:docPartObj>
    </w:sdtPr>
    <w:sdtEndPr>
      <w:rPr>
        <w:rStyle w:val="PageNumber"/>
      </w:rPr>
    </w:sdtEndPr>
    <w:sdtContent>
      <w:p w14:paraId="2F61D3D2" w14:textId="66E4C48E" w:rsidR="001E3B25" w:rsidRDefault="001E3B25" w:rsidP="008F59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E72C2D" w14:textId="77777777" w:rsidR="001E3B25" w:rsidRDefault="001E3B25"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3382827"/>
      <w:docPartObj>
        <w:docPartGallery w:val="Page Numbers (Bottom of Page)"/>
        <w:docPartUnique/>
      </w:docPartObj>
    </w:sdtPr>
    <w:sdtEndPr>
      <w:rPr>
        <w:rStyle w:val="PageNumber"/>
      </w:rPr>
    </w:sdtEndPr>
    <w:sdtContent>
      <w:p w14:paraId="4DE593B1" w14:textId="5927CF1B" w:rsidR="001E3B25" w:rsidRDefault="001E3B25" w:rsidP="008F59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3C91E3" w14:textId="566CF446" w:rsidR="001E3B25" w:rsidRDefault="001E3B25" w:rsidP="00041854">
    <w:pPr>
      <w:spacing w:after="0"/>
      <w:jc w:val="center"/>
    </w:pPr>
    <w:r>
      <w:t xml:space="preserve">Ratified </w:t>
    </w:r>
    <w:r w:rsidRPr="00685355">
      <w:t xml:space="preserve">PICO </w:t>
    </w:r>
    <w:r>
      <w:t>C</w:t>
    </w:r>
    <w:r w:rsidRPr="00685355">
      <w:t>onfirmation</w:t>
    </w:r>
    <w:r>
      <w:t xml:space="preserve"> – December 2021 PASC</w:t>
    </w:r>
  </w:p>
  <w:p w14:paraId="33649654" w14:textId="447FB20A" w:rsidR="001E3B25" w:rsidRPr="00685355" w:rsidRDefault="001E3B25" w:rsidP="00685355">
    <w:r>
      <w:t xml:space="preserve">MSAC Application 1686 - </w:t>
    </w:r>
    <w:r w:rsidRPr="00041854">
      <w:rPr>
        <w:vertAlign w:val="superscript"/>
      </w:rPr>
      <w:t>177</w:t>
    </w:r>
    <w:r w:rsidRPr="00041854">
      <w:t>Lutetium Prostate Specific Membrane Antigen (PSMA) imaging and therapy (</w:t>
    </w:r>
    <w:r>
      <w:t>I&amp;T</w:t>
    </w:r>
    <w:r w:rsidRPr="00041854">
      <w:t>) for metastatic castrate resistant prostate cancer (mCRPC)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97BA9" w14:textId="77777777" w:rsidR="001E3B25" w:rsidRDefault="001E3B25" w:rsidP="0016315C">
      <w:pPr>
        <w:spacing w:after="0" w:line="240" w:lineRule="auto"/>
      </w:pPr>
      <w:r>
        <w:separator/>
      </w:r>
    </w:p>
  </w:footnote>
  <w:footnote w:type="continuationSeparator" w:id="0">
    <w:p w14:paraId="5A2E455A" w14:textId="77777777" w:rsidR="001E3B25" w:rsidRDefault="001E3B25" w:rsidP="0016315C">
      <w:pPr>
        <w:spacing w:after="0" w:line="240" w:lineRule="auto"/>
      </w:pPr>
      <w:r>
        <w:continuationSeparator/>
      </w:r>
    </w:p>
  </w:footnote>
  <w:footnote w:type="continuationNotice" w:id="1">
    <w:p w14:paraId="524AFB72" w14:textId="77777777" w:rsidR="001E3B25" w:rsidRDefault="001E3B25">
      <w:pPr>
        <w:spacing w:after="0" w:line="240" w:lineRule="auto"/>
      </w:pPr>
    </w:p>
  </w:footnote>
  <w:footnote w:id="2">
    <w:p w14:paraId="7A3202D3" w14:textId="77777777" w:rsidR="001E3B25" w:rsidRDefault="001E3B25" w:rsidP="004E0015">
      <w:pPr>
        <w:pStyle w:val="FootnoteText"/>
      </w:pPr>
      <w:r>
        <w:rPr>
          <w:rStyle w:val="FootnoteReference"/>
        </w:rPr>
        <w:footnoteRef/>
      </w:r>
      <w:r>
        <w:t xml:space="preserve"> </w:t>
      </w:r>
      <w:hyperlink r:id="rId1" w:history="1">
        <w:r w:rsidRPr="005B5F1C">
          <w:rPr>
            <w:rStyle w:val="Hyperlink"/>
            <w:rFonts w:ascii="Calibri" w:hAnsi="Calibri"/>
          </w:rPr>
          <w:t>https://clinicaltrials.gov/ct2/show/NCT03392428</w:t>
        </w:r>
      </w:hyperlink>
      <w:r>
        <w:t xml:space="preserve"> </w:t>
      </w:r>
    </w:p>
  </w:footnote>
  <w:footnote w:id="3">
    <w:p w14:paraId="6BA356C1" w14:textId="77777777" w:rsidR="001E3B25" w:rsidRDefault="001E3B25" w:rsidP="004E0015">
      <w:pPr>
        <w:pStyle w:val="FootnoteText"/>
      </w:pPr>
      <w:r>
        <w:rPr>
          <w:rStyle w:val="FootnoteReference"/>
        </w:rPr>
        <w:footnoteRef/>
      </w:r>
      <w:r>
        <w:t xml:space="preserve"> </w:t>
      </w:r>
      <w:hyperlink r:id="rId2" w:history="1">
        <w:r w:rsidRPr="005B5F1C">
          <w:rPr>
            <w:rStyle w:val="Hyperlink"/>
            <w:rFonts w:ascii="Calibri" w:hAnsi="Calibri"/>
          </w:rPr>
          <w:t>https://clinicaltrials.gov/ct2/show/NCT03511664</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7D79"/>
    <w:multiLevelType w:val="hybridMultilevel"/>
    <w:tmpl w:val="2774D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0106E"/>
    <w:multiLevelType w:val="hybridMultilevel"/>
    <w:tmpl w:val="02D6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908E9"/>
    <w:multiLevelType w:val="hybridMultilevel"/>
    <w:tmpl w:val="1E7A9722"/>
    <w:lvl w:ilvl="0" w:tplc="4CFCEE3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0D245359"/>
    <w:multiLevelType w:val="hybridMultilevel"/>
    <w:tmpl w:val="0CBA8B90"/>
    <w:lvl w:ilvl="0" w:tplc="4CFCEE36">
      <w:numFmt w:val="bullet"/>
      <w:lvlText w:val="-"/>
      <w:lvlJc w:val="left"/>
      <w:pPr>
        <w:ind w:left="672" w:hanging="360"/>
      </w:pPr>
      <w:rPr>
        <w:rFonts w:ascii="Calibri" w:eastAsia="Calibri" w:hAnsi="Calibri" w:cs="Calibri"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5" w15:restartNumberingAfterBreak="0">
    <w:nsid w:val="13171BF7"/>
    <w:multiLevelType w:val="hybridMultilevel"/>
    <w:tmpl w:val="F11C5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D0E80"/>
    <w:multiLevelType w:val="hybridMultilevel"/>
    <w:tmpl w:val="0A4EB5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2A7EF9"/>
    <w:multiLevelType w:val="hybridMultilevel"/>
    <w:tmpl w:val="D4788E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514AA9"/>
    <w:multiLevelType w:val="hybridMultilevel"/>
    <w:tmpl w:val="07F2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E833AD"/>
    <w:multiLevelType w:val="hybridMultilevel"/>
    <w:tmpl w:val="51D83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20247"/>
    <w:multiLevelType w:val="hybridMultilevel"/>
    <w:tmpl w:val="44A26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C6382"/>
    <w:multiLevelType w:val="hybridMultilevel"/>
    <w:tmpl w:val="82E8702C"/>
    <w:lvl w:ilvl="0" w:tplc="5A3AEBF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C11880"/>
    <w:multiLevelType w:val="hybridMultilevel"/>
    <w:tmpl w:val="372E52FA"/>
    <w:lvl w:ilvl="0" w:tplc="0C090003">
      <w:start w:val="1"/>
      <w:numFmt w:val="bullet"/>
      <w:lvlText w:val="o"/>
      <w:lvlJc w:val="left"/>
      <w:pPr>
        <w:ind w:left="1392" w:hanging="360"/>
      </w:pPr>
      <w:rPr>
        <w:rFonts w:ascii="Courier New" w:hAnsi="Courier New" w:cs="Courier New" w:hint="default"/>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14" w15:restartNumberingAfterBreak="0">
    <w:nsid w:val="3314372A"/>
    <w:multiLevelType w:val="hybridMultilevel"/>
    <w:tmpl w:val="2A069B40"/>
    <w:lvl w:ilvl="0" w:tplc="0C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835C04"/>
    <w:multiLevelType w:val="hybridMultilevel"/>
    <w:tmpl w:val="78E204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376D0A9F"/>
    <w:multiLevelType w:val="hybridMultilevel"/>
    <w:tmpl w:val="C22A7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03749"/>
    <w:multiLevelType w:val="hybridMultilevel"/>
    <w:tmpl w:val="2AD45BD8"/>
    <w:lvl w:ilvl="0" w:tplc="FFFFFFFF">
      <w:start w:val="1"/>
      <w:numFmt w:val="bullet"/>
      <w:lvlText w:val=""/>
      <w:lvlJc w:val="left"/>
      <w:pPr>
        <w:tabs>
          <w:tab w:val="num" w:pos="360"/>
        </w:tabs>
        <w:ind w:left="360" w:hanging="360"/>
      </w:pPr>
      <w:rPr>
        <w:rFonts w:ascii="Symbol" w:hAnsi="Symbol" w:hint="default"/>
      </w:rPr>
    </w:lvl>
    <w:lvl w:ilvl="1" w:tplc="4CFCEE36">
      <w:numFmt w:val="bullet"/>
      <w:lvlText w:val="-"/>
      <w:lvlJc w:val="left"/>
      <w:pPr>
        <w:tabs>
          <w:tab w:val="num" w:pos="1080"/>
        </w:tabs>
        <w:ind w:left="1080" w:hanging="360"/>
      </w:pPr>
      <w:rPr>
        <w:rFonts w:ascii="Calibri" w:eastAsia="Calibri" w:hAnsi="Calibri" w:cs="Calibri"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453B3B2B"/>
    <w:multiLevelType w:val="hybridMultilevel"/>
    <w:tmpl w:val="4AE49CB2"/>
    <w:lvl w:ilvl="0" w:tplc="0C090001">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4B3C12D3"/>
    <w:multiLevelType w:val="hybridMultilevel"/>
    <w:tmpl w:val="259C4B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4C715E36"/>
    <w:multiLevelType w:val="hybridMultilevel"/>
    <w:tmpl w:val="0E60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A169E"/>
    <w:multiLevelType w:val="hybridMultilevel"/>
    <w:tmpl w:val="AF08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FB667A"/>
    <w:multiLevelType w:val="hybridMultilevel"/>
    <w:tmpl w:val="602C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24"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222531"/>
    <w:multiLevelType w:val="hybridMultilevel"/>
    <w:tmpl w:val="3B22F802"/>
    <w:lvl w:ilvl="0" w:tplc="1418336C">
      <w:start w:val="1"/>
      <w:numFmt w:val="bullet"/>
      <w:lvlText w:val=""/>
      <w:lvlJc w:val="left"/>
      <w:pPr>
        <w:ind w:left="672"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43329D"/>
    <w:multiLevelType w:val="hybridMultilevel"/>
    <w:tmpl w:val="F6CA5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999024F"/>
    <w:multiLevelType w:val="hybridMultilevel"/>
    <w:tmpl w:val="1F56ACE4"/>
    <w:lvl w:ilvl="0" w:tplc="04090001">
      <w:start w:val="1"/>
      <w:numFmt w:val="bullet"/>
      <w:lvlText w:val=""/>
      <w:lvlJc w:val="left"/>
      <w:pPr>
        <w:ind w:left="67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445C10"/>
    <w:multiLevelType w:val="hybridMultilevel"/>
    <w:tmpl w:val="4C1EA9A4"/>
    <w:lvl w:ilvl="0" w:tplc="4CFCEE3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C95369"/>
    <w:multiLevelType w:val="hybridMultilevel"/>
    <w:tmpl w:val="5540EF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0DF060B"/>
    <w:multiLevelType w:val="hybridMultilevel"/>
    <w:tmpl w:val="6D1E81CA"/>
    <w:lvl w:ilvl="0" w:tplc="4CFCEE3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C37149"/>
    <w:multiLevelType w:val="hybridMultilevel"/>
    <w:tmpl w:val="993E4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AB0B50"/>
    <w:multiLevelType w:val="hybridMultilevel"/>
    <w:tmpl w:val="5C00E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B26531"/>
    <w:multiLevelType w:val="hybridMultilevel"/>
    <w:tmpl w:val="BEF6827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E3367DF"/>
    <w:multiLevelType w:val="hybridMultilevel"/>
    <w:tmpl w:val="62E440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926056E"/>
    <w:multiLevelType w:val="hybridMultilevel"/>
    <w:tmpl w:val="DDE651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9A92927"/>
    <w:multiLevelType w:val="hybridMultilevel"/>
    <w:tmpl w:val="F402A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FD7FE4"/>
    <w:multiLevelType w:val="hybridMultilevel"/>
    <w:tmpl w:val="49ACB5AC"/>
    <w:lvl w:ilvl="0" w:tplc="0C090001">
      <w:start w:val="1"/>
      <w:numFmt w:val="bullet"/>
      <w:lvlText w:val=""/>
      <w:lvlJc w:val="left"/>
      <w:pPr>
        <w:ind w:left="765" w:hanging="360"/>
      </w:pPr>
      <w:rPr>
        <w:rFonts w:ascii="Symbol" w:hAnsi="Symbol" w:cs="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15:restartNumberingAfterBreak="0">
    <w:nsid w:val="7F1236F4"/>
    <w:multiLevelType w:val="hybridMultilevel"/>
    <w:tmpl w:val="C7D85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4"/>
  </w:num>
  <w:num w:numId="3">
    <w:abstractNumId w:val="23"/>
  </w:num>
  <w:num w:numId="4">
    <w:abstractNumId w:val="9"/>
  </w:num>
  <w:num w:numId="5">
    <w:abstractNumId w:val="29"/>
  </w:num>
  <w:num w:numId="6">
    <w:abstractNumId w:val="0"/>
  </w:num>
  <w:num w:numId="7">
    <w:abstractNumId w:val="19"/>
  </w:num>
  <w:num w:numId="8">
    <w:abstractNumId w:val="37"/>
  </w:num>
  <w:num w:numId="9">
    <w:abstractNumId w:val="8"/>
  </w:num>
  <w:num w:numId="10">
    <w:abstractNumId w:val="10"/>
  </w:num>
  <w:num w:numId="11">
    <w:abstractNumId w:val="22"/>
  </w:num>
  <w:num w:numId="12">
    <w:abstractNumId w:val="15"/>
  </w:num>
  <w:num w:numId="13">
    <w:abstractNumId w:val="14"/>
  </w:num>
  <w:num w:numId="14">
    <w:abstractNumId w:val="12"/>
  </w:num>
  <w:num w:numId="15">
    <w:abstractNumId w:val="33"/>
  </w:num>
  <w:num w:numId="16">
    <w:abstractNumId w:val="1"/>
  </w:num>
  <w:num w:numId="17">
    <w:abstractNumId w:val="4"/>
  </w:num>
  <w:num w:numId="18">
    <w:abstractNumId w:val="13"/>
  </w:num>
  <w:num w:numId="19">
    <w:abstractNumId w:val="11"/>
  </w:num>
  <w:num w:numId="20">
    <w:abstractNumId w:val="27"/>
  </w:num>
  <w:num w:numId="21">
    <w:abstractNumId w:val="5"/>
  </w:num>
  <w:num w:numId="22">
    <w:abstractNumId w:val="16"/>
  </w:num>
  <w:num w:numId="23">
    <w:abstractNumId w:val="25"/>
  </w:num>
  <w:num w:numId="24">
    <w:abstractNumId w:val="7"/>
  </w:num>
  <w:num w:numId="25">
    <w:abstractNumId w:val="32"/>
  </w:num>
  <w:num w:numId="26">
    <w:abstractNumId w:val="36"/>
  </w:num>
  <w:num w:numId="27">
    <w:abstractNumId w:val="20"/>
  </w:num>
  <w:num w:numId="28">
    <w:abstractNumId w:val="28"/>
  </w:num>
  <w:num w:numId="29">
    <w:abstractNumId w:val="2"/>
  </w:num>
  <w:num w:numId="30">
    <w:abstractNumId w:val="31"/>
  </w:num>
  <w:num w:numId="31">
    <w:abstractNumId w:val="21"/>
  </w:num>
  <w:num w:numId="32">
    <w:abstractNumId w:val="38"/>
  </w:num>
  <w:num w:numId="33">
    <w:abstractNumId w:val="30"/>
  </w:num>
  <w:num w:numId="34">
    <w:abstractNumId w:val="35"/>
  </w:num>
  <w:num w:numId="35">
    <w:abstractNumId w:val="34"/>
  </w:num>
  <w:num w:numId="36">
    <w:abstractNumId w:val="26"/>
  </w:num>
  <w:num w:numId="37">
    <w:abstractNumId w:val="6"/>
  </w:num>
  <w:num w:numId="38">
    <w:abstractNumId w:val="18"/>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F9C"/>
    <w:rsid w:val="00003DA3"/>
    <w:rsid w:val="000073AA"/>
    <w:rsid w:val="0001228D"/>
    <w:rsid w:val="00015F76"/>
    <w:rsid w:val="00021DFB"/>
    <w:rsid w:val="000408EA"/>
    <w:rsid w:val="00041854"/>
    <w:rsid w:val="00047A73"/>
    <w:rsid w:val="00054A13"/>
    <w:rsid w:val="00055272"/>
    <w:rsid w:val="0005639D"/>
    <w:rsid w:val="000600CD"/>
    <w:rsid w:val="000610EB"/>
    <w:rsid w:val="00066772"/>
    <w:rsid w:val="0007250F"/>
    <w:rsid w:val="000738E8"/>
    <w:rsid w:val="000758AE"/>
    <w:rsid w:val="00076484"/>
    <w:rsid w:val="00083F40"/>
    <w:rsid w:val="000939E0"/>
    <w:rsid w:val="000A3242"/>
    <w:rsid w:val="000A32C5"/>
    <w:rsid w:val="000A6A3F"/>
    <w:rsid w:val="000A7E45"/>
    <w:rsid w:val="000C2155"/>
    <w:rsid w:val="000D1FCF"/>
    <w:rsid w:val="000D2BCB"/>
    <w:rsid w:val="000E0504"/>
    <w:rsid w:val="000E065C"/>
    <w:rsid w:val="000E06F6"/>
    <w:rsid w:val="000E1294"/>
    <w:rsid w:val="000E36E3"/>
    <w:rsid w:val="000E5417"/>
    <w:rsid w:val="000E623D"/>
    <w:rsid w:val="000F1405"/>
    <w:rsid w:val="000F7C35"/>
    <w:rsid w:val="00105077"/>
    <w:rsid w:val="00105E13"/>
    <w:rsid w:val="00107794"/>
    <w:rsid w:val="001146E9"/>
    <w:rsid w:val="00115613"/>
    <w:rsid w:val="00120F8A"/>
    <w:rsid w:val="00134E53"/>
    <w:rsid w:val="0014288D"/>
    <w:rsid w:val="00143391"/>
    <w:rsid w:val="0015524E"/>
    <w:rsid w:val="00155C21"/>
    <w:rsid w:val="00161727"/>
    <w:rsid w:val="0016315C"/>
    <w:rsid w:val="0016647E"/>
    <w:rsid w:val="00173763"/>
    <w:rsid w:val="00173850"/>
    <w:rsid w:val="00176949"/>
    <w:rsid w:val="001966FC"/>
    <w:rsid w:val="001A064E"/>
    <w:rsid w:val="001A4059"/>
    <w:rsid w:val="001A4818"/>
    <w:rsid w:val="001A5D2F"/>
    <w:rsid w:val="001B1599"/>
    <w:rsid w:val="001B490C"/>
    <w:rsid w:val="001B50F2"/>
    <w:rsid w:val="001C3335"/>
    <w:rsid w:val="001C4315"/>
    <w:rsid w:val="001C61E1"/>
    <w:rsid w:val="001D247E"/>
    <w:rsid w:val="001E12E6"/>
    <w:rsid w:val="001E2A2A"/>
    <w:rsid w:val="001E2B15"/>
    <w:rsid w:val="001E3B25"/>
    <w:rsid w:val="001E5F9C"/>
    <w:rsid w:val="001F334A"/>
    <w:rsid w:val="002047BF"/>
    <w:rsid w:val="00204E4D"/>
    <w:rsid w:val="00205F29"/>
    <w:rsid w:val="00206790"/>
    <w:rsid w:val="002144C6"/>
    <w:rsid w:val="00216567"/>
    <w:rsid w:val="00221162"/>
    <w:rsid w:val="002221D0"/>
    <w:rsid w:val="00231881"/>
    <w:rsid w:val="00235B21"/>
    <w:rsid w:val="002413F2"/>
    <w:rsid w:val="00251045"/>
    <w:rsid w:val="00256DAC"/>
    <w:rsid w:val="002651DC"/>
    <w:rsid w:val="0026525C"/>
    <w:rsid w:val="002714FB"/>
    <w:rsid w:val="0027170F"/>
    <w:rsid w:val="00273DEE"/>
    <w:rsid w:val="00295CCF"/>
    <w:rsid w:val="002972CC"/>
    <w:rsid w:val="00297EE2"/>
    <w:rsid w:val="002B103E"/>
    <w:rsid w:val="002B1EFC"/>
    <w:rsid w:val="002B2578"/>
    <w:rsid w:val="002B2A88"/>
    <w:rsid w:val="002B4A65"/>
    <w:rsid w:val="002C36DB"/>
    <w:rsid w:val="002C4605"/>
    <w:rsid w:val="002D17EA"/>
    <w:rsid w:val="002D5D59"/>
    <w:rsid w:val="002E0790"/>
    <w:rsid w:val="002E15DC"/>
    <w:rsid w:val="002F2D00"/>
    <w:rsid w:val="002F33A1"/>
    <w:rsid w:val="002F3E40"/>
    <w:rsid w:val="003029AC"/>
    <w:rsid w:val="0030350A"/>
    <w:rsid w:val="00303D4B"/>
    <w:rsid w:val="0031565B"/>
    <w:rsid w:val="003245F1"/>
    <w:rsid w:val="00324EF8"/>
    <w:rsid w:val="0033337F"/>
    <w:rsid w:val="00341917"/>
    <w:rsid w:val="0034704A"/>
    <w:rsid w:val="00350316"/>
    <w:rsid w:val="003552F2"/>
    <w:rsid w:val="00360B55"/>
    <w:rsid w:val="00361DCA"/>
    <w:rsid w:val="003657B5"/>
    <w:rsid w:val="00365A6F"/>
    <w:rsid w:val="003716F9"/>
    <w:rsid w:val="00373081"/>
    <w:rsid w:val="00380DAD"/>
    <w:rsid w:val="0038390C"/>
    <w:rsid w:val="00385C72"/>
    <w:rsid w:val="003863E2"/>
    <w:rsid w:val="00392F01"/>
    <w:rsid w:val="003930EF"/>
    <w:rsid w:val="003A6688"/>
    <w:rsid w:val="003B0930"/>
    <w:rsid w:val="003B7EA6"/>
    <w:rsid w:val="003C3037"/>
    <w:rsid w:val="003C3D3E"/>
    <w:rsid w:val="003D4ED4"/>
    <w:rsid w:val="003E19A1"/>
    <w:rsid w:val="003E2D6E"/>
    <w:rsid w:val="003E3D39"/>
    <w:rsid w:val="003E68F1"/>
    <w:rsid w:val="003F0A39"/>
    <w:rsid w:val="003F3441"/>
    <w:rsid w:val="003F4A5D"/>
    <w:rsid w:val="00412FC8"/>
    <w:rsid w:val="00414171"/>
    <w:rsid w:val="00415262"/>
    <w:rsid w:val="00417203"/>
    <w:rsid w:val="00434708"/>
    <w:rsid w:val="00434DD2"/>
    <w:rsid w:val="004357D3"/>
    <w:rsid w:val="00435B32"/>
    <w:rsid w:val="004440D1"/>
    <w:rsid w:val="00452E06"/>
    <w:rsid w:val="004563CE"/>
    <w:rsid w:val="00456FF1"/>
    <w:rsid w:val="00460ADE"/>
    <w:rsid w:val="004631C2"/>
    <w:rsid w:val="0047315C"/>
    <w:rsid w:val="004741FA"/>
    <w:rsid w:val="0047423E"/>
    <w:rsid w:val="00490FBB"/>
    <w:rsid w:val="00492D60"/>
    <w:rsid w:val="00497D69"/>
    <w:rsid w:val="004A118A"/>
    <w:rsid w:val="004A4D86"/>
    <w:rsid w:val="004B214C"/>
    <w:rsid w:val="004B393E"/>
    <w:rsid w:val="004B4168"/>
    <w:rsid w:val="004B5963"/>
    <w:rsid w:val="004B622A"/>
    <w:rsid w:val="004C065E"/>
    <w:rsid w:val="004C2C5E"/>
    <w:rsid w:val="004C7458"/>
    <w:rsid w:val="004D2329"/>
    <w:rsid w:val="004D44E3"/>
    <w:rsid w:val="004E0015"/>
    <w:rsid w:val="004E04AE"/>
    <w:rsid w:val="004E3ABF"/>
    <w:rsid w:val="004E45EC"/>
    <w:rsid w:val="004F2BC9"/>
    <w:rsid w:val="004F7AD1"/>
    <w:rsid w:val="005062EF"/>
    <w:rsid w:val="005104F3"/>
    <w:rsid w:val="00526585"/>
    <w:rsid w:val="00531765"/>
    <w:rsid w:val="00536149"/>
    <w:rsid w:val="005370F8"/>
    <w:rsid w:val="00540D03"/>
    <w:rsid w:val="00546F9A"/>
    <w:rsid w:val="005536B3"/>
    <w:rsid w:val="00553A7E"/>
    <w:rsid w:val="00554726"/>
    <w:rsid w:val="00555B28"/>
    <w:rsid w:val="00560B45"/>
    <w:rsid w:val="00561C19"/>
    <w:rsid w:val="005754F3"/>
    <w:rsid w:val="005771DC"/>
    <w:rsid w:val="00577FF1"/>
    <w:rsid w:val="005833A7"/>
    <w:rsid w:val="00584E21"/>
    <w:rsid w:val="005876A4"/>
    <w:rsid w:val="00592719"/>
    <w:rsid w:val="00592814"/>
    <w:rsid w:val="005B1F28"/>
    <w:rsid w:val="005B3E2A"/>
    <w:rsid w:val="005B79D9"/>
    <w:rsid w:val="005C075C"/>
    <w:rsid w:val="005C1E1F"/>
    <w:rsid w:val="005C5DD5"/>
    <w:rsid w:val="005D079D"/>
    <w:rsid w:val="005D3EC1"/>
    <w:rsid w:val="005D6793"/>
    <w:rsid w:val="005E0AE1"/>
    <w:rsid w:val="005E11DE"/>
    <w:rsid w:val="005E1AC4"/>
    <w:rsid w:val="005E66BD"/>
    <w:rsid w:val="00611821"/>
    <w:rsid w:val="00612929"/>
    <w:rsid w:val="00615547"/>
    <w:rsid w:val="00616959"/>
    <w:rsid w:val="00632B45"/>
    <w:rsid w:val="00634847"/>
    <w:rsid w:val="00641937"/>
    <w:rsid w:val="006428B8"/>
    <w:rsid w:val="0064373C"/>
    <w:rsid w:val="00643926"/>
    <w:rsid w:val="006478E7"/>
    <w:rsid w:val="0065205D"/>
    <w:rsid w:val="00657559"/>
    <w:rsid w:val="006611BA"/>
    <w:rsid w:val="0066313B"/>
    <w:rsid w:val="00666063"/>
    <w:rsid w:val="00677AE3"/>
    <w:rsid w:val="006800C4"/>
    <w:rsid w:val="00681CA6"/>
    <w:rsid w:val="00681F9E"/>
    <w:rsid w:val="00685355"/>
    <w:rsid w:val="00686EED"/>
    <w:rsid w:val="00695C1A"/>
    <w:rsid w:val="006A054B"/>
    <w:rsid w:val="006A07CC"/>
    <w:rsid w:val="006A3486"/>
    <w:rsid w:val="006A467F"/>
    <w:rsid w:val="006A51E9"/>
    <w:rsid w:val="006A67FB"/>
    <w:rsid w:val="006B639C"/>
    <w:rsid w:val="006B70FB"/>
    <w:rsid w:val="006C660F"/>
    <w:rsid w:val="006C76CD"/>
    <w:rsid w:val="006C7859"/>
    <w:rsid w:val="006D58F4"/>
    <w:rsid w:val="006D7025"/>
    <w:rsid w:val="006E1251"/>
    <w:rsid w:val="006E5B64"/>
    <w:rsid w:val="006E6E1C"/>
    <w:rsid w:val="006F01C4"/>
    <w:rsid w:val="006F47DD"/>
    <w:rsid w:val="00711A84"/>
    <w:rsid w:val="00713728"/>
    <w:rsid w:val="00716BCF"/>
    <w:rsid w:val="00717443"/>
    <w:rsid w:val="00717827"/>
    <w:rsid w:val="00732B57"/>
    <w:rsid w:val="00735A1A"/>
    <w:rsid w:val="00735F0E"/>
    <w:rsid w:val="00736C3F"/>
    <w:rsid w:val="00740FA7"/>
    <w:rsid w:val="00746DBE"/>
    <w:rsid w:val="007537CA"/>
    <w:rsid w:val="00753B6C"/>
    <w:rsid w:val="00761B67"/>
    <w:rsid w:val="00763AB2"/>
    <w:rsid w:val="0076740E"/>
    <w:rsid w:val="00772823"/>
    <w:rsid w:val="00773C4D"/>
    <w:rsid w:val="00780837"/>
    <w:rsid w:val="00782767"/>
    <w:rsid w:val="00786563"/>
    <w:rsid w:val="00791CF0"/>
    <w:rsid w:val="0079367E"/>
    <w:rsid w:val="00795B0E"/>
    <w:rsid w:val="007A66C8"/>
    <w:rsid w:val="007B2D20"/>
    <w:rsid w:val="007B3111"/>
    <w:rsid w:val="007B352D"/>
    <w:rsid w:val="007B3863"/>
    <w:rsid w:val="007B3E5F"/>
    <w:rsid w:val="007C208E"/>
    <w:rsid w:val="007C42C6"/>
    <w:rsid w:val="007D6B83"/>
    <w:rsid w:val="007F48E9"/>
    <w:rsid w:val="0080283E"/>
    <w:rsid w:val="008048C7"/>
    <w:rsid w:val="00807D66"/>
    <w:rsid w:val="00817F6C"/>
    <w:rsid w:val="00821BDC"/>
    <w:rsid w:val="00823033"/>
    <w:rsid w:val="00825C31"/>
    <w:rsid w:val="0082654E"/>
    <w:rsid w:val="0085133F"/>
    <w:rsid w:val="00851403"/>
    <w:rsid w:val="008611D2"/>
    <w:rsid w:val="00874776"/>
    <w:rsid w:val="008749AC"/>
    <w:rsid w:val="00877BA8"/>
    <w:rsid w:val="00882E7A"/>
    <w:rsid w:val="00887D66"/>
    <w:rsid w:val="00891488"/>
    <w:rsid w:val="008A2944"/>
    <w:rsid w:val="008A519D"/>
    <w:rsid w:val="008A595F"/>
    <w:rsid w:val="008A6A1F"/>
    <w:rsid w:val="008B1E2F"/>
    <w:rsid w:val="008B30A8"/>
    <w:rsid w:val="008C22E7"/>
    <w:rsid w:val="008C254C"/>
    <w:rsid w:val="008C4B3C"/>
    <w:rsid w:val="008C5CAE"/>
    <w:rsid w:val="008C5DE9"/>
    <w:rsid w:val="008C6720"/>
    <w:rsid w:val="008D081E"/>
    <w:rsid w:val="008D1E83"/>
    <w:rsid w:val="008D301D"/>
    <w:rsid w:val="008D5A61"/>
    <w:rsid w:val="008E2BAC"/>
    <w:rsid w:val="008E7BC2"/>
    <w:rsid w:val="008F1532"/>
    <w:rsid w:val="008F28BA"/>
    <w:rsid w:val="008F5903"/>
    <w:rsid w:val="008F59B6"/>
    <w:rsid w:val="00900179"/>
    <w:rsid w:val="00906012"/>
    <w:rsid w:val="00906507"/>
    <w:rsid w:val="00910DF7"/>
    <w:rsid w:val="00912660"/>
    <w:rsid w:val="0091639E"/>
    <w:rsid w:val="00932C92"/>
    <w:rsid w:val="00933860"/>
    <w:rsid w:val="00933BC0"/>
    <w:rsid w:val="00934A24"/>
    <w:rsid w:val="00937A50"/>
    <w:rsid w:val="009478E9"/>
    <w:rsid w:val="00950325"/>
    <w:rsid w:val="009509AF"/>
    <w:rsid w:val="00953283"/>
    <w:rsid w:val="00955622"/>
    <w:rsid w:val="00955D17"/>
    <w:rsid w:val="00962B90"/>
    <w:rsid w:val="00964C29"/>
    <w:rsid w:val="00966DF7"/>
    <w:rsid w:val="00983440"/>
    <w:rsid w:val="00993538"/>
    <w:rsid w:val="00993573"/>
    <w:rsid w:val="009978F4"/>
    <w:rsid w:val="009A26A1"/>
    <w:rsid w:val="009A5BC8"/>
    <w:rsid w:val="009B20E5"/>
    <w:rsid w:val="009B31CC"/>
    <w:rsid w:val="009B70BB"/>
    <w:rsid w:val="009C40F5"/>
    <w:rsid w:val="009C4AF2"/>
    <w:rsid w:val="009D1B62"/>
    <w:rsid w:val="009D52C8"/>
    <w:rsid w:val="009D66B0"/>
    <w:rsid w:val="009D73E9"/>
    <w:rsid w:val="009D7A92"/>
    <w:rsid w:val="009E0B6F"/>
    <w:rsid w:val="009E5254"/>
    <w:rsid w:val="009E6811"/>
    <w:rsid w:val="009F1181"/>
    <w:rsid w:val="00A14D84"/>
    <w:rsid w:val="00A1754C"/>
    <w:rsid w:val="00A20CF9"/>
    <w:rsid w:val="00A21BC0"/>
    <w:rsid w:val="00A222E6"/>
    <w:rsid w:val="00A2251D"/>
    <w:rsid w:val="00A32B01"/>
    <w:rsid w:val="00A33126"/>
    <w:rsid w:val="00A40CE9"/>
    <w:rsid w:val="00A4692B"/>
    <w:rsid w:val="00A50ADB"/>
    <w:rsid w:val="00A56EA2"/>
    <w:rsid w:val="00A61410"/>
    <w:rsid w:val="00A62163"/>
    <w:rsid w:val="00A65B04"/>
    <w:rsid w:val="00A71C1A"/>
    <w:rsid w:val="00A82063"/>
    <w:rsid w:val="00A828C0"/>
    <w:rsid w:val="00A91DE0"/>
    <w:rsid w:val="00AA506D"/>
    <w:rsid w:val="00AA7588"/>
    <w:rsid w:val="00AD0A65"/>
    <w:rsid w:val="00AE2363"/>
    <w:rsid w:val="00AE613E"/>
    <w:rsid w:val="00AE6FE0"/>
    <w:rsid w:val="00AE745F"/>
    <w:rsid w:val="00AF10B6"/>
    <w:rsid w:val="00AF549C"/>
    <w:rsid w:val="00AF6211"/>
    <w:rsid w:val="00AF6724"/>
    <w:rsid w:val="00AF7A4A"/>
    <w:rsid w:val="00B068C0"/>
    <w:rsid w:val="00B10F39"/>
    <w:rsid w:val="00B118C7"/>
    <w:rsid w:val="00B14F08"/>
    <w:rsid w:val="00B1601E"/>
    <w:rsid w:val="00B17B75"/>
    <w:rsid w:val="00B17E87"/>
    <w:rsid w:val="00B22B6D"/>
    <w:rsid w:val="00B3701E"/>
    <w:rsid w:val="00B43FA6"/>
    <w:rsid w:val="00B47969"/>
    <w:rsid w:val="00B51088"/>
    <w:rsid w:val="00B534D7"/>
    <w:rsid w:val="00B53B44"/>
    <w:rsid w:val="00B549ED"/>
    <w:rsid w:val="00B564C9"/>
    <w:rsid w:val="00B63DFA"/>
    <w:rsid w:val="00B644BF"/>
    <w:rsid w:val="00B73FCB"/>
    <w:rsid w:val="00B8012D"/>
    <w:rsid w:val="00B801D5"/>
    <w:rsid w:val="00B81F1B"/>
    <w:rsid w:val="00B82A03"/>
    <w:rsid w:val="00B93126"/>
    <w:rsid w:val="00B961B3"/>
    <w:rsid w:val="00B9688B"/>
    <w:rsid w:val="00BA256B"/>
    <w:rsid w:val="00BA4321"/>
    <w:rsid w:val="00BB1698"/>
    <w:rsid w:val="00BB1CF2"/>
    <w:rsid w:val="00BB3207"/>
    <w:rsid w:val="00BB43A1"/>
    <w:rsid w:val="00BC050B"/>
    <w:rsid w:val="00BC3672"/>
    <w:rsid w:val="00BD1F1D"/>
    <w:rsid w:val="00BD3FF0"/>
    <w:rsid w:val="00BD53D0"/>
    <w:rsid w:val="00BE34F1"/>
    <w:rsid w:val="00BE5DAF"/>
    <w:rsid w:val="00BE66DE"/>
    <w:rsid w:val="00BF6DD8"/>
    <w:rsid w:val="00C006D9"/>
    <w:rsid w:val="00C038B8"/>
    <w:rsid w:val="00C045B3"/>
    <w:rsid w:val="00C0663B"/>
    <w:rsid w:val="00C12678"/>
    <w:rsid w:val="00C1595C"/>
    <w:rsid w:val="00C17E80"/>
    <w:rsid w:val="00C2322F"/>
    <w:rsid w:val="00C23C90"/>
    <w:rsid w:val="00C267D8"/>
    <w:rsid w:val="00C277F7"/>
    <w:rsid w:val="00C33EA1"/>
    <w:rsid w:val="00C33EB8"/>
    <w:rsid w:val="00C348EB"/>
    <w:rsid w:val="00C40CC4"/>
    <w:rsid w:val="00C46A13"/>
    <w:rsid w:val="00C4784F"/>
    <w:rsid w:val="00C52F5C"/>
    <w:rsid w:val="00C53007"/>
    <w:rsid w:val="00C54349"/>
    <w:rsid w:val="00C61866"/>
    <w:rsid w:val="00C64764"/>
    <w:rsid w:val="00C665F6"/>
    <w:rsid w:val="00C72B20"/>
    <w:rsid w:val="00C837F3"/>
    <w:rsid w:val="00C84E1A"/>
    <w:rsid w:val="00CA18A3"/>
    <w:rsid w:val="00CA2091"/>
    <w:rsid w:val="00CA6CE1"/>
    <w:rsid w:val="00CB7BE8"/>
    <w:rsid w:val="00CC72A4"/>
    <w:rsid w:val="00CD04D3"/>
    <w:rsid w:val="00CE1B13"/>
    <w:rsid w:val="00CE42B1"/>
    <w:rsid w:val="00CE5831"/>
    <w:rsid w:val="00CE61D7"/>
    <w:rsid w:val="00CF595F"/>
    <w:rsid w:val="00D07B69"/>
    <w:rsid w:val="00D10C2B"/>
    <w:rsid w:val="00D14443"/>
    <w:rsid w:val="00D14D3D"/>
    <w:rsid w:val="00D161DE"/>
    <w:rsid w:val="00D16DE1"/>
    <w:rsid w:val="00D220AB"/>
    <w:rsid w:val="00D244AE"/>
    <w:rsid w:val="00D2670B"/>
    <w:rsid w:val="00D31B07"/>
    <w:rsid w:val="00D34A94"/>
    <w:rsid w:val="00D37A3F"/>
    <w:rsid w:val="00D41A86"/>
    <w:rsid w:val="00D441CC"/>
    <w:rsid w:val="00D447E7"/>
    <w:rsid w:val="00D44FCA"/>
    <w:rsid w:val="00D51C77"/>
    <w:rsid w:val="00D52956"/>
    <w:rsid w:val="00D53852"/>
    <w:rsid w:val="00D5641A"/>
    <w:rsid w:val="00D61DEB"/>
    <w:rsid w:val="00D65F6E"/>
    <w:rsid w:val="00D73332"/>
    <w:rsid w:val="00D7657F"/>
    <w:rsid w:val="00D81A1A"/>
    <w:rsid w:val="00D83062"/>
    <w:rsid w:val="00D84E12"/>
    <w:rsid w:val="00D85150"/>
    <w:rsid w:val="00D867D5"/>
    <w:rsid w:val="00D90038"/>
    <w:rsid w:val="00D97A25"/>
    <w:rsid w:val="00DA10BB"/>
    <w:rsid w:val="00DA2F80"/>
    <w:rsid w:val="00DB1725"/>
    <w:rsid w:val="00DC1BEC"/>
    <w:rsid w:val="00DC616A"/>
    <w:rsid w:val="00DD423A"/>
    <w:rsid w:val="00DE2A7A"/>
    <w:rsid w:val="00DE762F"/>
    <w:rsid w:val="00E01349"/>
    <w:rsid w:val="00E03982"/>
    <w:rsid w:val="00E12521"/>
    <w:rsid w:val="00E177F3"/>
    <w:rsid w:val="00E2296E"/>
    <w:rsid w:val="00E2378A"/>
    <w:rsid w:val="00E25EFB"/>
    <w:rsid w:val="00E26265"/>
    <w:rsid w:val="00E31216"/>
    <w:rsid w:val="00E41841"/>
    <w:rsid w:val="00E41A95"/>
    <w:rsid w:val="00E470B0"/>
    <w:rsid w:val="00E5123C"/>
    <w:rsid w:val="00E51301"/>
    <w:rsid w:val="00E56C75"/>
    <w:rsid w:val="00E607F3"/>
    <w:rsid w:val="00E65236"/>
    <w:rsid w:val="00E669A7"/>
    <w:rsid w:val="00E809C7"/>
    <w:rsid w:val="00E836E7"/>
    <w:rsid w:val="00E85AB7"/>
    <w:rsid w:val="00E86D78"/>
    <w:rsid w:val="00E9039C"/>
    <w:rsid w:val="00E9276C"/>
    <w:rsid w:val="00E938B9"/>
    <w:rsid w:val="00EA03C6"/>
    <w:rsid w:val="00EB5609"/>
    <w:rsid w:val="00EB57DE"/>
    <w:rsid w:val="00EC14AB"/>
    <w:rsid w:val="00EC48F7"/>
    <w:rsid w:val="00EC79DE"/>
    <w:rsid w:val="00ED1554"/>
    <w:rsid w:val="00ED4AD4"/>
    <w:rsid w:val="00ED6BE1"/>
    <w:rsid w:val="00EE0D7A"/>
    <w:rsid w:val="00EE2EFF"/>
    <w:rsid w:val="00EE6C1E"/>
    <w:rsid w:val="00EF0649"/>
    <w:rsid w:val="00EF6F92"/>
    <w:rsid w:val="00F12861"/>
    <w:rsid w:val="00F14D25"/>
    <w:rsid w:val="00F16F56"/>
    <w:rsid w:val="00F2073A"/>
    <w:rsid w:val="00F24402"/>
    <w:rsid w:val="00F31868"/>
    <w:rsid w:val="00F32096"/>
    <w:rsid w:val="00F331D6"/>
    <w:rsid w:val="00F37818"/>
    <w:rsid w:val="00F42D0B"/>
    <w:rsid w:val="00F61118"/>
    <w:rsid w:val="00F660E8"/>
    <w:rsid w:val="00F661DE"/>
    <w:rsid w:val="00F70808"/>
    <w:rsid w:val="00F709E7"/>
    <w:rsid w:val="00F74226"/>
    <w:rsid w:val="00F77D08"/>
    <w:rsid w:val="00F917C7"/>
    <w:rsid w:val="00F94460"/>
    <w:rsid w:val="00FA5C42"/>
    <w:rsid w:val="00FA66D0"/>
    <w:rsid w:val="00FA6F3B"/>
    <w:rsid w:val="00FB2DEE"/>
    <w:rsid w:val="00FB79B4"/>
    <w:rsid w:val="00FD058D"/>
    <w:rsid w:val="00FD4C65"/>
    <w:rsid w:val="00FD4E33"/>
    <w:rsid w:val="00FE0E17"/>
    <w:rsid w:val="00FE0E18"/>
    <w:rsid w:val="00FE2409"/>
    <w:rsid w:val="00FF1D60"/>
    <w:rsid w:val="00FF53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D943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B15"/>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paragraph" w:styleId="Heading4">
    <w:name w:val="heading 4"/>
    <w:basedOn w:val="Normal"/>
    <w:next w:val="Normal"/>
    <w:link w:val="Heading4Char"/>
    <w:uiPriority w:val="9"/>
    <w:unhideWhenUsed/>
    <w:qFormat/>
    <w:rsid w:val="00CA209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709E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478E7"/>
    <w:pPr>
      <w:ind w:left="720"/>
      <w:contextualSpacing/>
    </w:pPr>
  </w:style>
  <w:style w:type="table" w:styleId="TableGrid">
    <w:name w:val="Table Grid"/>
    <w:aliases w:val="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basedOn w:val="DefaultParagraphFont"/>
    <w:link w:val="ListParagraph"/>
    <w:uiPriority w:val="34"/>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3"/>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character" w:customStyle="1" w:styleId="Heading4Char">
    <w:name w:val="Heading 4 Char"/>
    <w:basedOn w:val="DefaultParagraphFont"/>
    <w:link w:val="Heading4"/>
    <w:uiPriority w:val="9"/>
    <w:rsid w:val="00CA2091"/>
    <w:rPr>
      <w:rFonts w:asciiTheme="majorHAnsi" w:eastAsiaTheme="majorEastAsia" w:hAnsiTheme="majorHAnsi" w:cstheme="majorBidi"/>
      <w:i/>
      <w:iCs/>
      <w:color w:val="2E74B5" w:themeColor="accent1" w:themeShade="BF"/>
    </w:rPr>
  </w:style>
  <w:style w:type="character" w:customStyle="1" w:styleId="UnresolvedMention1">
    <w:name w:val="Unresolved Mention1"/>
    <w:basedOn w:val="DefaultParagraphFont"/>
    <w:uiPriority w:val="99"/>
    <w:semiHidden/>
    <w:unhideWhenUsed/>
    <w:rsid w:val="00823033"/>
    <w:rPr>
      <w:color w:val="605E5C"/>
      <w:shd w:val="clear" w:color="auto" w:fill="E1DFDD"/>
    </w:rPr>
  </w:style>
  <w:style w:type="character" w:customStyle="1" w:styleId="Heading5Char">
    <w:name w:val="Heading 5 Char"/>
    <w:basedOn w:val="DefaultParagraphFont"/>
    <w:link w:val="Heading5"/>
    <w:uiPriority w:val="9"/>
    <w:rsid w:val="00F709E7"/>
    <w:rPr>
      <w:rFonts w:asciiTheme="majorHAnsi" w:eastAsiaTheme="majorEastAsia" w:hAnsiTheme="majorHAnsi" w:cstheme="majorBidi"/>
      <w:color w:val="2E74B5" w:themeColor="accent1" w:themeShade="BF"/>
    </w:rPr>
  </w:style>
  <w:style w:type="character" w:styleId="Strong">
    <w:name w:val="Strong"/>
    <w:basedOn w:val="DefaultParagraphFont"/>
    <w:uiPriority w:val="22"/>
    <w:qFormat/>
    <w:rsid w:val="00611821"/>
    <w:rPr>
      <w:b/>
      <w:bCs/>
    </w:rPr>
  </w:style>
  <w:style w:type="paragraph" w:styleId="FootnoteText">
    <w:name w:val="footnote text"/>
    <w:basedOn w:val="Normal"/>
    <w:link w:val="FootnoteTextChar"/>
    <w:uiPriority w:val="99"/>
    <w:semiHidden/>
    <w:unhideWhenUsed/>
    <w:rsid w:val="003333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337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3333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599720204">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790516978">
      <w:bodyDiv w:val="1"/>
      <w:marLeft w:val="0"/>
      <w:marRight w:val="0"/>
      <w:marTop w:val="0"/>
      <w:marBottom w:val="0"/>
      <w:divBdr>
        <w:top w:val="none" w:sz="0" w:space="0" w:color="auto"/>
        <w:left w:val="none" w:sz="0" w:space="0" w:color="auto"/>
        <w:bottom w:val="none" w:sz="0" w:space="0" w:color="auto"/>
        <w:right w:val="none" w:sz="0" w:space="0" w:color="auto"/>
      </w:divBdr>
    </w:div>
    <w:div w:id="832380719">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Visio_Drawing1.vsdx"/><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www.msac.gov.au/internet/msac/publishing.nsf/Content/B2B42D6E89D50ED8CA258570001ED449/$File/1632%20Ratified%20PICO.pdf"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bsonline.gov.au/internet/mbsonline/publishing.nsf/Content/Home" TargetMode="External"/><Relationship Id="rId20" Type="http://schemas.openxmlformats.org/officeDocument/2006/relationships/hyperlink" Target="http://www.msac.gov.au/internet/msac/publishing.nsf/Content/B2B42D6E89D50ED8CA258570001ED449/$File/1632%20Final%20PSD%20-%20July%20202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Drawing12.vsdx"/><Relationship Id="rId23"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hyperlink" Target="https://www1.health.gov.au/internet/main/publishing.nsf/Content/pet-unit-location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clinicaltrials.gov/ct2/show/NCT03511664" TargetMode="External"/><Relationship Id="rId1" Type="http://schemas.openxmlformats.org/officeDocument/2006/relationships/hyperlink" Target="https://clinicaltrials.gov/ct2/show/NCT033924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59FF6-7650-426B-96BB-6A1B63D6E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10821</Words>
  <Characters>61686</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72363</CharactersWithSpaces>
  <SharedDoc>false</SharedDoc>
  <HLinks>
    <vt:vector size="36" baseType="variant">
      <vt:variant>
        <vt:i4>5505027</vt:i4>
      </vt:variant>
      <vt:variant>
        <vt:i4>114</vt:i4>
      </vt:variant>
      <vt:variant>
        <vt:i4>0</vt:i4>
      </vt:variant>
      <vt:variant>
        <vt:i4>5</vt:i4>
      </vt:variant>
      <vt:variant>
        <vt:lpwstr>http://www.msac.gov.au/internet/msac/publishing.nsf/Content/B2B42D6E89D50ED8CA258570001ED449/$File/1632 Ratified PICO.pdf</vt:lpwstr>
      </vt:variant>
      <vt:variant>
        <vt:lpwstr/>
      </vt:variant>
      <vt:variant>
        <vt:i4>1376346</vt:i4>
      </vt:variant>
      <vt:variant>
        <vt:i4>111</vt:i4>
      </vt:variant>
      <vt:variant>
        <vt:i4>0</vt:i4>
      </vt:variant>
      <vt:variant>
        <vt:i4>5</vt:i4>
      </vt:variant>
      <vt:variant>
        <vt:lpwstr>http://www.msac.gov.au/internet/msac/publishing.nsf/Content/B2B42D6E89D50ED8CA258570001ED449/$File/1632 Final PSD - July 2021.pdf</vt:lpwstr>
      </vt:variant>
      <vt:variant>
        <vt:lpwstr/>
      </vt:variant>
      <vt:variant>
        <vt:i4>7012408</vt:i4>
      </vt:variant>
      <vt:variant>
        <vt:i4>108</vt:i4>
      </vt:variant>
      <vt:variant>
        <vt:i4>0</vt:i4>
      </vt:variant>
      <vt:variant>
        <vt:i4>5</vt:i4>
      </vt:variant>
      <vt:variant>
        <vt:lpwstr>https://www1.health.gov.au/internet/main/publishing.nsf/Content/pet-unit-locations</vt:lpwstr>
      </vt:variant>
      <vt:variant>
        <vt:lpwstr>NTPET</vt:lpwstr>
      </vt:variant>
      <vt:variant>
        <vt:i4>3801141</vt:i4>
      </vt:variant>
      <vt:variant>
        <vt:i4>96</vt:i4>
      </vt:variant>
      <vt:variant>
        <vt:i4>0</vt:i4>
      </vt:variant>
      <vt:variant>
        <vt:i4>5</vt:i4>
      </vt:variant>
      <vt:variant>
        <vt:lpwstr>http://www.mbsonline.gov.au/internet/mbsonline/publishing.nsf/Content/Home</vt:lpwstr>
      </vt:variant>
      <vt:variant>
        <vt:lpwstr/>
      </vt:variant>
      <vt:variant>
        <vt:i4>7209015</vt:i4>
      </vt:variant>
      <vt:variant>
        <vt:i4>3</vt:i4>
      </vt:variant>
      <vt:variant>
        <vt:i4>0</vt:i4>
      </vt:variant>
      <vt:variant>
        <vt:i4>5</vt:i4>
      </vt:variant>
      <vt:variant>
        <vt:lpwstr>https://clinicaltrials.gov/ct2/show/NCT03511664</vt:lpwstr>
      </vt:variant>
      <vt:variant>
        <vt:lpwstr/>
      </vt:variant>
      <vt:variant>
        <vt:i4>7274557</vt:i4>
      </vt:variant>
      <vt:variant>
        <vt:i4>0</vt:i4>
      </vt:variant>
      <vt:variant>
        <vt:i4>0</vt:i4>
      </vt:variant>
      <vt:variant>
        <vt:i4>5</vt:i4>
      </vt:variant>
      <vt:variant>
        <vt:lpwstr>https://clinicaltrials.gov/ct2/show/NCT03392428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2022-06-16T03:04:00Z</dcterms:created>
  <dcterms:modified xsi:type="dcterms:W3CDTF">2022-06-16T03:04:00Z</dcterms:modified>
</cp:coreProperties>
</file>