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4C68A" w14:textId="77777777" w:rsidR="00A428E9" w:rsidRPr="00707064" w:rsidRDefault="00A428E9" w:rsidP="00A428E9">
      <w:pPr>
        <w:spacing w:after="240"/>
        <w:jc w:val="center"/>
        <w:rPr>
          <w:b/>
          <w:i/>
          <w:szCs w:val="24"/>
          <w:highlight w:val="yellow"/>
        </w:rPr>
      </w:pPr>
      <w:r>
        <w:rPr>
          <w:rFonts w:ascii="Arial" w:hAnsi="Arial" w:cs="Arial"/>
          <w:b/>
          <w:noProof/>
          <w:color w:val="000080"/>
          <w:sz w:val="28"/>
          <w:szCs w:val="28"/>
        </w:rPr>
        <w:drawing>
          <wp:inline distT="0" distB="0" distL="0" distR="0" wp14:anchorId="11F66D5E" wp14:editId="35CE679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F317E84" w14:textId="77777777" w:rsidR="00A428E9" w:rsidRPr="00F715D1" w:rsidRDefault="00A428E9" w:rsidP="00A428E9">
      <w:pPr>
        <w:pStyle w:val="Title"/>
        <w:tabs>
          <w:tab w:val="left" w:pos="1926"/>
          <w:tab w:val="center" w:pos="4513"/>
        </w:tabs>
        <w:jc w:val="left"/>
      </w:pPr>
      <w:r>
        <w:tab/>
      </w:r>
      <w:r>
        <w:tab/>
      </w:r>
      <w:r w:rsidRPr="00F715D1">
        <w:t>Public Summary Document</w:t>
      </w:r>
    </w:p>
    <w:p w14:paraId="68CF5475" w14:textId="77777777" w:rsidR="00A428E9" w:rsidRPr="00F715D1" w:rsidRDefault="00A428E9" w:rsidP="00A428E9">
      <w:pPr>
        <w:pStyle w:val="Subtitle"/>
      </w:pPr>
      <w:r w:rsidRPr="00F715D1">
        <w:t xml:space="preserve">Application No. </w:t>
      </w:r>
      <w:r>
        <w:t>1196.3</w:t>
      </w:r>
      <w:r w:rsidRPr="00F715D1">
        <w:t xml:space="preserve"> – </w:t>
      </w:r>
      <w:r w:rsidRPr="00A428E9">
        <w:t>Repetitive Transcranial Magnetic Stimulation (rTMS) for the treatment of depression – Resubmission</w:t>
      </w:r>
    </w:p>
    <w:p w14:paraId="74E809C8" w14:textId="77777777" w:rsidR="00A428E9" w:rsidRPr="00F715D1" w:rsidRDefault="00A428E9" w:rsidP="00A428E9">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Royal Australian and New Zealand College of Psychiatrists</w:t>
      </w:r>
    </w:p>
    <w:p w14:paraId="04CC3279" w14:textId="77777777" w:rsidR="00A428E9" w:rsidRPr="00F715D1" w:rsidRDefault="00A428E9" w:rsidP="00A428E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28B90654" w14:textId="77777777" w:rsidR="00A428E9" w:rsidRPr="00B03EAB" w:rsidRDefault="00A428E9" w:rsidP="00A428E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5D348B19" w14:textId="77777777" w:rsidR="00A428E9" w:rsidRPr="00F715D1" w:rsidRDefault="00A428E9" w:rsidP="00A428E9">
      <w:pPr>
        <w:pStyle w:val="Heading1"/>
      </w:pPr>
      <w:r w:rsidRPr="00F715D1">
        <w:t xml:space="preserve">Purpose of application </w:t>
      </w:r>
    </w:p>
    <w:p w14:paraId="1542C36D" w14:textId="3D190D76" w:rsidR="000A4D39" w:rsidRDefault="000A4D39" w:rsidP="00FE4E10">
      <w:pPr>
        <w:spacing w:after="240"/>
      </w:pPr>
      <w:r>
        <w:t>A resubmission (third) requesting Medicare Benefit Schedule (MBS) listing of rTMS for</w:t>
      </w:r>
      <w:r w:rsidRPr="008E720E">
        <w:rPr>
          <w:lang w:eastAsia="en-US"/>
        </w:rPr>
        <w:t xml:space="preserve"> </w:t>
      </w:r>
      <w:r>
        <w:rPr>
          <w:lang w:eastAsia="en-US"/>
        </w:rPr>
        <w:t>re</w:t>
      </w:r>
      <w:r w:rsidRPr="00F72492">
        <w:rPr>
          <w:lang w:eastAsia="en-US"/>
        </w:rPr>
        <w:t>treatme</w:t>
      </w:r>
      <w:r>
        <w:rPr>
          <w:lang w:eastAsia="en-US"/>
        </w:rPr>
        <w:t>nt of antidepressant medication-</w:t>
      </w:r>
      <w:r w:rsidRPr="00F72492">
        <w:rPr>
          <w:lang w:eastAsia="en-US"/>
        </w:rPr>
        <w:t>resistant major depressive disorder (MDD)</w:t>
      </w:r>
      <w:r w:rsidRPr="0009316F">
        <w:t xml:space="preserve"> </w:t>
      </w:r>
      <w:r>
        <w:t>following relapse after an initial course was received from the Royal Australian and New Zealand College of Psychiatrists (RANZCP) by the Department of Health.</w:t>
      </w:r>
      <w:bookmarkStart w:id="0" w:name="_GoBack"/>
      <w:bookmarkEnd w:id="0"/>
    </w:p>
    <w:p w14:paraId="3D4FE744" w14:textId="2937A85A" w:rsidR="000A4D39" w:rsidRDefault="000A4D39" w:rsidP="000A4D39">
      <w:r>
        <w:t xml:space="preserve">This was based </w:t>
      </w:r>
      <w:r w:rsidR="006C19FD">
        <w:t>on the request of MSAC for the a</w:t>
      </w:r>
      <w:r>
        <w:t>pplicant to provide further information on retreatment of repetitive transcranial magnetic stimulation (rTMS) of finite duration:</w:t>
      </w:r>
    </w:p>
    <w:p w14:paraId="3D67FE29" w14:textId="77777777" w:rsidR="000A4D39" w:rsidRDefault="000A4D39" w:rsidP="000A4D39">
      <w:pPr>
        <w:pStyle w:val="ListParagraph"/>
        <w:numPr>
          <w:ilvl w:val="0"/>
          <w:numId w:val="4"/>
        </w:numPr>
      </w:pPr>
      <w:r>
        <w:t>Duration between cessation of initial course of treatment and commencement of a retreatment course;</w:t>
      </w:r>
    </w:p>
    <w:p w14:paraId="598E384B" w14:textId="77777777" w:rsidR="000A4D39" w:rsidRDefault="000A4D39" w:rsidP="000A4D39">
      <w:pPr>
        <w:pStyle w:val="ListParagraph"/>
        <w:numPr>
          <w:ilvl w:val="0"/>
          <w:numId w:val="4"/>
        </w:numPr>
      </w:pPr>
      <w:r>
        <w:t>Proportion of patients who responded to initial course who are likely to relapse and require re-treatment; and</w:t>
      </w:r>
    </w:p>
    <w:p w14:paraId="40128770" w14:textId="77777777" w:rsidR="000A4D39" w:rsidRDefault="000A4D39" w:rsidP="000A4D39">
      <w:pPr>
        <w:pStyle w:val="ListParagraph"/>
        <w:numPr>
          <w:ilvl w:val="0"/>
          <w:numId w:val="4"/>
        </w:numPr>
      </w:pPr>
      <w:r>
        <w:t>Duration of retreatment course and frequency of administration (see 4. Background).</w:t>
      </w:r>
    </w:p>
    <w:p w14:paraId="21E2A6A3" w14:textId="77777777" w:rsidR="00A428E9" w:rsidRPr="00F715D1" w:rsidRDefault="00A428E9" w:rsidP="00A428E9">
      <w:pPr>
        <w:pStyle w:val="Heading1"/>
      </w:pPr>
      <w:r w:rsidRPr="00F715D1">
        <w:t>MSAC’s advice to the Minister</w:t>
      </w:r>
    </w:p>
    <w:p w14:paraId="702E9AB0" w14:textId="492564F2" w:rsidR="00815452" w:rsidRDefault="00815452" w:rsidP="00815452">
      <w:r w:rsidRPr="00A72CFD">
        <w:t xml:space="preserve">After considering the strength of the available evidence in relation to comparative safety, clinical effectiveness and cost-effectiveness, </w:t>
      </w:r>
      <w:r>
        <w:t>MSAC supported the creation of a new MBS item for rTMS for the retreatment of</w:t>
      </w:r>
      <w:r w:rsidR="00223037">
        <w:t xml:space="preserve"> adults with</w:t>
      </w:r>
      <w:r>
        <w:t xml:space="preserve"> antidepressant medication-resistant </w:t>
      </w:r>
      <w:r w:rsidR="008A54A7">
        <w:t>MDD</w:t>
      </w:r>
      <w:r>
        <w:t xml:space="preserve"> following relapse in </w:t>
      </w:r>
      <w:r w:rsidR="00397F70">
        <w:t>people</w:t>
      </w:r>
      <w:r>
        <w:t xml:space="preserve"> who were in remission or response after an initial course of rTMS treatment.</w:t>
      </w:r>
      <w:r w:rsidRPr="00A72CFD">
        <w:t xml:space="preserve"> </w:t>
      </w:r>
      <w:r>
        <w:t xml:space="preserve">MSAC considered the new MBS item for retreatment should be for </w:t>
      </w:r>
      <w:r w:rsidR="00223037">
        <w:t xml:space="preserve">a single </w:t>
      </w:r>
      <w:r>
        <w:t xml:space="preserve">course only, to start no sooner than </w:t>
      </w:r>
      <w:r w:rsidR="008A54A7">
        <w:t>four</w:t>
      </w:r>
      <w:r>
        <w:t xml:space="preserve"> months after the end of the initial course, </w:t>
      </w:r>
      <w:r w:rsidR="00223037">
        <w:t xml:space="preserve">and </w:t>
      </w:r>
      <w:r>
        <w:t>with a maximum of 15 sessions.</w:t>
      </w:r>
    </w:p>
    <w:p w14:paraId="46F1427B" w14:textId="20046BD1" w:rsidR="00815452" w:rsidRDefault="00815452" w:rsidP="00397F70">
      <w:pPr>
        <w:spacing w:before="240"/>
      </w:pPr>
      <w:r w:rsidRPr="00A72CFD">
        <w:t xml:space="preserve">MSAC recalled it had previously supported MBS funding for initial treatment with rTMS of </w:t>
      </w:r>
      <w:r>
        <w:t>up to 35 sessions</w:t>
      </w:r>
      <w:r w:rsidRPr="00A72CFD">
        <w:t xml:space="preserve"> for adults diagnosed with antidepressant medication</w:t>
      </w:r>
      <w:r>
        <w:t>–</w:t>
      </w:r>
      <w:r w:rsidRPr="00A72CFD">
        <w:t xml:space="preserve">resistant </w:t>
      </w:r>
      <w:r w:rsidR="00223037">
        <w:t xml:space="preserve">MDD </w:t>
      </w:r>
      <w:r w:rsidRPr="00A72CFD">
        <w:t xml:space="preserve">who have failed to receive satisfactory improvement despite adequate trialling of at least two different classes of antidepressant medicines and who have not received treatment with rTMS previously. MSAC </w:t>
      </w:r>
      <w:r>
        <w:t>had previously not supported</w:t>
      </w:r>
      <w:r w:rsidRPr="00A72CFD">
        <w:t xml:space="preserve"> ongoing maintenance treatment with rTMS due to the limited and weak evidence base</w:t>
      </w:r>
      <w:r>
        <w:t xml:space="preserve"> (Application 1196.2)</w:t>
      </w:r>
      <w:r w:rsidRPr="00A72CFD">
        <w:t>.</w:t>
      </w:r>
    </w:p>
    <w:p w14:paraId="30903BEE" w14:textId="77777777" w:rsidR="00815452" w:rsidRPr="00B63E4F" w:rsidRDefault="00815452" w:rsidP="00815452">
      <w:pPr>
        <w:pStyle w:val="BoxName"/>
        <w:rPr>
          <w:rFonts w:ascii="Arial" w:hAnsi="Arial" w:cs="Arial"/>
        </w:rPr>
      </w:pPr>
      <w:r w:rsidRPr="00B63E4F">
        <w:rPr>
          <w:rFonts w:ascii="Arial" w:hAnsi="Arial" w:cs="Arial"/>
        </w:rPr>
        <w:lastRenderedPageBreak/>
        <w:t>Consumer summary</w:t>
      </w:r>
    </w:p>
    <w:p w14:paraId="2857EBBC" w14:textId="205DE60D" w:rsidR="00815452" w:rsidRPr="00B63E4F" w:rsidRDefault="00815452" w:rsidP="00815452">
      <w:pPr>
        <w:pStyle w:val="BoxText"/>
      </w:pPr>
      <w:r w:rsidRPr="00B63E4F">
        <w:t xml:space="preserve">The </w:t>
      </w:r>
      <w:r>
        <w:t>Royal Australian and New Zealand College of Psychiatrists (RANZCP)</w:t>
      </w:r>
      <w:r w:rsidRPr="00B63E4F">
        <w:t xml:space="preserve"> applied for public funding</w:t>
      </w:r>
      <w:r>
        <w:t xml:space="preserve"> </w:t>
      </w:r>
      <w:r w:rsidR="00397F70">
        <w:t>through the Medical Benefits Scheme (MBS) for</w:t>
      </w:r>
      <w:r w:rsidRPr="00B63E4F">
        <w:t xml:space="preserve"> rTMS</w:t>
      </w:r>
      <w:r w:rsidR="00223037">
        <w:t xml:space="preserve"> (r</w:t>
      </w:r>
      <w:r w:rsidR="00223037" w:rsidRPr="007276F0">
        <w:t>epetitive transcranial magnetic stimulation</w:t>
      </w:r>
      <w:r w:rsidR="00223037">
        <w:t>)</w:t>
      </w:r>
      <w:r w:rsidRPr="00B63E4F">
        <w:t xml:space="preserve"> for adults with major depression who have tried antidepressant medicines or psychological therapy and remain unwell.</w:t>
      </w:r>
    </w:p>
    <w:p w14:paraId="4FFB4FB5" w14:textId="3B742008" w:rsidR="00815452" w:rsidRDefault="00815452" w:rsidP="00815452">
      <w:pPr>
        <w:pStyle w:val="BoxText"/>
      </w:pPr>
      <w:r w:rsidRPr="00B63E4F">
        <w:t xml:space="preserve">rTMS is a treatment for depression. It involves placing a magnetic coil on the patient’s scalp, which generates electrical pulses in a small area on the surface of the brain. The patient is conscious during rTMS treatment. Each treatment lasts about 40 minutes, and </w:t>
      </w:r>
      <w:r w:rsidR="0068459B">
        <w:t xml:space="preserve">each course of treatment is made up of </w:t>
      </w:r>
      <w:r w:rsidRPr="00B63E4F">
        <w:t xml:space="preserve">between </w:t>
      </w:r>
      <w:r w:rsidR="00223037">
        <w:t>three</w:t>
      </w:r>
      <w:r w:rsidRPr="00B63E4F">
        <w:t xml:space="preserve"> and </w:t>
      </w:r>
      <w:r w:rsidR="00223037">
        <w:t>five</w:t>
      </w:r>
      <w:r>
        <w:t> </w:t>
      </w:r>
      <w:r w:rsidRPr="00B63E4F">
        <w:t xml:space="preserve">treatments a week for </w:t>
      </w:r>
      <w:r w:rsidR="00223037">
        <w:t>four</w:t>
      </w:r>
      <w:r w:rsidRPr="00B63E4F">
        <w:t xml:space="preserve"> to </w:t>
      </w:r>
      <w:r w:rsidR="00223037">
        <w:t>six</w:t>
      </w:r>
      <w:r>
        <w:t> </w:t>
      </w:r>
      <w:r w:rsidRPr="00B63E4F">
        <w:t>weeks.</w:t>
      </w:r>
    </w:p>
    <w:p w14:paraId="772DA65F" w14:textId="4C664940" w:rsidR="00815452" w:rsidRPr="00B63E4F" w:rsidRDefault="00815452" w:rsidP="00FE4E10">
      <w:pPr>
        <w:pStyle w:val="BoxText"/>
        <w:spacing w:after="240"/>
      </w:pPr>
      <w:r>
        <w:t>MSAC had already supported public funding for initial treatment with rTMS</w:t>
      </w:r>
      <w:r w:rsidR="0068459B">
        <w:t>. MSAC had</w:t>
      </w:r>
      <w:r w:rsidR="0021748F">
        <w:t xml:space="preserve"> </w:t>
      </w:r>
      <w:r>
        <w:t>not supported public funding for ongoing treatment. This application was to consider funding for more than one treatment course (retreatment).</w:t>
      </w:r>
    </w:p>
    <w:p w14:paraId="2D547FA0" w14:textId="182D71A0" w:rsidR="00815452" w:rsidRPr="00B63E4F" w:rsidRDefault="00815452" w:rsidP="00815452">
      <w:pPr>
        <w:pStyle w:val="BoxText"/>
        <w:rPr>
          <w:b/>
          <w:bCs/>
        </w:rPr>
      </w:pPr>
      <w:r w:rsidRPr="00B63E4F">
        <w:rPr>
          <w:b/>
          <w:bCs/>
        </w:rPr>
        <w:t xml:space="preserve">MSAC’s </w:t>
      </w:r>
      <w:r w:rsidR="00397F70">
        <w:rPr>
          <w:b/>
          <w:bCs/>
        </w:rPr>
        <w:t>advice</w:t>
      </w:r>
      <w:r w:rsidRPr="00B63E4F">
        <w:rPr>
          <w:b/>
          <w:bCs/>
        </w:rPr>
        <w:t xml:space="preserve"> to the Commonwealth Minister</w:t>
      </w:r>
      <w:r w:rsidR="00397F70">
        <w:rPr>
          <w:b/>
          <w:bCs/>
        </w:rPr>
        <w:t xml:space="preserve"> for Health</w:t>
      </w:r>
    </w:p>
    <w:p w14:paraId="1DB0F35F" w14:textId="2A57C931" w:rsidR="00815452" w:rsidRPr="00B63E4F" w:rsidRDefault="00815452" w:rsidP="00815452">
      <w:pPr>
        <w:pStyle w:val="BoxText"/>
      </w:pPr>
      <w:r w:rsidRPr="00B63E4F">
        <w:t xml:space="preserve">MSAC supported public funding for </w:t>
      </w:r>
      <w:r>
        <w:t>a single course of retreatment with rTMS in patients who responded to the initial course and have relapsed</w:t>
      </w:r>
      <w:r w:rsidR="0068459B">
        <w:t xml:space="preserve"> (become unwell again)</w:t>
      </w:r>
      <w:r w:rsidRPr="00B63E4F">
        <w:t>.</w:t>
      </w:r>
      <w:r>
        <w:t xml:space="preserve"> There must be at least </w:t>
      </w:r>
      <w:r w:rsidR="00223037">
        <w:t>four</w:t>
      </w:r>
      <w:r>
        <w:t xml:space="preserve"> months between the </w:t>
      </w:r>
      <w:r w:rsidR="0068459B">
        <w:t xml:space="preserve">end of the </w:t>
      </w:r>
      <w:r>
        <w:t xml:space="preserve">initial treatment course and the </w:t>
      </w:r>
      <w:r w:rsidR="0068459B">
        <w:t xml:space="preserve">start of the </w:t>
      </w:r>
      <w:r>
        <w:t>retreatment course. The retreatment course can be no more than 15 sessions</w:t>
      </w:r>
      <w:r w:rsidR="0068459B">
        <w:t xml:space="preserve"> in total</w:t>
      </w:r>
      <w:r>
        <w:t>.</w:t>
      </w:r>
    </w:p>
    <w:p w14:paraId="21B7C367" w14:textId="77777777" w:rsidR="00A428E9" w:rsidRPr="00F715D1" w:rsidRDefault="00A428E9" w:rsidP="00A428E9">
      <w:pPr>
        <w:pStyle w:val="Heading1"/>
      </w:pPr>
      <w:r w:rsidRPr="00F715D1">
        <w:t xml:space="preserve">Summary of consideration and rationale for MSAC’s advice </w:t>
      </w:r>
    </w:p>
    <w:p w14:paraId="7D34FF8B" w14:textId="7B115037" w:rsidR="00815452" w:rsidRDefault="00815452" w:rsidP="00FE4E10">
      <w:pPr>
        <w:spacing w:after="240"/>
      </w:pPr>
      <w:r>
        <w:t xml:space="preserve">MSAC recalled that, at its August 2019 meeting, it had supported initial treatment with rTMS and had not supported maintenance treatment (Application 1196.2). Also at that meeting, MSAC was of a mind to support retreatment, </w:t>
      </w:r>
      <w:r w:rsidRPr="00953738">
        <w:t xml:space="preserve">but considered that further information was required from the </w:t>
      </w:r>
      <w:r>
        <w:t>Royal Australian and New Zealand College of Psychiatrists (</w:t>
      </w:r>
      <w:r w:rsidRPr="00953738">
        <w:t>RANZCP</w:t>
      </w:r>
      <w:r>
        <w:t>)</w:t>
      </w:r>
      <w:r w:rsidRPr="00953738">
        <w:t xml:space="preserve">, particularly regarding the appropriate time period between </w:t>
      </w:r>
      <w:r>
        <w:t>stopping</w:t>
      </w:r>
      <w:r w:rsidRPr="00953738">
        <w:t xml:space="preserve"> the initial treatment course and </w:t>
      </w:r>
      <w:r>
        <w:t>starting</w:t>
      </w:r>
      <w:r w:rsidRPr="00953738">
        <w:t xml:space="preserve"> a retreatment course, the proportion of patients who have responded to initial treatment who are likely to relapse and require retreatment</w:t>
      </w:r>
      <w:r>
        <w:t>, and the duration of the retreatment course and frequency of administration</w:t>
      </w:r>
      <w:r w:rsidRPr="00953738">
        <w:t>.</w:t>
      </w:r>
    </w:p>
    <w:p w14:paraId="4B8022DA" w14:textId="250EC23A" w:rsidR="00815452" w:rsidRDefault="00815452" w:rsidP="00FE4E10">
      <w:pPr>
        <w:spacing w:after="240"/>
      </w:pPr>
      <w:r>
        <w:t xml:space="preserve">Regarding the time period between initial treatment and retreatment, the </w:t>
      </w:r>
      <w:r w:rsidR="006C19FD">
        <w:t>a</w:t>
      </w:r>
      <w:r>
        <w:t xml:space="preserve">pplicant provided seven studies on rTMS retreatment in patients experiencing relapse. The time to retreatment averaged between </w:t>
      </w:r>
      <w:r w:rsidR="00C46549">
        <w:t>four</w:t>
      </w:r>
      <w:r>
        <w:t xml:space="preserve"> and 10 months. In one double-blind randomised controlled trial with 99 patients (Janicak et al. 2010), 84.2% of retreatment episodes resulted in patient benefit; 15.2% of patients experienced a second relapse, and 5.1% of patients experienced a third relapse. Partial responders were more likely to require retreatment than full responders. In the pre-MSAC response, the </w:t>
      </w:r>
      <w:r w:rsidR="006C19FD">
        <w:t>a</w:t>
      </w:r>
      <w:r>
        <w:t xml:space="preserve">pplicant requested that the interval between initial treatment and retreatment be </w:t>
      </w:r>
      <w:r w:rsidR="00C46549">
        <w:t>three</w:t>
      </w:r>
      <w:r>
        <w:t xml:space="preserve"> months; however, MSAC considered that </w:t>
      </w:r>
      <w:r w:rsidR="004B421C">
        <w:t xml:space="preserve">average interval of </w:t>
      </w:r>
      <w:r>
        <w:t xml:space="preserve">4 months was appropriate, </w:t>
      </w:r>
      <w:r w:rsidR="004B421C">
        <w:t xml:space="preserve">but noted </w:t>
      </w:r>
      <w:r>
        <w:t>the highest likelihood of relapse was within 3–9 months.</w:t>
      </w:r>
    </w:p>
    <w:p w14:paraId="5835C1F6" w14:textId="3CA47201" w:rsidR="00815452" w:rsidRDefault="00815452" w:rsidP="00FE4E10">
      <w:pPr>
        <w:spacing w:after="240"/>
      </w:pPr>
      <w:r>
        <w:t>Regarding the proportion of patients who are likely to relapse and require retreatment, MSAC accepted the data from one study (Dunner et al. 2014) in which 29.5% of patients relapsed after a full re</w:t>
      </w:r>
      <w:r w:rsidR="007B61D5">
        <w:t>mission</w:t>
      </w:r>
      <w:r>
        <w:t xml:space="preserve"> to initial treatment</w:t>
      </w:r>
      <w:r w:rsidR="007B61D5">
        <w:t>. MSAC noted the relapse rate increased to 37.5% if response criteria were also included.</w:t>
      </w:r>
      <w:r>
        <w:t xml:space="preserve"> </w:t>
      </w:r>
      <w:r w:rsidR="002D7951">
        <w:t xml:space="preserve">However, </w:t>
      </w:r>
      <w:r>
        <w:t>MSAC recalled that it had previously considered this to be a limited and weak evidence base.</w:t>
      </w:r>
    </w:p>
    <w:p w14:paraId="571AA237" w14:textId="704B38D0" w:rsidR="00815452" w:rsidRDefault="009646E9" w:rsidP="00FE4E10">
      <w:pPr>
        <w:spacing w:after="240"/>
      </w:pPr>
      <w:r>
        <w:t>Regarding the duration of the retreatment course and frequency of administration</w:t>
      </w:r>
      <w:r w:rsidR="00815452">
        <w:t xml:space="preserve">, </w:t>
      </w:r>
      <w:r>
        <w:t xml:space="preserve">MSAC observed the </w:t>
      </w:r>
      <w:r w:rsidR="00815452">
        <w:t xml:space="preserve">number of sessions required for </w:t>
      </w:r>
      <w:r w:rsidR="006B5B65">
        <w:t xml:space="preserve">a </w:t>
      </w:r>
      <w:r w:rsidR="00815452">
        <w:t>retreatment</w:t>
      </w:r>
      <w:r w:rsidR="006B5B65">
        <w:t xml:space="preserve"> course</w:t>
      </w:r>
      <w:r w:rsidR="00815452">
        <w:t xml:space="preserve"> was consistently lower (around 15 sessions) than for initial treatment (around 30 to 35 sessions).</w:t>
      </w:r>
    </w:p>
    <w:p w14:paraId="72B73D51" w14:textId="3FDC3D72" w:rsidR="000C05EE" w:rsidRDefault="000C05EE" w:rsidP="006B5B65">
      <w:r>
        <w:lastRenderedPageBreak/>
        <w:t>In the</w:t>
      </w:r>
      <w:r w:rsidR="006B5B65">
        <w:t xml:space="preserve"> pre-MSAC response, </w:t>
      </w:r>
      <w:r w:rsidR="006C19FD">
        <w:t>the a</w:t>
      </w:r>
      <w:r>
        <w:t>pplicant:</w:t>
      </w:r>
    </w:p>
    <w:p w14:paraId="0AF7CB8D" w14:textId="12B5BA5E" w:rsidR="000C05EE" w:rsidRDefault="000C05EE" w:rsidP="00297E0E">
      <w:pPr>
        <w:pStyle w:val="ListParagraph"/>
        <w:numPr>
          <w:ilvl w:val="0"/>
          <w:numId w:val="16"/>
        </w:numPr>
      </w:pPr>
      <w:r>
        <w:t>requested the same number of sessions in a retreatment course as in the initial course. However, MSAC considered that a maximum of 15 sessions was appropriate for retreatment, as supported by the included studies; and</w:t>
      </w:r>
    </w:p>
    <w:p w14:paraId="23B204E0" w14:textId="5E6265FF" w:rsidR="000C05EE" w:rsidRDefault="004B421C" w:rsidP="006B5B65">
      <w:pPr>
        <w:pStyle w:val="ListParagraph"/>
        <w:numPr>
          <w:ilvl w:val="0"/>
          <w:numId w:val="16"/>
        </w:numPr>
      </w:pPr>
      <w:r>
        <w:t>requested</w:t>
      </w:r>
      <w:r w:rsidR="000C05EE">
        <w:t xml:space="preserve"> </w:t>
      </w:r>
      <w:r w:rsidR="006B5B65">
        <w:t xml:space="preserve">that the number of retreatment courses available should be unlimited. However, MSAC considered that retreatment should be limited to one course, at least initially, given the low quality of evidence supporting retreatment and the small proportion of patients who experience second or subsequent relapses. MSAC therefore accepted the Department’s base-case MBS item descriptor for retreatment, but not the </w:t>
      </w:r>
      <w:r w:rsidR="000552E1">
        <w:t>Department</w:t>
      </w:r>
      <w:r w:rsidR="0012098B">
        <w:t>-</w:t>
      </w:r>
      <w:r w:rsidR="000552E1">
        <w:t xml:space="preserve">proposed </w:t>
      </w:r>
      <w:r w:rsidR="006B5B65">
        <w:t>alternative scenarios includ</w:t>
      </w:r>
      <w:r w:rsidR="000552E1">
        <w:t>ing</w:t>
      </w:r>
      <w:r w:rsidR="006B5B65">
        <w:t xml:space="preserve"> t</w:t>
      </w:r>
      <w:r w:rsidR="000C05EE">
        <w:t>wo o</w:t>
      </w:r>
      <w:r w:rsidR="0012098B">
        <w:t>r three retreatment courses.</w:t>
      </w:r>
    </w:p>
    <w:p w14:paraId="3F10D932" w14:textId="5C8834CF" w:rsidR="000C05EE" w:rsidRDefault="00815452" w:rsidP="00FE4E10">
      <w:pPr>
        <w:spacing w:before="240" w:after="240"/>
      </w:pPr>
      <w:r>
        <w:t xml:space="preserve">MSAC considered that separate MBS item descriptors and fees were required for patient assessment and prescription for initial treatment and retreatment. A single MBS item was required for </w:t>
      </w:r>
      <w:r w:rsidR="002D7951">
        <w:t xml:space="preserve">rTMS </w:t>
      </w:r>
      <w:r>
        <w:t xml:space="preserve">treatment delivery, whether this was initial treatment or retreatment. MSAC agreed with the Department’s </w:t>
      </w:r>
      <w:r w:rsidR="0021748F">
        <w:t>proposed base</w:t>
      </w:r>
      <w:r w:rsidR="0012098B">
        <w:t xml:space="preserve">-case MBS item </w:t>
      </w:r>
      <w:r>
        <w:t xml:space="preserve">descriptor for initial </w:t>
      </w:r>
      <w:r w:rsidR="0012098B">
        <w:t xml:space="preserve">assessment and </w:t>
      </w:r>
      <w:r w:rsidR="00397F70">
        <w:t>prescription of a single course</w:t>
      </w:r>
      <w:r w:rsidR="0012098B">
        <w:t xml:space="preserve"> re</w:t>
      </w:r>
      <w:r>
        <w:t>treatment</w:t>
      </w:r>
      <w:r w:rsidR="00397F70">
        <w:t xml:space="preserve"> with rTMS (see Table 1</w:t>
      </w:r>
      <w:r w:rsidR="0012098B">
        <w:t>)</w:t>
      </w:r>
      <w:r>
        <w:t xml:space="preserve">. </w:t>
      </w:r>
      <w:r w:rsidR="0012098B">
        <w:t xml:space="preserve">However, </w:t>
      </w:r>
      <w:r>
        <w:t xml:space="preserve">MSAC </w:t>
      </w:r>
      <w:r w:rsidR="0021748F">
        <w:t>recommended</w:t>
      </w:r>
      <w:r>
        <w:t xml:space="preserve"> the </w:t>
      </w:r>
      <w:r w:rsidR="006C19FD">
        <w:t>a</w:t>
      </w:r>
      <w:r>
        <w:t>pplicant work with the Department on developing criteria to define relapse, including potential validated tools that may be appropriate, to be included in the explanatory notes for the MBS item for retreatment.</w:t>
      </w:r>
    </w:p>
    <w:p w14:paraId="0422F08F" w14:textId="70111173" w:rsidR="00815452" w:rsidRDefault="000C05EE" w:rsidP="00FE4E10">
      <w:pPr>
        <w:spacing w:after="240"/>
      </w:pPr>
      <w:r>
        <w:t xml:space="preserve">MSAC noted that retreatment accounted for approximately 15% of the total annual </w:t>
      </w:r>
      <w:r w:rsidR="0012098B">
        <w:t xml:space="preserve">financial </w:t>
      </w:r>
      <w:r>
        <w:t>impact of listing rTMS, adding ~$12 million in Year 5 (compared with the Critique’s respecified financial estimates</w:t>
      </w:r>
      <w:r w:rsidR="0012098B">
        <w:t xml:space="preserve"> for rTMS</w:t>
      </w:r>
      <w:r>
        <w:t xml:space="preserve"> in Application 1196.2, which did not include retreatment).</w:t>
      </w:r>
    </w:p>
    <w:p w14:paraId="6C519B79" w14:textId="237A9C2A" w:rsidR="00815452" w:rsidRDefault="00815452" w:rsidP="00FE4E10">
      <w:pPr>
        <w:spacing w:after="240"/>
      </w:pPr>
      <w:r>
        <w:t xml:space="preserve">MSAC acknowledged the importance of rTMS being provided by appropriately trained personnel. It was noted that, if this </w:t>
      </w:r>
      <w:r w:rsidR="0021748F">
        <w:t>were</w:t>
      </w:r>
      <w:r>
        <w:t xml:space="preserve"> specified in the item descriptor, it w</w:t>
      </w:r>
      <w:r w:rsidR="0021748F">
        <w:t>ould</w:t>
      </w:r>
      <w:r>
        <w:t xml:space="preserve"> be a legislative requirement for the Department of Human Services to maintain a register of trained people, which is likely to significantly delay implementation while this register is developed. MSAC advised instead that the requirement for training should be included in the explanatory notes to the item, ensuring that the onus is on the prescribing psychiatrist to ensure the staff providing the treatment are appropriately trained. MSAC </w:t>
      </w:r>
      <w:r w:rsidR="0021748F">
        <w:t>recommended</w:t>
      </w:r>
      <w:r>
        <w:t xml:space="preserve"> the Department write to the RANZCP to </w:t>
      </w:r>
      <w:r w:rsidR="0021748F">
        <w:t>ensure safeguards around</w:t>
      </w:r>
      <w:r>
        <w:t xml:space="preserve"> the training requirement</w:t>
      </w:r>
      <w:r w:rsidR="0021748F">
        <w:t>s</w:t>
      </w:r>
      <w:r>
        <w:t xml:space="preserve"> </w:t>
      </w:r>
      <w:r w:rsidR="0021748F">
        <w:t>are</w:t>
      </w:r>
      <w:r>
        <w:t xml:space="preserve"> incorporated into the explanatory notes to avoid delays in implementation, and the college </w:t>
      </w:r>
      <w:r w:rsidR="0021748F">
        <w:t>has mechanisms to ensure people administering rTMS</w:t>
      </w:r>
      <w:r>
        <w:t xml:space="preserve"> have the appropriate training.</w:t>
      </w:r>
    </w:p>
    <w:p w14:paraId="2F137852" w14:textId="77777777" w:rsidR="00815452" w:rsidRDefault="00815452" w:rsidP="00815452">
      <w:r>
        <w:t>MSAC noted that no other changes had been made from the previous resubmission.</w:t>
      </w:r>
    </w:p>
    <w:p w14:paraId="18FBB93C" w14:textId="77777777" w:rsidR="00815452" w:rsidRPr="00B63E4F" w:rsidRDefault="00815452" w:rsidP="00FE4E10">
      <w:pPr>
        <w:spacing w:before="240"/>
      </w:pPr>
      <w:r>
        <w:t>MSAC considered the impact on the Extended Medicare Safety Net (EMSN), given that rTMS is provided in an outpatient setting, and patients can potentially receive a large number of services and significant out-of-pocket costs. MSAC considered that a</w:t>
      </w:r>
      <w:r w:rsidRPr="008665CE">
        <w:t>n EMSN cap (set at 80</w:t>
      </w:r>
      <w:r>
        <w:t xml:space="preserve">% </w:t>
      </w:r>
      <w:r w:rsidRPr="008665CE">
        <w:t xml:space="preserve">of the MBS fee) </w:t>
      </w:r>
      <w:r>
        <w:t>for</w:t>
      </w:r>
      <w:r w:rsidRPr="008665CE">
        <w:t xml:space="preserve"> all rTMS services will be consistent with other ‘procedural’ MBS items to minimi</w:t>
      </w:r>
      <w:r>
        <w:t>s</w:t>
      </w:r>
      <w:r w:rsidRPr="008665CE">
        <w:t>e fee inflation and protect patients from high out</w:t>
      </w:r>
      <w:r>
        <w:t>-</w:t>
      </w:r>
      <w:r w:rsidRPr="008665CE">
        <w:t>of</w:t>
      </w:r>
      <w:r>
        <w:t>-</w:t>
      </w:r>
      <w:r w:rsidRPr="008665CE">
        <w:t>pocket costs</w:t>
      </w:r>
      <w:r>
        <w:t>.</w:t>
      </w:r>
    </w:p>
    <w:p w14:paraId="05EB2D1D" w14:textId="77777777" w:rsidR="00A428E9" w:rsidRPr="00F715D1" w:rsidRDefault="00A428E9" w:rsidP="00A428E9">
      <w:pPr>
        <w:pStyle w:val="Heading1"/>
      </w:pPr>
      <w:r w:rsidRPr="00F715D1">
        <w:t>Background</w:t>
      </w:r>
    </w:p>
    <w:p w14:paraId="2A2E76B2" w14:textId="77777777" w:rsidR="000A4D39" w:rsidRDefault="000A4D39" w:rsidP="000A4D39">
      <w:r>
        <w:t>Previously, MSAC assessed rTMS under Application 1101 in 2007. The first application (MSAC 1196) was considered by MSAC at its November 2014 meeting; the first resubmission (1196.1) was considered at the July 2018 meeting, and the second resubmission (1196.2) was considered at the August 2019 meeting.</w:t>
      </w:r>
    </w:p>
    <w:p w14:paraId="538C573D" w14:textId="77777777" w:rsidR="000A4D39" w:rsidRDefault="000A4D39" w:rsidP="000A4D39">
      <w:pPr>
        <w:pStyle w:val="Heading2"/>
      </w:pPr>
      <w:r>
        <w:lastRenderedPageBreak/>
        <w:t>Application 1196.2</w:t>
      </w:r>
    </w:p>
    <w:p w14:paraId="57D27C83" w14:textId="6C193D74" w:rsidR="000A4D39" w:rsidRPr="00FE4E10" w:rsidRDefault="000A4D39" w:rsidP="00FE4E10">
      <w:pPr>
        <w:spacing w:after="240"/>
      </w:pPr>
      <w:r>
        <w:rPr>
          <w:lang w:eastAsia="en-US"/>
        </w:rPr>
        <w:t xml:space="preserve">In summary, </w:t>
      </w:r>
      <w:r w:rsidRPr="007B598A">
        <w:t>MSAC supported the new MBS item for initial treatment with rTMS of finite duration for adults diagnosed with antidepressant medication resistant major depressive disorder who have failed to receive satisfactory improvement despite adequate trialling of at least two (2) different classes of antidepressant medicines and who have not received treatment with rTMS previously.</w:t>
      </w:r>
    </w:p>
    <w:p w14:paraId="25CD5AB4" w14:textId="70B6DACC" w:rsidR="000A4D39" w:rsidRPr="007B598A" w:rsidRDefault="000A4D39" w:rsidP="00FE4E10">
      <w:pPr>
        <w:spacing w:after="240"/>
      </w:pPr>
      <w:r w:rsidRPr="007B598A">
        <w:t>MSAC was of a mind to support an MBS listing for re-treatment with rTMS of finite duration, but considered that further information was required from the RANZCP, particularly regarding the appropriate time period between cessation of the initial treatment course and commencement of a re-treatment course, and the proportion of patients who have responded to initial treatment who are likely to relapse and require re-treatment.</w:t>
      </w:r>
    </w:p>
    <w:p w14:paraId="521D79FD" w14:textId="77777777" w:rsidR="000A4D39" w:rsidRDefault="000A4D39" w:rsidP="000A4D39">
      <w:pPr>
        <w:spacing w:after="240"/>
      </w:pPr>
      <w:r w:rsidRPr="007B598A">
        <w:t>MSAC did not support ongoing maintenance treatment with rTMS due to the limited and weak evidence base</w:t>
      </w:r>
      <w:r>
        <w:t xml:space="preserve"> (Application No. 1196.2 PSD, p</w:t>
      </w:r>
      <w:r w:rsidRPr="007B598A">
        <w:t>.</w:t>
      </w:r>
      <w:bookmarkStart w:id="1" w:name="Editing"/>
      <w:bookmarkEnd w:id="1"/>
      <w:r>
        <w:t>1).</w:t>
      </w:r>
    </w:p>
    <w:p w14:paraId="4FDDCD81" w14:textId="77777777" w:rsidR="000A4D39" w:rsidRDefault="000A4D39" w:rsidP="000A4D39">
      <w:pPr>
        <w:pStyle w:val="Heading2"/>
      </w:pPr>
      <w:r>
        <w:t xml:space="preserve">Application </w:t>
      </w:r>
      <w:r w:rsidRPr="000A4D39">
        <w:t>1196</w:t>
      </w:r>
      <w:r>
        <w:t>.1</w:t>
      </w:r>
    </w:p>
    <w:p w14:paraId="0B21AB9A" w14:textId="77777777" w:rsidR="000A4D39" w:rsidRDefault="000A4D39" w:rsidP="000A4D39">
      <w:pPr>
        <w:spacing w:after="240"/>
      </w:pPr>
      <w:r>
        <w:rPr>
          <w:lang w:eastAsia="en-US"/>
        </w:rPr>
        <w:t xml:space="preserve">In summary, </w:t>
      </w:r>
      <w:r w:rsidRPr="007B598A">
        <w:t>MSAC</w:t>
      </w:r>
      <w:r>
        <w:t xml:space="preserve"> </w:t>
      </w:r>
      <w:r w:rsidRPr="00CA5587">
        <w:t xml:space="preserve">deferred </w:t>
      </w:r>
      <w:r>
        <w:t>its advice on MBS</w:t>
      </w:r>
      <w:r w:rsidRPr="00CA5587">
        <w:t xml:space="preserve"> funding </w:t>
      </w:r>
      <w:r>
        <w:t xml:space="preserve">for </w:t>
      </w:r>
      <w:r w:rsidRPr="008E6728">
        <w:t>rTMS for the treatment of depression</w:t>
      </w:r>
      <w:r>
        <w:t xml:space="preserve">. </w:t>
      </w:r>
      <w:r w:rsidRPr="00335A16">
        <w:t xml:space="preserve">MSAC accepted </w:t>
      </w:r>
      <w:r>
        <w:t xml:space="preserve">that </w:t>
      </w:r>
      <w:r w:rsidRPr="00335A16">
        <w:t>there was a clinical need and place for rT</w:t>
      </w:r>
      <w:r>
        <w:t>MS in the initial treatment, re</w:t>
      </w:r>
      <w:r w:rsidRPr="00335A16">
        <w:t xml:space="preserve">treatment and relapse of major </w:t>
      </w:r>
      <w:r>
        <w:t xml:space="preserve">treatment-resistant </w:t>
      </w:r>
      <w:r w:rsidRPr="00335A16">
        <w:t xml:space="preserve">depression, </w:t>
      </w:r>
      <w:r>
        <w:t>but</w:t>
      </w:r>
      <w:r w:rsidRPr="00335A16">
        <w:t xml:space="preserve"> considered that the evidence presented was limited and weak. MSAC did not accept </w:t>
      </w:r>
      <w:r>
        <w:t xml:space="preserve">that </w:t>
      </w:r>
      <w:r w:rsidRPr="00335A16">
        <w:t>there was a place for maintenance treatment</w:t>
      </w:r>
      <w:r>
        <w:t xml:space="preserve"> with rTMS</w:t>
      </w:r>
      <w:r w:rsidRPr="00335A16">
        <w:t>.</w:t>
      </w:r>
    </w:p>
    <w:p w14:paraId="25C0EF57" w14:textId="77777777" w:rsidR="000A4D39" w:rsidRDefault="000A4D39" w:rsidP="000A4D39">
      <w:r>
        <w:t xml:space="preserve">MSAC also requested that the </w:t>
      </w:r>
      <w:r w:rsidRPr="00335A16">
        <w:t xml:space="preserve">proposed </w:t>
      </w:r>
      <w:r>
        <w:t xml:space="preserve">MBS item descriptors (to exclude maintenance), MBS fees, economic evaluation and MBS </w:t>
      </w:r>
      <w:r w:rsidRPr="00335A16">
        <w:t xml:space="preserve">costings </w:t>
      </w:r>
      <w:r>
        <w:t xml:space="preserve">be reconsidered using a ‘frame of reference’ approach based on the </w:t>
      </w:r>
      <w:r w:rsidRPr="00C21104">
        <w:t xml:space="preserve">extent of clinical benefit of rTMS </w:t>
      </w:r>
      <w:r>
        <w:t>being similar</w:t>
      </w:r>
      <w:r w:rsidRPr="00C21104">
        <w:t xml:space="preserve"> </w:t>
      </w:r>
      <w:r>
        <w:t xml:space="preserve">to the clinical benefit of </w:t>
      </w:r>
      <w:r w:rsidRPr="00C21104">
        <w:t>switching to other pharmacological antidepressant agents on a cost per patient for the same duration of episodic</w:t>
      </w:r>
      <w:r>
        <w:t xml:space="preserve"> treatment (Application No. 1196.1 PSD, pp</w:t>
      </w:r>
      <w:r w:rsidRPr="007B598A">
        <w:t>.</w:t>
      </w:r>
      <w:r>
        <w:t>1-2).</w:t>
      </w:r>
    </w:p>
    <w:p w14:paraId="75AA9F83" w14:textId="77777777" w:rsidR="000A4D39" w:rsidRDefault="000A4D39" w:rsidP="000A4D39">
      <w:pPr>
        <w:pStyle w:val="Heading2"/>
      </w:pPr>
      <w:r>
        <w:t>Application 1196</w:t>
      </w:r>
    </w:p>
    <w:p w14:paraId="4A7363D7" w14:textId="094ABB9A" w:rsidR="000A4D39" w:rsidRDefault="000A4D39" w:rsidP="00FE4E10">
      <w:pPr>
        <w:spacing w:after="240"/>
      </w:pPr>
      <w:r>
        <w:rPr>
          <w:lang w:eastAsia="en-US"/>
        </w:rPr>
        <w:t xml:space="preserve">In summary, </w:t>
      </w:r>
      <w:r>
        <w:t>MSAC did not support public funding because of uncertain effectiveness and cost-effectiveness due to insufficient comparative data in treatment-resistant patients against current antidepressant treatments and uncertain costs.</w:t>
      </w:r>
    </w:p>
    <w:p w14:paraId="47C9FDC8" w14:textId="77777777" w:rsidR="000A4D39" w:rsidRDefault="000A4D39" w:rsidP="000A4D39">
      <w:r>
        <w:t>MSAC considered that any reapplication should include:</w:t>
      </w:r>
    </w:p>
    <w:p w14:paraId="2B19B0DB" w14:textId="77777777" w:rsidR="000A4D39" w:rsidRDefault="000A4D39" w:rsidP="000A4D39">
      <w:pPr>
        <w:pStyle w:val="ListParagraph"/>
        <w:numPr>
          <w:ilvl w:val="0"/>
          <w:numId w:val="5"/>
        </w:numPr>
      </w:pPr>
      <w:r>
        <w:t>better definition of the patient population;</w:t>
      </w:r>
    </w:p>
    <w:p w14:paraId="13A29B2D" w14:textId="77777777" w:rsidR="000A4D39" w:rsidRDefault="000A4D39" w:rsidP="000A4D39">
      <w:pPr>
        <w:pStyle w:val="ListParagraph"/>
        <w:numPr>
          <w:ilvl w:val="0"/>
          <w:numId w:val="5"/>
        </w:numPr>
      </w:pPr>
      <w:r>
        <w:t>better definition of the clinical setting for this treatment;</w:t>
      </w:r>
    </w:p>
    <w:p w14:paraId="6027CA1D" w14:textId="77777777" w:rsidR="000A4D39" w:rsidRDefault="000A4D39" w:rsidP="000A4D39">
      <w:pPr>
        <w:pStyle w:val="ListParagraph"/>
        <w:numPr>
          <w:ilvl w:val="0"/>
          <w:numId w:val="5"/>
        </w:numPr>
      </w:pPr>
      <w:r>
        <w:t>evidence comparing rTMS against contemporary alternative antidepressants in this patient population; and</w:t>
      </w:r>
    </w:p>
    <w:p w14:paraId="50485143" w14:textId="62FBA9D2" w:rsidR="00397F70" w:rsidRDefault="000A4D39" w:rsidP="00397F70">
      <w:pPr>
        <w:pStyle w:val="ListParagraph"/>
        <w:numPr>
          <w:ilvl w:val="0"/>
          <w:numId w:val="5"/>
        </w:numPr>
      </w:pPr>
      <w:r>
        <w:t>further consideration of the treatment costs of anti-depressants (Application No. 1196 PSD, p1).</w:t>
      </w:r>
    </w:p>
    <w:p w14:paraId="225D4EC8" w14:textId="0E39D07A" w:rsidR="00397F70" w:rsidRDefault="00397F70" w:rsidP="00FE4E10">
      <w:pPr>
        <w:spacing w:before="240"/>
      </w:pPr>
      <w:r>
        <w:t xml:space="preserve">Further information on these applications is available on the </w:t>
      </w:r>
      <w:hyperlink r:id="rId10" w:tooltip="Link to the MSAC website" w:history="1">
        <w:r w:rsidRPr="00397F70">
          <w:rPr>
            <w:rStyle w:val="Hyperlink"/>
          </w:rPr>
          <w:t>MSAC website</w:t>
        </w:r>
      </w:hyperlink>
      <w:r>
        <w:t>.</w:t>
      </w:r>
    </w:p>
    <w:p w14:paraId="14EF03FD" w14:textId="77777777" w:rsidR="00A428E9" w:rsidRPr="00F715D1" w:rsidRDefault="00A428E9" w:rsidP="00A428E9">
      <w:pPr>
        <w:pStyle w:val="Heading1"/>
      </w:pPr>
      <w:r w:rsidRPr="00F715D1">
        <w:t>Prerequisites to implementation of any funding advice</w:t>
      </w:r>
    </w:p>
    <w:p w14:paraId="3078B0F1" w14:textId="203396D1" w:rsidR="000A4D39" w:rsidRDefault="000A4D39" w:rsidP="000A4D39">
      <w:r>
        <w:t xml:space="preserve">This was unchanged. Refer to Application 1196.1 PSD 2018, pp5-6 for details of </w:t>
      </w:r>
      <w:r w:rsidR="00397F70">
        <w:t xml:space="preserve">three rTMS items listed on the </w:t>
      </w:r>
      <w:r>
        <w:t>Australian Register of Therapeutic Goods (ARTG).</w:t>
      </w:r>
    </w:p>
    <w:p w14:paraId="2128D196" w14:textId="77777777" w:rsidR="00A428E9" w:rsidRPr="00F715D1" w:rsidRDefault="00A428E9" w:rsidP="00A428E9">
      <w:pPr>
        <w:pStyle w:val="Heading1"/>
      </w:pPr>
      <w:r w:rsidRPr="00F715D1">
        <w:lastRenderedPageBreak/>
        <w:t>Proposal for public funding</w:t>
      </w:r>
    </w:p>
    <w:p w14:paraId="76EEBEF1" w14:textId="77777777" w:rsidR="000A4D39" w:rsidRDefault="000A4D39" w:rsidP="000A4D39">
      <w:pPr>
        <w:pStyle w:val="Heading2"/>
      </w:pPr>
      <w:r>
        <w:t>Department proposed MBS item descriptor for rTMS retreatment.</w:t>
      </w:r>
    </w:p>
    <w:p w14:paraId="402016CA" w14:textId="13DA06D5" w:rsidR="000A4D39" w:rsidRDefault="000A4D39" w:rsidP="000A4D39">
      <w:r>
        <w:t>The Department proposed a separate MBS item descriptor for retreatment with rTMS in those who have relapsed after remission</w:t>
      </w:r>
      <w:r w:rsidRPr="00666F63">
        <w:t xml:space="preserve"> or satisfactory clinical response (according to a validated clinical assessment tool for </w:t>
      </w:r>
      <w:r w:rsidRPr="00666F63">
        <w:rPr>
          <w:lang w:eastAsia="en-US"/>
        </w:rPr>
        <w:t xml:space="preserve">antidepressant medication-resistant </w:t>
      </w:r>
      <w:r>
        <w:t>MDD</w:t>
      </w:r>
      <w:r w:rsidRPr="00666F63">
        <w:t>)</w:t>
      </w:r>
      <w:r>
        <w:t xml:space="preserve"> to an initial course of treatment. I</w:t>
      </w:r>
      <w:r w:rsidR="006C19FD">
        <w:t>n brief, this was based on the a</w:t>
      </w:r>
      <w:r>
        <w:t>pplicant’s updated evidence pack (see Table 6):</w:t>
      </w:r>
    </w:p>
    <w:p w14:paraId="2A172B4F" w14:textId="6E3EA14A" w:rsidR="000A4D39" w:rsidRDefault="006C19FD" w:rsidP="000A4D39">
      <w:pPr>
        <w:pStyle w:val="ListParagraph"/>
        <w:numPr>
          <w:ilvl w:val="0"/>
          <w:numId w:val="8"/>
        </w:numPr>
      </w:pPr>
      <w:r>
        <w:t>The a</w:t>
      </w:r>
      <w:r w:rsidR="000A4D39">
        <w:t>pplicant stated across the majority of studies the time to retreatment with rTMS averaged between 4-10 months;</w:t>
      </w:r>
    </w:p>
    <w:p w14:paraId="55E54D11" w14:textId="6A0270E8" w:rsidR="000A4D39" w:rsidRDefault="006C19FD" w:rsidP="000A4D39">
      <w:pPr>
        <w:pStyle w:val="ListParagraph"/>
        <w:numPr>
          <w:ilvl w:val="0"/>
          <w:numId w:val="8"/>
        </w:numPr>
      </w:pPr>
      <w:r>
        <w:t>The a</w:t>
      </w:r>
      <w:r w:rsidR="000A4D39">
        <w:t>pplicant indicated that the relapse rate in those classified as full remitters after initial response was 29.5%, increasing to 37.5% when including remission and response criteria (Dunner et al. 2014);</w:t>
      </w:r>
    </w:p>
    <w:p w14:paraId="58CA5712" w14:textId="0579408A" w:rsidR="000A4D39" w:rsidRDefault="006C19FD" w:rsidP="000A4D39">
      <w:pPr>
        <w:pStyle w:val="ListParagraph"/>
        <w:numPr>
          <w:ilvl w:val="0"/>
          <w:numId w:val="8"/>
        </w:numPr>
      </w:pPr>
      <w:r>
        <w:t>The a</w:t>
      </w:r>
      <w:r w:rsidR="000A4D39">
        <w:t>pplicant indicated there was around 15 sessions for a retreatment course following initial course of treatment (much lower than ~30-35 provided in initial therapy); and</w:t>
      </w:r>
    </w:p>
    <w:p w14:paraId="43B3429B" w14:textId="6F6D5E4E" w:rsidR="000A4D39" w:rsidRPr="00FE4E10" w:rsidRDefault="000A4D39" w:rsidP="000A4D39">
      <w:pPr>
        <w:pStyle w:val="ListParagraph"/>
        <w:numPr>
          <w:ilvl w:val="0"/>
          <w:numId w:val="8"/>
        </w:numPr>
        <w:rPr>
          <w:i/>
        </w:rPr>
      </w:pPr>
      <w:r w:rsidRPr="00336C26">
        <w:rPr>
          <w:i/>
        </w:rPr>
        <w:t>The Department observed that in those who relapsed after initial course of treatment and received retreatment</w:t>
      </w:r>
      <w:r>
        <w:rPr>
          <w:i/>
        </w:rPr>
        <w:t xml:space="preserve"> with rTMS in Janicak et al. 2010, 15/99 (15.2%) and 5/99 (5.1%) experienced a second or third period of symptom re-emergence (i.e. second and third relapse, respectively).</w:t>
      </w:r>
    </w:p>
    <w:p w14:paraId="4F0F012F" w14:textId="072957AD" w:rsidR="000A4D39" w:rsidRDefault="006C19FD" w:rsidP="00FE4E10">
      <w:pPr>
        <w:spacing w:before="240"/>
      </w:pPr>
      <w:r>
        <w:t>Based on the a</w:t>
      </w:r>
      <w:r w:rsidR="000A4D39">
        <w:t>pplicant’s updated evidence pack of retreatment with rTMS, the Department proposed two MBS item descriptors for MSAC consideration:</w:t>
      </w:r>
    </w:p>
    <w:p w14:paraId="0DAD4FDA" w14:textId="14D1E196" w:rsidR="000A4D39" w:rsidRDefault="000A4D39" w:rsidP="000A4D39">
      <w:pPr>
        <w:pStyle w:val="ListParagraph"/>
        <w:numPr>
          <w:ilvl w:val="0"/>
          <w:numId w:val="7"/>
        </w:numPr>
      </w:pPr>
      <w:r w:rsidRPr="00035B57">
        <w:rPr>
          <w:b/>
        </w:rPr>
        <w:t>Base-case:</w:t>
      </w:r>
      <w:r>
        <w:t xml:space="preserve"> MBS item descriptor XXXXX (Table 3), permitting only one course of retreatment with rTMS in those who relapsed after initial remission</w:t>
      </w:r>
      <w:r w:rsidRPr="005C60D5">
        <w:t xml:space="preserve"> </w:t>
      </w:r>
      <w:r w:rsidRPr="00666F63">
        <w:t xml:space="preserve">or satisfactory clinical response (according to a validated clinical assessment tool for </w:t>
      </w:r>
      <w:r w:rsidRPr="00666F63">
        <w:rPr>
          <w:lang w:eastAsia="en-US"/>
        </w:rPr>
        <w:t xml:space="preserve">antidepressant medication-resistant </w:t>
      </w:r>
      <w:r>
        <w:t>MDD</w:t>
      </w:r>
      <w:r w:rsidRPr="00666F63">
        <w:t>)</w:t>
      </w:r>
      <w:r>
        <w:t xml:space="preserve"> to initial course of treatment. This assumption was based on the majority of studies only provided data for</w:t>
      </w:r>
      <w:r w:rsidR="006C19FD">
        <w:t xml:space="preserve"> one retreatment course in the a</w:t>
      </w:r>
      <w:r>
        <w:t>pplicant’s updated evidence pack.</w:t>
      </w:r>
    </w:p>
    <w:p w14:paraId="7890C54C" w14:textId="5EC5256B" w:rsidR="000A4D39" w:rsidRDefault="000A4D39" w:rsidP="00FE4E10">
      <w:pPr>
        <w:pStyle w:val="ListParagraph"/>
        <w:numPr>
          <w:ilvl w:val="0"/>
          <w:numId w:val="7"/>
        </w:numPr>
      </w:pPr>
      <w:r w:rsidRPr="00336C26">
        <w:rPr>
          <w:b/>
        </w:rPr>
        <w:t>Alternative scenario</w:t>
      </w:r>
      <w:r>
        <w:rPr>
          <w:b/>
        </w:rPr>
        <w:t>s</w:t>
      </w:r>
      <w:r w:rsidRPr="00336C26">
        <w:rPr>
          <w:b/>
        </w:rPr>
        <w:t>:</w:t>
      </w:r>
      <w:r>
        <w:t xml:space="preserve"> MBS item descriptor YYYYY (Table 4) and ZZZZZ (Table 5) permitting up to two and three courses of retreatment with rTMS, respectively, in those who relapsed after initial remission</w:t>
      </w:r>
      <w:r w:rsidRPr="005C60D5">
        <w:t xml:space="preserve"> </w:t>
      </w:r>
      <w:r w:rsidRPr="00666F63">
        <w:t xml:space="preserve">or satisfactory clinical response (according to a validated clinical assessment tool for </w:t>
      </w:r>
      <w:r w:rsidRPr="00666F63">
        <w:rPr>
          <w:lang w:eastAsia="en-US"/>
        </w:rPr>
        <w:t xml:space="preserve">antidepressant medication-resistant </w:t>
      </w:r>
      <w:r>
        <w:t>MDD</w:t>
      </w:r>
      <w:r w:rsidRPr="00666F63">
        <w:t>)</w:t>
      </w:r>
      <w:r>
        <w:t xml:space="preserve"> to initial course of treatment and subsequent courses of retreatment with rTMS.</w:t>
      </w:r>
      <w:r w:rsidRPr="00746AD5">
        <w:t xml:space="preserve"> </w:t>
      </w:r>
      <w:r>
        <w:t>This assumption was based on the data on second and third relapse provided in J</w:t>
      </w:r>
      <w:r w:rsidR="006C19FD">
        <w:t>anicak et al. 2010 included in a</w:t>
      </w:r>
      <w:r>
        <w:t>pplicant’s updated evidence pack.</w:t>
      </w:r>
      <w:r w:rsidR="00397F70">
        <w:br w:type="page"/>
      </w:r>
    </w:p>
    <w:p w14:paraId="275E9AE3" w14:textId="03F368FD" w:rsidR="000A4D39" w:rsidRDefault="000A4D39" w:rsidP="00FE4E10">
      <w:pPr>
        <w:pStyle w:val="Heading2"/>
        <w:spacing w:after="240"/>
      </w:pPr>
      <w:r>
        <w:lastRenderedPageBreak/>
        <w:t>Department-proposed base case</w:t>
      </w:r>
    </w:p>
    <w:p w14:paraId="7368BF5E" w14:textId="2870071E" w:rsidR="000A4D39" w:rsidRPr="005B5918" w:rsidRDefault="000A4D39" w:rsidP="005B5918">
      <w:pPr>
        <w:rPr>
          <w:rFonts w:ascii="Arial Narrow" w:hAnsi="Arial Narrow"/>
          <w:b/>
          <w:sz w:val="20"/>
        </w:rPr>
      </w:pPr>
      <w:r w:rsidRPr="005B5918" w:rsidDel="00A134DA">
        <w:rPr>
          <w:rFonts w:ascii="Arial Narrow" w:hAnsi="Arial Narrow"/>
          <w:b/>
          <w:sz w:val="20"/>
        </w:rPr>
        <w:t>Table</w:t>
      </w:r>
      <w:r w:rsidR="00397F70" w:rsidRPr="005B5918">
        <w:rPr>
          <w:rFonts w:ascii="Arial Narrow" w:hAnsi="Arial Narrow"/>
          <w:b/>
          <w:sz w:val="20"/>
        </w:rPr>
        <w:t xml:space="preserve"> 1</w:t>
      </w:r>
      <w:r w:rsidRPr="005B5918">
        <w:rPr>
          <w:rFonts w:ascii="Arial Narrow" w:hAnsi="Arial Narrow"/>
          <w:b/>
          <w:sz w:val="20"/>
        </w:rPr>
        <w:tab/>
        <w:t xml:space="preserve">Base case </w:t>
      </w:r>
      <w:r w:rsidRPr="005B5918" w:rsidDel="00A134DA">
        <w:rPr>
          <w:rFonts w:ascii="Arial Narrow" w:hAnsi="Arial Narrow"/>
          <w:b/>
          <w:sz w:val="20"/>
        </w:rPr>
        <w:t>MBS item descriptor</w:t>
      </w:r>
      <w:r w:rsidRPr="005B5918">
        <w:rPr>
          <w:rFonts w:ascii="Arial Narrow" w:hAnsi="Arial Narrow"/>
          <w:b/>
          <w:sz w:val="20"/>
        </w:rPr>
        <w:t>, patient assessment and prescribing of up to 1 rTMS retreatment course</w:t>
      </w:r>
    </w:p>
    <w:tbl>
      <w:tblPr>
        <w:tblStyle w:val="OPTUMTableNormal"/>
        <w:tblW w:w="9070" w:type="dxa"/>
        <w:tblLook w:val="04A0" w:firstRow="1" w:lastRow="0" w:firstColumn="1" w:lastColumn="0" w:noHBand="0" w:noVBand="1"/>
        <w:tblCaption w:val="Proposed MBS item descriptor, patient assessment and prescribing of rTMS "/>
        <w:tblDescription w:val="Summary of proposed MBS item descriptor: prescribing"/>
      </w:tblPr>
      <w:tblGrid>
        <w:gridCol w:w="9070"/>
      </w:tblGrid>
      <w:tr w:rsidR="000A4D39" w:rsidRPr="009E68E4" w:rsidDel="00A134DA" w14:paraId="6AF234D3" w14:textId="77777777" w:rsidTr="005B5918">
        <w:trPr>
          <w:cnfStyle w:val="100000000000" w:firstRow="1" w:lastRow="0" w:firstColumn="0" w:lastColumn="0" w:oddVBand="0" w:evenVBand="0" w:oddHBand="0" w:evenHBand="0" w:firstRowFirstColumn="0" w:firstRowLastColumn="0" w:lastRowFirstColumn="0" w:lastRowLastColumn="0"/>
          <w:tblHeader/>
        </w:trPr>
        <w:tc>
          <w:tcPr>
            <w:tcW w:w="9070" w:type="dxa"/>
          </w:tcPr>
          <w:p w14:paraId="14826F3D" w14:textId="77777777" w:rsidR="000A4D39" w:rsidRPr="009E68E4" w:rsidDel="00A134DA" w:rsidRDefault="000A4D39" w:rsidP="00223037">
            <w:pPr>
              <w:widowControl w:val="0"/>
              <w:spacing w:before="20" w:after="40"/>
              <w:rPr>
                <w:rFonts w:ascii="Arial" w:hAnsi="Arial"/>
                <w:sz w:val="18"/>
                <w:lang w:eastAsia="en-US"/>
              </w:rPr>
            </w:pPr>
            <w:r w:rsidRPr="009E68E4" w:rsidDel="00A134DA">
              <w:rPr>
                <w:rFonts w:ascii="Arial" w:hAnsi="Arial"/>
                <w:sz w:val="18"/>
                <w:lang w:eastAsia="en-US"/>
              </w:rPr>
              <w:t xml:space="preserve">Category </w:t>
            </w:r>
            <w:r w:rsidRPr="009E68E4">
              <w:rPr>
                <w:rFonts w:ascii="Arial" w:hAnsi="Arial"/>
                <w:sz w:val="18"/>
                <w:lang w:eastAsia="en-US"/>
              </w:rPr>
              <w:t>3</w:t>
            </w:r>
            <w:r w:rsidRPr="009E68E4" w:rsidDel="00A134DA">
              <w:rPr>
                <w:rFonts w:ascii="Arial" w:hAnsi="Arial"/>
                <w:sz w:val="18"/>
                <w:lang w:eastAsia="en-US"/>
              </w:rPr>
              <w:t xml:space="preserve"> – </w:t>
            </w:r>
            <w:r w:rsidRPr="009E68E4">
              <w:rPr>
                <w:rFonts w:ascii="Arial" w:hAnsi="Arial"/>
                <w:sz w:val="18"/>
                <w:lang w:eastAsia="en-US"/>
              </w:rPr>
              <w:t>THERAPEUTIC PROCEDURES</w:t>
            </w:r>
            <w:r>
              <w:t xml:space="preserve"> </w:t>
            </w:r>
            <w:r w:rsidRPr="00EE1DC7">
              <w:rPr>
                <w:rFonts w:ascii="Arial" w:hAnsi="Arial"/>
                <w:strike/>
                <w:color w:val="FF0000"/>
                <w:sz w:val="18"/>
                <w:lang w:eastAsia="en-US"/>
              </w:rPr>
              <w:t>or Category 1 – PROFESSIONAL ATTENDANCES*</w:t>
            </w:r>
          </w:p>
        </w:tc>
      </w:tr>
      <w:tr w:rsidR="000A4D39" w:rsidRPr="009E68E4" w:rsidDel="00A134DA" w14:paraId="5858478E" w14:textId="77777777" w:rsidTr="005B5918">
        <w:tc>
          <w:tcPr>
            <w:tcW w:w="9070" w:type="dxa"/>
          </w:tcPr>
          <w:p w14:paraId="68E16F4C"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 xml:space="preserve">MBS </w:t>
            </w:r>
            <w:r>
              <w:rPr>
                <w:rFonts w:ascii="Arial" w:hAnsi="Arial"/>
                <w:lang w:eastAsia="en-US"/>
              </w:rPr>
              <w:t>XXXXX</w:t>
            </w:r>
          </w:p>
          <w:p w14:paraId="2720C41A" w14:textId="78F1656C" w:rsidR="000A4D39" w:rsidRPr="009E68E4" w:rsidRDefault="000A4D39" w:rsidP="00FE4E10">
            <w:pPr>
              <w:widowControl w:val="0"/>
              <w:spacing w:before="20" w:after="240"/>
              <w:rPr>
                <w:rFonts w:ascii="Arial" w:hAnsi="Arial"/>
                <w:lang w:eastAsia="en-US"/>
              </w:rPr>
            </w:pPr>
            <w:r w:rsidRPr="009E68E4">
              <w:rPr>
                <w:rFonts w:ascii="Arial" w:hAnsi="Arial"/>
                <w:lang w:eastAsia="en-US"/>
              </w:rPr>
              <w:t xml:space="preserve">REPETITIVE TRANSCRANIAL MAGNETIC STIMULATION (rTMS) treatment prescription by a psychiatrist </w:t>
            </w:r>
          </w:p>
          <w:p w14:paraId="2F0FF0BD"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The patient to whom the service is provided must:</w:t>
            </w:r>
          </w:p>
          <w:p w14:paraId="11934D97" w14:textId="77777777" w:rsidR="000A4D39"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be an adult (≥18 years) diagnosed with a major depressive episode (MDE)</w:t>
            </w:r>
          </w:p>
          <w:p w14:paraId="5B1465E8" w14:textId="77777777" w:rsidR="000A4D39" w:rsidRPr="00E27C22"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 xml:space="preserve">have failed to receive satisfactory improvement despite the adequate trialling of at least two (2) different </w:t>
            </w:r>
            <w:r w:rsidRPr="00C7574C">
              <w:rPr>
                <w:rFonts w:ascii="Arial" w:hAnsi="Arial"/>
                <w:color w:val="538135" w:themeColor="accent6" w:themeShade="BF"/>
                <w:lang w:eastAsia="en-US"/>
              </w:rPr>
              <w:t xml:space="preserve">classes of </w:t>
            </w:r>
            <w:r w:rsidRPr="009E68E4">
              <w:rPr>
                <w:rFonts w:ascii="Arial" w:hAnsi="Arial"/>
                <w:lang w:eastAsia="en-US"/>
              </w:rPr>
              <w:t xml:space="preserve">antidepressant medications, unless contraindicated </w:t>
            </w:r>
            <w:r w:rsidRPr="00C7574C">
              <w:rPr>
                <w:rFonts w:ascii="Arial" w:hAnsi="Arial"/>
                <w:strike/>
                <w:color w:val="538135" w:themeColor="accent6" w:themeShade="BF"/>
                <w:lang w:eastAsia="en-US"/>
              </w:rPr>
              <w:t>or intolerant.</w:t>
            </w:r>
          </w:p>
          <w:p w14:paraId="38965D22" w14:textId="77777777" w:rsidR="000A4D39" w:rsidRPr="009233EC" w:rsidRDefault="000A4D39" w:rsidP="000A4D39">
            <w:pPr>
              <w:widowControl w:val="0"/>
              <w:numPr>
                <w:ilvl w:val="0"/>
                <w:numId w:val="6"/>
              </w:numPr>
              <w:spacing w:before="20" w:after="40"/>
              <w:jc w:val="both"/>
              <w:rPr>
                <w:rFonts w:ascii="Arial" w:hAnsi="Arial"/>
                <w:color w:val="7B7B7B" w:themeColor="accent3" w:themeShade="BF"/>
                <w:lang w:eastAsia="en-US"/>
              </w:rPr>
            </w:pPr>
            <w:r w:rsidRPr="00C7574C">
              <w:rPr>
                <w:rFonts w:ascii="Arial" w:hAnsi="Arial"/>
                <w:color w:val="538135" w:themeColor="accent6" w:themeShade="BF"/>
                <w:lang w:eastAsia="en-US"/>
              </w:rPr>
              <w:t>have undertaken psychological therapy unless inappropriate</w:t>
            </w:r>
            <w:r>
              <w:rPr>
                <w:rFonts w:ascii="Arial" w:hAnsi="Arial"/>
                <w:color w:val="7B7B7B" w:themeColor="accent3" w:themeShade="BF"/>
                <w:lang w:eastAsia="en-US"/>
              </w:rPr>
              <w:t xml:space="preserve">; </w:t>
            </w:r>
            <w:r>
              <w:rPr>
                <w:rFonts w:ascii="Arial" w:hAnsi="Arial"/>
                <w:lang w:eastAsia="en-US"/>
              </w:rPr>
              <w:t>and</w:t>
            </w:r>
          </w:p>
          <w:p w14:paraId="6CD2E8C4" w14:textId="218C60A0" w:rsidR="000A4D39" w:rsidRPr="00D63FE5" w:rsidRDefault="000A4D39" w:rsidP="00223037">
            <w:pPr>
              <w:widowControl w:val="0"/>
              <w:numPr>
                <w:ilvl w:val="0"/>
                <w:numId w:val="6"/>
              </w:numPr>
              <w:spacing w:before="20" w:after="40"/>
              <w:jc w:val="both"/>
              <w:rPr>
                <w:rFonts w:ascii="Arial" w:hAnsi="Arial"/>
                <w:color w:val="7B7B7B" w:themeColor="accent3" w:themeShade="BF"/>
                <w:highlight w:val="lightGray"/>
                <w:lang w:eastAsia="en-US"/>
              </w:rPr>
            </w:pPr>
            <w:r w:rsidRPr="00D63FE5">
              <w:rPr>
                <w:rFonts w:ascii="Arial" w:hAnsi="Arial"/>
                <w:highlight w:val="lightGray"/>
                <w:lang w:eastAsia="en-US"/>
              </w:rPr>
              <w:t>been eligible for and received rTMS therapy and relapsed after either initial remission, or satisfactory clinical response, as assessed by a validated MDD tool after and no sooner than 4 months after completion of initial course</w:t>
            </w:r>
          </w:p>
          <w:p w14:paraId="7FBDB214" w14:textId="1C2D4DB7" w:rsidR="000A4D39" w:rsidRPr="009E68E4" w:rsidRDefault="000A4D39" w:rsidP="00FE4E10">
            <w:pPr>
              <w:widowControl w:val="0"/>
              <w:spacing w:before="240" w:after="240"/>
              <w:rPr>
                <w:rFonts w:ascii="Arial" w:hAnsi="Arial"/>
                <w:lang w:eastAsia="en-US"/>
              </w:rPr>
            </w:pPr>
            <w:r w:rsidRPr="009E68E4">
              <w:rPr>
                <w:rFonts w:ascii="Arial" w:hAnsi="Arial"/>
                <w:lang w:eastAsia="en-US"/>
              </w:rPr>
              <w:t>The service is prescribed by a psychiatrist with appropriate training in rTMS</w:t>
            </w:r>
          </w:p>
          <w:p w14:paraId="785698FD" w14:textId="30DD728B" w:rsidR="000A4D39" w:rsidRPr="00FE4E10" w:rsidRDefault="000A4D39" w:rsidP="00223037">
            <w:pPr>
              <w:widowControl w:val="0"/>
              <w:spacing w:before="20" w:after="40"/>
              <w:rPr>
                <w:rFonts w:ascii="Arial" w:hAnsi="Arial"/>
                <w:color w:val="44546A" w:themeColor="text2"/>
                <w:lang w:eastAsia="en-US"/>
              </w:rPr>
            </w:pPr>
            <w:r w:rsidRPr="009E68E4">
              <w:rPr>
                <w:rFonts w:ascii="Arial" w:hAnsi="Arial"/>
                <w:lang w:eastAsia="en-US"/>
              </w:rPr>
              <w:t>Fee</w:t>
            </w:r>
            <w:r w:rsidRPr="00B95A8C">
              <w:rPr>
                <w:rFonts w:ascii="Arial" w:hAnsi="Arial"/>
                <w:lang w:eastAsia="en-US"/>
              </w:rPr>
              <w:t>: $186.40</w:t>
            </w:r>
            <w:r>
              <w:rPr>
                <w:rFonts w:ascii="Arial" w:hAnsi="Arial"/>
                <w:lang w:eastAsia="en-US"/>
              </w:rPr>
              <w:t xml:space="preserve"> </w:t>
            </w:r>
            <w:r>
              <w:rPr>
                <w:rFonts w:ascii="Arial" w:hAnsi="Arial"/>
                <w:color w:val="44546A" w:themeColor="text2"/>
                <w:lang w:eastAsia="en-US"/>
              </w:rPr>
              <w:t>(from $385 in Application 1196.1)</w:t>
            </w:r>
          </w:p>
          <w:p w14:paraId="2D382689" w14:textId="77777777" w:rsidR="000A4D39" w:rsidRDefault="000A4D39" w:rsidP="00FE4E10">
            <w:pPr>
              <w:widowControl w:val="0"/>
              <w:spacing w:before="240" w:after="40"/>
              <w:rPr>
                <w:rFonts w:ascii="Arial" w:hAnsi="Arial"/>
                <w:lang w:eastAsia="en-US"/>
              </w:rPr>
            </w:pPr>
            <w:r w:rsidRPr="009E68E4">
              <w:rPr>
                <w:rFonts w:ascii="Arial" w:hAnsi="Arial"/>
                <w:lang w:eastAsia="en-US"/>
              </w:rPr>
              <w:t xml:space="preserve">Note: </w:t>
            </w:r>
          </w:p>
          <w:p w14:paraId="36F9E5EF" w14:textId="6F25262A" w:rsidR="000A4D39" w:rsidRPr="009E68E4" w:rsidRDefault="000A4D39" w:rsidP="00FE4E10">
            <w:pPr>
              <w:widowControl w:val="0"/>
              <w:spacing w:before="20" w:after="240"/>
              <w:rPr>
                <w:rFonts w:ascii="Arial" w:hAnsi="Arial"/>
                <w:lang w:eastAsia="en-US"/>
              </w:rPr>
            </w:pPr>
            <w:r>
              <w:rPr>
                <w:rFonts w:ascii="Arial" w:hAnsi="Arial"/>
                <w:lang w:eastAsia="en-US"/>
              </w:rPr>
              <w:t>1.</w:t>
            </w:r>
            <w:r w:rsidRPr="009E68E4">
              <w:rPr>
                <w:rFonts w:ascii="Arial" w:hAnsi="Arial"/>
                <w:lang w:eastAsia="en-US"/>
              </w:rPr>
              <w:t xml:space="preserve"> The trialling of each antidepressant medication must have been at the recommended therapeutic dose for a minimum of three (3) weeks. Where appropriate, the treatment must have been titrated to the maximum tolerated therapeutic dose. The patient</w:t>
            </w:r>
            <w:r>
              <w:rPr>
                <w:rFonts w:ascii="Arial" w:hAnsi="Arial"/>
                <w:lang w:eastAsia="en-US"/>
              </w:rPr>
              <w:t>’</w:t>
            </w:r>
            <w:r w:rsidRPr="009E68E4">
              <w:rPr>
                <w:rFonts w:ascii="Arial" w:hAnsi="Arial"/>
                <w:lang w:eastAsia="en-US"/>
              </w:rPr>
              <w:t>s adherence to antidepressant treatment must have been formally assessed.</w:t>
            </w:r>
          </w:p>
          <w:p w14:paraId="38AC168D" w14:textId="541BA4FA" w:rsidR="000A4D39" w:rsidRDefault="000A4D39" w:rsidP="00FE4E10">
            <w:pPr>
              <w:widowControl w:val="0"/>
              <w:spacing w:before="20" w:after="240"/>
              <w:rPr>
                <w:rFonts w:ascii="Arial" w:hAnsi="Arial"/>
                <w:lang w:eastAsia="en-US"/>
              </w:rPr>
            </w:pPr>
            <w:r w:rsidRPr="009E68E4">
              <w:rPr>
                <w:rFonts w:ascii="Arial" w:hAnsi="Arial"/>
                <w:lang w:eastAsia="en-US"/>
              </w:rPr>
              <w:t xml:space="preserve">This item enables a psychiatrist to prescribe rTMS, </w:t>
            </w:r>
            <w:r w:rsidRPr="00C7574C">
              <w:rPr>
                <w:rFonts w:ascii="Arial" w:hAnsi="Arial"/>
                <w:strike/>
                <w:color w:val="538135" w:themeColor="accent6" w:themeShade="BF"/>
                <w:lang w:eastAsia="en-US"/>
              </w:rPr>
              <w:t xml:space="preserve">to determine if the patient is eligible to have the treatment, </w:t>
            </w:r>
            <w:r w:rsidRPr="009E68E4">
              <w:rPr>
                <w:rFonts w:ascii="Arial" w:hAnsi="Arial"/>
                <w:lang w:eastAsia="en-US"/>
              </w:rPr>
              <w:t>to do the “mapping” procedure whereby the location of the motor cortex on the patients scalp is determined (enabling measurement forward to the dorsolateral prefrontal cortex), to assess the patients resting motor threshold to determine treatment intensity and to prescribe the dose of rTMS as a proportion of the motor threshold.</w:t>
            </w:r>
          </w:p>
          <w:p w14:paraId="3CE9F012" w14:textId="77777777" w:rsidR="000A4D39" w:rsidRDefault="000A4D39" w:rsidP="00223037">
            <w:pPr>
              <w:widowControl w:val="0"/>
              <w:spacing w:before="20" w:after="40"/>
              <w:rPr>
                <w:rFonts w:ascii="Arial" w:hAnsi="Arial"/>
                <w:color w:val="7B7B7B" w:themeColor="accent3" w:themeShade="BF"/>
                <w:lang w:eastAsia="en-US"/>
              </w:rPr>
            </w:pPr>
            <w:r w:rsidRPr="00D63FE5">
              <w:rPr>
                <w:rFonts w:ascii="Arial" w:hAnsi="Arial"/>
                <w:color w:val="7B7B7B" w:themeColor="accent3" w:themeShade="BF"/>
                <w:highlight w:val="lightGray"/>
                <w:lang w:eastAsia="en-US"/>
              </w:rPr>
              <w:t>This item is restricted to once per patient.</w:t>
            </w:r>
          </w:p>
          <w:p w14:paraId="75ABBC00" w14:textId="77777777" w:rsidR="000A4D39" w:rsidRPr="009E68E4" w:rsidDel="00A134DA" w:rsidRDefault="000A4D39" w:rsidP="00223037">
            <w:pPr>
              <w:widowControl w:val="0"/>
              <w:spacing w:before="20" w:after="40"/>
              <w:rPr>
                <w:rFonts w:ascii="Arial" w:hAnsi="Arial"/>
                <w:lang w:eastAsia="en-US"/>
              </w:rPr>
            </w:pPr>
            <w:r w:rsidRPr="00C7574C">
              <w:rPr>
                <w:rFonts w:ascii="Arial" w:hAnsi="Arial"/>
                <w:color w:val="538135" w:themeColor="accent6" w:themeShade="BF"/>
                <w:lang w:eastAsia="en-US"/>
              </w:rPr>
              <w:t>This item is not to be used when it is determined that the patient is ineligible to have the treatment</w:t>
            </w:r>
          </w:p>
        </w:tc>
      </w:tr>
    </w:tbl>
    <w:p w14:paraId="4DBE00A8" w14:textId="77777777" w:rsidR="000A4D39" w:rsidRDefault="000A4D39" w:rsidP="000A4D39">
      <w:pPr>
        <w:pStyle w:val="Tablefootnote"/>
        <w:rPr>
          <w:color w:val="000000" w:themeColor="text1"/>
        </w:rPr>
      </w:pPr>
      <w:r w:rsidRPr="0094714D">
        <w:rPr>
          <w:strike/>
          <w:color w:val="FF0000"/>
        </w:rPr>
        <w:t>Red</w:t>
      </w:r>
      <w:r>
        <w:rPr>
          <w:color w:val="000000" w:themeColor="text1"/>
        </w:rPr>
        <w:t xml:space="preserve"> </w:t>
      </w:r>
      <w:r w:rsidRPr="0094714D">
        <w:rPr>
          <w:color w:val="FF0000"/>
        </w:rPr>
        <w:t>Green</w:t>
      </w:r>
      <w:r w:rsidRPr="00CF6AAD">
        <w:rPr>
          <w:color w:val="000000" w:themeColor="text1"/>
        </w:rPr>
        <w:t xml:space="preserve"> text indicates </w:t>
      </w:r>
      <w:r>
        <w:rPr>
          <w:color w:val="000000" w:themeColor="text1"/>
        </w:rPr>
        <w:t xml:space="preserve">changes made </w:t>
      </w:r>
      <w:r w:rsidRPr="00CF6AAD">
        <w:rPr>
          <w:color w:val="000000" w:themeColor="text1"/>
        </w:rPr>
        <w:t>to the proposed wording since MSAC Application 1196.1</w:t>
      </w:r>
    </w:p>
    <w:p w14:paraId="0D2C005B" w14:textId="77777777" w:rsidR="000A4D39" w:rsidRPr="00D36B3D" w:rsidRDefault="000A4D39" w:rsidP="000A4D39">
      <w:pPr>
        <w:pStyle w:val="Tablefootnote"/>
      </w:pPr>
      <w:r w:rsidRPr="00D36B3D">
        <w:rPr>
          <w:color w:val="44546A" w:themeColor="text2"/>
        </w:rPr>
        <w:t xml:space="preserve">Blue </w:t>
      </w:r>
      <w:r>
        <w:t>indicates the previous proposed fees from Application 1196.1</w:t>
      </w:r>
    </w:p>
    <w:p w14:paraId="6C1655EF" w14:textId="77777777" w:rsidR="000A4D39" w:rsidRDefault="000A4D39" w:rsidP="000A4D39">
      <w:pPr>
        <w:pStyle w:val="Tablefootnote"/>
        <w:rPr>
          <w:color w:val="000000" w:themeColor="text1"/>
        </w:rPr>
      </w:pPr>
      <w:r>
        <w:rPr>
          <w:color w:val="000000" w:themeColor="text1"/>
        </w:rPr>
        <w:t>* A Category 1 listing was suggested as an alternative in the Critique of MSAC Application 1196.1 (Table 2)</w:t>
      </w:r>
    </w:p>
    <w:p w14:paraId="5501D6D9" w14:textId="0D4CAAA5" w:rsidR="00397F70" w:rsidRPr="00FE4E10" w:rsidRDefault="000A4D39" w:rsidP="00FE4E10">
      <w:pPr>
        <w:pStyle w:val="Tablefootnote"/>
        <w:spacing w:after="240"/>
        <w:rPr>
          <w:i/>
          <w:color w:val="000000" w:themeColor="text1"/>
        </w:rPr>
      </w:pPr>
      <w:r w:rsidRPr="00D63FE5">
        <w:rPr>
          <w:i/>
          <w:color w:val="000000" w:themeColor="text1"/>
          <w:highlight w:val="lightGray"/>
        </w:rPr>
        <w:t>Note highlighted includes Department revisions for Application 1196.3</w:t>
      </w:r>
      <w:r w:rsidR="00397F70">
        <w:br w:type="page"/>
      </w:r>
    </w:p>
    <w:p w14:paraId="0AC63266" w14:textId="5D5E02F7" w:rsidR="000A4D39" w:rsidRPr="0038560B" w:rsidRDefault="000A4D39" w:rsidP="00FE4E10">
      <w:pPr>
        <w:pStyle w:val="Heading2"/>
        <w:spacing w:after="240"/>
      </w:pPr>
      <w:r>
        <w:lastRenderedPageBreak/>
        <w:t>Department-proposed alternative descriptors</w:t>
      </w:r>
    </w:p>
    <w:p w14:paraId="70882C86" w14:textId="0DBF97A2" w:rsidR="000A4D39" w:rsidRPr="005B5918" w:rsidRDefault="000A4D39" w:rsidP="005B5918">
      <w:pPr>
        <w:rPr>
          <w:rFonts w:ascii="Arial Narrow" w:hAnsi="Arial Narrow"/>
          <w:b/>
          <w:sz w:val="20"/>
        </w:rPr>
      </w:pPr>
      <w:r w:rsidRPr="005B5918" w:rsidDel="00A134DA">
        <w:rPr>
          <w:rFonts w:ascii="Arial Narrow" w:hAnsi="Arial Narrow"/>
          <w:b/>
          <w:sz w:val="20"/>
        </w:rPr>
        <w:t>Table</w:t>
      </w:r>
      <w:r w:rsidR="00397F70" w:rsidRPr="005B5918">
        <w:rPr>
          <w:rFonts w:ascii="Arial Narrow" w:hAnsi="Arial Narrow"/>
          <w:b/>
          <w:sz w:val="20"/>
        </w:rPr>
        <w:t xml:space="preserve"> 2</w:t>
      </w:r>
      <w:r w:rsidRPr="005B5918">
        <w:rPr>
          <w:rFonts w:ascii="Arial Narrow" w:hAnsi="Arial Narrow"/>
          <w:b/>
          <w:sz w:val="20"/>
        </w:rPr>
        <w:tab/>
        <w:t xml:space="preserve">Alternative </w:t>
      </w:r>
      <w:r w:rsidRPr="005B5918" w:rsidDel="00A134DA">
        <w:rPr>
          <w:rFonts w:ascii="Arial Narrow" w:hAnsi="Arial Narrow"/>
          <w:b/>
          <w:sz w:val="20"/>
        </w:rPr>
        <w:t>MBS item descriptor</w:t>
      </w:r>
      <w:r w:rsidRPr="005B5918">
        <w:rPr>
          <w:rFonts w:ascii="Arial Narrow" w:hAnsi="Arial Narrow"/>
          <w:b/>
          <w:sz w:val="20"/>
        </w:rPr>
        <w:t>, patient asse</w:t>
      </w:r>
      <w:r w:rsidR="005B5918" w:rsidRPr="005B5918">
        <w:rPr>
          <w:rFonts w:ascii="Arial Narrow" w:hAnsi="Arial Narrow"/>
          <w:b/>
          <w:sz w:val="20"/>
        </w:rPr>
        <w:t>ssment and prescribing of up to</w:t>
      </w:r>
      <w:r w:rsidRPr="005B5918">
        <w:rPr>
          <w:rFonts w:ascii="Arial Narrow" w:hAnsi="Arial Narrow"/>
          <w:b/>
          <w:sz w:val="20"/>
        </w:rPr>
        <w:t xml:space="preserve"> 2 rTMS retreatment courses</w:t>
      </w:r>
    </w:p>
    <w:tbl>
      <w:tblPr>
        <w:tblStyle w:val="OPTUMTableNormal"/>
        <w:tblW w:w="9070" w:type="dxa"/>
        <w:tblLook w:val="04A0" w:firstRow="1" w:lastRow="0" w:firstColumn="1" w:lastColumn="0" w:noHBand="0" w:noVBand="1"/>
        <w:tblCaption w:val="Proposed MBS item descriptor, patient assessment and prescribing of rTMS "/>
        <w:tblDescription w:val="Summary of proposed MBS item descriptor: prescribing"/>
      </w:tblPr>
      <w:tblGrid>
        <w:gridCol w:w="9070"/>
      </w:tblGrid>
      <w:tr w:rsidR="000A4D39" w:rsidRPr="009E68E4" w:rsidDel="00A134DA" w14:paraId="12A64D10" w14:textId="77777777" w:rsidTr="005B5918">
        <w:trPr>
          <w:cnfStyle w:val="100000000000" w:firstRow="1" w:lastRow="0" w:firstColumn="0" w:lastColumn="0" w:oddVBand="0" w:evenVBand="0" w:oddHBand="0" w:evenHBand="0" w:firstRowFirstColumn="0" w:firstRowLastColumn="0" w:lastRowFirstColumn="0" w:lastRowLastColumn="0"/>
          <w:tblHeader/>
        </w:trPr>
        <w:tc>
          <w:tcPr>
            <w:tcW w:w="9070" w:type="dxa"/>
          </w:tcPr>
          <w:p w14:paraId="3320F6BC" w14:textId="77777777" w:rsidR="000A4D39" w:rsidRPr="009E68E4" w:rsidDel="00A134DA" w:rsidRDefault="000A4D39" w:rsidP="00223037">
            <w:pPr>
              <w:widowControl w:val="0"/>
              <w:spacing w:before="20" w:after="40"/>
              <w:rPr>
                <w:rFonts w:ascii="Arial" w:hAnsi="Arial"/>
                <w:sz w:val="18"/>
                <w:lang w:eastAsia="en-US"/>
              </w:rPr>
            </w:pPr>
            <w:r w:rsidRPr="009E68E4" w:rsidDel="00A134DA">
              <w:rPr>
                <w:rFonts w:ascii="Arial" w:hAnsi="Arial"/>
                <w:sz w:val="18"/>
                <w:lang w:eastAsia="en-US"/>
              </w:rPr>
              <w:t xml:space="preserve">Category </w:t>
            </w:r>
            <w:r w:rsidRPr="009E68E4">
              <w:rPr>
                <w:rFonts w:ascii="Arial" w:hAnsi="Arial"/>
                <w:sz w:val="18"/>
                <w:lang w:eastAsia="en-US"/>
              </w:rPr>
              <w:t>3</w:t>
            </w:r>
            <w:r w:rsidRPr="009E68E4" w:rsidDel="00A134DA">
              <w:rPr>
                <w:rFonts w:ascii="Arial" w:hAnsi="Arial"/>
                <w:sz w:val="18"/>
                <w:lang w:eastAsia="en-US"/>
              </w:rPr>
              <w:t xml:space="preserve"> – </w:t>
            </w:r>
            <w:r w:rsidRPr="009E68E4">
              <w:rPr>
                <w:rFonts w:ascii="Arial" w:hAnsi="Arial"/>
                <w:sz w:val="18"/>
                <w:lang w:eastAsia="en-US"/>
              </w:rPr>
              <w:t>THERAPEUTIC PROCEDURES</w:t>
            </w:r>
            <w:r>
              <w:t xml:space="preserve"> </w:t>
            </w:r>
            <w:r w:rsidRPr="00EE1DC7">
              <w:rPr>
                <w:rFonts w:ascii="Arial" w:hAnsi="Arial"/>
                <w:strike/>
                <w:color w:val="FF0000"/>
                <w:sz w:val="18"/>
                <w:lang w:eastAsia="en-US"/>
              </w:rPr>
              <w:t>or Category 1 – PROFESSIONAL ATTENDANCES*</w:t>
            </w:r>
          </w:p>
        </w:tc>
      </w:tr>
      <w:tr w:rsidR="000A4D39" w:rsidRPr="009E68E4" w:rsidDel="00A134DA" w14:paraId="494362EB" w14:textId="77777777" w:rsidTr="005B5918">
        <w:tc>
          <w:tcPr>
            <w:tcW w:w="9070" w:type="dxa"/>
          </w:tcPr>
          <w:p w14:paraId="10E70C39"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 xml:space="preserve">MBS </w:t>
            </w:r>
            <w:r>
              <w:rPr>
                <w:rFonts w:ascii="Arial" w:hAnsi="Arial"/>
                <w:lang w:eastAsia="en-US"/>
              </w:rPr>
              <w:t>YYYYY</w:t>
            </w:r>
          </w:p>
          <w:p w14:paraId="66B109D4" w14:textId="5C1CD806" w:rsidR="000A4D39" w:rsidRPr="009E68E4" w:rsidRDefault="000A4D39" w:rsidP="00FE4E10">
            <w:pPr>
              <w:widowControl w:val="0"/>
              <w:spacing w:before="20" w:after="240"/>
              <w:rPr>
                <w:rFonts w:ascii="Arial" w:hAnsi="Arial"/>
                <w:lang w:eastAsia="en-US"/>
              </w:rPr>
            </w:pPr>
            <w:r w:rsidRPr="009E68E4">
              <w:rPr>
                <w:rFonts w:ascii="Arial" w:hAnsi="Arial"/>
                <w:lang w:eastAsia="en-US"/>
              </w:rPr>
              <w:t xml:space="preserve">REPETITIVE TRANSCRANIAL MAGNETIC STIMULATION (rTMS) treatment prescription by a psychiatrist </w:t>
            </w:r>
          </w:p>
          <w:p w14:paraId="30D3069F"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The patient to whom the service is provided must:</w:t>
            </w:r>
          </w:p>
          <w:p w14:paraId="2AB1DE3A" w14:textId="77777777" w:rsidR="000A4D39"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be an adult (≥18 years) diagnosed with a major depressive episode (MDE)</w:t>
            </w:r>
          </w:p>
          <w:p w14:paraId="04A71018" w14:textId="77777777" w:rsidR="000A4D39" w:rsidRPr="00E27C22"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 xml:space="preserve">have failed to receive satisfactory improvement despite the adequate trialling of at least two (2) different </w:t>
            </w:r>
            <w:r w:rsidRPr="00C7574C">
              <w:rPr>
                <w:rFonts w:ascii="Arial" w:hAnsi="Arial"/>
                <w:color w:val="538135" w:themeColor="accent6" w:themeShade="BF"/>
                <w:lang w:eastAsia="en-US"/>
              </w:rPr>
              <w:t xml:space="preserve">classes of </w:t>
            </w:r>
            <w:r w:rsidRPr="009E68E4">
              <w:rPr>
                <w:rFonts w:ascii="Arial" w:hAnsi="Arial"/>
                <w:lang w:eastAsia="en-US"/>
              </w:rPr>
              <w:t xml:space="preserve">antidepressant medications, unless contraindicated </w:t>
            </w:r>
            <w:r w:rsidRPr="00C7574C">
              <w:rPr>
                <w:rFonts w:ascii="Arial" w:hAnsi="Arial"/>
                <w:strike/>
                <w:color w:val="538135" w:themeColor="accent6" w:themeShade="BF"/>
                <w:lang w:eastAsia="en-US"/>
              </w:rPr>
              <w:t>or intolerant.</w:t>
            </w:r>
          </w:p>
          <w:p w14:paraId="182124F7" w14:textId="77777777" w:rsidR="000A4D39" w:rsidRPr="009233EC" w:rsidRDefault="000A4D39" w:rsidP="000A4D39">
            <w:pPr>
              <w:widowControl w:val="0"/>
              <w:numPr>
                <w:ilvl w:val="0"/>
                <w:numId w:val="6"/>
              </w:numPr>
              <w:spacing w:before="20" w:after="40"/>
              <w:jc w:val="both"/>
              <w:rPr>
                <w:rFonts w:ascii="Arial" w:hAnsi="Arial"/>
                <w:color w:val="7B7B7B" w:themeColor="accent3" w:themeShade="BF"/>
                <w:lang w:eastAsia="en-US"/>
              </w:rPr>
            </w:pPr>
            <w:r w:rsidRPr="00C7574C">
              <w:rPr>
                <w:rFonts w:ascii="Arial" w:hAnsi="Arial"/>
                <w:color w:val="538135" w:themeColor="accent6" w:themeShade="BF"/>
                <w:lang w:eastAsia="en-US"/>
              </w:rPr>
              <w:t>have undertaken psychological therapy unless inappropriate</w:t>
            </w:r>
            <w:r>
              <w:rPr>
                <w:rFonts w:ascii="Arial" w:hAnsi="Arial"/>
                <w:color w:val="7B7B7B" w:themeColor="accent3" w:themeShade="BF"/>
                <w:lang w:eastAsia="en-US"/>
              </w:rPr>
              <w:t xml:space="preserve">; </w:t>
            </w:r>
            <w:r>
              <w:rPr>
                <w:rFonts w:ascii="Arial" w:hAnsi="Arial"/>
                <w:lang w:eastAsia="en-US"/>
              </w:rPr>
              <w:t>and</w:t>
            </w:r>
          </w:p>
          <w:p w14:paraId="2320FF57" w14:textId="0741F6A9" w:rsidR="000A4D39" w:rsidRPr="00D63FE5" w:rsidRDefault="000A4D39" w:rsidP="00223037">
            <w:pPr>
              <w:widowControl w:val="0"/>
              <w:numPr>
                <w:ilvl w:val="0"/>
                <w:numId w:val="6"/>
              </w:numPr>
              <w:spacing w:before="20" w:after="40"/>
              <w:jc w:val="both"/>
              <w:rPr>
                <w:rFonts w:ascii="Arial" w:hAnsi="Arial"/>
                <w:color w:val="7B7B7B" w:themeColor="accent3" w:themeShade="BF"/>
                <w:highlight w:val="lightGray"/>
                <w:lang w:eastAsia="en-US"/>
              </w:rPr>
            </w:pPr>
            <w:r w:rsidRPr="00D63FE5">
              <w:rPr>
                <w:rFonts w:ascii="Arial" w:hAnsi="Arial"/>
                <w:highlight w:val="lightGray"/>
                <w:lang w:eastAsia="en-US"/>
              </w:rPr>
              <w:t>been eligible for and received rTMS therapy and relapsed after remission or satisfactory clinical response as assessed by a validated MDD tool after and no sooner than 4 months after completion of initial course</w:t>
            </w:r>
          </w:p>
          <w:p w14:paraId="7C76DFB0" w14:textId="3B40E0EE" w:rsidR="000A4D39" w:rsidRPr="009E68E4" w:rsidRDefault="000A4D39" w:rsidP="00FE4E10">
            <w:pPr>
              <w:widowControl w:val="0"/>
              <w:spacing w:before="240" w:after="240"/>
              <w:rPr>
                <w:rFonts w:ascii="Arial" w:hAnsi="Arial"/>
                <w:lang w:eastAsia="en-US"/>
              </w:rPr>
            </w:pPr>
            <w:r w:rsidRPr="009E68E4">
              <w:rPr>
                <w:rFonts w:ascii="Arial" w:hAnsi="Arial"/>
                <w:lang w:eastAsia="en-US"/>
              </w:rPr>
              <w:t>The service is prescribed by a psychiatrist with appropriate training in rTMS</w:t>
            </w:r>
          </w:p>
          <w:p w14:paraId="2C6D3B47" w14:textId="4576E423" w:rsidR="000A4D39" w:rsidRPr="00FE4E10" w:rsidRDefault="000A4D39" w:rsidP="00FE4E10">
            <w:pPr>
              <w:widowControl w:val="0"/>
              <w:spacing w:before="20" w:after="240"/>
              <w:rPr>
                <w:rFonts w:ascii="Arial" w:hAnsi="Arial"/>
                <w:color w:val="44546A" w:themeColor="text2"/>
                <w:lang w:eastAsia="en-US"/>
              </w:rPr>
            </w:pPr>
            <w:r w:rsidRPr="009E68E4">
              <w:rPr>
                <w:rFonts w:ascii="Arial" w:hAnsi="Arial"/>
                <w:lang w:eastAsia="en-US"/>
              </w:rPr>
              <w:t>Fee</w:t>
            </w:r>
            <w:r w:rsidRPr="00B95A8C">
              <w:rPr>
                <w:rFonts w:ascii="Arial" w:hAnsi="Arial"/>
                <w:lang w:eastAsia="en-US"/>
              </w:rPr>
              <w:t>: $186.40</w:t>
            </w:r>
            <w:r>
              <w:rPr>
                <w:rFonts w:ascii="Arial" w:hAnsi="Arial"/>
                <w:lang w:eastAsia="en-US"/>
              </w:rPr>
              <w:t xml:space="preserve"> </w:t>
            </w:r>
            <w:r>
              <w:rPr>
                <w:rFonts w:ascii="Arial" w:hAnsi="Arial"/>
                <w:color w:val="44546A" w:themeColor="text2"/>
                <w:lang w:eastAsia="en-US"/>
              </w:rPr>
              <w:t>(</w:t>
            </w:r>
            <w:r w:rsidRPr="00C7574C">
              <w:rPr>
                <w:rFonts w:ascii="Arial" w:hAnsi="Arial"/>
                <w:color w:val="538135" w:themeColor="accent6" w:themeShade="BF"/>
                <w:lang w:eastAsia="en-US"/>
              </w:rPr>
              <w:t>from $385 in Application 1196.</w:t>
            </w:r>
            <w:r>
              <w:rPr>
                <w:rFonts w:ascii="Arial" w:hAnsi="Arial"/>
                <w:color w:val="44546A" w:themeColor="text2"/>
                <w:lang w:eastAsia="en-US"/>
              </w:rPr>
              <w:t>1)</w:t>
            </w:r>
          </w:p>
          <w:p w14:paraId="7587D374" w14:textId="77777777" w:rsidR="000A4D39" w:rsidRDefault="000A4D39" w:rsidP="00223037">
            <w:pPr>
              <w:widowControl w:val="0"/>
              <w:spacing w:before="20" w:after="40"/>
              <w:rPr>
                <w:rFonts w:ascii="Arial" w:hAnsi="Arial"/>
                <w:lang w:eastAsia="en-US"/>
              </w:rPr>
            </w:pPr>
            <w:r w:rsidRPr="009E68E4">
              <w:rPr>
                <w:rFonts w:ascii="Arial" w:hAnsi="Arial"/>
                <w:lang w:eastAsia="en-US"/>
              </w:rPr>
              <w:t xml:space="preserve">Note: </w:t>
            </w:r>
          </w:p>
          <w:p w14:paraId="71B3F6F4" w14:textId="4190A759" w:rsidR="000A4D39" w:rsidRPr="009E68E4" w:rsidRDefault="000A4D39" w:rsidP="00FE4E10">
            <w:pPr>
              <w:widowControl w:val="0"/>
              <w:spacing w:before="20" w:after="240"/>
              <w:rPr>
                <w:rFonts w:ascii="Arial" w:hAnsi="Arial"/>
                <w:lang w:eastAsia="en-US"/>
              </w:rPr>
            </w:pPr>
            <w:r>
              <w:rPr>
                <w:rFonts w:ascii="Arial" w:hAnsi="Arial"/>
                <w:lang w:eastAsia="en-US"/>
              </w:rPr>
              <w:t>1.</w:t>
            </w:r>
            <w:r w:rsidRPr="009E68E4">
              <w:rPr>
                <w:rFonts w:ascii="Arial" w:hAnsi="Arial"/>
                <w:lang w:eastAsia="en-US"/>
              </w:rPr>
              <w:t xml:space="preserve"> The trialling of each antidepressant medication must have been at the recommended therapeutic dose for a minimum of three (3) weeks. Where appropriate, the treatment must have been titrated to the maximum tolerated therapeutic dose. The patient</w:t>
            </w:r>
            <w:r>
              <w:rPr>
                <w:rFonts w:ascii="Arial" w:hAnsi="Arial"/>
                <w:lang w:eastAsia="en-US"/>
              </w:rPr>
              <w:t>’</w:t>
            </w:r>
            <w:r w:rsidRPr="009E68E4">
              <w:rPr>
                <w:rFonts w:ascii="Arial" w:hAnsi="Arial"/>
                <w:lang w:eastAsia="en-US"/>
              </w:rPr>
              <w:t>s adherence to antidepressant treatment must have been formally assessed.</w:t>
            </w:r>
          </w:p>
          <w:p w14:paraId="0336B4B4" w14:textId="1A1CA5FB" w:rsidR="000A4D39" w:rsidRDefault="000A4D39" w:rsidP="00FE4E10">
            <w:pPr>
              <w:widowControl w:val="0"/>
              <w:spacing w:before="20" w:after="240"/>
              <w:rPr>
                <w:rFonts w:ascii="Arial" w:hAnsi="Arial"/>
                <w:lang w:eastAsia="en-US"/>
              </w:rPr>
            </w:pPr>
            <w:r w:rsidRPr="009E68E4">
              <w:rPr>
                <w:rFonts w:ascii="Arial" w:hAnsi="Arial"/>
                <w:lang w:eastAsia="en-US"/>
              </w:rPr>
              <w:t xml:space="preserve">This item enables a psychiatrist to prescribe rTMS, </w:t>
            </w:r>
            <w:r w:rsidRPr="00C7574C">
              <w:rPr>
                <w:rFonts w:ascii="Arial" w:hAnsi="Arial"/>
                <w:strike/>
                <w:color w:val="538135" w:themeColor="accent6" w:themeShade="BF"/>
                <w:lang w:eastAsia="en-US"/>
              </w:rPr>
              <w:t xml:space="preserve">to determine if the patient is eligible to have the treatment, </w:t>
            </w:r>
            <w:r w:rsidRPr="009E68E4">
              <w:rPr>
                <w:rFonts w:ascii="Arial" w:hAnsi="Arial"/>
                <w:lang w:eastAsia="en-US"/>
              </w:rPr>
              <w:t>to do the “mapping” procedure whereby the location of the motor cortex on the patients scalp is determined (enabling measurement forward to the dorsolateral prefrontal cortex), to assess the patients resting motor threshold to determine treatment intensity and to prescribe the dose of rTMS as a proportion of the motor threshold.</w:t>
            </w:r>
          </w:p>
          <w:p w14:paraId="64BF1895" w14:textId="77777777" w:rsidR="000A4D39" w:rsidRDefault="000A4D39" w:rsidP="00223037">
            <w:pPr>
              <w:widowControl w:val="0"/>
              <w:spacing w:before="20" w:after="40"/>
              <w:rPr>
                <w:rFonts w:ascii="Arial" w:hAnsi="Arial"/>
                <w:color w:val="7B7B7B" w:themeColor="accent3" w:themeShade="BF"/>
                <w:lang w:eastAsia="en-US"/>
              </w:rPr>
            </w:pPr>
            <w:r w:rsidRPr="00D63FE5">
              <w:rPr>
                <w:rFonts w:ascii="Arial" w:hAnsi="Arial"/>
                <w:color w:val="7B7B7B" w:themeColor="accent3" w:themeShade="BF"/>
                <w:highlight w:val="lightGray"/>
                <w:lang w:eastAsia="en-US"/>
              </w:rPr>
              <w:t>This item is restricted to twice per patient.</w:t>
            </w:r>
          </w:p>
          <w:p w14:paraId="121EF901" w14:textId="77777777" w:rsidR="000A4D39" w:rsidRPr="0038560B" w:rsidDel="00A134DA" w:rsidRDefault="000A4D39" w:rsidP="00223037">
            <w:pPr>
              <w:widowControl w:val="0"/>
              <w:spacing w:before="20" w:after="40"/>
              <w:rPr>
                <w:rFonts w:ascii="Arial" w:hAnsi="Arial"/>
                <w:color w:val="7B7B7B" w:themeColor="accent3" w:themeShade="BF"/>
                <w:lang w:eastAsia="en-US"/>
              </w:rPr>
            </w:pPr>
            <w:r w:rsidRPr="00C7574C">
              <w:rPr>
                <w:rFonts w:ascii="Arial" w:hAnsi="Arial"/>
                <w:color w:val="538135" w:themeColor="accent6" w:themeShade="BF"/>
                <w:lang w:eastAsia="en-US"/>
              </w:rPr>
              <w:t>This item is not to be used when it is determined that the patient is ineligible to have the treatment</w:t>
            </w:r>
          </w:p>
        </w:tc>
      </w:tr>
    </w:tbl>
    <w:p w14:paraId="3936BD1E" w14:textId="77777777" w:rsidR="000A4D39" w:rsidRDefault="000A4D39" w:rsidP="000A4D39">
      <w:pPr>
        <w:pStyle w:val="Tablefootnote"/>
        <w:rPr>
          <w:color w:val="000000" w:themeColor="text1"/>
        </w:rPr>
      </w:pPr>
      <w:r w:rsidRPr="0094714D">
        <w:rPr>
          <w:strike/>
          <w:color w:val="FF0000"/>
        </w:rPr>
        <w:t>Red</w:t>
      </w:r>
      <w:r>
        <w:rPr>
          <w:color w:val="000000" w:themeColor="text1"/>
        </w:rPr>
        <w:t xml:space="preserve"> </w:t>
      </w:r>
      <w:r w:rsidRPr="0094714D">
        <w:rPr>
          <w:color w:val="FF0000"/>
        </w:rPr>
        <w:t>Green</w:t>
      </w:r>
      <w:r w:rsidRPr="00CF6AAD">
        <w:rPr>
          <w:color w:val="000000" w:themeColor="text1"/>
        </w:rPr>
        <w:t xml:space="preserve"> text indicates </w:t>
      </w:r>
      <w:r>
        <w:rPr>
          <w:color w:val="000000" w:themeColor="text1"/>
        </w:rPr>
        <w:t xml:space="preserve">changes made </w:t>
      </w:r>
      <w:r w:rsidRPr="00CF6AAD">
        <w:rPr>
          <w:color w:val="000000" w:themeColor="text1"/>
        </w:rPr>
        <w:t>to the proposed wording since MSAC Application 1196.1</w:t>
      </w:r>
    </w:p>
    <w:p w14:paraId="04020962" w14:textId="77777777" w:rsidR="000A4D39" w:rsidRPr="00D36B3D" w:rsidRDefault="000A4D39" w:rsidP="000A4D39">
      <w:pPr>
        <w:pStyle w:val="Tablefootnote"/>
      </w:pPr>
      <w:r w:rsidRPr="00D36B3D">
        <w:rPr>
          <w:color w:val="44546A" w:themeColor="text2"/>
        </w:rPr>
        <w:t xml:space="preserve">Blue </w:t>
      </w:r>
      <w:r>
        <w:t>indicates the previous proposed fees from Application 1196.1</w:t>
      </w:r>
    </w:p>
    <w:p w14:paraId="5D2EB424" w14:textId="77777777" w:rsidR="000A4D39" w:rsidRDefault="000A4D39" w:rsidP="000A4D39">
      <w:pPr>
        <w:pStyle w:val="Tablefootnote"/>
        <w:rPr>
          <w:color w:val="000000" w:themeColor="text1"/>
        </w:rPr>
      </w:pPr>
      <w:r>
        <w:rPr>
          <w:color w:val="000000" w:themeColor="text1"/>
        </w:rPr>
        <w:t>* A Category 1 listing was suggested as an alternative in the Critique of MSAC Application 1196.1 (Table 2)</w:t>
      </w:r>
    </w:p>
    <w:p w14:paraId="32AA80C5" w14:textId="75ADE8A8" w:rsidR="00397F70" w:rsidRPr="00FE4E10" w:rsidRDefault="000A4D39" w:rsidP="00FE4E10">
      <w:pPr>
        <w:pStyle w:val="Tablefootnote"/>
        <w:rPr>
          <w:i/>
          <w:color w:val="000000" w:themeColor="text1"/>
        </w:rPr>
      </w:pPr>
      <w:r w:rsidRPr="00D63FE5">
        <w:rPr>
          <w:i/>
          <w:color w:val="000000" w:themeColor="text1"/>
          <w:highlight w:val="lightGray"/>
        </w:rPr>
        <w:t>Note highlighted in</w:t>
      </w:r>
      <w:r w:rsidR="00297E0E" w:rsidRPr="00D63FE5">
        <w:rPr>
          <w:i/>
          <w:color w:val="000000" w:themeColor="text1"/>
          <w:highlight w:val="lightGray"/>
        </w:rPr>
        <w:t>cludes Department revisions for</w:t>
      </w:r>
      <w:r w:rsidRPr="00D63FE5">
        <w:rPr>
          <w:i/>
          <w:color w:val="000000" w:themeColor="text1"/>
          <w:highlight w:val="lightGray"/>
        </w:rPr>
        <w:t xml:space="preserve"> Application 1196.3</w:t>
      </w:r>
      <w:r w:rsidR="00397F70">
        <w:br w:type="page"/>
      </w:r>
    </w:p>
    <w:p w14:paraId="26E094A3" w14:textId="7EEBAF21" w:rsidR="000A4D39" w:rsidRPr="005B5918" w:rsidRDefault="000A4D39" w:rsidP="005B5918">
      <w:pPr>
        <w:rPr>
          <w:rFonts w:ascii="Arial Narrow" w:hAnsi="Arial Narrow"/>
          <w:b/>
          <w:sz w:val="20"/>
        </w:rPr>
      </w:pPr>
      <w:r w:rsidRPr="005B5918" w:rsidDel="00A134DA">
        <w:rPr>
          <w:rFonts w:ascii="Arial Narrow" w:hAnsi="Arial Narrow"/>
          <w:b/>
          <w:sz w:val="20"/>
        </w:rPr>
        <w:lastRenderedPageBreak/>
        <w:t>Table</w:t>
      </w:r>
      <w:r w:rsidR="00397F70" w:rsidRPr="005B5918">
        <w:rPr>
          <w:rFonts w:ascii="Arial Narrow" w:hAnsi="Arial Narrow"/>
          <w:b/>
          <w:sz w:val="20"/>
        </w:rPr>
        <w:t xml:space="preserve"> 3</w:t>
      </w:r>
      <w:r w:rsidRPr="005B5918">
        <w:rPr>
          <w:rFonts w:ascii="Arial Narrow" w:hAnsi="Arial Narrow"/>
          <w:b/>
          <w:sz w:val="20"/>
        </w:rPr>
        <w:tab/>
        <w:t xml:space="preserve">Alternative </w:t>
      </w:r>
      <w:r w:rsidRPr="005B5918" w:rsidDel="00A134DA">
        <w:rPr>
          <w:rFonts w:ascii="Arial Narrow" w:hAnsi="Arial Narrow"/>
          <w:b/>
          <w:sz w:val="20"/>
        </w:rPr>
        <w:t>MBS item descriptor</w:t>
      </w:r>
      <w:r w:rsidRPr="005B5918">
        <w:rPr>
          <w:rFonts w:ascii="Arial Narrow" w:hAnsi="Arial Narrow"/>
          <w:b/>
          <w:sz w:val="20"/>
        </w:rPr>
        <w:t>, patient assessment and prescribing of up to 3 rTMS retreatment courses</w:t>
      </w:r>
    </w:p>
    <w:tbl>
      <w:tblPr>
        <w:tblStyle w:val="OPTUMTableNormal"/>
        <w:tblW w:w="9070" w:type="dxa"/>
        <w:tblLook w:val="04A0" w:firstRow="1" w:lastRow="0" w:firstColumn="1" w:lastColumn="0" w:noHBand="0" w:noVBand="1"/>
        <w:tblCaption w:val="Proposed MBS item descriptor, patient assessment and prescribing of rTMS "/>
        <w:tblDescription w:val="Summary of proposed MBS item descriptor: prescribing"/>
      </w:tblPr>
      <w:tblGrid>
        <w:gridCol w:w="9070"/>
      </w:tblGrid>
      <w:tr w:rsidR="000A4D39" w:rsidRPr="009E68E4" w:rsidDel="00A134DA" w14:paraId="3EE45375" w14:textId="77777777" w:rsidTr="005B5918">
        <w:trPr>
          <w:cnfStyle w:val="100000000000" w:firstRow="1" w:lastRow="0" w:firstColumn="0" w:lastColumn="0" w:oddVBand="0" w:evenVBand="0" w:oddHBand="0" w:evenHBand="0" w:firstRowFirstColumn="0" w:firstRowLastColumn="0" w:lastRowFirstColumn="0" w:lastRowLastColumn="0"/>
          <w:tblHeader/>
        </w:trPr>
        <w:tc>
          <w:tcPr>
            <w:tcW w:w="9070" w:type="dxa"/>
          </w:tcPr>
          <w:p w14:paraId="10B30570" w14:textId="77777777" w:rsidR="000A4D39" w:rsidRPr="009E68E4" w:rsidDel="00A134DA" w:rsidRDefault="000A4D39" w:rsidP="00223037">
            <w:pPr>
              <w:widowControl w:val="0"/>
              <w:spacing w:before="20" w:after="40"/>
              <w:rPr>
                <w:rFonts w:ascii="Arial" w:hAnsi="Arial"/>
                <w:sz w:val="18"/>
                <w:lang w:eastAsia="en-US"/>
              </w:rPr>
            </w:pPr>
            <w:r w:rsidRPr="009E68E4" w:rsidDel="00A134DA">
              <w:rPr>
                <w:rFonts w:ascii="Arial" w:hAnsi="Arial"/>
                <w:sz w:val="18"/>
                <w:lang w:eastAsia="en-US"/>
              </w:rPr>
              <w:t xml:space="preserve">Category </w:t>
            </w:r>
            <w:r w:rsidRPr="009E68E4">
              <w:rPr>
                <w:rFonts w:ascii="Arial" w:hAnsi="Arial"/>
                <w:sz w:val="18"/>
                <w:lang w:eastAsia="en-US"/>
              </w:rPr>
              <w:t>3</w:t>
            </w:r>
            <w:r w:rsidRPr="009E68E4" w:rsidDel="00A134DA">
              <w:rPr>
                <w:rFonts w:ascii="Arial" w:hAnsi="Arial"/>
                <w:sz w:val="18"/>
                <w:lang w:eastAsia="en-US"/>
              </w:rPr>
              <w:t xml:space="preserve"> – </w:t>
            </w:r>
            <w:r w:rsidRPr="009E68E4">
              <w:rPr>
                <w:rFonts w:ascii="Arial" w:hAnsi="Arial"/>
                <w:sz w:val="18"/>
                <w:lang w:eastAsia="en-US"/>
              </w:rPr>
              <w:t>THERAPEUTIC PROCEDURES</w:t>
            </w:r>
            <w:r>
              <w:t xml:space="preserve"> </w:t>
            </w:r>
            <w:r w:rsidRPr="00EE1DC7">
              <w:rPr>
                <w:rFonts w:ascii="Arial" w:hAnsi="Arial"/>
                <w:strike/>
                <w:color w:val="FF0000"/>
                <w:sz w:val="18"/>
                <w:lang w:eastAsia="en-US"/>
              </w:rPr>
              <w:t>or Category 1 – PROFESSIONAL ATTENDANCES*</w:t>
            </w:r>
          </w:p>
        </w:tc>
      </w:tr>
      <w:tr w:rsidR="000A4D39" w:rsidRPr="009E68E4" w:rsidDel="00A134DA" w14:paraId="5B750342" w14:textId="77777777" w:rsidTr="005B5918">
        <w:tc>
          <w:tcPr>
            <w:tcW w:w="9070" w:type="dxa"/>
          </w:tcPr>
          <w:p w14:paraId="58628B11"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 xml:space="preserve">MBS </w:t>
            </w:r>
            <w:r>
              <w:rPr>
                <w:rFonts w:ascii="Arial" w:hAnsi="Arial"/>
                <w:lang w:eastAsia="en-US"/>
              </w:rPr>
              <w:t>ZZZZZ</w:t>
            </w:r>
          </w:p>
          <w:p w14:paraId="1393DE75" w14:textId="2C344153" w:rsidR="000A4D39" w:rsidRPr="009E68E4" w:rsidRDefault="000A4D39" w:rsidP="00FE4E10">
            <w:pPr>
              <w:widowControl w:val="0"/>
              <w:spacing w:before="20" w:after="240"/>
              <w:rPr>
                <w:rFonts w:ascii="Arial" w:hAnsi="Arial"/>
                <w:lang w:eastAsia="en-US"/>
              </w:rPr>
            </w:pPr>
            <w:r w:rsidRPr="009E68E4">
              <w:rPr>
                <w:rFonts w:ascii="Arial" w:hAnsi="Arial"/>
                <w:lang w:eastAsia="en-US"/>
              </w:rPr>
              <w:t xml:space="preserve">REPETITIVE TRANSCRANIAL MAGNETIC STIMULATION (rTMS) treatment prescription by a psychiatrist </w:t>
            </w:r>
          </w:p>
          <w:p w14:paraId="2AC9DEFC" w14:textId="77777777" w:rsidR="000A4D39" w:rsidRPr="009E68E4" w:rsidRDefault="000A4D39" w:rsidP="00223037">
            <w:pPr>
              <w:widowControl w:val="0"/>
              <w:spacing w:before="20" w:after="40"/>
              <w:rPr>
                <w:rFonts w:ascii="Arial" w:hAnsi="Arial"/>
                <w:lang w:eastAsia="en-US"/>
              </w:rPr>
            </w:pPr>
            <w:r w:rsidRPr="009E68E4">
              <w:rPr>
                <w:rFonts w:ascii="Arial" w:hAnsi="Arial"/>
                <w:lang w:eastAsia="en-US"/>
              </w:rPr>
              <w:t>The patient to whom the service is provided must:</w:t>
            </w:r>
          </w:p>
          <w:p w14:paraId="1D7C3108" w14:textId="77777777" w:rsidR="000A4D39"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be an adult (≥18 years) diagnosed with a</w:t>
            </w:r>
            <w:r>
              <w:rPr>
                <w:rFonts w:ascii="Arial" w:hAnsi="Arial"/>
                <w:lang w:eastAsia="en-US"/>
              </w:rPr>
              <w:t>n episode of a</w:t>
            </w:r>
            <w:r w:rsidRPr="009E68E4">
              <w:rPr>
                <w:rFonts w:ascii="Arial" w:hAnsi="Arial"/>
                <w:lang w:eastAsia="en-US"/>
              </w:rPr>
              <w:t xml:space="preserve"> major depressive </w:t>
            </w:r>
            <w:r>
              <w:rPr>
                <w:rFonts w:ascii="Arial" w:hAnsi="Arial"/>
                <w:lang w:eastAsia="en-US"/>
              </w:rPr>
              <w:t>disorder</w:t>
            </w:r>
            <w:r w:rsidRPr="009E68E4">
              <w:rPr>
                <w:rFonts w:ascii="Arial" w:hAnsi="Arial"/>
                <w:lang w:eastAsia="en-US"/>
              </w:rPr>
              <w:t xml:space="preserve"> (MD</w:t>
            </w:r>
            <w:r>
              <w:rPr>
                <w:rFonts w:ascii="Arial" w:hAnsi="Arial"/>
                <w:lang w:eastAsia="en-US"/>
              </w:rPr>
              <w:t>D</w:t>
            </w:r>
            <w:r w:rsidRPr="009E68E4">
              <w:rPr>
                <w:rFonts w:ascii="Arial" w:hAnsi="Arial"/>
                <w:lang w:eastAsia="en-US"/>
              </w:rPr>
              <w:t>)</w:t>
            </w:r>
          </w:p>
          <w:p w14:paraId="4071BE52" w14:textId="77777777" w:rsidR="000A4D39" w:rsidRPr="00E27C22" w:rsidRDefault="000A4D39" w:rsidP="000A4D39">
            <w:pPr>
              <w:widowControl w:val="0"/>
              <w:numPr>
                <w:ilvl w:val="0"/>
                <w:numId w:val="6"/>
              </w:numPr>
              <w:spacing w:before="20" w:after="40"/>
              <w:jc w:val="both"/>
              <w:rPr>
                <w:rFonts w:ascii="Arial" w:hAnsi="Arial"/>
                <w:lang w:eastAsia="en-US"/>
              </w:rPr>
            </w:pPr>
            <w:r w:rsidRPr="009E68E4">
              <w:rPr>
                <w:rFonts w:ascii="Arial" w:hAnsi="Arial"/>
                <w:lang w:eastAsia="en-US"/>
              </w:rPr>
              <w:t xml:space="preserve">have failed to receive satisfactory improvement despite the adequate trialling of at least two (2) different </w:t>
            </w:r>
            <w:r w:rsidRPr="00C7574C">
              <w:rPr>
                <w:rFonts w:ascii="Arial" w:hAnsi="Arial"/>
                <w:color w:val="538135" w:themeColor="accent6" w:themeShade="BF"/>
                <w:lang w:eastAsia="en-US"/>
              </w:rPr>
              <w:t xml:space="preserve">classes of </w:t>
            </w:r>
            <w:r w:rsidRPr="009E68E4">
              <w:rPr>
                <w:rFonts w:ascii="Arial" w:hAnsi="Arial"/>
                <w:lang w:eastAsia="en-US"/>
              </w:rPr>
              <w:t xml:space="preserve">antidepressant medications, unless contraindicated </w:t>
            </w:r>
            <w:r w:rsidRPr="00C7574C">
              <w:rPr>
                <w:rFonts w:ascii="Arial" w:hAnsi="Arial"/>
                <w:strike/>
                <w:color w:val="538135" w:themeColor="accent6" w:themeShade="BF"/>
                <w:lang w:eastAsia="en-US"/>
              </w:rPr>
              <w:t>or intolerant.</w:t>
            </w:r>
          </w:p>
          <w:p w14:paraId="669F3564" w14:textId="77777777" w:rsidR="000A4D39" w:rsidRPr="009233EC" w:rsidRDefault="000A4D39" w:rsidP="000A4D39">
            <w:pPr>
              <w:widowControl w:val="0"/>
              <w:numPr>
                <w:ilvl w:val="0"/>
                <w:numId w:val="6"/>
              </w:numPr>
              <w:spacing w:before="20" w:after="40"/>
              <w:jc w:val="both"/>
              <w:rPr>
                <w:rFonts w:ascii="Arial" w:hAnsi="Arial"/>
                <w:color w:val="7B7B7B" w:themeColor="accent3" w:themeShade="BF"/>
                <w:lang w:eastAsia="en-US"/>
              </w:rPr>
            </w:pPr>
            <w:r w:rsidRPr="00C7574C">
              <w:rPr>
                <w:rFonts w:ascii="Arial" w:hAnsi="Arial"/>
                <w:color w:val="538135" w:themeColor="accent6" w:themeShade="BF"/>
                <w:lang w:eastAsia="en-US"/>
              </w:rPr>
              <w:t>have undertaken psychological therapy unless inappropriate</w:t>
            </w:r>
            <w:r>
              <w:rPr>
                <w:rFonts w:ascii="Arial" w:hAnsi="Arial"/>
                <w:color w:val="7B7B7B" w:themeColor="accent3" w:themeShade="BF"/>
                <w:lang w:eastAsia="en-US"/>
              </w:rPr>
              <w:t xml:space="preserve">; </w:t>
            </w:r>
            <w:r>
              <w:rPr>
                <w:rFonts w:ascii="Arial" w:hAnsi="Arial"/>
                <w:lang w:eastAsia="en-US"/>
              </w:rPr>
              <w:t>and</w:t>
            </w:r>
          </w:p>
          <w:p w14:paraId="3FD60A1E" w14:textId="45638D6E" w:rsidR="000A4D39" w:rsidRPr="00D63FE5" w:rsidRDefault="000A4D39" w:rsidP="00223037">
            <w:pPr>
              <w:widowControl w:val="0"/>
              <w:numPr>
                <w:ilvl w:val="0"/>
                <w:numId w:val="6"/>
              </w:numPr>
              <w:spacing w:before="20" w:after="40"/>
              <w:jc w:val="both"/>
              <w:rPr>
                <w:rFonts w:ascii="Arial" w:hAnsi="Arial"/>
                <w:color w:val="7B7B7B" w:themeColor="accent3" w:themeShade="BF"/>
                <w:highlight w:val="lightGray"/>
                <w:lang w:eastAsia="en-US"/>
              </w:rPr>
            </w:pPr>
            <w:r w:rsidRPr="00D63FE5">
              <w:rPr>
                <w:rFonts w:ascii="Arial" w:hAnsi="Arial"/>
                <w:highlight w:val="lightGray"/>
                <w:lang w:eastAsia="en-US"/>
              </w:rPr>
              <w:t>been eligible for and received rTMS therapy and relapsed after remission or satisfactory clinical response as assessed by a validated MDD tool after and no sooner than 4 months after completion of initial course</w:t>
            </w:r>
          </w:p>
          <w:p w14:paraId="1F492713" w14:textId="7779786E" w:rsidR="000A4D39" w:rsidRPr="009E68E4" w:rsidRDefault="000A4D39" w:rsidP="00FE4E10">
            <w:pPr>
              <w:widowControl w:val="0"/>
              <w:spacing w:before="240" w:after="240"/>
              <w:rPr>
                <w:rFonts w:ascii="Arial" w:hAnsi="Arial"/>
                <w:lang w:eastAsia="en-US"/>
              </w:rPr>
            </w:pPr>
            <w:r w:rsidRPr="009E68E4">
              <w:rPr>
                <w:rFonts w:ascii="Arial" w:hAnsi="Arial"/>
                <w:lang w:eastAsia="en-US"/>
              </w:rPr>
              <w:t>The service is prescribed by a psychiatrist with appropriate training in rTMS</w:t>
            </w:r>
          </w:p>
          <w:p w14:paraId="6B8FC137" w14:textId="4618F008" w:rsidR="000A4D39" w:rsidRPr="00FE4E10" w:rsidRDefault="000A4D39" w:rsidP="00223037">
            <w:pPr>
              <w:widowControl w:val="0"/>
              <w:spacing w:before="20" w:after="40"/>
              <w:rPr>
                <w:rFonts w:ascii="Arial" w:hAnsi="Arial"/>
                <w:color w:val="44546A" w:themeColor="text2"/>
                <w:lang w:eastAsia="en-US"/>
              </w:rPr>
            </w:pPr>
            <w:r w:rsidRPr="009E68E4">
              <w:rPr>
                <w:rFonts w:ascii="Arial" w:hAnsi="Arial"/>
                <w:lang w:eastAsia="en-US"/>
              </w:rPr>
              <w:t>Fee</w:t>
            </w:r>
            <w:r w:rsidRPr="00B95A8C">
              <w:rPr>
                <w:rFonts w:ascii="Arial" w:hAnsi="Arial"/>
                <w:lang w:eastAsia="en-US"/>
              </w:rPr>
              <w:t>: $186.40</w:t>
            </w:r>
            <w:r>
              <w:rPr>
                <w:rFonts w:ascii="Arial" w:hAnsi="Arial"/>
                <w:lang w:eastAsia="en-US"/>
              </w:rPr>
              <w:t xml:space="preserve"> </w:t>
            </w:r>
            <w:r>
              <w:rPr>
                <w:rFonts w:ascii="Arial" w:hAnsi="Arial"/>
                <w:color w:val="44546A" w:themeColor="text2"/>
                <w:lang w:eastAsia="en-US"/>
              </w:rPr>
              <w:t>(from $385 in Application 1196.1)</w:t>
            </w:r>
          </w:p>
          <w:p w14:paraId="04F4538B" w14:textId="77777777" w:rsidR="000A4D39" w:rsidRDefault="000A4D39" w:rsidP="00FE4E10">
            <w:pPr>
              <w:widowControl w:val="0"/>
              <w:spacing w:before="240" w:after="40"/>
              <w:rPr>
                <w:rFonts w:ascii="Arial" w:hAnsi="Arial"/>
                <w:lang w:eastAsia="en-US"/>
              </w:rPr>
            </w:pPr>
            <w:r w:rsidRPr="009E68E4">
              <w:rPr>
                <w:rFonts w:ascii="Arial" w:hAnsi="Arial"/>
                <w:lang w:eastAsia="en-US"/>
              </w:rPr>
              <w:t xml:space="preserve">Note: </w:t>
            </w:r>
          </w:p>
          <w:p w14:paraId="240786CD" w14:textId="7A77413C" w:rsidR="000A4D39" w:rsidRPr="009E68E4" w:rsidRDefault="000A4D39" w:rsidP="00FE4E10">
            <w:pPr>
              <w:widowControl w:val="0"/>
              <w:spacing w:before="20" w:after="240"/>
              <w:rPr>
                <w:rFonts w:ascii="Arial" w:hAnsi="Arial"/>
                <w:lang w:eastAsia="en-US"/>
              </w:rPr>
            </w:pPr>
            <w:r>
              <w:rPr>
                <w:rFonts w:ascii="Arial" w:hAnsi="Arial"/>
                <w:lang w:eastAsia="en-US"/>
              </w:rPr>
              <w:t>1.</w:t>
            </w:r>
            <w:r w:rsidRPr="009E68E4">
              <w:rPr>
                <w:rFonts w:ascii="Arial" w:hAnsi="Arial"/>
                <w:lang w:eastAsia="en-US"/>
              </w:rPr>
              <w:t xml:space="preserve"> The trialling of each antidepressant medication must have been at the recommended therapeutic dose for a minimum of three (3) weeks. Where appropriate, the treatment must have been titrated to the maximum tolerated therapeutic dose. The patient</w:t>
            </w:r>
            <w:r>
              <w:rPr>
                <w:rFonts w:ascii="Arial" w:hAnsi="Arial"/>
                <w:lang w:eastAsia="en-US"/>
              </w:rPr>
              <w:t>’</w:t>
            </w:r>
            <w:r w:rsidRPr="009E68E4">
              <w:rPr>
                <w:rFonts w:ascii="Arial" w:hAnsi="Arial"/>
                <w:lang w:eastAsia="en-US"/>
              </w:rPr>
              <w:t>s adherence to antidepressant treatment must have been formally assessed.</w:t>
            </w:r>
          </w:p>
          <w:p w14:paraId="411929A2" w14:textId="08624617" w:rsidR="000A4D39" w:rsidRDefault="000A4D39" w:rsidP="00A25FF3">
            <w:pPr>
              <w:widowControl w:val="0"/>
              <w:spacing w:before="20" w:after="240"/>
              <w:rPr>
                <w:rFonts w:ascii="Arial" w:hAnsi="Arial"/>
                <w:lang w:eastAsia="en-US"/>
              </w:rPr>
            </w:pPr>
            <w:r w:rsidRPr="009E68E4">
              <w:rPr>
                <w:rFonts w:ascii="Arial" w:hAnsi="Arial"/>
                <w:lang w:eastAsia="en-US"/>
              </w:rPr>
              <w:t xml:space="preserve">This item enables a psychiatrist to prescribe rTMS, </w:t>
            </w:r>
            <w:r w:rsidRPr="00C7574C">
              <w:rPr>
                <w:rFonts w:ascii="Arial" w:hAnsi="Arial"/>
                <w:strike/>
                <w:color w:val="538135" w:themeColor="accent6" w:themeShade="BF"/>
                <w:lang w:eastAsia="en-US"/>
              </w:rPr>
              <w:t xml:space="preserve">to determine if the patient is eligible to have the treatment, </w:t>
            </w:r>
            <w:r w:rsidRPr="009E68E4">
              <w:rPr>
                <w:rFonts w:ascii="Arial" w:hAnsi="Arial"/>
                <w:lang w:eastAsia="en-US"/>
              </w:rPr>
              <w:t>to do the “mapping” procedure whereby the location of the motor cortex on the patients scalp is determined (enabling measurement forward to the dorsolateral prefrontal cortex), to assess the patients resting motor threshold to determine treatment intensity and to prescribe the dose of rTMS as a proportion of the motor threshold.</w:t>
            </w:r>
          </w:p>
          <w:p w14:paraId="7D5F126D" w14:textId="77777777" w:rsidR="000A4D39" w:rsidRDefault="000A4D39" w:rsidP="00223037">
            <w:pPr>
              <w:widowControl w:val="0"/>
              <w:spacing w:before="20" w:after="40"/>
              <w:rPr>
                <w:rFonts w:ascii="Arial" w:hAnsi="Arial"/>
                <w:color w:val="7B7B7B" w:themeColor="accent3" w:themeShade="BF"/>
                <w:lang w:eastAsia="en-US"/>
              </w:rPr>
            </w:pPr>
            <w:r w:rsidRPr="00D63FE5">
              <w:rPr>
                <w:rFonts w:ascii="Arial" w:hAnsi="Arial"/>
                <w:color w:val="7B7B7B" w:themeColor="accent3" w:themeShade="BF"/>
                <w:highlight w:val="lightGray"/>
                <w:lang w:eastAsia="en-US"/>
              </w:rPr>
              <w:t>This item is restricted to thrice per patient.</w:t>
            </w:r>
          </w:p>
          <w:p w14:paraId="4352D2FD" w14:textId="77777777" w:rsidR="000A4D39" w:rsidRPr="0038560B" w:rsidDel="00A134DA" w:rsidRDefault="000A4D39" w:rsidP="00223037">
            <w:pPr>
              <w:widowControl w:val="0"/>
              <w:spacing w:before="20" w:after="40"/>
              <w:rPr>
                <w:rFonts w:ascii="Arial" w:hAnsi="Arial"/>
                <w:color w:val="7B7B7B" w:themeColor="accent3" w:themeShade="BF"/>
                <w:lang w:eastAsia="en-US"/>
              </w:rPr>
            </w:pPr>
            <w:r w:rsidRPr="00C7574C">
              <w:rPr>
                <w:rFonts w:ascii="Arial" w:hAnsi="Arial"/>
                <w:color w:val="538135" w:themeColor="accent6" w:themeShade="BF"/>
                <w:lang w:eastAsia="en-US"/>
              </w:rPr>
              <w:t>This item is not to be used when it is determined that the patient is ineligible to have the treatment</w:t>
            </w:r>
          </w:p>
        </w:tc>
      </w:tr>
    </w:tbl>
    <w:p w14:paraId="330AE287" w14:textId="77777777" w:rsidR="000A4D39" w:rsidRDefault="000A4D39" w:rsidP="000A4D39">
      <w:pPr>
        <w:pStyle w:val="Tablefootnote"/>
        <w:rPr>
          <w:color w:val="000000" w:themeColor="text1"/>
        </w:rPr>
      </w:pPr>
      <w:r w:rsidRPr="0094714D">
        <w:rPr>
          <w:strike/>
          <w:color w:val="FF0000"/>
        </w:rPr>
        <w:t>Red</w:t>
      </w:r>
      <w:r>
        <w:rPr>
          <w:color w:val="000000" w:themeColor="text1"/>
        </w:rPr>
        <w:t xml:space="preserve"> </w:t>
      </w:r>
      <w:r w:rsidRPr="0094714D">
        <w:rPr>
          <w:color w:val="FF0000"/>
        </w:rPr>
        <w:t>Green</w:t>
      </w:r>
      <w:r w:rsidRPr="00CF6AAD">
        <w:rPr>
          <w:color w:val="000000" w:themeColor="text1"/>
        </w:rPr>
        <w:t xml:space="preserve"> text indicates </w:t>
      </w:r>
      <w:r>
        <w:rPr>
          <w:color w:val="000000" w:themeColor="text1"/>
        </w:rPr>
        <w:t xml:space="preserve">changes made </w:t>
      </w:r>
      <w:r w:rsidRPr="00CF6AAD">
        <w:rPr>
          <w:color w:val="000000" w:themeColor="text1"/>
        </w:rPr>
        <w:t>to the proposed wording since MSAC Application 1196.1</w:t>
      </w:r>
    </w:p>
    <w:p w14:paraId="43A12FEE" w14:textId="77777777" w:rsidR="000A4D39" w:rsidRPr="00D36B3D" w:rsidRDefault="000A4D39" w:rsidP="000A4D39">
      <w:pPr>
        <w:pStyle w:val="Tablefootnote"/>
      </w:pPr>
      <w:r w:rsidRPr="00D36B3D">
        <w:rPr>
          <w:color w:val="44546A" w:themeColor="text2"/>
        </w:rPr>
        <w:t xml:space="preserve">Blue </w:t>
      </w:r>
      <w:r>
        <w:t>indicates the previous proposed fees from Application 1196.1</w:t>
      </w:r>
    </w:p>
    <w:p w14:paraId="19B8A3F7" w14:textId="77777777" w:rsidR="000A4D39" w:rsidRDefault="000A4D39" w:rsidP="000A4D39">
      <w:pPr>
        <w:pStyle w:val="Tablefootnote"/>
        <w:rPr>
          <w:color w:val="000000" w:themeColor="text1"/>
        </w:rPr>
      </w:pPr>
      <w:r>
        <w:rPr>
          <w:color w:val="000000" w:themeColor="text1"/>
        </w:rPr>
        <w:t>* A Category 1 listing was suggested as an alternative in the Critique of MSAC Application 1196.1 (Table 2)</w:t>
      </w:r>
    </w:p>
    <w:p w14:paraId="5B7700C9" w14:textId="6EEBFC0F" w:rsidR="000A4D39" w:rsidRPr="00982230" w:rsidRDefault="000A4D39" w:rsidP="00397F70">
      <w:pPr>
        <w:pStyle w:val="Tablefootnote"/>
        <w:spacing w:after="240"/>
        <w:rPr>
          <w:i/>
          <w:color w:val="000000" w:themeColor="text1"/>
        </w:rPr>
      </w:pPr>
      <w:r w:rsidRPr="00D63FE5">
        <w:rPr>
          <w:i/>
          <w:color w:val="000000" w:themeColor="text1"/>
          <w:highlight w:val="lightGray"/>
        </w:rPr>
        <w:t>Note highlighted includes Department revisions for Application 1196.3</w:t>
      </w:r>
    </w:p>
    <w:p w14:paraId="7F6618D9" w14:textId="77777777" w:rsidR="000A4D39" w:rsidRDefault="000A4D39" w:rsidP="000A4D39">
      <w:pPr>
        <w:pStyle w:val="Heading2"/>
      </w:pPr>
      <w:r>
        <w:t>Explanatory notes</w:t>
      </w:r>
    </w:p>
    <w:p w14:paraId="0D35FD00" w14:textId="56829766" w:rsidR="000A4D39" w:rsidRDefault="000A4D39" w:rsidP="00A25FF3">
      <w:pPr>
        <w:spacing w:after="240"/>
      </w:pPr>
      <w:r>
        <w:t xml:space="preserve">The Department considered that an explanatory note indicating the definition of relapse could be added to the proposed MBS item descriptors for retreatment with rTMS in those </w:t>
      </w:r>
      <w:r w:rsidRPr="00666F63">
        <w:t xml:space="preserve">who have relapsed after remission or satisfactory clinical response </w:t>
      </w:r>
      <w:r>
        <w:t>to</w:t>
      </w:r>
      <w:r w:rsidRPr="009D05ED">
        <w:t xml:space="preserve"> </w:t>
      </w:r>
      <w:r>
        <w:t>initial course of treatment and/or subsequent courses of retreatment with rTMS</w:t>
      </w:r>
      <w:r w:rsidR="006D014A">
        <w:t xml:space="preserve"> (</w:t>
      </w:r>
      <w:r w:rsidR="006D014A" w:rsidRPr="006D014A">
        <w:rPr>
          <w:strike/>
        </w:rPr>
        <w:t>strikethrough</w:t>
      </w:r>
      <w:r w:rsidR="006C19FD">
        <w:t xml:space="preserve"> represents edit from a</w:t>
      </w:r>
      <w:r w:rsidR="006D014A">
        <w:t>pplicant)</w:t>
      </w:r>
      <w:r w:rsidR="00A25FF3">
        <w:t>:</w:t>
      </w:r>
    </w:p>
    <w:p w14:paraId="4FC2A2C2" w14:textId="05806285" w:rsidR="000A4D39" w:rsidRPr="00A25FF3" w:rsidRDefault="000A4D39" w:rsidP="00A25FF3">
      <w:pPr>
        <w:ind w:left="720"/>
        <w:rPr>
          <w:sz w:val="22"/>
        </w:rPr>
      </w:pPr>
      <w:r w:rsidRPr="003200B6">
        <w:rPr>
          <w:sz w:val="22"/>
        </w:rPr>
        <w:t xml:space="preserve">The definition of relapse as provided in the pivotal studies: recurrence of full Diagnostic and Statistical Manual of Mental Disorders (DSM-IV) criteria for two consecutive weeks, </w:t>
      </w:r>
      <w:r w:rsidRPr="006D014A">
        <w:rPr>
          <w:strike/>
          <w:sz w:val="22"/>
        </w:rPr>
        <w:t xml:space="preserve">or failure to achieve symptom improvement despite six weeks of rTMS retreatment (Janicak et al. 2010); </w:t>
      </w:r>
      <w:r w:rsidRPr="003200B6">
        <w:rPr>
          <w:sz w:val="22"/>
        </w:rPr>
        <w:t>Quick Inventory of Depressive Symptoms Self report 16 Item version (QIDS-SR) score ≥11 (Dunner et al. 2014); and Hamilton Depression Rating Scale six item (HAMD-6) score &gt;7 (Pridmore et al. 2019).</w:t>
      </w:r>
    </w:p>
    <w:p w14:paraId="78EAD200" w14:textId="5FFDCB32" w:rsidR="006D014A" w:rsidRDefault="006C19FD" w:rsidP="00A25FF3">
      <w:pPr>
        <w:spacing w:before="240"/>
      </w:pPr>
      <w:r>
        <w:t>In the pre-MSAC response, the a</w:t>
      </w:r>
      <w:r w:rsidR="000A4D39">
        <w:t>pplicant</w:t>
      </w:r>
      <w:r w:rsidR="006D014A">
        <w:t xml:space="preserve"> stated it</w:t>
      </w:r>
      <w:r w:rsidR="000A4D39">
        <w:t xml:space="preserve"> </w:t>
      </w:r>
      <w:r w:rsidR="006D014A">
        <w:t xml:space="preserve">would be reasonable to require documentation of the criteria used for the definition of relapse or to provide criteria that would need to be met. The applicants are willing to work with the department to refine these criteria. </w:t>
      </w:r>
    </w:p>
    <w:p w14:paraId="63874EEC" w14:textId="77777777" w:rsidR="00A428E9" w:rsidRPr="00F715D1" w:rsidRDefault="00A428E9" w:rsidP="00A428E9">
      <w:pPr>
        <w:pStyle w:val="Heading1"/>
      </w:pPr>
      <w:r w:rsidRPr="00F715D1">
        <w:t>Summary of Public Consultation Feedback/Consumer Issues</w:t>
      </w:r>
    </w:p>
    <w:p w14:paraId="58EB9690" w14:textId="4F8DEEA1" w:rsidR="00A428E9" w:rsidRPr="00F72715" w:rsidRDefault="00397F70" w:rsidP="00E65D43">
      <w:r w:rsidRPr="00397F70">
        <w:t>This was unchanged. Refer to Application 1196.1 PSD 2018, p7.</w:t>
      </w:r>
    </w:p>
    <w:p w14:paraId="60FC028E" w14:textId="77777777" w:rsidR="00A428E9" w:rsidRPr="00F715D1" w:rsidRDefault="00A428E9" w:rsidP="00A428E9">
      <w:pPr>
        <w:pStyle w:val="Heading1"/>
      </w:pPr>
      <w:r w:rsidRPr="00F715D1">
        <w:lastRenderedPageBreak/>
        <w:t>Proposed intervention’s place in clinical management</w:t>
      </w:r>
    </w:p>
    <w:p w14:paraId="283F56DF" w14:textId="25DBD684" w:rsidR="00E65D43" w:rsidRPr="00593FB5" w:rsidRDefault="00E65D43" w:rsidP="00947FC2">
      <w:r>
        <w:t xml:space="preserve">This was unchanged. </w:t>
      </w:r>
      <w:r w:rsidR="00947FC2">
        <w:t>Refer to</w:t>
      </w:r>
      <w:r>
        <w:t xml:space="preserve"> Application 1196.1 PSD 2018, pp7-8.</w:t>
      </w:r>
    </w:p>
    <w:p w14:paraId="20F45E23" w14:textId="77777777" w:rsidR="00A428E9" w:rsidRPr="00F715D1" w:rsidRDefault="00A428E9" w:rsidP="00A428E9">
      <w:pPr>
        <w:pStyle w:val="Heading1"/>
      </w:pPr>
      <w:r w:rsidRPr="00F715D1">
        <w:t xml:space="preserve">Comparator </w:t>
      </w:r>
    </w:p>
    <w:p w14:paraId="59CC363C" w14:textId="3EB4BE63" w:rsidR="00E65D43" w:rsidRDefault="00E65D43" w:rsidP="00E65D43">
      <w:pPr>
        <w:rPr>
          <w:lang w:eastAsia="en-US"/>
        </w:rPr>
      </w:pPr>
      <w:r>
        <w:rPr>
          <w:lang w:eastAsia="en-US"/>
        </w:rPr>
        <w:t>Consistent with the previous resubmission, t</w:t>
      </w:r>
      <w:r w:rsidRPr="00F72492">
        <w:rPr>
          <w:lang w:eastAsia="en-US"/>
        </w:rPr>
        <w:t>he main compar</w:t>
      </w:r>
      <w:r>
        <w:rPr>
          <w:lang w:eastAsia="en-US"/>
        </w:rPr>
        <w:t>ator to rTMS considered in the re</w:t>
      </w:r>
      <w:r w:rsidRPr="00F72492">
        <w:rPr>
          <w:lang w:eastAsia="en-US"/>
        </w:rPr>
        <w:t>submission is thi</w:t>
      </w:r>
      <w:r>
        <w:rPr>
          <w:lang w:eastAsia="en-US"/>
        </w:rPr>
        <w:t>rd line antidepressant therapy.</w:t>
      </w:r>
    </w:p>
    <w:p w14:paraId="0A498D9E" w14:textId="3712AF59" w:rsidR="00A428E9" w:rsidRPr="00F715D1" w:rsidRDefault="007D662E" w:rsidP="00A428E9">
      <w:pPr>
        <w:pStyle w:val="Heading1"/>
      </w:pPr>
      <w:r>
        <w:t>Clinical evidence</w:t>
      </w:r>
    </w:p>
    <w:p w14:paraId="42CA9681" w14:textId="77777777" w:rsidR="00E65D43" w:rsidRDefault="00E65D43" w:rsidP="00E65D43">
      <w:pPr>
        <w:pStyle w:val="Heading2"/>
      </w:pPr>
      <w:r>
        <w:t>T</w:t>
      </w:r>
      <w:r w:rsidRPr="007B598A">
        <w:t xml:space="preserve">ime period between initial treatment </w:t>
      </w:r>
      <w:r>
        <w:t>course and retreatment</w:t>
      </w:r>
    </w:p>
    <w:p w14:paraId="264120AC" w14:textId="42245ACC" w:rsidR="00E65D43" w:rsidRDefault="00E72532" w:rsidP="00A25FF3">
      <w:pPr>
        <w:spacing w:after="240"/>
      </w:pPr>
      <w:r>
        <w:t>The a</w:t>
      </w:r>
      <w:r w:rsidR="00E65D43">
        <w:t>pplicant stated that there is limited evidence on rTMS retreatment in patients experiencing relapse, providing seven studies (</w:t>
      </w:r>
      <w:r w:rsidR="00E65D43" w:rsidRPr="00A97F76">
        <w:t>Demirtas-Tatlidede 2008</w:t>
      </w:r>
      <w:r w:rsidR="00E65D43">
        <w:t>, Fitzgerald 2006, Janicak 2010, Dunner 2014 were included in previous MSAC1196 iterations; and Philip 2016, Pridmore 2019, and Kelly 2016 were included as new evidence to MSA</w:t>
      </w:r>
      <w:r>
        <w:t>C; see Table 4</w:t>
      </w:r>
      <w:r w:rsidR="00A25FF3">
        <w:t xml:space="preserve"> below).</w:t>
      </w:r>
    </w:p>
    <w:p w14:paraId="2B8F23DA" w14:textId="74BD3A48" w:rsidR="00E65D43" w:rsidRDefault="00E72532" w:rsidP="00E65D43">
      <w:r>
        <w:t>The a</w:t>
      </w:r>
      <w:r w:rsidR="00E65D43">
        <w:t>pplicant indicated that from these studies, the time to repeat treatment (i.e. retreatment) averaged bet</w:t>
      </w:r>
      <w:r w:rsidR="006C19FD">
        <w:t>ween 4-10 months. However, the a</w:t>
      </w:r>
      <w:r w:rsidR="00E65D43">
        <w:t>pplicant stated that the duration until retreatment was fairly consistently dependent on the degree of initial resp</w:t>
      </w:r>
      <w:r w:rsidR="006C19FD">
        <w:t>onse achieved by patients. The a</w:t>
      </w:r>
      <w:r w:rsidR="00E65D43">
        <w:t xml:space="preserve">pplicant highlighted that a typical </w:t>
      </w:r>
      <w:r w:rsidR="00E65D43" w:rsidRPr="00060545">
        <w:t xml:space="preserve">course of TMS treatment is typically considered around 30 </w:t>
      </w:r>
      <w:r w:rsidR="00E65D43">
        <w:t>sessions (</w:t>
      </w:r>
      <w:r w:rsidR="00E65D43" w:rsidRPr="00060545">
        <w:t>plus or minus a short taper</w:t>
      </w:r>
      <w:r w:rsidR="00E65D43">
        <w:t>)</w:t>
      </w:r>
      <w:r w:rsidR="00E65D43" w:rsidRPr="00060545">
        <w:t xml:space="preserve"> and a longer duration of treatment is typically associated with greater clinical response</w:t>
      </w:r>
      <w:r w:rsidR="006C19FD">
        <w:t>. The a</w:t>
      </w:r>
      <w:r w:rsidR="00E65D43">
        <w:t>pplicant noted that retreatment in the included studies is likely to</w:t>
      </w:r>
      <w:r w:rsidR="00E65D43" w:rsidRPr="00E90504">
        <w:t xml:space="preserve"> </w:t>
      </w:r>
      <w:r w:rsidR="00E65D43" w:rsidRPr="00060545">
        <w:t>have occurred relatively early due to the inclusion of patients in a research protocol and subsequent earl</w:t>
      </w:r>
      <w:r w:rsidR="00E65D43">
        <w:t>y detection of signs of relapse.</w:t>
      </w:r>
    </w:p>
    <w:p w14:paraId="2D5F32F8" w14:textId="77777777" w:rsidR="00E65D43" w:rsidRDefault="00E65D43" w:rsidP="00E65D43">
      <w:pPr>
        <w:pStyle w:val="Heading3"/>
      </w:pPr>
      <w:r>
        <w:t>Pre-MSAC response</w:t>
      </w:r>
    </w:p>
    <w:p w14:paraId="38332697" w14:textId="0D3C4D5A" w:rsidR="00E65D43" w:rsidRPr="00E65D43" w:rsidRDefault="00E65D43" w:rsidP="00E65D43">
      <w:r>
        <w:t>T</w:t>
      </w:r>
      <w:r w:rsidR="00E72532">
        <w:t>he a</w:t>
      </w:r>
      <w:r>
        <w:t>pplicant suggested that</w:t>
      </w:r>
      <w:r w:rsidR="00E72532">
        <w:t xml:space="preserve"> the</w:t>
      </w:r>
      <w:r>
        <w:t xml:space="preserve"> retreatment course to be limited to a minimum gap of three months with no maximum gap.</w:t>
      </w:r>
    </w:p>
    <w:p w14:paraId="1D5C482C" w14:textId="77777777" w:rsidR="00E65D43" w:rsidRDefault="00E65D43" w:rsidP="00E65D43">
      <w:pPr>
        <w:pStyle w:val="Heading2"/>
      </w:pPr>
      <w:r>
        <w:t>Proportion of responders likely to relapse and require retreatment</w:t>
      </w:r>
    </w:p>
    <w:p w14:paraId="37D62566" w14:textId="74E71133" w:rsidR="00E65D43" w:rsidRDefault="00E72532" w:rsidP="00A25FF3">
      <w:pPr>
        <w:spacing w:after="240"/>
      </w:pPr>
      <w:r>
        <w:t>The a</w:t>
      </w:r>
      <w:r w:rsidR="00E65D43">
        <w:t>pplicant cited Dunner et al. 2014 (n=257) as the most relevant study</w:t>
      </w:r>
      <w:r w:rsidR="00E65D43" w:rsidRPr="001B6054">
        <w:rPr>
          <w:i/>
        </w:rPr>
        <w:t>,</w:t>
      </w:r>
      <w:r w:rsidR="00E65D43">
        <w:t xml:space="preserve"> which included 12 month follow-up data from 205 patients. </w:t>
      </w:r>
      <w:r>
        <w:rPr>
          <w:i/>
        </w:rPr>
        <w:t>MSAC</w:t>
      </w:r>
      <w:r w:rsidRPr="00E72532">
        <w:rPr>
          <w:i/>
        </w:rPr>
        <w:t xml:space="preserve"> noted that</w:t>
      </w:r>
      <w:r>
        <w:t xml:space="preserve"> </w:t>
      </w:r>
      <w:r w:rsidR="00E65D43" w:rsidRPr="004338DF">
        <w:rPr>
          <w:i/>
        </w:rPr>
        <w:t>Dunner et al</w:t>
      </w:r>
      <w:r w:rsidR="00E65D43">
        <w:rPr>
          <w:i/>
        </w:rPr>
        <w:t xml:space="preserve">. was an observational study and therefore low quality evidence. In addition, it was unclear if the trial population was fully applicable to the proposed </w:t>
      </w:r>
      <w:r w:rsidR="00E65D43" w:rsidRPr="00FE382A">
        <w:rPr>
          <w:i/>
        </w:rPr>
        <w:t>MBS population</w:t>
      </w:r>
      <w:r w:rsidR="00E65D43">
        <w:rPr>
          <w:i/>
        </w:rPr>
        <w:t>, as patients were not required to have failed to respond</w:t>
      </w:r>
      <w:r w:rsidR="00E65D43" w:rsidRPr="00FE382A">
        <w:rPr>
          <w:i/>
        </w:rPr>
        <w:t xml:space="preserve"> to at least 2 antidepressants</w:t>
      </w:r>
      <w:r w:rsidR="00E65D43">
        <w:rPr>
          <w:i/>
        </w:rPr>
        <w:t xml:space="preserve"> at study recruitment.</w:t>
      </w:r>
    </w:p>
    <w:p w14:paraId="2ACB222E" w14:textId="079DA93A" w:rsidR="00E65D43" w:rsidRDefault="00E65D43" w:rsidP="00A25FF3">
      <w:pPr>
        <w:spacing w:after="240"/>
      </w:pPr>
      <w:r>
        <w:t xml:space="preserve">A total of 78 patients were classified as full remitters after initial therapy – 55 (70.5%) remained well for 12 months indicating a 29.5% relapse rate. The time relapse was </w:t>
      </w:r>
      <w:r w:rsidR="00E72532">
        <w:br/>
        <w:t>0</w:t>
      </w:r>
      <w:r>
        <w:t>-3</w:t>
      </w:r>
      <w:r w:rsidR="00E72532">
        <w:t> </w:t>
      </w:r>
      <w:r>
        <w:t xml:space="preserve">months (for 6 patients), 3-6 months (for 8 patients), 6-9 months (for 6 patients) and </w:t>
      </w:r>
      <w:r w:rsidR="00E72532">
        <w:br/>
      </w:r>
      <w:r>
        <w:t>9-12 months (for 3 patients). The highest likeliho</w:t>
      </w:r>
      <w:r w:rsidR="00A25FF3">
        <w:t>od was from between 3-9 months.</w:t>
      </w:r>
    </w:p>
    <w:p w14:paraId="4A6820F4" w14:textId="554F7790" w:rsidR="00E65D43" w:rsidRPr="00A25FF3" w:rsidRDefault="00E72532" w:rsidP="00A25FF3">
      <w:pPr>
        <w:spacing w:after="240"/>
      </w:pPr>
      <w:r>
        <w:t>The a</w:t>
      </w:r>
      <w:r w:rsidR="00E65D43">
        <w:t xml:space="preserve">pplicant stated </w:t>
      </w:r>
      <w:r>
        <w:t xml:space="preserve">that </w:t>
      </w:r>
      <w:r w:rsidR="00E65D43">
        <w:t>when patients who met remission and response criteria were included there were 120 patients and 75/120 (62.5%) maintained their response over 12 months of follow-up, indicating a potential of 37.5% of responders to relapse and require retreatment.</w:t>
      </w:r>
      <w:r w:rsidR="00E65D43" w:rsidRPr="00DC61B8">
        <w:t xml:space="preserve"> </w:t>
      </w:r>
      <w:r w:rsidR="00E65D43">
        <w:t xml:space="preserve">Remission implies a complete or almost complete reduction of symptoms with initial treatment. Patients meeting response criteria have improved to a significant degree but may </w:t>
      </w:r>
      <w:r w:rsidR="006C19FD">
        <w:t>still remain symptomatic.  The a</w:t>
      </w:r>
      <w:r w:rsidR="00E65D43">
        <w:t>pplicant stated the data suggests patients with greatest degree of initial improvement are likely</w:t>
      </w:r>
      <w:r w:rsidR="00A25FF3">
        <w:t xml:space="preserve"> to remain well over 12 months.</w:t>
      </w:r>
    </w:p>
    <w:p w14:paraId="17C50649" w14:textId="6C132F2B" w:rsidR="00E65D43" w:rsidRDefault="00E72532" w:rsidP="00E65D43">
      <w:r>
        <w:rPr>
          <w:i/>
        </w:rPr>
        <w:t>MSAC</w:t>
      </w:r>
      <w:r w:rsidR="00E65D43" w:rsidRPr="00FB3556">
        <w:rPr>
          <w:i/>
        </w:rPr>
        <w:t xml:space="preserve"> noted </w:t>
      </w:r>
      <w:r>
        <w:rPr>
          <w:i/>
        </w:rPr>
        <w:t xml:space="preserve">that </w:t>
      </w:r>
      <w:r w:rsidR="00E65D43" w:rsidRPr="00FB3556">
        <w:rPr>
          <w:i/>
        </w:rPr>
        <w:t>the same observational study (Dunner et al</w:t>
      </w:r>
      <w:r>
        <w:rPr>
          <w:i/>
        </w:rPr>
        <w:t>. 2014) was used to inform the a</w:t>
      </w:r>
      <w:r w:rsidR="00E65D43" w:rsidRPr="00FB3556">
        <w:rPr>
          <w:i/>
        </w:rPr>
        <w:t>pplicant’s current relapse rate for rTMS retreatment (29.5%), and the rTMS relapse rate</w:t>
      </w:r>
      <w:r w:rsidR="00E65D43">
        <w:rPr>
          <w:i/>
        </w:rPr>
        <w:t xml:space="preserve"> (36.2%)</w:t>
      </w:r>
      <w:r w:rsidR="00E65D43" w:rsidRPr="00FB3556">
        <w:rPr>
          <w:i/>
        </w:rPr>
        <w:t xml:space="preserve"> in previous iterations of MSAC 1196 (1196, 1196.1), which MSAC previously </w:t>
      </w:r>
      <w:r w:rsidR="00E65D43" w:rsidRPr="00FB3556">
        <w:rPr>
          <w:i/>
        </w:rPr>
        <w:lastRenderedPageBreak/>
        <w:t>considered a “limited and weak evidence base”</w:t>
      </w:r>
      <w:r w:rsidR="00E65D43">
        <w:t xml:space="preserve"> (Application 11</w:t>
      </w:r>
      <w:r>
        <w:t>96.1 PSD 2018, p1). [See Table 4</w:t>
      </w:r>
      <w:r w:rsidR="00E65D43">
        <w:t xml:space="preserve"> below].</w:t>
      </w:r>
    </w:p>
    <w:p w14:paraId="7C8EE998" w14:textId="77777777" w:rsidR="00E65D43" w:rsidRDefault="00E65D43" w:rsidP="00E65D43">
      <w:pPr>
        <w:pStyle w:val="Heading2"/>
      </w:pPr>
      <w:r>
        <w:t>Number of sessions required for retreatment and frequency of administration</w:t>
      </w:r>
    </w:p>
    <w:p w14:paraId="11A46C93" w14:textId="2DD2AC66" w:rsidR="00E65D43" w:rsidRDefault="00E72532" w:rsidP="00E65D43">
      <w:r>
        <w:t>The a</w:t>
      </w:r>
      <w:r w:rsidR="00E65D43">
        <w:t>pplicant stated that the number of sessions appears to be fairly consistently lower than the number of treatments provided during an acute episode of therapy</w:t>
      </w:r>
      <w:r>
        <w:t>. A</w:t>
      </w:r>
      <w:r w:rsidR="00E65D43">
        <w:t xml:space="preserve">cross several studies this was around </w:t>
      </w:r>
      <w:r w:rsidR="00E65D43" w:rsidRPr="00B8616B">
        <w:t>15</w:t>
      </w:r>
      <w:r w:rsidR="00E65D43">
        <w:t xml:space="preserve"> treatments compared to ~ 30-35 provided in the initial acute course of therapy (e.g. 14.3 in Janicak et al. 2010). </w:t>
      </w:r>
      <w:r w:rsidRPr="00E72532">
        <w:rPr>
          <w:i/>
        </w:rPr>
        <w:t>MSAC noted that t</w:t>
      </w:r>
      <w:r w:rsidR="00E65D43" w:rsidRPr="00E72532">
        <w:rPr>
          <w:i/>
        </w:rPr>
        <w:t>he</w:t>
      </w:r>
      <w:r w:rsidR="00E65D43" w:rsidRPr="00D230A1">
        <w:rPr>
          <w:i/>
        </w:rPr>
        <w:t xml:space="preserve"> </w:t>
      </w:r>
      <w:r>
        <w:rPr>
          <w:i/>
        </w:rPr>
        <w:t>a</w:t>
      </w:r>
      <w:r w:rsidR="00E65D43" w:rsidRPr="00D230A1">
        <w:rPr>
          <w:i/>
        </w:rPr>
        <w:t>pplicant’s assumption of 15</w:t>
      </w:r>
      <w:r>
        <w:rPr>
          <w:i/>
        </w:rPr>
        <w:t> </w:t>
      </w:r>
      <w:r w:rsidR="00E65D43" w:rsidRPr="00D230A1">
        <w:rPr>
          <w:i/>
        </w:rPr>
        <w:t xml:space="preserve">treatments per retreatment course was similar to the previous estimate of 16.2 (also taken from Dunner et al. 2014) </w:t>
      </w:r>
      <w:r>
        <w:t>[See Table 4</w:t>
      </w:r>
      <w:r w:rsidR="00E65D43" w:rsidRPr="00D230A1">
        <w:t xml:space="preserve"> below].</w:t>
      </w:r>
    </w:p>
    <w:p w14:paraId="6BE5FCB8" w14:textId="77777777" w:rsidR="00E65D43" w:rsidRDefault="00E65D43" w:rsidP="00E65D43">
      <w:pPr>
        <w:pStyle w:val="Heading3"/>
      </w:pPr>
      <w:r>
        <w:t>Pre-MSAC response</w:t>
      </w:r>
    </w:p>
    <w:p w14:paraId="711D1D52" w14:textId="470F0BAA" w:rsidR="00E65D43" w:rsidRDefault="00E72532" w:rsidP="00E65D43">
      <w:r>
        <w:t>The a</w:t>
      </w:r>
      <w:r w:rsidR="00E65D43">
        <w:t xml:space="preserve">pplicant suggested the same number of sessions in a retreatment course as in </w:t>
      </w:r>
      <w:r>
        <w:t>the</w:t>
      </w:r>
      <w:r w:rsidR="00E65D43">
        <w:t xml:space="preserve"> initial course of treatment with rTMS.</w:t>
      </w:r>
    </w:p>
    <w:p w14:paraId="04FAC402" w14:textId="77777777" w:rsidR="00E65D43" w:rsidRDefault="00E65D43" w:rsidP="00E65D43">
      <w:pPr>
        <w:pStyle w:val="Heading2"/>
      </w:pPr>
      <w:r>
        <w:t>Number of rTMS retreatment courses</w:t>
      </w:r>
    </w:p>
    <w:p w14:paraId="233E45E3" w14:textId="05C5EE32" w:rsidR="00E65D43" w:rsidRDefault="00E65D43" w:rsidP="00E65D43">
      <w:r w:rsidRPr="005E55C3">
        <w:t>The Department obser</w:t>
      </w:r>
      <w:r w:rsidR="00E51CCB">
        <w:t xml:space="preserve">ved that there was no limit to </w:t>
      </w:r>
      <w:r w:rsidRPr="005E55C3">
        <w:t>number of retreatment courses with rTMS in Janicak et al. 2010,  and 15/</w:t>
      </w:r>
      <w:r>
        <w:t>99</w:t>
      </w:r>
      <w:r w:rsidRPr="005E55C3">
        <w:t xml:space="preserve"> (</w:t>
      </w:r>
      <w:r>
        <w:t>15.2</w:t>
      </w:r>
      <w:r w:rsidRPr="005E55C3">
        <w:t>%) and 5/</w:t>
      </w:r>
      <w:r>
        <w:t>99</w:t>
      </w:r>
      <w:r w:rsidRPr="005E55C3">
        <w:t xml:space="preserve"> (</w:t>
      </w:r>
      <w:r>
        <w:t>5.1</w:t>
      </w:r>
      <w:r w:rsidRPr="005E55C3">
        <w:t>%) experienced a second or third period of symptom re-emergence, respectively</w:t>
      </w:r>
      <w:r w:rsidR="00E51CCB">
        <w:t xml:space="preserve"> [See Table 4</w:t>
      </w:r>
      <w:r>
        <w:t xml:space="preserve"> below]</w:t>
      </w:r>
      <w:r w:rsidRPr="005E55C3">
        <w:t>.</w:t>
      </w:r>
    </w:p>
    <w:p w14:paraId="270BE20B" w14:textId="77777777" w:rsidR="00E65D43" w:rsidRDefault="00E65D43" w:rsidP="00E65D43">
      <w:pPr>
        <w:pStyle w:val="Heading3"/>
      </w:pPr>
      <w:r>
        <w:t>Pre-MSAC response</w:t>
      </w:r>
    </w:p>
    <w:p w14:paraId="0DEB8BE7" w14:textId="61139F2F" w:rsidR="00E65D43" w:rsidRDefault="00E51CCB" w:rsidP="00E65D43">
      <w:r>
        <w:t>The a</w:t>
      </w:r>
      <w:r w:rsidR="00E65D43">
        <w:t>pplicant suggested two solutions for the proposed MBS item descriptors:</w:t>
      </w:r>
    </w:p>
    <w:p w14:paraId="2062D079" w14:textId="79495C6F" w:rsidR="00E65D43" w:rsidRDefault="00E65D43" w:rsidP="00E65D43">
      <w:pPr>
        <w:pStyle w:val="ListParagraph"/>
        <w:numPr>
          <w:ilvl w:val="0"/>
          <w:numId w:val="9"/>
        </w:numPr>
      </w:pPr>
      <w:r>
        <w:t>Allow reimbursement of the initial course only once but not restrict the number of repeat treatment course</w:t>
      </w:r>
      <w:r w:rsidR="00E51CCB">
        <w:t>s;</w:t>
      </w:r>
      <w:r>
        <w:t xml:space="preserve"> or</w:t>
      </w:r>
    </w:p>
    <w:p w14:paraId="09E4643D" w14:textId="05C5BE14" w:rsidR="00E65D43" w:rsidRDefault="00E65D43" w:rsidP="00E65D43">
      <w:pPr>
        <w:pStyle w:val="ListParagraph"/>
        <w:numPr>
          <w:ilvl w:val="0"/>
          <w:numId w:val="9"/>
        </w:numPr>
      </w:pPr>
      <w:r>
        <w:t xml:space="preserve">Allow claiming of </w:t>
      </w:r>
      <w:r w:rsidR="00E51CCB">
        <w:t xml:space="preserve">the </w:t>
      </w:r>
      <w:r>
        <w:t xml:space="preserve">initial treatment course once every calendar year with a restricted number of repeat treatment courses then allowed across the rest of the year. </w:t>
      </w:r>
    </w:p>
    <w:p w14:paraId="19E62711" w14:textId="5383AB76" w:rsidR="00E65D43" w:rsidRPr="00E65D43" w:rsidRDefault="00E51CCB" w:rsidP="00E65D43">
      <w:r>
        <w:t>The a</w:t>
      </w:r>
      <w:r w:rsidR="00E65D43">
        <w:t xml:space="preserve">pplicant stated </w:t>
      </w:r>
      <w:r>
        <w:t>that</w:t>
      </w:r>
      <w:r w:rsidR="00E65D43" w:rsidRPr="00E65D43">
        <w:t xml:space="preserve"> the most appropriate mechanism to limit over servicing would be to restrict the frequency with which the repeat treatment codes may be claimed.</w:t>
      </w:r>
    </w:p>
    <w:p w14:paraId="2D7585C7" w14:textId="77777777" w:rsidR="00E65D43" w:rsidRDefault="00E65D43" w:rsidP="00E65D43">
      <w:pPr>
        <w:pStyle w:val="Heading2"/>
      </w:pPr>
      <w:r>
        <w:t>Definition of retreatment versus maintenance treatment</w:t>
      </w:r>
    </w:p>
    <w:p w14:paraId="1099EB87" w14:textId="77777777" w:rsidR="007D662E" w:rsidRDefault="007D662E" w:rsidP="007D662E">
      <w:pPr>
        <w:pStyle w:val="Heading3"/>
      </w:pPr>
      <w:r>
        <w:t>Pre-MSAC response</w:t>
      </w:r>
    </w:p>
    <w:p w14:paraId="5A593243" w14:textId="3DF0EE73" w:rsidR="007D662E" w:rsidRDefault="00E51CCB" w:rsidP="007D662E">
      <w:r>
        <w:t>The a</w:t>
      </w:r>
      <w:r w:rsidR="007D662E">
        <w:t>pplicant stated repeat treatmen</w:t>
      </w:r>
      <w:r w:rsidR="0021748F">
        <w:t>t</w:t>
      </w:r>
      <w:r w:rsidR="007D662E">
        <w:t xml:space="preserve"> (i.e. retreatment with rTMS) refers to the provision of an intensive course of treatment (usually sessions 5 times per week over 2-6 weeks) in a patient with who has experienced a defined relapse of depression (recurrent of significant symptoms after having achieved ‘wellness’ or a substantial benefit from an initial course of </w:t>
      </w:r>
      <w:r>
        <w:t>r</w:t>
      </w:r>
      <w:r w:rsidR="007D662E">
        <w:t xml:space="preserve">TMS therapy).  Maintenance therapy, in contrast, refers to the use of </w:t>
      </w:r>
      <w:r>
        <w:t>r</w:t>
      </w:r>
      <w:r w:rsidR="007D662E">
        <w:t>TMS to try and prevent relapse – i.e. treatment is provided in a patient who is not experiencing relapse, usual</w:t>
      </w:r>
      <w:r w:rsidR="00A25FF3">
        <w:t xml:space="preserve">ly in a less intensive manner. </w:t>
      </w:r>
    </w:p>
    <w:p w14:paraId="2AEA1DC4" w14:textId="77777777" w:rsidR="007D662E" w:rsidRPr="007D662E" w:rsidRDefault="007D662E" w:rsidP="007D662E">
      <w:pPr>
        <w:sectPr w:rsidR="007D662E" w:rsidRPr="007D662E" w:rsidSect="00223037">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pPr>
    </w:p>
    <w:p w14:paraId="6799AE3F" w14:textId="6E260101" w:rsidR="00E65D43" w:rsidRPr="005B5918" w:rsidRDefault="00E51CCB" w:rsidP="005B5918">
      <w:pPr>
        <w:rPr>
          <w:rFonts w:ascii="Arial Narrow" w:hAnsi="Arial Narrow"/>
          <w:b/>
          <w:sz w:val="20"/>
        </w:rPr>
      </w:pPr>
      <w:r w:rsidRPr="005B5918">
        <w:rPr>
          <w:rFonts w:ascii="Arial Narrow" w:hAnsi="Arial Narrow"/>
          <w:b/>
          <w:sz w:val="20"/>
        </w:rPr>
        <w:lastRenderedPageBreak/>
        <w:t>Table 4</w:t>
      </w:r>
      <w:r w:rsidR="00E65D43" w:rsidRPr="005B5918">
        <w:rPr>
          <w:rFonts w:ascii="Arial Narrow" w:hAnsi="Arial Narrow"/>
          <w:b/>
          <w:sz w:val="20"/>
        </w:rPr>
        <w:tab/>
        <w:t xml:space="preserve">Applicant’s data on rTMS retreatment and </w:t>
      </w:r>
      <w:r w:rsidR="00E65D43" w:rsidRPr="005B5918">
        <w:rPr>
          <w:rFonts w:ascii="Arial Narrow" w:hAnsi="Arial Narrow"/>
          <w:b/>
          <w:i/>
          <w:sz w:val="20"/>
        </w:rPr>
        <w:t>Department overview’s comments</w:t>
      </w:r>
      <w:r w:rsidR="00E65D43" w:rsidRPr="005B5918">
        <w:rPr>
          <w:rFonts w:ascii="Arial Narrow" w:hAnsi="Arial Narrow"/>
          <w:b/>
          <w:sz w:val="20"/>
        </w:rPr>
        <w:t xml:space="preserve"> </w:t>
      </w:r>
    </w:p>
    <w:tbl>
      <w:tblPr>
        <w:tblStyle w:val="TableGrid"/>
        <w:tblW w:w="0" w:type="auto"/>
        <w:tblLayout w:type="fixed"/>
        <w:tblCellMar>
          <w:left w:w="28" w:type="dxa"/>
          <w:right w:w="28" w:type="dxa"/>
        </w:tblCellMar>
        <w:tblLook w:val="04A0" w:firstRow="1" w:lastRow="0" w:firstColumn="1" w:lastColumn="0" w:noHBand="0" w:noVBand="1"/>
        <w:tblCaption w:val="Table 6 Applicant’s data on rTMS retreatment and Department overview’s comments "/>
        <w:tblDescription w:val="Summary of Applicants eviden base for rTMS retreatment"/>
      </w:tblPr>
      <w:tblGrid>
        <w:gridCol w:w="958"/>
        <w:gridCol w:w="1141"/>
        <w:gridCol w:w="1260"/>
        <w:gridCol w:w="579"/>
        <w:gridCol w:w="921"/>
        <w:gridCol w:w="1070"/>
        <w:gridCol w:w="1256"/>
        <w:gridCol w:w="1167"/>
        <w:gridCol w:w="895"/>
        <w:gridCol w:w="2088"/>
        <w:gridCol w:w="851"/>
        <w:gridCol w:w="850"/>
        <w:gridCol w:w="851"/>
        <w:gridCol w:w="837"/>
        <w:gridCol w:w="544"/>
      </w:tblGrid>
      <w:tr w:rsidR="00E65D43" w:rsidRPr="00D82D3D" w14:paraId="5AD89BB6" w14:textId="77777777" w:rsidTr="00223037">
        <w:trPr>
          <w:tblHeader/>
        </w:trPr>
        <w:tc>
          <w:tcPr>
            <w:tcW w:w="958" w:type="dxa"/>
            <w:tcBorders>
              <w:top w:val="single" w:sz="4" w:space="0" w:color="auto"/>
              <w:left w:val="single" w:sz="4" w:space="0" w:color="auto"/>
              <w:bottom w:val="nil"/>
              <w:right w:val="single" w:sz="4" w:space="0" w:color="auto"/>
            </w:tcBorders>
          </w:tcPr>
          <w:p w14:paraId="0DBE9CC1" w14:textId="77777777" w:rsidR="00E65D43" w:rsidRPr="00D82D3D" w:rsidRDefault="00E65D43" w:rsidP="00223037">
            <w:pPr>
              <w:pStyle w:val="Tabletext"/>
              <w:rPr>
                <w:i/>
              </w:rPr>
            </w:pPr>
            <w:r w:rsidRPr="00247507">
              <w:rPr>
                <w:b/>
              </w:rPr>
              <w:t xml:space="preserve">Publication name, </w:t>
            </w:r>
            <w:r w:rsidRPr="00247507">
              <w:rPr>
                <w:b/>
                <w:i/>
              </w:rPr>
              <w:t>(Country)</w:t>
            </w:r>
          </w:p>
        </w:tc>
        <w:tc>
          <w:tcPr>
            <w:tcW w:w="1141" w:type="dxa"/>
            <w:tcBorders>
              <w:top w:val="single" w:sz="4" w:space="0" w:color="auto"/>
              <w:left w:val="single" w:sz="4" w:space="0" w:color="auto"/>
              <w:bottom w:val="nil"/>
              <w:right w:val="single" w:sz="4" w:space="0" w:color="auto"/>
            </w:tcBorders>
          </w:tcPr>
          <w:p w14:paraId="649040DF" w14:textId="77777777" w:rsidR="00E65D43" w:rsidRPr="00BD1388" w:rsidRDefault="00E65D43" w:rsidP="00223037">
            <w:pPr>
              <w:pStyle w:val="Tabletext"/>
              <w:rPr>
                <w:b/>
                <w:bCs/>
                <w:i/>
              </w:rPr>
            </w:pPr>
            <w:r w:rsidRPr="00BD1388">
              <w:rPr>
                <w:b/>
                <w:bCs/>
                <w:i/>
              </w:rPr>
              <w:t>Study design</w:t>
            </w:r>
          </w:p>
        </w:tc>
        <w:tc>
          <w:tcPr>
            <w:tcW w:w="1260" w:type="dxa"/>
            <w:tcBorders>
              <w:top w:val="single" w:sz="4" w:space="0" w:color="auto"/>
              <w:left w:val="single" w:sz="4" w:space="0" w:color="auto"/>
              <w:bottom w:val="nil"/>
              <w:right w:val="single" w:sz="4" w:space="0" w:color="auto"/>
            </w:tcBorders>
          </w:tcPr>
          <w:p w14:paraId="0D15A406" w14:textId="77777777" w:rsidR="00E65D43" w:rsidRPr="00D82D3D" w:rsidRDefault="00E65D43" w:rsidP="00223037">
            <w:pPr>
              <w:pStyle w:val="Tabletext"/>
              <w:rPr>
                <w:b/>
                <w:bCs/>
                <w:i/>
              </w:rPr>
            </w:pPr>
            <w:r w:rsidRPr="00D82D3D">
              <w:rPr>
                <w:b/>
                <w:bCs/>
              </w:rPr>
              <w:t>Patients</w:t>
            </w:r>
            <w:r>
              <w:rPr>
                <w:b/>
                <w:bCs/>
              </w:rPr>
              <w:t xml:space="preserve"> </w:t>
            </w:r>
            <w:r w:rsidRPr="00D82D3D">
              <w:rPr>
                <w:b/>
                <w:bCs/>
              </w:rPr>
              <w:t>and characteristics</w:t>
            </w:r>
          </w:p>
        </w:tc>
        <w:tc>
          <w:tcPr>
            <w:tcW w:w="579" w:type="dxa"/>
            <w:tcBorders>
              <w:top w:val="single" w:sz="4" w:space="0" w:color="auto"/>
              <w:left w:val="single" w:sz="4" w:space="0" w:color="auto"/>
              <w:bottom w:val="nil"/>
              <w:right w:val="single" w:sz="4" w:space="0" w:color="auto"/>
            </w:tcBorders>
          </w:tcPr>
          <w:p w14:paraId="12423B12" w14:textId="77777777" w:rsidR="00E65D43" w:rsidRPr="00D82D3D" w:rsidRDefault="00E65D43" w:rsidP="00223037">
            <w:pPr>
              <w:pStyle w:val="Tabletext"/>
              <w:rPr>
                <w:b/>
                <w:bCs/>
                <w:i/>
              </w:rPr>
            </w:pPr>
            <w:r w:rsidRPr="00D82D3D">
              <w:rPr>
                <w:b/>
                <w:bCs/>
              </w:rPr>
              <w:t>Follow up</w:t>
            </w:r>
          </w:p>
        </w:tc>
        <w:tc>
          <w:tcPr>
            <w:tcW w:w="921" w:type="dxa"/>
            <w:tcBorders>
              <w:top w:val="single" w:sz="4" w:space="0" w:color="auto"/>
              <w:left w:val="single" w:sz="4" w:space="0" w:color="auto"/>
              <w:bottom w:val="nil"/>
              <w:right w:val="single" w:sz="4" w:space="0" w:color="auto"/>
            </w:tcBorders>
          </w:tcPr>
          <w:p w14:paraId="11E0E08F" w14:textId="77777777" w:rsidR="00E65D43" w:rsidRPr="00D82D3D" w:rsidRDefault="00E65D43" w:rsidP="00223037">
            <w:pPr>
              <w:pStyle w:val="Tabletext"/>
              <w:rPr>
                <w:b/>
                <w:bCs/>
                <w:i/>
              </w:rPr>
            </w:pPr>
            <w:r w:rsidRPr="00D82D3D">
              <w:rPr>
                <w:b/>
                <w:bCs/>
              </w:rPr>
              <w:t>Use of repeat treatment</w:t>
            </w:r>
          </w:p>
        </w:tc>
        <w:tc>
          <w:tcPr>
            <w:tcW w:w="1070" w:type="dxa"/>
            <w:tcBorders>
              <w:top w:val="single" w:sz="4" w:space="0" w:color="auto"/>
              <w:left w:val="single" w:sz="4" w:space="0" w:color="auto"/>
              <w:bottom w:val="nil"/>
              <w:right w:val="single" w:sz="4" w:space="0" w:color="auto"/>
            </w:tcBorders>
          </w:tcPr>
          <w:p w14:paraId="7B137835" w14:textId="77777777" w:rsidR="00E65D43" w:rsidRPr="00D82D3D" w:rsidRDefault="00E65D43" w:rsidP="00223037">
            <w:pPr>
              <w:pStyle w:val="Tabletext"/>
              <w:rPr>
                <w:b/>
                <w:bCs/>
                <w:i/>
              </w:rPr>
            </w:pPr>
            <w:r w:rsidRPr="00D82D3D">
              <w:rPr>
                <w:b/>
                <w:bCs/>
              </w:rPr>
              <w:t>Duration to repeat treatment data</w:t>
            </w:r>
          </w:p>
        </w:tc>
        <w:tc>
          <w:tcPr>
            <w:tcW w:w="1256" w:type="dxa"/>
            <w:tcBorders>
              <w:top w:val="single" w:sz="4" w:space="0" w:color="auto"/>
              <w:left w:val="single" w:sz="4" w:space="0" w:color="auto"/>
              <w:bottom w:val="nil"/>
              <w:right w:val="single" w:sz="4" w:space="0" w:color="auto"/>
            </w:tcBorders>
          </w:tcPr>
          <w:p w14:paraId="34F7742D" w14:textId="77777777" w:rsidR="00E65D43" w:rsidRPr="00D82D3D" w:rsidRDefault="00E65D43" w:rsidP="00223037">
            <w:pPr>
              <w:pStyle w:val="Tabletext"/>
              <w:rPr>
                <w:b/>
                <w:bCs/>
                <w:i/>
              </w:rPr>
            </w:pPr>
            <w:r w:rsidRPr="00D82D3D">
              <w:rPr>
                <w:b/>
                <w:bCs/>
              </w:rPr>
              <w:t>Duration of repeat treatment</w:t>
            </w:r>
          </w:p>
        </w:tc>
        <w:tc>
          <w:tcPr>
            <w:tcW w:w="1167" w:type="dxa"/>
            <w:tcBorders>
              <w:top w:val="single" w:sz="4" w:space="0" w:color="auto"/>
              <w:left w:val="single" w:sz="4" w:space="0" w:color="auto"/>
              <w:bottom w:val="nil"/>
              <w:right w:val="single" w:sz="4" w:space="0" w:color="auto"/>
            </w:tcBorders>
          </w:tcPr>
          <w:p w14:paraId="1430C3FB" w14:textId="77777777" w:rsidR="00E65D43" w:rsidRPr="00D82D3D" w:rsidRDefault="00E65D43" w:rsidP="00223037">
            <w:pPr>
              <w:pStyle w:val="Tabletext"/>
              <w:rPr>
                <w:b/>
                <w:bCs/>
                <w:i/>
              </w:rPr>
            </w:pPr>
            <w:r w:rsidRPr="00D82D3D">
              <w:rPr>
                <w:b/>
                <w:bCs/>
              </w:rPr>
              <w:t>Response to repeat treatment</w:t>
            </w:r>
          </w:p>
        </w:tc>
        <w:tc>
          <w:tcPr>
            <w:tcW w:w="895" w:type="dxa"/>
            <w:tcBorders>
              <w:top w:val="single" w:sz="4" w:space="0" w:color="auto"/>
              <w:left w:val="single" w:sz="4" w:space="0" w:color="auto"/>
              <w:bottom w:val="nil"/>
              <w:right w:val="single" w:sz="4" w:space="0" w:color="auto"/>
            </w:tcBorders>
          </w:tcPr>
          <w:p w14:paraId="2DDB41A9" w14:textId="77777777" w:rsidR="00E65D43" w:rsidRPr="00D82D3D" w:rsidRDefault="00E65D43" w:rsidP="00223037">
            <w:pPr>
              <w:pStyle w:val="Tabletext"/>
              <w:rPr>
                <w:b/>
                <w:bCs/>
                <w:i/>
              </w:rPr>
            </w:pPr>
            <w:r w:rsidRPr="00D82D3D">
              <w:rPr>
                <w:b/>
                <w:bCs/>
              </w:rPr>
              <w:t>Other comments</w:t>
            </w:r>
          </w:p>
        </w:tc>
        <w:tc>
          <w:tcPr>
            <w:tcW w:w="2088" w:type="dxa"/>
            <w:tcBorders>
              <w:top w:val="single" w:sz="4" w:space="0" w:color="auto"/>
              <w:left w:val="single" w:sz="4" w:space="0" w:color="auto"/>
              <w:bottom w:val="nil"/>
              <w:right w:val="single" w:sz="4" w:space="0" w:color="auto"/>
            </w:tcBorders>
            <w:shd w:val="clear" w:color="auto" w:fill="FFFFFF" w:themeFill="background1"/>
          </w:tcPr>
          <w:p w14:paraId="4F72C331" w14:textId="77777777" w:rsidR="00E65D43" w:rsidRPr="005A126F" w:rsidRDefault="00E65D43" w:rsidP="00223037">
            <w:pPr>
              <w:pStyle w:val="Tabletext"/>
              <w:rPr>
                <w:b/>
                <w:i/>
              </w:rPr>
            </w:pPr>
            <w:r>
              <w:rPr>
                <w:b/>
                <w:i/>
              </w:rPr>
              <w:t>Outcomes, clinical tools used to assess remission, response and relapse</w:t>
            </w:r>
          </w:p>
        </w:tc>
        <w:tc>
          <w:tcPr>
            <w:tcW w:w="2552" w:type="dxa"/>
            <w:gridSpan w:val="3"/>
            <w:tcBorders>
              <w:left w:val="single" w:sz="4" w:space="0" w:color="auto"/>
            </w:tcBorders>
            <w:shd w:val="clear" w:color="auto" w:fill="FFFFFF" w:themeFill="background1"/>
          </w:tcPr>
          <w:p w14:paraId="00B6FDA1" w14:textId="77777777" w:rsidR="00E65D43" w:rsidRPr="005A126F" w:rsidRDefault="00E65D43" w:rsidP="00223037">
            <w:pPr>
              <w:pStyle w:val="Tabletext"/>
              <w:rPr>
                <w:b/>
                <w:i/>
              </w:rPr>
            </w:pPr>
            <w:r w:rsidRPr="005A126F">
              <w:rPr>
                <w:b/>
                <w:i/>
              </w:rPr>
              <w:t xml:space="preserve">Included as study assessing retreatment in previous </w:t>
            </w:r>
            <w:r>
              <w:rPr>
                <w:b/>
                <w:i/>
              </w:rPr>
              <w:t xml:space="preserve">MSAC </w:t>
            </w:r>
            <w:r w:rsidRPr="005A126F">
              <w:rPr>
                <w:b/>
                <w:i/>
              </w:rPr>
              <w:t>Applications</w:t>
            </w:r>
          </w:p>
        </w:tc>
        <w:tc>
          <w:tcPr>
            <w:tcW w:w="1381" w:type="dxa"/>
            <w:gridSpan w:val="2"/>
            <w:shd w:val="clear" w:color="auto" w:fill="FFFFFF" w:themeFill="background1"/>
          </w:tcPr>
          <w:p w14:paraId="072CC044" w14:textId="77777777" w:rsidR="00E65D43" w:rsidRPr="005A126F" w:rsidRDefault="00E65D43" w:rsidP="00223037">
            <w:pPr>
              <w:pStyle w:val="Tabletext"/>
              <w:rPr>
                <w:b/>
                <w:i/>
              </w:rPr>
            </w:pPr>
            <w:r w:rsidRPr="005A126F">
              <w:rPr>
                <w:b/>
                <w:i/>
              </w:rPr>
              <w:t>Meet target MBS population (failed ≥2 ADs and rT</w:t>
            </w:r>
            <w:r>
              <w:rPr>
                <w:b/>
                <w:i/>
              </w:rPr>
              <w:t>MS used as add on to ADs</w:t>
            </w:r>
            <w:r w:rsidRPr="005A126F">
              <w:rPr>
                <w:b/>
                <w:i/>
              </w:rPr>
              <w:t>)</w:t>
            </w:r>
          </w:p>
        </w:tc>
      </w:tr>
      <w:tr w:rsidR="00E65D43" w:rsidRPr="00D82D3D" w14:paraId="4C9F04E3" w14:textId="77777777" w:rsidTr="00223037">
        <w:trPr>
          <w:tblHeader/>
        </w:trPr>
        <w:tc>
          <w:tcPr>
            <w:tcW w:w="958" w:type="dxa"/>
            <w:tcBorders>
              <w:top w:val="nil"/>
              <w:left w:val="single" w:sz="4" w:space="0" w:color="auto"/>
              <w:bottom w:val="single" w:sz="4" w:space="0" w:color="auto"/>
              <w:right w:val="single" w:sz="4" w:space="0" w:color="auto"/>
            </w:tcBorders>
          </w:tcPr>
          <w:p w14:paraId="42DA8480" w14:textId="77777777" w:rsidR="00E65D43" w:rsidRPr="00247507" w:rsidRDefault="00E65D43" w:rsidP="00223037">
            <w:pPr>
              <w:pStyle w:val="Tabletext"/>
              <w:rPr>
                <w:b/>
              </w:rPr>
            </w:pPr>
          </w:p>
        </w:tc>
        <w:tc>
          <w:tcPr>
            <w:tcW w:w="1141" w:type="dxa"/>
            <w:tcBorders>
              <w:top w:val="nil"/>
              <w:left w:val="single" w:sz="4" w:space="0" w:color="auto"/>
              <w:bottom w:val="single" w:sz="4" w:space="0" w:color="auto"/>
              <w:right w:val="single" w:sz="4" w:space="0" w:color="auto"/>
            </w:tcBorders>
          </w:tcPr>
          <w:p w14:paraId="5419E988" w14:textId="77777777" w:rsidR="00E65D43" w:rsidRPr="00BD1388" w:rsidRDefault="00E65D43" w:rsidP="00223037">
            <w:pPr>
              <w:pStyle w:val="Tabletext"/>
              <w:rPr>
                <w:i/>
              </w:rPr>
            </w:pPr>
          </w:p>
        </w:tc>
        <w:tc>
          <w:tcPr>
            <w:tcW w:w="1260" w:type="dxa"/>
            <w:tcBorders>
              <w:top w:val="nil"/>
              <w:left w:val="single" w:sz="4" w:space="0" w:color="auto"/>
              <w:bottom w:val="single" w:sz="4" w:space="0" w:color="auto"/>
              <w:right w:val="single" w:sz="4" w:space="0" w:color="auto"/>
            </w:tcBorders>
          </w:tcPr>
          <w:p w14:paraId="0120E7BE" w14:textId="77777777" w:rsidR="00E65D43" w:rsidRPr="00D82D3D" w:rsidRDefault="00E65D43" w:rsidP="00223037">
            <w:pPr>
              <w:pStyle w:val="Tabletext"/>
            </w:pPr>
          </w:p>
        </w:tc>
        <w:tc>
          <w:tcPr>
            <w:tcW w:w="579" w:type="dxa"/>
            <w:tcBorders>
              <w:top w:val="nil"/>
              <w:left w:val="single" w:sz="4" w:space="0" w:color="auto"/>
              <w:bottom w:val="single" w:sz="4" w:space="0" w:color="auto"/>
              <w:right w:val="single" w:sz="4" w:space="0" w:color="auto"/>
            </w:tcBorders>
          </w:tcPr>
          <w:p w14:paraId="666715A0" w14:textId="77777777" w:rsidR="00E65D43" w:rsidRPr="00D82D3D" w:rsidRDefault="00E65D43" w:rsidP="00223037">
            <w:pPr>
              <w:pStyle w:val="Tabletext"/>
            </w:pPr>
          </w:p>
        </w:tc>
        <w:tc>
          <w:tcPr>
            <w:tcW w:w="921" w:type="dxa"/>
            <w:tcBorders>
              <w:top w:val="nil"/>
              <w:left w:val="single" w:sz="4" w:space="0" w:color="auto"/>
              <w:bottom w:val="single" w:sz="4" w:space="0" w:color="auto"/>
              <w:right w:val="single" w:sz="4" w:space="0" w:color="auto"/>
            </w:tcBorders>
          </w:tcPr>
          <w:p w14:paraId="1BB57E69" w14:textId="77777777" w:rsidR="00E65D43" w:rsidRPr="00D82D3D" w:rsidRDefault="00E65D43" w:rsidP="00223037">
            <w:pPr>
              <w:pStyle w:val="Tabletext"/>
            </w:pPr>
          </w:p>
        </w:tc>
        <w:tc>
          <w:tcPr>
            <w:tcW w:w="1070" w:type="dxa"/>
            <w:tcBorders>
              <w:top w:val="nil"/>
              <w:left w:val="single" w:sz="4" w:space="0" w:color="auto"/>
              <w:bottom w:val="single" w:sz="4" w:space="0" w:color="auto"/>
              <w:right w:val="single" w:sz="4" w:space="0" w:color="auto"/>
            </w:tcBorders>
          </w:tcPr>
          <w:p w14:paraId="1CBF3493" w14:textId="77777777" w:rsidR="00E65D43" w:rsidRPr="00D82D3D" w:rsidRDefault="00E65D43" w:rsidP="00223037">
            <w:pPr>
              <w:pStyle w:val="Tabletext"/>
            </w:pPr>
          </w:p>
        </w:tc>
        <w:tc>
          <w:tcPr>
            <w:tcW w:w="1256" w:type="dxa"/>
            <w:tcBorders>
              <w:top w:val="nil"/>
              <w:left w:val="single" w:sz="4" w:space="0" w:color="auto"/>
              <w:bottom w:val="single" w:sz="4" w:space="0" w:color="auto"/>
              <w:right w:val="single" w:sz="4" w:space="0" w:color="auto"/>
            </w:tcBorders>
          </w:tcPr>
          <w:p w14:paraId="6E50A83E" w14:textId="77777777" w:rsidR="00E65D43" w:rsidRPr="00D82D3D" w:rsidRDefault="00E65D43" w:rsidP="00223037">
            <w:pPr>
              <w:pStyle w:val="Tabletext"/>
            </w:pPr>
          </w:p>
        </w:tc>
        <w:tc>
          <w:tcPr>
            <w:tcW w:w="1167" w:type="dxa"/>
            <w:tcBorders>
              <w:top w:val="nil"/>
              <w:left w:val="single" w:sz="4" w:space="0" w:color="auto"/>
              <w:bottom w:val="single" w:sz="4" w:space="0" w:color="auto"/>
              <w:right w:val="single" w:sz="4" w:space="0" w:color="auto"/>
            </w:tcBorders>
          </w:tcPr>
          <w:p w14:paraId="27533F3F" w14:textId="77777777" w:rsidR="00E65D43" w:rsidRPr="00D82D3D" w:rsidRDefault="00E65D43" w:rsidP="00223037">
            <w:pPr>
              <w:pStyle w:val="Tabletext"/>
            </w:pPr>
          </w:p>
        </w:tc>
        <w:tc>
          <w:tcPr>
            <w:tcW w:w="895" w:type="dxa"/>
            <w:tcBorders>
              <w:top w:val="nil"/>
              <w:left w:val="single" w:sz="4" w:space="0" w:color="auto"/>
              <w:bottom w:val="single" w:sz="4" w:space="0" w:color="auto"/>
              <w:right w:val="single" w:sz="4" w:space="0" w:color="auto"/>
            </w:tcBorders>
          </w:tcPr>
          <w:p w14:paraId="3FAE1CF1" w14:textId="77777777" w:rsidR="00E65D43" w:rsidRPr="00D82D3D" w:rsidRDefault="00E65D43" w:rsidP="00223037">
            <w:pPr>
              <w:pStyle w:val="Tabletext"/>
            </w:pPr>
          </w:p>
        </w:tc>
        <w:tc>
          <w:tcPr>
            <w:tcW w:w="2088" w:type="dxa"/>
            <w:tcBorders>
              <w:top w:val="nil"/>
              <w:left w:val="single" w:sz="4" w:space="0" w:color="auto"/>
              <w:bottom w:val="single" w:sz="4" w:space="0" w:color="auto"/>
              <w:right w:val="single" w:sz="4" w:space="0" w:color="auto"/>
            </w:tcBorders>
            <w:shd w:val="clear" w:color="auto" w:fill="FFFFFF" w:themeFill="background1"/>
          </w:tcPr>
          <w:p w14:paraId="15992737" w14:textId="77777777" w:rsidR="00E65D43" w:rsidRPr="005A126F" w:rsidRDefault="00E65D43" w:rsidP="00223037">
            <w:pPr>
              <w:pStyle w:val="Tabletext"/>
              <w:rPr>
                <w:i/>
              </w:rPr>
            </w:pPr>
          </w:p>
        </w:tc>
        <w:tc>
          <w:tcPr>
            <w:tcW w:w="851" w:type="dxa"/>
            <w:tcBorders>
              <w:left w:val="single" w:sz="4" w:space="0" w:color="auto"/>
              <w:bottom w:val="single" w:sz="4" w:space="0" w:color="auto"/>
            </w:tcBorders>
            <w:shd w:val="clear" w:color="auto" w:fill="FFFFFF" w:themeFill="background1"/>
          </w:tcPr>
          <w:p w14:paraId="2F821E68" w14:textId="77777777" w:rsidR="00E65D43" w:rsidRPr="005A126F" w:rsidRDefault="00E65D43" w:rsidP="00223037">
            <w:pPr>
              <w:pStyle w:val="Tabletext"/>
              <w:rPr>
                <w:i/>
              </w:rPr>
            </w:pPr>
            <w:r w:rsidRPr="005A126F">
              <w:rPr>
                <w:i/>
              </w:rPr>
              <w:t>1196</w:t>
            </w:r>
          </w:p>
        </w:tc>
        <w:tc>
          <w:tcPr>
            <w:tcW w:w="850" w:type="dxa"/>
            <w:shd w:val="clear" w:color="auto" w:fill="FFFFFF" w:themeFill="background1"/>
          </w:tcPr>
          <w:p w14:paraId="2DD542D1" w14:textId="77777777" w:rsidR="00E65D43" w:rsidRPr="005A126F" w:rsidRDefault="00E65D43" w:rsidP="00223037">
            <w:pPr>
              <w:pStyle w:val="Tabletext"/>
              <w:rPr>
                <w:i/>
              </w:rPr>
            </w:pPr>
            <w:r w:rsidRPr="005A126F">
              <w:rPr>
                <w:i/>
              </w:rPr>
              <w:t>1196.1</w:t>
            </w:r>
          </w:p>
        </w:tc>
        <w:tc>
          <w:tcPr>
            <w:tcW w:w="851" w:type="dxa"/>
            <w:shd w:val="clear" w:color="auto" w:fill="FFFFFF" w:themeFill="background1"/>
          </w:tcPr>
          <w:p w14:paraId="697106E4" w14:textId="77777777" w:rsidR="00E65D43" w:rsidRPr="005A126F" w:rsidRDefault="00E65D43" w:rsidP="00223037">
            <w:pPr>
              <w:pStyle w:val="Tabletext"/>
              <w:rPr>
                <w:i/>
              </w:rPr>
            </w:pPr>
            <w:r w:rsidRPr="005A126F">
              <w:rPr>
                <w:i/>
              </w:rPr>
              <w:t>1196.2</w:t>
            </w:r>
          </w:p>
        </w:tc>
        <w:tc>
          <w:tcPr>
            <w:tcW w:w="837" w:type="dxa"/>
            <w:shd w:val="clear" w:color="auto" w:fill="FFFFFF" w:themeFill="background1"/>
          </w:tcPr>
          <w:p w14:paraId="30225729" w14:textId="77777777" w:rsidR="00E65D43" w:rsidRPr="005A126F" w:rsidRDefault="00E65D43" w:rsidP="00223037">
            <w:pPr>
              <w:pStyle w:val="Tabletext"/>
              <w:rPr>
                <w:i/>
              </w:rPr>
            </w:pPr>
            <w:r w:rsidRPr="005A126F">
              <w:rPr>
                <w:i/>
              </w:rPr>
              <w:t>Failed trials of AD</w:t>
            </w:r>
          </w:p>
        </w:tc>
        <w:tc>
          <w:tcPr>
            <w:tcW w:w="544" w:type="dxa"/>
            <w:shd w:val="clear" w:color="auto" w:fill="FFFFFF" w:themeFill="background1"/>
          </w:tcPr>
          <w:p w14:paraId="30767CD0" w14:textId="77777777" w:rsidR="00E65D43" w:rsidRPr="005A126F" w:rsidRDefault="00E65D43" w:rsidP="00223037">
            <w:pPr>
              <w:pStyle w:val="Tabletext"/>
              <w:rPr>
                <w:i/>
              </w:rPr>
            </w:pPr>
            <w:r w:rsidRPr="005A126F">
              <w:rPr>
                <w:i/>
              </w:rPr>
              <w:t>AD status during trial</w:t>
            </w:r>
          </w:p>
        </w:tc>
      </w:tr>
      <w:tr w:rsidR="00E65D43" w:rsidRPr="00D82D3D" w14:paraId="77D7E0BF" w14:textId="77777777" w:rsidTr="00223037">
        <w:tc>
          <w:tcPr>
            <w:tcW w:w="958" w:type="dxa"/>
            <w:tcBorders>
              <w:top w:val="single" w:sz="4" w:space="0" w:color="auto"/>
            </w:tcBorders>
          </w:tcPr>
          <w:p w14:paraId="0B8B63B1" w14:textId="77777777" w:rsidR="00E65D43" w:rsidRDefault="00E65D43" w:rsidP="00223037">
            <w:pPr>
              <w:rPr>
                <w:rFonts w:ascii="Arial Narrow" w:hAnsi="Arial Narrow"/>
                <w:sz w:val="20"/>
              </w:rPr>
            </w:pPr>
            <w:r w:rsidRPr="00D82D3D">
              <w:rPr>
                <w:rFonts w:ascii="Arial Narrow" w:hAnsi="Arial Narrow"/>
                <w:sz w:val="20"/>
              </w:rPr>
              <w:t>Demirtas-Tatlidede</w:t>
            </w:r>
            <w:r>
              <w:rPr>
                <w:rFonts w:ascii="Arial Narrow" w:hAnsi="Arial Narrow"/>
                <w:sz w:val="20"/>
              </w:rPr>
              <w:t xml:space="preserve"> et al. 2008</w:t>
            </w:r>
          </w:p>
          <w:p w14:paraId="7D7C2E00" w14:textId="77777777" w:rsidR="00E65D43" w:rsidRPr="00247507" w:rsidRDefault="00E65D43" w:rsidP="00223037">
            <w:pPr>
              <w:rPr>
                <w:rFonts w:ascii="Arial Narrow" w:hAnsi="Arial Narrow"/>
                <w:i/>
                <w:sz w:val="20"/>
              </w:rPr>
            </w:pPr>
            <w:r w:rsidRPr="00247507">
              <w:rPr>
                <w:rFonts w:ascii="Arial Narrow" w:hAnsi="Arial Narrow"/>
                <w:i/>
                <w:sz w:val="20"/>
              </w:rPr>
              <w:t>(US)</w:t>
            </w:r>
          </w:p>
          <w:p w14:paraId="1FFDB8C1" w14:textId="77777777" w:rsidR="00E65D43" w:rsidRPr="00D82D3D" w:rsidRDefault="00E65D43" w:rsidP="00223037">
            <w:pPr>
              <w:pStyle w:val="Tabletext"/>
            </w:pPr>
          </w:p>
        </w:tc>
        <w:tc>
          <w:tcPr>
            <w:tcW w:w="1141" w:type="dxa"/>
            <w:tcBorders>
              <w:top w:val="single" w:sz="4" w:space="0" w:color="auto"/>
            </w:tcBorders>
          </w:tcPr>
          <w:p w14:paraId="63A5763D" w14:textId="77777777" w:rsidR="00E65D43" w:rsidRPr="00BD1388" w:rsidRDefault="00E65D43" w:rsidP="00223037">
            <w:pPr>
              <w:pStyle w:val="Tabletext"/>
              <w:rPr>
                <w:i/>
              </w:rPr>
            </w:pPr>
            <w:r>
              <w:rPr>
                <w:i/>
              </w:rPr>
              <w:t>Prospective OL study</w:t>
            </w:r>
          </w:p>
        </w:tc>
        <w:tc>
          <w:tcPr>
            <w:tcW w:w="1260" w:type="dxa"/>
            <w:tcBorders>
              <w:top w:val="single" w:sz="4" w:space="0" w:color="auto"/>
            </w:tcBorders>
          </w:tcPr>
          <w:p w14:paraId="5DB5EFDB" w14:textId="77777777" w:rsidR="00E65D43" w:rsidRPr="00D82D3D" w:rsidRDefault="00E65D43" w:rsidP="00223037">
            <w:pPr>
              <w:pStyle w:val="Tabletext"/>
            </w:pPr>
            <w:r w:rsidRPr="000C02CA">
              <w:t>16 patients</w:t>
            </w:r>
            <w:r w:rsidRPr="00D82D3D">
              <w:t xml:space="preserve"> (14 followed up), no medication, retreatment when evidence of relapse including HAMD&gt;17</w:t>
            </w:r>
          </w:p>
        </w:tc>
        <w:tc>
          <w:tcPr>
            <w:tcW w:w="579" w:type="dxa"/>
            <w:tcBorders>
              <w:top w:val="single" w:sz="4" w:space="0" w:color="auto"/>
            </w:tcBorders>
          </w:tcPr>
          <w:p w14:paraId="27BF7B67" w14:textId="77777777" w:rsidR="00E65D43" w:rsidRPr="00D82D3D" w:rsidRDefault="00E65D43" w:rsidP="00223037">
            <w:pPr>
              <w:pStyle w:val="Tabletext"/>
            </w:pPr>
            <w:r w:rsidRPr="00D82D3D">
              <w:t>4 years</w:t>
            </w:r>
          </w:p>
        </w:tc>
        <w:tc>
          <w:tcPr>
            <w:tcW w:w="921" w:type="dxa"/>
            <w:tcBorders>
              <w:top w:val="single" w:sz="4" w:space="0" w:color="auto"/>
            </w:tcBorders>
          </w:tcPr>
          <w:p w14:paraId="77EDE5E5" w14:textId="77777777" w:rsidR="00E65D43" w:rsidRPr="00D82D3D" w:rsidRDefault="00E65D43" w:rsidP="00223037">
            <w:pPr>
              <w:pStyle w:val="Tabletext"/>
            </w:pPr>
            <w:r w:rsidRPr="00D82D3D">
              <w:t xml:space="preserve">64 total courses, </w:t>
            </w:r>
          </w:p>
        </w:tc>
        <w:tc>
          <w:tcPr>
            <w:tcW w:w="1070" w:type="dxa"/>
            <w:tcBorders>
              <w:top w:val="single" w:sz="4" w:space="0" w:color="auto"/>
            </w:tcBorders>
          </w:tcPr>
          <w:p w14:paraId="7C998D54" w14:textId="77777777" w:rsidR="00E65D43" w:rsidRPr="00D82D3D" w:rsidRDefault="00E65D43" w:rsidP="00223037">
            <w:pPr>
              <w:pStyle w:val="Tabletext"/>
            </w:pPr>
            <w:r w:rsidRPr="00D82D3D">
              <w:t>5 months between courses on average</w:t>
            </w:r>
          </w:p>
        </w:tc>
        <w:tc>
          <w:tcPr>
            <w:tcW w:w="1256" w:type="dxa"/>
            <w:tcBorders>
              <w:top w:val="single" w:sz="4" w:space="0" w:color="auto"/>
            </w:tcBorders>
          </w:tcPr>
          <w:p w14:paraId="29CFDB8F" w14:textId="77777777" w:rsidR="00E65D43" w:rsidRPr="00D82D3D" w:rsidRDefault="00E65D43" w:rsidP="00223037">
            <w:pPr>
              <w:pStyle w:val="Tabletext"/>
            </w:pPr>
            <w:r w:rsidRPr="00D82D3D">
              <w:t>Mostly of short duration (9 treatments only initially) low dose (pulse number and intensity)</w:t>
            </w:r>
          </w:p>
        </w:tc>
        <w:tc>
          <w:tcPr>
            <w:tcW w:w="1167" w:type="dxa"/>
            <w:tcBorders>
              <w:top w:val="single" w:sz="4" w:space="0" w:color="auto"/>
            </w:tcBorders>
          </w:tcPr>
          <w:p w14:paraId="2626C329" w14:textId="77777777" w:rsidR="00E65D43" w:rsidRPr="00D82D3D" w:rsidRDefault="00E65D43" w:rsidP="00223037">
            <w:pPr>
              <w:pStyle w:val="Tabletext"/>
            </w:pPr>
            <w:r w:rsidRPr="00D82D3D">
              <w:t>Antidepressant response consistently achieved with each course</w:t>
            </w:r>
          </w:p>
        </w:tc>
        <w:tc>
          <w:tcPr>
            <w:tcW w:w="895" w:type="dxa"/>
            <w:tcBorders>
              <w:top w:val="single" w:sz="4" w:space="0" w:color="auto"/>
              <w:right w:val="single" w:sz="4" w:space="0" w:color="auto"/>
            </w:tcBorders>
          </w:tcPr>
          <w:p w14:paraId="3819B6F0" w14:textId="77777777" w:rsidR="00E65D43" w:rsidRPr="00D82D3D" w:rsidRDefault="00E65D43" w:rsidP="00223037">
            <w:pPr>
              <w:pStyle w:val="Tabletext"/>
            </w:pPr>
            <w:r w:rsidRPr="00D82D3D">
              <w:t>3 (of 14) achieved a stable response not requiring further treatment for up to 31 months</w:t>
            </w:r>
          </w:p>
        </w:tc>
        <w:tc>
          <w:tcPr>
            <w:tcW w:w="2088" w:type="dxa"/>
            <w:tcBorders>
              <w:top w:val="single" w:sz="4" w:space="0" w:color="auto"/>
              <w:right w:val="single" w:sz="4" w:space="0" w:color="auto"/>
            </w:tcBorders>
            <w:shd w:val="clear" w:color="auto" w:fill="FFFFFF" w:themeFill="background1"/>
          </w:tcPr>
          <w:p w14:paraId="4D8BF41F" w14:textId="77777777" w:rsidR="00E65D43" w:rsidRPr="005A126F" w:rsidRDefault="00E65D43" w:rsidP="00223037">
            <w:pPr>
              <w:pStyle w:val="Tabletext"/>
              <w:rPr>
                <w:i/>
              </w:rPr>
            </w:pPr>
            <w:r>
              <w:rPr>
                <w:i/>
              </w:rPr>
              <w:t>Repeated rTMS when patient felt need  and HAM-D ≥18 and patient remained free of ADs</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0D21286D" w14:textId="77777777" w:rsidR="00E65D43" w:rsidRPr="005A126F" w:rsidRDefault="00E65D43" w:rsidP="00223037">
            <w:pPr>
              <w:pStyle w:val="Tabletext"/>
              <w:rPr>
                <w:i/>
              </w:rPr>
            </w:pPr>
            <w:r w:rsidRPr="005A126F">
              <w:rPr>
                <w:i/>
              </w:rPr>
              <w:t>Yes.</w:t>
            </w:r>
          </w:p>
          <w:p w14:paraId="4C1884EF" w14:textId="77777777" w:rsidR="00E65D43" w:rsidRPr="005A126F" w:rsidRDefault="00E65D43" w:rsidP="00223037">
            <w:pPr>
              <w:pStyle w:val="Tabletext"/>
              <w:rPr>
                <w:i/>
              </w:rPr>
            </w:pPr>
            <w:r w:rsidRPr="005A126F">
              <w:rPr>
                <w:i/>
              </w:rPr>
              <w:t>Stated to show sustained durability of rTMS following successful acute retreatment (p32)</w:t>
            </w:r>
          </w:p>
        </w:tc>
        <w:tc>
          <w:tcPr>
            <w:tcW w:w="850" w:type="dxa"/>
            <w:tcBorders>
              <w:left w:val="single" w:sz="4" w:space="0" w:color="auto"/>
            </w:tcBorders>
            <w:shd w:val="clear" w:color="auto" w:fill="FFFFFF" w:themeFill="background1"/>
          </w:tcPr>
          <w:p w14:paraId="63B0AC86" w14:textId="77777777" w:rsidR="00E65D43" w:rsidRPr="005A126F" w:rsidRDefault="00E65D43" w:rsidP="00223037">
            <w:pPr>
              <w:pStyle w:val="Tabletext"/>
              <w:rPr>
                <w:i/>
              </w:rPr>
            </w:pPr>
            <w:r w:rsidRPr="005A126F">
              <w:rPr>
                <w:i/>
              </w:rPr>
              <w:t>No</w:t>
            </w:r>
          </w:p>
        </w:tc>
        <w:tc>
          <w:tcPr>
            <w:tcW w:w="851" w:type="dxa"/>
            <w:shd w:val="clear" w:color="auto" w:fill="FFFFFF" w:themeFill="background1"/>
          </w:tcPr>
          <w:p w14:paraId="0BD77982" w14:textId="77777777" w:rsidR="00E65D43" w:rsidRPr="005A126F" w:rsidRDefault="00E65D43" w:rsidP="00223037">
            <w:pPr>
              <w:pStyle w:val="Tabletext"/>
              <w:rPr>
                <w:i/>
              </w:rPr>
            </w:pPr>
            <w:r w:rsidRPr="005A126F">
              <w:rPr>
                <w:i/>
              </w:rPr>
              <w:t>No</w:t>
            </w:r>
          </w:p>
        </w:tc>
        <w:tc>
          <w:tcPr>
            <w:tcW w:w="837" w:type="dxa"/>
            <w:shd w:val="clear" w:color="auto" w:fill="FFFFFF" w:themeFill="background1"/>
          </w:tcPr>
          <w:p w14:paraId="645D281F" w14:textId="77777777" w:rsidR="00E65D43" w:rsidRPr="005A126F" w:rsidRDefault="00E65D43" w:rsidP="00223037">
            <w:pPr>
              <w:pStyle w:val="Tabletext"/>
              <w:rPr>
                <w:i/>
              </w:rPr>
            </w:pPr>
            <w:r w:rsidRPr="005A126F">
              <w:rPr>
                <w:rFonts w:eastAsiaTheme="minorEastAsia"/>
                <w:i/>
                <w:lang w:val="en-GB"/>
              </w:rPr>
              <w:t>≥3</w:t>
            </w:r>
          </w:p>
        </w:tc>
        <w:tc>
          <w:tcPr>
            <w:tcW w:w="544" w:type="dxa"/>
            <w:shd w:val="clear" w:color="auto" w:fill="FFFFFF" w:themeFill="background1"/>
          </w:tcPr>
          <w:p w14:paraId="64D91A6E" w14:textId="77777777" w:rsidR="00E65D43" w:rsidRPr="005A126F" w:rsidRDefault="00E65D43" w:rsidP="00223037">
            <w:pPr>
              <w:pStyle w:val="Tabletext"/>
              <w:rPr>
                <w:i/>
              </w:rPr>
            </w:pPr>
            <w:r w:rsidRPr="005A126F">
              <w:rPr>
                <w:i/>
              </w:rPr>
              <w:t>No AD</w:t>
            </w:r>
          </w:p>
        </w:tc>
      </w:tr>
      <w:tr w:rsidR="00E65D43" w:rsidRPr="00D82D3D" w14:paraId="723E5275" w14:textId="77777777" w:rsidTr="00223037">
        <w:tc>
          <w:tcPr>
            <w:tcW w:w="958" w:type="dxa"/>
            <w:shd w:val="clear" w:color="auto" w:fill="auto"/>
          </w:tcPr>
          <w:p w14:paraId="2FD60A15" w14:textId="77777777" w:rsidR="00E65D43" w:rsidRDefault="00E65D43" w:rsidP="00223037">
            <w:pPr>
              <w:pStyle w:val="Tabletext"/>
            </w:pPr>
            <w:r w:rsidRPr="00D82D3D">
              <w:t>Fitzgerald</w:t>
            </w:r>
            <w:r>
              <w:t xml:space="preserve"> et al. 2006</w:t>
            </w:r>
          </w:p>
          <w:p w14:paraId="414D837F" w14:textId="77777777" w:rsidR="00E65D43" w:rsidRPr="0006337B" w:rsidRDefault="00E65D43" w:rsidP="00223037">
            <w:pPr>
              <w:pStyle w:val="Tabletext"/>
              <w:rPr>
                <w:i/>
              </w:rPr>
            </w:pPr>
            <w:r w:rsidRPr="0006337B">
              <w:rPr>
                <w:i/>
              </w:rPr>
              <w:t>(Australia)</w:t>
            </w:r>
          </w:p>
        </w:tc>
        <w:tc>
          <w:tcPr>
            <w:tcW w:w="1141" w:type="dxa"/>
          </w:tcPr>
          <w:p w14:paraId="55BA7DFF" w14:textId="77777777" w:rsidR="00E65D43" w:rsidRPr="00BD1388" w:rsidRDefault="00E65D43" w:rsidP="00223037">
            <w:pPr>
              <w:pStyle w:val="Tabletext"/>
              <w:rPr>
                <w:i/>
              </w:rPr>
            </w:pPr>
            <w:r>
              <w:rPr>
                <w:i/>
              </w:rPr>
              <w:t>Prospective, double-blind or OL study</w:t>
            </w:r>
          </w:p>
        </w:tc>
        <w:tc>
          <w:tcPr>
            <w:tcW w:w="1260" w:type="dxa"/>
            <w:shd w:val="clear" w:color="auto" w:fill="auto"/>
          </w:tcPr>
          <w:p w14:paraId="6E8077D3" w14:textId="77777777" w:rsidR="00E65D43" w:rsidRPr="00D82D3D" w:rsidRDefault="00E65D43" w:rsidP="00223037">
            <w:pPr>
              <w:pStyle w:val="Tabletext"/>
            </w:pPr>
            <w:r w:rsidRPr="000C02CA">
              <w:t>19 patients</w:t>
            </w:r>
            <w:r w:rsidRPr="00D82D3D">
              <w:t xml:space="preserve"> (16 initial responders, 6 initial partial responders), mixed other treatments (4 medication free)</w:t>
            </w:r>
          </w:p>
        </w:tc>
        <w:tc>
          <w:tcPr>
            <w:tcW w:w="579" w:type="dxa"/>
            <w:shd w:val="clear" w:color="auto" w:fill="auto"/>
          </w:tcPr>
          <w:p w14:paraId="5181D1D6" w14:textId="77777777" w:rsidR="00E65D43" w:rsidRPr="00D82D3D" w:rsidRDefault="00E65D43" w:rsidP="00223037">
            <w:pPr>
              <w:pStyle w:val="Tabletext"/>
            </w:pPr>
            <w:r w:rsidRPr="00D82D3D">
              <w:t>3 years</w:t>
            </w:r>
          </w:p>
        </w:tc>
        <w:tc>
          <w:tcPr>
            <w:tcW w:w="921" w:type="dxa"/>
            <w:shd w:val="clear" w:color="auto" w:fill="auto"/>
          </w:tcPr>
          <w:p w14:paraId="7C5BE611" w14:textId="77777777" w:rsidR="00E65D43" w:rsidRPr="00D82D3D" w:rsidRDefault="00E65D43" w:rsidP="00223037">
            <w:pPr>
              <w:pStyle w:val="Tabletext"/>
            </w:pPr>
            <w:r w:rsidRPr="00D82D3D">
              <w:t xml:space="preserve">30 total courses </w:t>
            </w:r>
          </w:p>
        </w:tc>
        <w:tc>
          <w:tcPr>
            <w:tcW w:w="1070" w:type="dxa"/>
            <w:shd w:val="clear" w:color="auto" w:fill="auto"/>
          </w:tcPr>
          <w:p w14:paraId="6C960685" w14:textId="77777777" w:rsidR="00E65D43" w:rsidRPr="00D82D3D" w:rsidRDefault="00E65D43" w:rsidP="00223037">
            <w:pPr>
              <w:pStyle w:val="Tabletext"/>
            </w:pPr>
            <w:r w:rsidRPr="00D82D3D">
              <w:t>Average 10 months between episodes</w:t>
            </w:r>
          </w:p>
        </w:tc>
        <w:tc>
          <w:tcPr>
            <w:tcW w:w="1256" w:type="dxa"/>
            <w:shd w:val="clear" w:color="auto" w:fill="auto"/>
          </w:tcPr>
          <w:p w14:paraId="52850F55" w14:textId="77777777" w:rsidR="00E65D43" w:rsidRPr="00D82D3D" w:rsidRDefault="00E65D43" w:rsidP="00223037">
            <w:pPr>
              <w:pStyle w:val="Tabletext"/>
            </w:pPr>
            <w:r w:rsidRPr="00D82D3D">
              <w:t>Usually no more than 20 treatments, low dose (pulse number and intensity)</w:t>
            </w:r>
          </w:p>
        </w:tc>
        <w:tc>
          <w:tcPr>
            <w:tcW w:w="1167" w:type="dxa"/>
            <w:shd w:val="clear" w:color="auto" w:fill="auto"/>
          </w:tcPr>
          <w:p w14:paraId="55AA02D3" w14:textId="77777777" w:rsidR="00E65D43" w:rsidRPr="00D82D3D" w:rsidRDefault="00E65D43" w:rsidP="00223037">
            <w:pPr>
              <w:pStyle w:val="Tabletext"/>
            </w:pPr>
            <w:r w:rsidRPr="00D82D3D">
              <w:t>Antidepressant response consistently achieved with each course</w:t>
            </w:r>
          </w:p>
        </w:tc>
        <w:tc>
          <w:tcPr>
            <w:tcW w:w="895" w:type="dxa"/>
            <w:tcBorders>
              <w:right w:val="single" w:sz="4" w:space="0" w:color="auto"/>
            </w:tcBorders>
            <w:shd w:val="clear" w:color="auto" w:fill="auto"/>
          </w:tcPr>
          <w:p w14:paraId="763B3569" w14:textId="77777777" w:rsidR="00E65D43" w:rsidRPr="00D82D3D" w:rsidRDefault="00E65D43" w:rsidP="00223037">
            <w:pPr>
              <w:pStyle w:val="Tabletext"/>
            </w:pPr>
          </w:p>
        </w:tc>
        <w:tc>
          <w:tcPr>
            <w:tcW w:w="2088" w:type="dxa"/>
            <w:tcBorders>
              <w:right w:val="single" w:sz="4" w:space="0" w:color="auto"/>
            </w:tcBorders>
          </w:tcPr>
          <w:p w14:paraId="587CF867" w14:textId="77777777" w:rsidR="00E65D43" w:rsidRDefault="00E65D43" w:rsidP="00223037">
            <w:pPr>
              <w:pStyle w:val="Tabletext"/>
              <w:rPr>
                <w:i/>
              </w:rPr>
            </w:pPr>
            <w:r>
              <w:rPr>
                <w:i/>
              </w:rPr>
              <w:t>BDI used to assess response.</w:t>
            </w:r>
          </w:p>
          <w:p w14:paraId="4D52599D" w14:textId="77777777" w:rsidR="00E65D43" w:rsidRDefault="00E65D43" w:rsidP="00223037">
            <w:pPr>
              <w:pStyle w:val="Tabletext"/>
              <w:rPr>
                <w:i/>
              </w:rPr>
            </w:pPr>
            <w:r>
              <w:rPr>
                <w:i/>
              </w:rPr>
              <w:t>Clinical response &gt;50% reduction in MADRS scores</w:t>
            </w:r>
          </w:p>
          <w:p w14:paraId="6B44BFD6" w14:textId="77777777" w:rsidR="00E65D43" w:rsidRPr="005A126F" w:rsidRDefault="00E65D43" w:rsidP="00223037">
            <w:pPr>
              <w:pStyle w:val="Tabletext"/>
              <w:rPr>
                <w:i/>
              </w:rPr>
            </w:pPr>
            <w:r>
              <w:rPr>
                <w:i/>
              </w:rPr>
              <w:t>Partial response 25-50% reduction</w:t>
            </w:r>
          </w:p>
        </w:tc>
        <w:tc>
          <w:tcPr>
            <w:tcW w:w="851" w:type="dxa"/>
            <w:tcBorders>
              <w:top w:val="nil"/>
              <w:left w:val="single" w:sz="4" w:space="0" w:color="auto"/>
              <w:bottom w:val="single" w:sz="4" w:space="0" w:color="auto"/>
              <w:right w:val="single" w:sz="4" w:space="0" w:color="auto"/>
            </w:tcBorders>
            <w:shd w:val="clear" w:color="auto" w:fill="auto"/>
          </w:tcPr>
          <w:p w14:paraId="478072D9" w14:textId="77777777" w:rsidR="00E65D43" w:rsidRPr="005A126F" w:rsidRDefault="00E65D43" w:rsidP="00223037">
            <w:pPr>
              <w:pStyle w:val="Tabletext"/>
              <w:rPr>
                <w:i/>
              </w:rPr>
            </w:pPr>
          </w:p>
        </w:tc>
        <w:tc>
          <w:tcPr>
            <w:tcW w:w="850" w:type="dxa"/>
            <w:tcBorders>
              <w:left w:val="single" w:sz="4" w:space="0" w:color="auto"/>
            </w:tcBorders>
            <w:shd w:val="clear" w:color="auto" w:fill="auto"/>
          </w:tcPr>
          <w:p w14:paraId="25C2BD49" w14:textId="77777777" w:rsidR="00E65D43" w:rsidRPr="005A126F" w:rsidRDefault="00E65D43" w:rsidP="00223037">
            <w:pPr>
              <w:pStyle w:val="Tabletext"/>
              <w:rPr>
                <w:i/>
              </w:rPr>
            </w:pPr>
            <w:r w:rsidRPr="005A126F">
              <w:rPr>
                <w:i/>
              </w:rPr>
              <w:t>Yes (Table 26, p61)</w:t>
            </w:r>
          </w:p>
        </w:tc>
        <w:tc>
          <w:tcPr>
            <w:tcW w:w="851" w:type="dxa"/>
            <w:shd w:val="clear" w:color="auto" w:fill="auto"/>
          </w:tcPr>
          <w:p w14:paraId="3AE453D0" w14:textId="77777777" w:rsidR="00E65D43" w:rsidRPr="005A126F" w:rsidRDefault="00E65D43" w:rsidP="00223037">
            <w:pPr>
              <w:pStyle w:val="Tabletext"/>
              <w:rPr>
                <w:i/>
              </w:rPr>
            </w:pPr>
            <w:r w:rsidRPr="005A126F">
              <w:rPr>
                <w:i/>
              </w:rPr>
              <w:t>Yes.</w:t>
            </w:r>
          </w:p>
          <w:p w14:paraId="6470388A" w14:textId="77777777" w:rsidR="00E65D43" w:rsidRPr="005A126F" w:rsidRDefault="00E65D43" w:rsidP="00223037">
            <w:pPr>
              <w:pStyle w:val="Tabletext"/>
              <w:rPr>
                <w:i/>
              </w:rPr>
            </w:pPr>
            <w:r w:rsidRPr="005A126F">
              <w:rPr>
                <w:i/>
              </w:rPr>
              <w:t>Study included in SR by Sehatzadeh 2019</w:t>
            </w:r>
          </w:p>
        </w:tc>
        <w:tc>
          <w:tcPr>
            <w:tcW w:w="837" w:type="dxa"/>
            <w:shd w:val="clear" w:color="auto" w:fill="FFFFFF" w:themeFill="background1"/>
          </w:tcPr>
          <w:p w14:paraId="4035E824" w14:textId="77777777" w:rsidR="00E65D43" w:rsidRPr="005A126F" w:rsidRDefault="00E65D43" w:rsidP="00223037">
            <w:pPr>
              <w:pStyle w:val="Tabletext"/>
              <w:rPr>
                <w:i/>
              </w:rPr>
            </w:pPr>
            <w:r w:rsidRPr="005A126F">
              <w:rPr>
                <w:rFonts w:eastAsiaTheme="minorEastAsia"/>
                <w:i/>
                <w:lang w:val="en-GB"/>
              </w:rPr>
              <w:t>≥2</w:t>
            </w:r>
          </w:p>
        </w:tc>
        <w:tc>
          <w:tcPr>
            <w:tcW w:w="544" w:type="dxa"/>
            <w:shd w:val="clear" w:color="auto" w:fill="FFFFFF" w:themeFill="background1"/>
          </w:tcPr>
          <w:p w14:paraId="6F177708" w14:textId="77777777" w:rsidR="00E65D43" w:rsidRPr="005A126F" w:rsidRDefault="00E65D43" w:rsidP="00223037">
            <w:pPr>
              <w:pStyle w:val="Tabletext"/>
              <w:rPr>
                <w:i/>
              </w:rPr>
            </w:pPr>
            <w:r>
              <w:rPr>
                <w:i/>
              </w:rPr>
              <w:t>Mixed (no AD in 4, a</w:t>
            </w:r>
            <w:r w:rsidRPr="005A126F">
              <w:rPr>
                <w:i/>
              </w:rPr>
              <w:t>dd on</w:t>
            </w:r>
            <w:r>
              <w:rPr>
                <w:i/>
              </w:rPr>
              <w:t xml:space="preserve"> in 15)</w:t>
            </w:r>
          </w:p>
        </w:tc>
      </w:tr>
      <w:tr w:rsidR="00E65D43" w:rsidRPr="00D82D3D" w14:paraId="2EED19E5" w14:textId="77777777" w:rsidTr="00223037">
        <w:tc>
          <w:tcPr>
            <w:tcW w:w="958" w:type="dxa"/>
          </w:tcPr>
          <w:p w14:paraId="5BEE49B7" w14:textId="77777777" w:rsidR="00E65D43" w:rsidRDefault="00E65D43" w:rsidP="00223037">
            <w:pPr>
              <w:pStyle w:val="Tabletext"/>
            </w:pPr>
            <w:r w:rsidRPr="00D82D3D">
              <w:lastRenderedPageBreak/>
              <w:t>Janicak</w:t>
            </w:r>
            <w:r>
              <w:t xml:space="preserve"> et al. 2010</w:t>
            </w:r>
          </w:p>
          <w:p w14:paraId="5F8ECB05" w14:textId="77777777" w:rsidR="00E65D43" w:rsidRPr="00247507" w:rsidRDefault="00E65D43" w:rsidP="00223037">
            <w:pPr>
              <w:rPr>
                <w:rFonts w:ascii="Arial Narrow" w:hAnsi="Arial Narrow"/>
                <w:i/>
                <w:sz w:val="20"/>
              </w:rPr>
            </w:pPr>
            <w:r w:rsidRPr="00247507">
              <w:rPr>
                <w:rFonts w:ascii="Arial Narrow" w:hAnsi="Arial Narrow"/>
                <w:i/>
                <w:sz w:val="20"/>
              </w:rPr>
              <w:t>(US)</w:t>
            </w:r>
          </w:p>
          <w:p w14:paraId="040F5AFB" w14:textId="77777777" w:rsidR="00E65D43" w:rsidRPr="00D82D3D" w:rsidRDefault="00E65D43" w:rsidP="00223037">
            <w:pPr>
              <w:pStyle w:val="Tabletext"/>
            </w:pPr>
          </w:p>
        </w:tc>
        <w:tc>
          <w:tcPr>
            <w:tcW w:w="1141" w:type="dxa"/>
          </w:tcPr>
          <w:p w14:paraId="5C2212B1" w14:textId="77777777" w:rsidR="00E65D43" w:rsidRPr="00BD1388" w:rsidRDefault="00E65D43" w:rsidP="00223037">
            <w:pPr>
              <w:pStyle w:val="Tabletext"/>
              <w:rPr>
                <w:i/>
              </w:rPr>
            </w:pPr>
            <w:r>
              <w:rPr>
                <w:i/>
              </w:rPr>
              <w:t>MC, double-blind RCT. (active vs. sham)</w:t>
            </w:r>
          </w:p>
        </w:tc>
        <w:tc>
          <w:tcPr>
            <w:tcW w:w="1260" w:type="dxa"/>
          </w:tcPr>
          <w:p w14:paraId="22340365" w14:textId="77777777" w:rsidR="00E65D43" w:rsidRPr="00D82D3D" w:rsidRDefault="00E65D43" w:rsidP="00223037">
            <w:pPr>
              <w:pStyle w:val="Tabletext"/>
            </w:pPr>
            <w:r w:rsidRPr="00D82D3D">
              <w:t>99 partial responders (to a 6 week course of rTMS plus taper period), on antidepressant medication, 70 followed for full 2 years</w:t>
            </w:r>
          </w:p>
        </w:tc>
        <w:tc>
          <w:tcPr>
            <w:tcW w:w="579" w:type="dxa"/>
          </w:tcPr>
          <w:p w14:paraId="4072ED2B" w14:textId="77777777" w:rsidR="00E65D43" w:rsidRPr="00D82D3D" w:rsidRDefault="00E65D43" w:rsidP="00223037">
            <w:pPr>
              <w:pStyle w:val="Tabletext"/>
            </w:pPr>
            <w:r w:rsidRPr="00D82D3D">
              <w:t>2 years</w:t>
            </w:r>
          </w:p>
        </w:tc>
        <w:tc>
          <w:tcPr>
            <w:tcW w:w="921" w:type="dxa"/>
          </w:tcPr>
          <w:p w14:paraId="14015C4C" w14:textId="77777777" w:rsidR="00E65D43" w:rsidRPr="00D82D3D" w:rsidRDefault="00E65D43" w:rsidP="00223037">
            <w:pPr>
              <w:rPr>
                <w:rFonts w:ascii="Arial Narrow" w:hAnsi="Arial Narrow"/>
                <w:sz w:val="20"/>
              </w:rPr>
            </w:pPr>
            <w:r w:rsidRPr="00D82D3D">
              <w:rPr>
                <w:rFonts w:ascii="Arial Narrow" w:hAnsi="Arial Narrow"/>
                <w:sz w:val="20"/>
              </w:rPr>
              <w:t>38 worsened</w:t>
            </w:r>
            <w:r>
              <w:rPr>
                <w:rFonts w:ascii="Arial Narrow" w:hAnsi="Arial Narrow"/>
                <w:sz w:val="20"/>
              </w:rPr>
              <w:t xml:space="preserve"> (38.4%)</w:t>
            </w:r>
            <w:r w:rsidRPr="00D82D3D">
              <w:rPr>
                <w:rFonts w:ascii="Arial Narrow" w:hAnsi="Arial Narrow"/>
                <w:sz w:val="20"/>
              </w:rPr>
              <w:t xml:space="preserve"> sufficiently to justify retreatment</w:t>
            </w:r>
          </w:p>
          <w:p w14:paraId="133E82A3" w14:textId="77777777" w:rsidR="00E65D43" w:rsidRPr="00D82D3D" w:rsidRDefault="00E65D43" w:rsidP="00223037">
            <w:pPr>
              <w:pStyle w:val="Tabletext"/>
            </w:pPr>
          </w:p>
        </w:tc>
        <w:tc>
          <w:tcPr>
            <w:tcW w:w="1070" w:type="dxa"/>
          </w:tcPr>
          <w:p w14:paraId="60267570" w14:textId="77777777" w:rsidR="00E65D43" w:rsidRPr="00D82D3D" w:rsidRDefault="00E65D43" w:rsidP="00223037">
            <w:pPr>
              <w:pStyle w:val="Tabletext"/>
            </w:pPr>
            <w:r w:rsidRPr="00D82D3D">
              <w:t>Time to reintroduction was 109 +/-5 days</w:t>
            </w:r>
          </w:p>
        </w:tc>
        <w:tc>
          <w:tcPr>
            <w:tcW w:w="1256" w:type="dxa"/>
          </w:tcPr>
          <w:p w14:paraId="3E743BCE" w14:textId="77777777" w:rsidR="00E65D43" w:rsidRDefault="00E65D43" w:rsidP="00223037">
            <w:pPr>
              <w:pStyle w:val="Tabletext"/>
              <w:rPr>
                <w:i/>
              </w:rPr>
            </w:pPr>
            <w:r w:rsidRPr="00D82D3D">
              <w:t>Reintroduction averaged 14.3 sessions</w:t>
            </w:r>
            <w:r>
              <w:t xml:space="preserve"> </w:t>
            </w:r>
            <w:r>
              <w:rPr>
                <w:i/>
              </w:rPr>
              <w:t>(SD=9.3</w:t>
            </w:r>
            <w:r w:rsidRPr="00D65A3E">
              <w:rPr>
                <w:i/>
              </w:rPr>
              <w:t>)</w:t>
            </w:r>
          </w:p>
          <w:p w14:paraId="0C2719D1" w14:textId="77777777" w:rsidR="00E65D43" w:rsidRPr="00117975" w:rsidRDefault="00E65D43" w:rsidP="00223037">
            <w:pPr>
              <w:pStyle w:val="Tabletext"/>
              <w:rPr>
                <w:vertAlign w:val="superscript"/>
              </w:rPr>
            </w:pPr>
            <w:r>
              <w:rPr>
                <w:i/>
              </w:rPr>
              <w:t>No limit to number of TMS reintroduction courses, 15 and 5 experienced a 2</w:t>
            </w:r>
            <w:r w:rsidRPr="002C2352">
              <w:rPr>
                <w:i/>
                <w:vertAlign w:val="superscript"/>
              </w:rPr>
              <w:t>nd</w:t>
            </w:r>
            <w:r>
              <w:rPr>
                <w:i/>
              </w:rPr>
              <w:t xml:space="preserve"> or 3</w:t>
            </w:r>
            <w:r w:rsidRPr="002C2352">
              <w:rPr>
                <w:i/>
                <w:vertAlign w:val="superscript"/>
              </w:rPr>
              <w:t>rd</w:t>
            </w:r>
            <w:r>
              <w:rPr>
                <w:i/>
              </w:rPr>
              <w:t xml:space="preserve"> period of symptom re-emergence</w:t>
            </w:r>
          </w:p>
        </w:tc>
        <w:tc>
          <w:tcPr>
            <w:tcW w:w="1167" w:type="dxa"/>
          </w:tcPr>
          <w:p w14:paraId="53162172" w14:textId="77777777" w:rsidR="00E65D43" w:rsidRPr="00D82D3D" w:rsidRDefault="00E65D43" w:rsidP="00223037">
            <w:pPr>
              <w:pStyle w:val="Tabletext"/>
            </w:pPr>
            <w:r w:rsidRPr="00D82D3D">
              <w:t>84.2% of re-treatment episodes resulted in benefit</w:t>
            </w:r>
          </w:p>
        </w:tc>
        <w:tc>
          <w:tcPr>
            <w:tcW w:w="895" w:type="dxa"/>
          </w:tcPr>
          <w:p w14:paraId="130DE6F0" w14:textId="77777777" w:rsidR="00E65D43" w:rsidRPr="00D82D3D" w:rsidRDefault="00E65D43" w:rsidP="00223037">
            <w:pPr>
              <w:pStyle w:val="Tabletext"/>
            </w:pPr>
            <w:r w:rsidRPr="00D82D3D">
              <w:t>Partial responders more likely to require retreatment than full responders</w:t>
            </w:r>
          </w:p>
        </w:tc>
        <w:tc>
          <w:tcPr>
            <w:tcW w:w="2088" w:type="dxa"/>
            <w:shd w:val="clear" w:color="auto" w:fill="FFFFFF" w:themeFill="background1"/>
          </w:tcPr>
          <w:p w14:paraId="17613478" w14:textId="77777777" w:rsidR="00E65D43" w:rsidRPr="00DD3C65" w:rsidRDefault="00E65D43" w:rsidP="00223037">
            <w:pPr>
              <w:pStyle w:val="Tabletext"/>
              <w:rPr>
                <w:i/>
              </w:rPr>
            </w:pPr>
            <w:r w:rsidRPr="00DD3C65">
              <w:rPr>
                <w:i/>
              </w:rPr>
              <w:t>Retreatment occurred if patients met prespecified criteria for symptom worsening (i.e. change of at least 1 point on CGI scale for 2 weeks</w:t>
            </w:r>
            <w:r>
              <w:rPr>
                <w:i/>
              </w:rPr>
              <w:t>.</w:t>
            </w:r>
          </w:p>
          <w:p w14:paraId="0726AAAD" w14:textId="77777777" w:rsidR="00E65D43" w:rsidRDefault="00E65D43" w:rsidP="00223037">
            <w:pPr>
              <w:pStyle w:val="Tabletext"/>
              <w:rPr>
                <w:i/>
              </w:rPr>
            </w:pPr>
            <w:r w:rsidRPr="004219B6">
              <w:rPr>
                <w:i/>
                <w:u w:val="single"/>
              </w:rPr>
              <w:t>Primary outcome:</w:t>
            </w:r>
            <w:r>
              <w:rPr>
                <w:i/>
              </w:rPr>
              <w:t xml:space="preserve"> relapse, defined as recurrence of full DSM-IV criteria for MD for 2 consecutive weeks; or failure to achieve symptom improvement despite 6 weeks or rTMS reintroduction</w:t>
            </w:r>
          </w:p>
          <w:p w14:paraId="716E6278" w14:textId="77777777" w:rsidR="00E65D43" w:rsidRPr="004219B6" w:rsidRDefault="00E65D43" w:rsidP="00223037">
            <w:pPr>
              <w:pStyle w:val="Tabletext"/>
              <w:rPr>
                <w:i/>
                <w:u w:val="single"/>
              </w:rPr>
            </w:pPr>
            <w:r w:rsidRPr="004219B6">
              <w:rPr>
                <w:i/>
                <w:u w:val="single"/>
              </w:rPr>
              <w:t>Secondary outcomes</w:t>
            </w:r>
          </w:p>
          <w:p w14:paraId="32C49B91" w14:textId="77777777" w:rsidR="00E65D43" w:rsidRDefault="00E65D43" w:rsidP="00223037">
            <w:pPr>
              <w:pStyle w:val="Tabletext"/>
              <w:rPr>
                <w:i/>
              </w:rPr>
            </w:pPr>
            <w:r>
              <w:rPr>
                <w:i/>
              </w:rPr>
              <w:t>Remission</w:t>
            </w:r>
          </w:p>
          <w:p w14:paraId="3B90DAD3" w14:textId="77777777" w:rsidR="00E65D43" w:rsidRDefault="00E65D43" w:rsidP="00223037">
            <w:pPr>
              <w:pStyle w:val="Tabletext"/>
              <w:rPr>
                <w:i/>
              </w:rPr>
            </w:pPr>
            <w:r>
              <w:rPr>
                <w:i/>
              </w:rPr>
              <w:t>&lt;10: MADRS</w:t>
            </w:r>
          </w:p>
          <w:p w14:paraId="3F279FA1" w14:textId="77777777" w:rsidR="00E65D43" w:rsidRDefault="00E65D43" w:rsidP="00223037">
            <w:pPr>
              <w:pStyle w:val="Tabletext"/>
              <w:rPr>
                <w:i/>
              </w:rPr>
            </w:pPr>
            <w:r>
              <w:rPr>
                <w:i/>
              </w:rPr>
              <w:t>&lt;11 HAMD24</w:t>
            </w:r>
          </w:p>
          <w:p w14:paraId="6E23A832" w14:textId="47F11D7A" w:rsidR="00E65D43" w:rsidRPr="005A126F" w:rsidRDefault="00E65D43" w:rsidP="00223037">
            <w:pPr>
              <w:pStyle w:val="Tabletext"/>
              <w:rPr>
                <w:i/>
              </w:rPr>
            </w:pPr>
            <w:r>
              <w:rPr>
                <w:i/>
              </w:rPr>
              <w:t>Re</w:t>
            </w:r>
            <w:r w:rsidR="0021748F">
              <w:rPr>
                <w:i/>
              </w:rPr>
              <w:t>s</w:t>
            </w:r>
            <w:r>
              <w:rPr>
                <w:i/>
              </w:rPr>
              <w:t>ponse ≥50% reduction on MADRS or HAMD24 scales</w:t>
            </w:r>
          </w:p>
        </w:tc>
        <w:tc>
          <w:tcPr>
            <w:tcW w:w="851" w:type="dxa"/>
            <w:tcBorders>
              <w:top w:val="single" w:sz="4" w:space="0" w:color="auto"/>
            </w:tcBorders>
            <w:shd w:val="clear" w:color="auto" w:fill="FFFFFF" w:themeFill="background1"/>
          </w:tcPr>
          <w:p w14:paraId="68F875A8" w14:textId="77777777" w:rsidR="00E65D43" w:rsidRPr="005A126F" w:rsidRDefault="00E65D43" w:rsidP="00223037">
            <w:pPr>
              <w:pStyle w:val="Tabletext"/>
              <w:rPr>
                <w:i/>
              </w:rPr>
            </w:pPr>
            <w:r w:rsidRPr="005A126F">
              <w:rPr>
                <w:i/>
              </w:rPr>
              <w:t>Yes, included in assessment of rTMS efficacy and safety (Table 3, p26)</w:t>
            </w:r>
          </w:p>
        </w:tc>
        <w:tc>
          <w:tcPr>
            <w:tcW w:w="850" w:type="dxa"/>
            <w:shd w:val="clear" w:color="auto" w:fill="FFFFFF" w:themeFill="background1"/>
          </w:tcPr>
          <w:p w14:paraId="1EC692AA" w14:textId="77777777" w:rsidR="00E65D43" w:rsidRPr="005A126F" w:rsidRDefault="00E65D43" w:rsidP="00223037">
            <w:pPr>
              <w:pStyle w:val="Tabletext"/>
              <w:rPr>
                <w:i/>
              </w:rPr>
            </w:pPr>
            <w:r w:rsidRPr="005A126F">
              <w:rPr>
                <w:i/>
              </w:rPr>
              <w:t>Yes, included in assessment of rTMS efficacy and safety (Table 19, p40-41)</w:t>
            </w:r>
          </w:p>
        </w:tc>
        <w:tc>
          <w:tcPr>
            <w:tcW w:w="851" w:type="dxa"/>
            <w:shd w:val="clear" w:color="auto" w:fill="FFFFFF" w:themeFill="background1"/>
          </w:tcPr>
          <w:p w14:paraId="42F53510" w14:textId="77777777" w:rsidR="00E65D43" w:rsidRPr="005A126F" w:rsidRDefault="00E65D43" w:rsidP="00223037">
            <w:pPr>
              <w:pStyle w:val="Tabletext"/>
              <w:rPr>
                <w:i/>
              </w:rPr>
            </w:pPr>
            <w:r w:rsidRPr="005A126F">
              <w:rPr>
                <w:i/>
              </w:rPr>
              <w:t>Yes included under rTMS maintenance studies (Table 4, p15)</w:t>
            </w:r>
          </w:p>
        </w:tc>
        <w:tc>
          <w:tcPr>
            <w:tcW w:w="837" w:type="dxa"/>
            <w:shd w:val="clear" w:color="auto" w:fill="FFFFFF" w:themeFill="background1"/>
          </w:tcPr>
          <w:p w14:paraId="54016E38" w14:textId="77777777" w:rsidR="00E65D43" w:rsidRPr="005A126F" w:rsidRDefault="00E65D43" w:rsidP="00223037">
            <w:pPr>
              <w:pStyle w:val="Tabletext"/>
              <w:rPr>
                <w:i/>
              </w:rPr>
            </w:pPr>
            <w:r w:rsidRPr="005A126F">
              <w:rPr>
                <w:i/>
              </w:rPr>
              <w:t>1-4 AD trials</w:t>
            </w:r>
          </w:p>
        </w:tc>
        <w:tc>
          <w:tcPr>
            <w:tcW w:w="544" w:type="dxa"/>
            <w:shd w:val="clear" w:color="auto" w:fill="FFFFFF" w:themeFill="background1"/>
          </w:tcPr>
          <w:p w14:paraId="55EE3827" w14:textId="77777777" w:rsidR="00E65D43" w:rsidRPr="005A126F" w:rsidRDefault="00E65D43" w:rsidP="00223037">
            <w:pPr>
              <w:pStyle w:val="Tabletext"/>
              <w:rPr>
                <w:i/>
              </w:rPr>
            </w:pPr>
            <w:r>
              <w:rPr>
                <w:i/>
              </w:rPr>
              <w:t>Add on</w:t>
            </w:r>
          </w:p>
        </w:tc>
      </w:tr>
      <w:tr w:rsidR="00E65D43" w:rsidRPr="00D82D3D" w14:paraId="64D04C7F" w14:textId="77777777" w:rsidTr="00223037">
        <w:tc>
          <w:tcPr>
            <w:tcW w:w="958" w:type="dxa"/>
          </w:tcPr>
          <w:p w14:paraId="590724FB" w14:textId="77777777" w:rsidR="00E65D43" w:rsidRDefault="00E65D43" w:rsidP="00223037">
            <w:pPr>
              <w:pStyle w:val="Tabletext"/>
            </w:pPr>
            <w:r w:rsidRPr="00D82D3D">
              <w:lastRenderedPageBreak/>
              <w:t>Dunner</w:t>
            </w:r>
            <w:r>
              <w:t xml:space="preserve"> et al. 2014</w:t>
            </w:r>
          </w:p>
          <w:p w14:paraId="02229345" w14:textId="77777777" w:rsidR="00E65D43" w:rsidRPr="00247507" w:rsidRDefault="00E65D43" w:rsidP="00223037">
            <w:pPr>
              <w:rPr>
                <w:rFonts w:ascii="Arial Narrow" w:hAnsi="Arial Narrow"/>
                <w:i/>
                <w:sz w:val="20"/>
              </w:rPr>
            </w:pPr>
            <w:r w:rsidRPr="00247507">
              <w:rPr>
                <w:rFonts w:ascii="Arial Narrow" w:hAnsi="Arial Narrow"/>
                <w:i/>
                <w:sz w:val="20"/>
              </w:rPr>
              <w:t>(US)</w:t>
            </w:r>
          </w:p>
          <w:p w14:paraId="037868A1" w14:textId="77777777" w:rsidR="00E65D43" w:rsidRPr="00D82D3D" w:rsidRDefault="00E65D43" w:rsidP="00223037">
            <w:pPr>
              <w:pStyle w:val="Tabletext"/>
            </w:pPr>
          </w:p>
        </w:tc>
        <w:tc>
          <w:tcPr>
            <w:tcW w:w="1141" w:type="dxa"/>
          </w:tcPr>
          <w:p w14:paraId="3D52A28F" w14:textId="77777777" w:rsidR="00E65D43" w:rsidRPr="00BD1388" w:rsidRDefault="00E65D43" w:rsidP="00223037">
            <w:pPr>
              <w:pStyle w:val="Tabletext"/>
              <w:rPr>
                <w:i/>
              </w:rPr>
            </w:pPr>
            <w:r>
              <w:rPr>
                <w:i/>
              </w:rPr>
              <w:t>Prospective, MC observational study</w:t>
            </w:r>
          </w:p>
        </w:tc>
        <w:tc>
          <w:tcPr>
            <w:tcW w:w="1260" w:type="dxa"/>
          </w:tcPr>
          <w:p w14:paraId="26333004" w14:textId="77777777" w:rsidR="00E65D43" w:rsidRDefault="00E65D43" w:rsidP="00223037">
            <w:pPr>
              <w:pStyle w:val="Tabletext"/>
            </w:pPr>
            <w:r w:rsidRPr="00D82D3D">
              <w:t>257 patients (responders and non responders), 205 followed full 12 months</w:t>
            </w:r>
          </w:p>
          <w:p w14:paraId="14C5DF79" w14:textId="77777777" w:rsidR="00E65D43" w:rsidRPr="004338DF" w:rsidRDefault="00E65D43" w:rsidP="00223037">
            <w:pPr>
              <w:pStyle w:val="Tabletext"/>
              <w:rPr>
                <w:i/>
              </w:rPr>
            </w:pPr>
            <w:r w:rsidRPr="004338DF">
              <w:rPr>
                <w:i/>
              </w:rPr>
              <w:t>Nonresponder: 77</w:t>
            </w:r>
          </w:p>
          <w:p w14:paraId="061AEC84" w14:textId="77777777" w:rsidR="00E65D43" w:rsidRPr="004338DF" w:rsidRDefault="00E65D43" w:rsidP="00223037">
            <w:pPr>
              <w:pStyle w:val="Tabletext"/>
              <w:rPr>
                <w:i/>
              </w:rPr>
            </w:pPr>
            <w:r w:rsidRPr="004338DF">
              <w:rPr>
                <w:i/>
              </w:rPr>
              <w:t>Partial responder: 59</w:t>
            </w:r>
          </w:p>
          <w:p w14:paraId="51F04956" w14:textId="77777777" w:rsidR="00E65D43" w:rsidRPr="004338DF" w:rsidRDefault="00E65D43" w:rsidP="00223037">
            <w:pPr>
              <w:pStyle w:val="Tabletext"/>
              <w:rPr>
                <w:i/>
              </w:rPr>
            </w:pPr>
            <w:r w:rsidRPr="004338DF">
              <w:rPr>
                <w:i/>
              </w:rPr>
              <w:t>Responder: 44</w:t>
            </w:r>
          </w:p>
          <w:p w14:paraId="0A3A49BA" w14:textId="77777777" w:rsidR="00E65D43" w:rsidRPr="00D82D3D" w:rsidRDefault="00E65D43" w:rsidP="00223037">
            <w:pPr>
              <w:pStyle w:val="Tabletext"/>
            </w:pPr>
            <w:r w:rsidRPr="004338DF">
              <w:rPr>
                <w:i/>
              </w:rPr>
              <w:t>Remitter: 76</w:t>
            </w:r>
          </w:p>
        </w:tc>
        <w:tc>
          <w:tcPr>
            <w:tcW w:w="579" w:type="dxa"/>
          </w:tcPr>
          <w:p w14:paraId="792B241B" w14:textId="77777777" w:rsidR="00E65D43" w:rsidRPr="00D82D3D" w:rsidRDefault="00E65D43" w:rsidP="00223037">
            <w:pPr>
              <w:pStyle w:val="Tabletext"/>
            </w:pPr>
            <w:r w:rsidRPr="00D82D3D">
              <w:t>1 year</w:t>
            </w:r>
          </w:p>
        </w:tc>
        <w:tc>
          <w:tcPr>
            <w:tcW w:w="921" w:type="dxa"/>
          </w:tcPr>
          <w:p w14:paraId="07152137" w14:textId="77777777" w:rsidR="00E65D43" w:rsidRPr="00D82D3D" w:rsidRDefault="00E65D43" w:rsidP="00223037">
            <w:pPr>
              <w:rPr>
                <w:rFonts w:ascii="Arial Narrow" w:hAnsi="Arial Narrow"/>
                <w:sz w:val="20"/>
              </w:rPr>
            </w:pPr>
            <w:r w:rsidRPr="00D82D3D">
              <w:rPr>
                <w:rFonts w:ascii="Arial Narrow" w:hAnsi="Arial Narrow"/>
                <w:sz w:val="20"/>
              </w:rPr>
              <w:t xml:space="preserve">93 </w:t>
            </w:r>
            <w:r w:rsidRPr="009811C5">
              <w:rPr>
                <w:rFonts w:ascii="Arial Narrow" w:hAnsi="Arial Narrow"/>
                <w:i/>
                <w:sz w:val="20"/>
              </w:rPr>
              <w:t>(36.2%)</w:t>
            </w:r>
            <w:r>
              <w:rPr>
                <w:rFonts w:ascii="Arial Narrow" w:hAnsi="Arial Narrow"/>
                <w:sz w:val="20"/>
              </w:rPr>
              <w:t xml:space="preserve"> </w:t>
            </w:r>
            <w:r w:rsidRPr="00D82D3D">
              <w:rPr>
                <w:rFonts w:ascii="Arial Narrow" w:hAnsi="Arial Narrow"/>
                <w:sz w:val="20"/>
              </w:rPr>
              <w:t>received repeat treatment</w:t>
            </w:r>
          </w:p>
          <w:p w14:paraId="50A7E2C4" w14:textId="77777777" w:rsidR="00E65D43" w:rsidRPr="00D82D3D" w:rsidRDefault="00E65D43" w:rsidP="00223037">
            <w:pPr>
              <w:pStyle w:val="Tabletext"/>
            </w:pPr>
            <w:r w:rsidRPr="00D82D3D">
              <w:t>Average 16.2 days therapy, much more likely to need further treatment if less initial response</w:t>
            </w:r>
          </w:p>
        </w:tc>
        <w:tc>
          <w:tcPr>
            <w:tcW w:w="1070" w:type="dxa"/>
          </w:tcPr>
          <w:p w14:paraId="53B3645A" w14:textId="77777777" w:rsidR="00E65D43" w:rsidRPr="00D82D3D" w:rsidRDefault="00E65D43" w:rsidP="00223037">
            <w:pPr>
              <w:pStyle w:val="Tabletext"/>
            </w:pPr>
            <w:r w:rsidRPr="00D82D3D">
              <w:t>Remitters who relapsed did so spread across the year, highest likelihood between months 3 and 9</w:t>
            </w:r>
          </w:p>
        </w:tc>
        <w:tc>
          <w:tcPr>
            <w:tcW w:w="1256" w:type="dxa"/>
          </w:tcPr>
          <w:p w14:paraId="241DA0CC" w14:textId="77777777" w:rsidR="00E65D43" w:rsidRPr="00D82D3D" w:rsidRDefault="00E65D43" w:rsidP="00223037">
            <w:pPr>
              <w:pStyle w:val="Tabletext"/>
            </w:pPr>
          </w:p>
        </w:tc>
        <w:tc>
          <w:tcPr>
            <w:tcW w:w="1167" w:type="dxa"/>
          </w:tcPr>
          <w:p w14:paraId="1FAE6C42" w14:textId="77777777" w:rsidR="00E65D43" w:rsidRPr="00D82D3D" w:rsidRDefault="00E65D43" w:rsidP="00223037">
            <w:pPr>
              <w:pStyle w:val="Tabletext"/>
            </w:pPr>
            <w:r w:rsidRPr="00D82D3D">
              <w:t xml:space="preserve">There was an overall persistence of long term benefit in initial treatment responders and remitters. </w:t>
            </w:r>
          </w:p>
        </w:tc>
        <w:tc>
          <w:tcPr>
            <w:tcW w:w="895" w:type="dxa"/>
          </w:tcPr>
          <w:p w14:paraId="017BD1A8" w14:textId="77777777" w:rsidR="00E65D43" w:rsidRPr="00D82D3D" w:rsidRDefault="00E65D43" w:rsidP="00223037">
            <w:pPr>
              <w:rPr>
                <w:rFonts w:ascii="Arial Narrow" w:hAnsi="Arial Narrow"/>
                <w:sz w:val="20"/>
              </w:rPr>
            </w:pPr>
            <w:r w:rsidRPr="00D82D3D">
              <w:rPr>
                <w:rFonts w:ascii="Arial Narrow" w:hAnsi="Arial Narrow"/>
                <w:sz w:val="20"/>
              </w:rPr>
              <w:t xml:space="preserve">78 initial remitters </w:t>
            </w:r>
            <w:r>
              <w:rPr>
                <w:rFonts w:ascii="Arial Narrow" w:hAnsi="Arial Narrow"/>
                <w:sz w:val="20"/>
              </w:rPr>
              <w:t>(QIDS-SR total score&lt;6)</w:t>
            </w:r>
            <w:r w:rsidRPr="00D82D3D">
              <w:rPr>
                <w:rFonts w:ascii="Arial Narrow" w:hAnsi="Arial Narrow"/>
                <w:sz w:val="20"/>
              </w:rPr>
              <w:t>– 70.5% remained well throughout the 12 months</w:t>
            </w:r>
          </w:p>
          <w:p w14:paraId="0626DDEC" w14:textId="77777777" w:rsidR="00E65D43" w:rsidRPr="00D82D3D" w:rsidRDefault="00E65D43" w:rsidP="00223037">
            <w:pPr>
              <w:pStyle w:val="Tabletext"/>
            </w:pPr>
          </w:p>
        </w:tc>
        <w:tc>
          <w:tcPr>
            <w:tcW w:w="2088" w:type="dxa"/>
            <w:shd w:val="clear" w:color="auto" w:fill="FFFFFF" w:themeFill="background1"/>
          </w:tcPr>
          <w:p w14:paraId="1C1C4994" w14:textId="77777777" w:rsidR="00E65D43" w:rsidRDefault="00E65D43" w:rsidP="00223037">
            <w:pPr>
              <w:pStyle w:val="Tabletext"/>
              <w:rPr>
                <w:i/>
                <w:u w:val="single"/>
              </w:rPr>
            </w:pPr>
            <w:r w:rsidRPr="009901F5">
              <w:rPr>
                <w:i/>
                <w:u w:val="single"/>
              </w:rPr>
              <w:t>CGI-S</w:t>
            </w:r>
          </w:p>
          <w:p w14:paraId="043F8380" w14:textId="77777777" w:rsidR="00E65D43" w:rsidRDefault="00E65D43" w:rsidP="00223037">
            <w:pPr>
              <w:pStyle w:val="Tabletext"/>
              <w:rPr>
                <w:i/>
              </w:rPr>
            </w:pPr>
            <w:r>
              <w:rPr>
                <w:i/>
              </w:rPr>
              <w:t>Remission &lt;2</w:t>
            </w:r>
          </w:p>
          <w:p w14:paraId="13A479B1" w14:textId="77777777" w:rsidR="00E65D43" w:rsidRDefault="00E65D43" w:rsidP="00223037">
            <w:pPr>
              <w:pStyle w:val="Tabletext"/>
              <w:rPr>
                <w:i/>
              </w:rPr>
            </w:pPr>
            <w:r>
              <w:rPr>
                <w:i/>
              </w:rPr>
              <w:t>Response &lt;3</w:t>
            </w:r>
          </w:p>
          <w:p w14:paraId="27DD2F44" w14:textId="77777777" w:rsidR="00E65D43" w:rsidRDefault="00E65D43" w:rsidP="00223037">
            <w:pPr>
              <w:pStyle w:val="Tabletext"/>
              <w:rPr>
                <w:i/>
              </w:rPr>
            </w:pPr>
            <w:r>
              <w:rPr>
                <w:i/>
              </w:rPr>
              <w:t>Nonresponder</w:t>
            </w:r>
          </w:p>
          <w:p w14:paraId="6B6B091F" w14:textId="77777777" w:rsidR="00E65D43" w:rsidRDefault="00E65D43" w:rsidP="00223037">
            <w:pPr>
              <w:pStyle w:val="Tabletext"/>
              <w:rPr>
                <w:i/>
              </w:rPr>
            </w:pPr>
            <w:r>
              <w:rPr>
                <w:i/>
              </w:rPr>
              <w:t>≥4 &amp; ≤1 or &lt;4</w:t>
            </w:r>
          </w:p>
          <w:p w14:paraId="0449E26A" w14:textId="77777777" w:rsidR="00E65D43" w:rsidRPr="009901F5" w:rsidRDefault="00E65D43" w:rsidP="00223037">
            <w:pPr>
              <w:pStyle w:val="Tabletext"/>
              <w:rPr>
                <w:i/>
                <w:u w:val="single"/>
              </w:rPr>
            </w:pPr>
            <w:r w:rsidRPr="009901F5">
              <w:rPr>
                <w:i/>
                <w:u w:val="single"/>
              </w:rPr>
              <w:t>PHQ-9</w:t>
            </w:r>
          </w:p>
          <w:p w14:paraId="217FA6D8" w14:textId="77777777" w:rsidR="00E65D43" w:rsidRDefault="00E65D43" w:rsidP="00223037">
            <w:pPr>
              <w:pStyle w:val="Tabletext"/>
              <w:rPr>
                <w:i/>
              </w:rPr>
            </w:pPr>
            <w:r>
              <w:rPr>
                <w:i/>
              </w:rPr>
              <w:t>Remission&lt;5</w:t>
            </w:r>
          </w:p>
          <w:p w14:paraId="393077FF" w14:textId="77777777" w:rsidR="00E65D43" w:rsidRDefault="00E65D43" w:rsidP="00223037">
            <w:pPr>
              <w:pStyle w:val="Tabletext"/>
              <w:rPr>
                <w:i/>
              </w:rPr>
            </w:pPr>
            <w:r>
              <w:rPr>
                <w:i/>
              </w:rPr>
              <w:t>Response &lt;10</w:t>
            </w:r>
          </w:p>
          <w:p w14:paraId="13784F13" w14:textId="77777777" w:rsidR="00E65D43" w:rsidRDefault="00E65D43" w:rsidP="00223037">
            <w:pPr>
              <w:pStyle w:val="Tabletext"/>
              <w:rPr>
                <w:i/>
              </w:rPr>
            </w:pPr>
            <w:r>
              <w:rPr>
                <w:i/>
              </w:rPr>
              <w:t>Partial responder  decrease&lt;25% but &lt;50%</w:t>
            </w:r>
          </w:p>
          <w:p w14:paraId="097E52CA" w14:textId="77777777" w:rsidR="00E65D43" w:rsidRDefault="00E65D43" w:rsidP="00223037">
            <w:pPr>
              <w:pStyle w:val="Tabletext"/>
              <w:rPr>
                <w:i/>
              </w:rPr>
            </w:pPr>
            <w:r>
              <w:rPr>
                <w:i/>
              </w:rPr>
              <w:t>Nonresponder decrease&lt;25%</w:t>
            </w:r>
          </w:p>
          <w:p w14:paraId="4E3ABC6A" w14:textId="77777777" w:rsidR="00E65D43" w:rsidRDefault="00E65D43" w:rsidP="00223037">
            <w:pPr>
              <w:pStyle w:val="Tabletext"/>
              <w:rPr>
                <w:i/>
                <w:u w:val="single"/>
              </w:rPr>
            </w:pPr>
            <w:r w:rsidRPr="004C7584">
              <w:rPr>
                <w:i/>
                <w:u w:val="single"/>
              </w:rPr>
              <w:t>IDS-R</w:t>
            </w:r>
          </w:p>
          <w:p w14:paraId="3E5B0EB7" w14:textId="77777777" w:rsidR="00E65D43" w:rsidRPr="004C7584" w:rsidRDefault="00E65D43" w:rsidP="00223037">
            <w:pPr>
              <w:pStyle w:val="Tabletext"/>
              <w:rPr>
                <w:i/>
              </w:rPr>
            </w:pPr>
            <w:r>
              <w:rPr>
                <w:i/>
              </w:rPr>
              <w:t>Remission &lt;15</w:t>
            </w:r>
          </w:p>
          <w:p w14:paraId="46506503" w14:textId="77777777" w:rsidR="00E65D43" w:rsidRDefault="00E65D43" w:rsidP="00223037">
            <w:pPr>
              <w:pStyle w:val="Tabletext"/>
              <w:rPr>
                <w:i/>
              </w:rPr>
            </w:pPr>
            <w:r>
              <w:rPr>
                <w:i/>
              </w:rPr>
              <w:t>Response ≥50% reduction</w:t>
            </w:r>
          </w:p>
          <w:p w14:paraId="153FF876" w14:textId="77777777" w:rsidR="00E65D43" w:rsidRDefault="00E65D43" w:rsidP="00223037">
            <w:pPr>
              <w:pStyle w:val="Tabletext"/>
              <w:rPr>
                <w:i/>
              </w:rPr>
            </w:pPr>
            <w:r>
              <w:rPr>
                <w:i/>
              </w:rPr>
              <w:t>Partial responder  decrease&lt;25% but &lt;50%</w:t>
            </w:r>
          </w:p>
          <w:p w14:paraId="522B8E93" w14:textId="77777777" w:rsidR="00E65D43" w:rsidRDefault="00E65D43" w:rsidP="00223037">
            <w:pPr>
              <w:pStyle w:val="Tabletext"/>
              <w:rPr>
                <w:i/>
              </w:rPr>
            </w:pPr>
            <w:r>
              <w:rPr>
                <w:i/>
              </w:rPr>
              <w:t>Non responder decrease&lt;25%</w:t>
            </w:r>
          </w:p>
          <w:p w14:paraId="6C0970B8" w14:textId="77777777" w:rsidR="00E65D43" w:rsidRPr="004C7584" w:rsidRDefault="00E65D43" w:rsidP="00223037">
            <w:pPr>
              <w:pStyle w:val="Tabletext"/>
              <w:rPr>
                <w:i/>
                <w:u w:val="single"/>
              </w:rPr>
            </w:pPr>
            <w:r w:rsidRPr="004C7584">
              <w:rPr>
                <w:i/>
                <w:u w:val="single"/>
              </w:rPr>
              <w:t>QIDS-SR</w:t>
            </w:r>
          </w:p>
          <w:p w14:paraId="41364272" w14:textId="77777777" w:rsidR="00E65D43" w:rsidRDefault="00E65D43" w:rsidP="00223037">
            <w:pPr>
              <w:pStyle w:val="Tabletext"/>
              <w:rPr>
                <w:i/>
              </w:rPr>
            </w:pPr>
            <w:r>
              <w:rPr>
                <w:i/>
              </w:rPr>
              <w:t>Remission &lt;6</w:t>
            </w:r>
          </w:p>
          <w:p w14:paraId="599FF624" w14:textId="77777777" w:rsidR="00E65D43" w:rsidRPr="003F488C" w:rsidRDefault="00E65D43" w:rsidP="00223037">
            <w:pPr>
              <w:pStyle w:val="Tabletext"/>
              <w:rPr>
                <w:b/>
                <w:i/>
              </w:rPr>
            </w:pPr>
            <w:r w:rsidRPr="003F488C">
              <w:rPr>
                <w:b/>
                <w:i/>
              </w:rPr>
              <w:t>Relapse ≥11</w:t>
            </w:r>
          </w:p>
        </w:tc>
        <w:tc>
          <w:tcPr>
            <w:tcW w:w="851" w:type="dxa"/>
            <w:shd w:val="clear" w:color="auto" w:fill="FFFFFF" w:themeFill="background1"/>
          </w:tcPr>
          <w:p w14:paraId="68B29E0A" w14:textId="77777777" w:rsidR="00E65D43" w:rsidRPr="005A126F" w:rsidRDefault="00E65D43" w:rsidP="00223037">
            <w:pPr>
              <w:pStyle w:val="Tabletext"/>
              <w:rPr>
                <w:i/>
              </w:rPr>
            </w:pPr>
            <w:r w:rsidRPr="005A126F">
              <w:rPr>
                <w:i/>
              </w:rPr>
              <w:t>Yes, p34</w:t>
            </w:r>
          </w:p>
        </w:tc>
        <w:tc>
          <w:tcPr>
            <w:tcW w:w="850" w:type="dxa"/>
            <w:shd w:val="clear" w:color="auto" w:fill="FFFFFF" w:themeFill="background1"/>
          </w:tcPr>
          <w:p w14:paraId="2765D31B" w14:textId="77777777" w:rsidR="00E65D43" w:rsidRPr="005A126F" w:rsidRDefault="00E65D43" w:rsidP="00223037">
            <w:pPr>
              <w:pStyle w:val="Tabletext"/>
              <w:rPr>
                <w:i/>
              </w:rPr>
            </w:pPr>
            <w:r>
              <w:rPr>
                <w:i/>
              </w:rPr>
              <w:t>No</w:t>
            </w:r>
          </w:p>
        </w:tc>
        <w:tc>
          <w:tcPr>
            <w:tcW w:w="851" w:type="dxa"/>
            <w:shd w:val="clear" w:color="auto" w:fill="FFFFFF" w:themeFill="background1"/>
          </w:tcPr>
          <w:p w14:paraId="086074C0" w14:textId="77777777" w:rsidR="00E65D43" w:rsidRPr="005A126F" w:rsidRDefault="00E65D43" w:rsidP="00223037">
            <w:pPr>
              <w:pStyle w:val="Tabletext"/>
              <w:rPr>
                <w:i/>
              </w:rPr>
            </w:pPr>
            <w:r>
              <w:rPr>
                <w:i/>
              </w:rPr>
              <w:t>No</w:t>
            </w:r>
          </w:p>
        </w:tc>
        <w:tc>
          <w:tcPr>
            <w:tcW w:w="837" w:type="dxa"/>
            <w:shd w:val="clear" w:color="auto" w:fill="auto"/>
          </w:tcPr>
          <w:p w14:paraId="776B973A" w14:textId="77777777" w:rsidR="00E65D43" w:rsidRDefault="00E65D43" w:rsidP="00223037">
            <w:pPr>
              <w:pStyle w:val="Tabletext"/>
              <w:rPr>
                <w:i/>
              </w:rPr>
            </w:pPr>
            <w:r>
              <w:rPr>
                <w:i/>
              </w:rPr>
              <w:t>Did not require minimum number of AD trials.</w:t>
            </w:r>
          </w:p>
          <w:p w14:paraId="75959616" w14:textId="77777777" w:rsidR="00E65D43" w:rsidRDefault="00E65D43" w:rsidP="00223037">
            <w:pPr>
              <w:pStyle w:val="Tabletext"/>
              <w:rPr>
                <w:i/>
                <w:u w:val="single"/>
              </w:rPr>
            </w:pPr>
            <w:r w:rsidRPr="004338DF">
              <w:rPr>
                <w:i/>
                <w:u w:val="single"/>
              </w:rPr>
              <w:t>Prior ADs</w:t>
            </w:r>
            <w:r>
              <w:rPr>
                <w:i/>
                <w:u w:val="single"/>
              </w:rPr>
              <w:t xml:space="preserve"> mean (SD)</w:t>
            </w:r>
          </w:p>
          <w:p w14:paraId="06ABBA50" w14:textId="77777777" w:rsidR="00E65D43" w:rsidRDefault="00E65D43" w:rsidP="00223037">
            <w:pPr>
              <w:pStyle w:val="Tabletext"/>
              <w:rPr>
                <w:i/>
              </w:rPr>
            </w:pPr>
            <w:r>
              <w:rPr>
                <w:i/>
              </w:rPr>
              <w:t>Nonresponder: 1.8 (1.5)</w:t>
            </w:r>
          </w:p>
          <w:p w14:paraId="05174D55" w14:textId="77777777" w:rsidR="00E65D43" w:rsidRDefault="00E65D43" w:rsidP="00223037">
            <w:pPr>
              <w:pStyle w:val="Tabletext"/>
              <w:rPr>
                <w:i/>
              </w:rPr>
            </w:pPr>
            <w:r>
              <w:rPr>
                <w:i/>
              </w:rPr>
              <w:t>Partial responder: 1.6 (1.5)</w:t>
            </w:r>
          </w:p>
          <w:p w14:paraId="69FE672E" w14:textId="77777777" w:rsidR="00E65D43" w:rsidRDefault="00E65D43" w:rsidP="00223037">
            <w:pPr>
              <w:pStyle w:val="Tabletext"/>
              <w:rPr>
                <w:i/>
              </w:rPr>
            </w:pPr>
            <w:r>
              <w:rPr>
                <w:i/>
              </w:rPr>
              <w:t>Responder: 2.1 (1.7)</w:t>
            </w:r>
          </w:p>
          <w:p w14:paraId="5FC93D7B" w14:textId="77777777" w:rsidR="00E65D43" w:rsidRPr="004338DF" w:rsidRDefault="00E65D43" w:rsidP="00223037">
            <w:pPr>
              <w:pStyle w:val="Tabletext"/>
              <w:rPr>
                <w:i/>
              </w:rPr>
            </w:pPr>
            <w:r>
              <w:rPr>
                <w:i/>
              </w:rPr>
              <w:t xml:space="preserve">Remitter: 1.6 (1.6) </w:t>
            </w:r>
          </w:p>
        </w:tc>
        <w:tc>
          <w:tcPr>
            <w:tcW w:w="544" w:type="dxa"/>
            <w:shd w:val="clear" w:color="auto" w:fill="auto"/>
          </w:tcPr>
          <w:p w14:paraId="4648757E" w14:textId="77777777" w:rsidR="00E65D43" w:rsidRPr="005A126F" w:rsidRDefault="00E65D43" w:rsidP="00223037">
            <w:pPr>
              <w:pStyle w:val="Tabletext"/>
              <w:rPr>
                <w:i/>
              </w:rPr>
            </w:pPr>
            <w:r>
              <w:rPr>
                <w:i/>
              </w:rPr>
              <w:t>Add on</w:t>
            </w:r>
          </w:p>
        </w:tc>
      </w:tr>
      <w:tr w:rsidR="00E65D43" w:rsidRPr="00D82D3D" w14:paraId="6D0F4A2A" w14:textId="77777777" w:rsidTr="00223037">
        <w:tc>
          <w:tcPr>
            <w:tcW w:w="958" w:type="dxa"/>
          </w:tcPr>
          <w:p w14:paraId="2613894B" w14:textId="77777777" w:rsidR="00E65D43" w:rsidRDefault="00E65D43" w:rsidP="00223037">
            <w:pPr>
              <w:pStyle w:val="Tabletext"/>
            </w:pPr>
            <w:r w:rsidRPr="00D82D3D">
              <w:lastRenderedPageBreak/>
              <w:t>Phillip</w:t>
            </w:r>
            <w:r>
              <w:t xml:space="preserve"> et al. 2016</w:t>
            </w:r>
          </w:p>
          <w:p w14:paraId="5686BDF7" w14:textId="77777777" w:rsidR="00E65D43" w:rsidRPr="0006337B" w:rsidRDefault="00E65D43" w:rsidP="00223037">
            <w:pPr>
              <w:rPr>
                <w:rFonts w:ascii="Arial Narrow" w:hAnsi="Arial Narrow"/>
                <w:i/>
                <w:sz w:val="20"/>
              </w:rPr>
            </w:pPr>
            <w:r w:rsidRPr="00247507">
              <w:rPr>
                <w:rFonts w:ascii="Arial Narrow" w:hAnsi="Arial Narrow"/>
                <w:i/>
                <w:sz w:val="20"/>
              </w:rPr>
              <w:t>(US)</w:t>
            </w:r>
          </w:p>
        </w:tc>
        <w:tc>
          <w:tcPr>
            <w:tcW w:w="1141" w:type="dxa"/>
          </w:tcPr>
          <w:p w14:paraId="0A327DA8" w14:textId="77777777" w:rsidR="00E65D43" w:rsidRPr="00BD1388" w:rsidRDefault="00E65D43" w:rsidP="00223037">
            <w:pPr>
              <w:pStyle w:val="Tabletext"/>
              <w:rPr>
                <w:i/>
              </w:rPr>
            </w:pPr>
            <w:r>
              <w:rPr>
                <w:i/>
              </w:rPr>
              <w:t xml:space="preserve">MC, OL RCT  (active vs. observation) </w:t>
            </w:r>
          </w:p>
        </w:tc>
        <w:tc>
          <w:tcPr>
            <w:tcW w:w="1260" w:type="dxa"/>
          </w:tcPr>
          <w:p w14:paraId="4E0B501A" w14:textId="77777777" w:rsidR="00E65D43" w:rsidRPr="00D82D3D" w:rsidRDefault="00E65D43" w:rsidP="00223037">
            <w:pPr>
              <w:pStyle w:val="Tabletext"/>
            </w:pPr>
            <w:r w:rsidRPr="00D82D3D">
              <w:t>49 medication free patients randomised to have one TMS session per month or no treatment, responders most in remission, only 16 followed for full 12 months</w:t>
            </w:r>
          </w:p>
        </w:tc>
        <w:tc>
          <w:tcPr>
            <w:tcW w:w="579" w:type="dxa"/>
          </w:tcPr>
          <w:p w14:paraId="230CC685" w14:textId="77777777" w:rsidR="00E65D43" w:rsidRPr="00D82D3D" w:rsidRDefault="00E65D43" w:rsidP="00223037">
            <w:pPr>
              <w:pStyle w:val="Tabletext"/>
            </w:pPr>
            <w:r w:rsidRPr="00D82D3D">
              <w:t>1 year</w:t>
            </w:r>
          </w:p>
        </w:tc>
        <w:tc>
          <w:tcPr>
            <w:tcW w:w="921" w:type="dxa"/>
          </w:tcPr>
          <w:p w14:paraId="3C28A453" w14:textId="77777777" w:rsidR="00E65D43" w:rsidRPr="00D82D3D" w:rsidRDefault="00E65D43" w:rsidP="00223037">
            <w:pPr>
              <w:pStyle w:val="Tabletext"/>
            </w:pPr>
            <w:r w:rsidRPr="00D82D3D">
              <w:t>35-39% of the patients did not require repeat treatment</w:t>
            </w:r>
          </w:p>
        </w:tc>
        <w:tc>
          <w:tcPr>
            <w:tcW w:w="1070" w:type="dxa"/>
          </w:tcPr>
          <w:p w14:paraId="7E34CCFB" w14:textId="77777777" w:rsidR="00E65D43" w:rsidRPr="00D82D3D" w:rsidRDefault="00E65D43" w:rsidP="00223037">
            <w:pPr>
              <w:rPr>
                <w:rFonts w:ascii="Arial Narrow" w:hAnsi="Arial Narrow"/>
                <w:sz w:val="20"/>
              </w:rPr>
            </w:pPr>
            <w:r w:rsidRPr="00D82D3D">
              <w:rPr>
                <w:rFonts w:ascii="Arial Narrow" w:hAnsi="Arial Narrow"/>
                <w:sz w:val="20"/>
              </w:rPr>
              <w:t>Mean ± SD duration of time from the end</w:t>
            </w:r>
          </w:p>
          <w:p w14:paraId="4AA8A84D" w14:textId="77777777" w:rsidR="00E65D43" w:rsidRPr="00D82D3D" w:rsidRDefault="00E65D43" w:rsidP="00223037">
            <w:pPr>
              <w:rPr>
                <w:rFonts w:ascii="Arial Narrow" w:hAnsi="Arial Narrow"/>
                <w:sz w:val="20"/>
              </w:rPr>
            </w:pPr>
            <w:r w:rsidRPr="00D82D3D">
              <w:rPr>
                <w:rFonts w:ascii="Arial Narrow" w:hAnsi="Arial Narrow"/>
                <w:sz w:val="20"/>
              </w:rPr>
              <w:t>of the acute treatment to reintroduction was 91.2 ± 65.8</w:t>
            </w:r>
          </w:p>
          <w:p w14:paraId="434D7A33" w14:textId="77777777" w:rsidR="00E65D43" w:rsidRPr="00D82D3D" w:rsidRDefault="00E65D43" w:rsidP="00223037">
            <w:pPr>
              <w:pStyle w:val="Tabletext"/>
            </w:pPr>
            <w:r w:rsidRPr="00D82D3D">
              <w:t>days for the once per month  group and 77.1 ± 51.7 days for the non treatment group</w:t>
            </w:r>
          </w:p>
        </w:tc>
        <w:tc>
          <w:tcPr>
            <w:tcW w:w="1256" w:type="dxa"/>
          </w:tcPr>
          <w:p w14:paraId="0E55C368" w14:textId="77777777" w:rsidR="00E65D43" w:rsidRPr="00D82D3D" w:rsidRDefault="00E65D43" w:rsidP="00223037">
            <w:pPr>
              <w:rPr>
                <w:rFonts w:ascii="Arial Narrow" w:hAnsi="Arial Narrow"/>
                <w:sz w:val="20"/>
              </w:rPr>
            </w:pPr>
            <w:r w:rsidRPr="00D82D3D">
              <w:rPr>
                <w:rFonts w:ascii="Arial Narrow" w:hAnsi="Arial Narrow"/>
                <w:sz w:val="20"/>
              </w:rPr>
              <w:t>The number of retreatment TMS sessions</w:t>
            </w:r>
          </w:p>
          <w:p w14:paraId="0B362E32" w14:textId="77777777" w:rsidR="00E65D43" w:rsidRPr="00D82D3D" w:rsidRDefault="00E65D43" w:rsidP="00223037">
            <w:pPr>
              <w:rPr>
                <w:rFonts w:ascii="Arial Narrow" w:hAnsi="Arial Narrow"/>
                <w:sz w:val="20"/>
              </w:rPr>
            </w:pPr>
            <w:r w:rsidRPr="00D82D3D">
              <w:rPr>
                <w:rFonts w:ascii="Arial Narrow" w:hAnsi="Arial Narrow"/>
                <w:sz w:val="20"/>
              </w:rPr>
              <w:t>received was</w:t>
            </w:r>
          </w:p>
          <w:p w14:paraId="3896FD98" w14:textId="77777777" w:rsidR="00E65D43" w:rsidRPr="00D82D3D" w:rsidRDefault="00E65D43" w:rsidP="00223037">
            <w:pPr>
              <w:pStyle w:val="Tabletext"/>
            </w:pPr>
            <w:r w:rsidRPr="00D82D3D">
              <w:t>14.3 ± 17.8 in the one treatment per month  group and 16.9 ± 18.9 in the no treatment group.</w:t>
            </w:r>
          </w:p>
        </w:tc>
        <w:tc>
          <w:tcPr>
            <w:tcW w:w="1167" w:type="dxa"/>
          </w:tcPr>
          <w:p w14:paraId="138B8A5C" w14:textId="77777777" w:rsidR="00E65D43" w:rsidRPr="00D82D3D" w:rsidRDefault="00E65D43" w:rsidP="00223037">
            <w:pPr>
              <w:rPr>
                <w:rFonts w:ascii="Arial Narrow" w:hAnsi="Arial Narrow"/>
                <w:sz w:val="20"/>
              </w:rPr>
            </w:pPr>
            <w:r w:rsidRPr="00D82D3D">
              <w:rPr>
                <w:rFonts w:ascii="Arial Narrow" w:hAnsi="Arial Narrow"/>
                <w:sz w:val="20"/>
              </w:rPr>
              <w:t>Reintroduction success rate (defined for each patient as return to</w:t>
            </w:r>
          </w:p>
          <w:p w14:paraId="6B47B29A" w14:textId="77777777" w:rsidR="00E65D43" w:rsidRPr="00D82D3D" w:rsidRDefault="00E65D43" w:rsidP="00223037">
            <w:pPr>
              <w:rPr>
                <w:rFonts w:ascii="Arial Narrow" w:hAnsi="Arial Narrow"/>
                <w:sz w:val="20"/>
              </w:rPr>
            </w:pPr>
            <w:r w:rsidRPr="00D82D3D">
              <w:rPr>
                <w:rFonts w:ascii="Arial Narrow" w:hAnsi="Arial Narrow"/>
                <w:sz w:val="20"/>
              </w:rPr>
              <w:t>the HAMD17 score they reached at the end of acute treatment, or</w:t>
            </w:r>
          </w:p>
          <w:p w14:paraId="389BAD37" w14:textId="77777777" w:rsidR="00E65D43" w:rsidRPr="00D82D3D" w:rsidRDefault="00E65D43" w:rsidP="00223037">
            <w:pPr>
              <w:rPr>
                <w:rFonts w:ascii="Arial Narrow" w:hAnsi="Arial Narrow"/>
                <w:sz w:val="20"/>
              </w:rPr>
            </w:pPr>
            <w:r w:rsidRPr="00D82D3D">
              <w:rPr>
                <w:rFonts w:ascii="Arial Narrow" w:hAnsi="Arial Narrow"/>
                <w:sz w:val="20"/>
              </w:rPr>
              <w:t>better) was 14/18 (78%) for the once per month group versus 17/27 (63%) for</w:t>
            </w:r>
          </w:p>
          <w:p w14:paraId="4750E6C7" w14:textId="77777777" w:rsidR="00E65D43" w:rsidRPr="00D82D3D" w:rsidRDefault="00E65D43" w:rsidP="00223037">
            <w:pPr>
              <w:pStyle w:val="Tabletext"/>
            </w:pPr>
            <w:r w:rsidRPr="00D82D3D">
              <w:t>the no treatment group.</w:t>
            </w:r>
          </w:p>
        </w:tc>
        <w:tc>
          <w:tcPr>
            <w:tcW w:w="895" w:type="dxa"/>
          </w:tcPr>
          <w:p w14:paraId="05B24B4B" w14:textId="77777777" w:rsidR="00E65D43" w:rsidRPr="00D82D3D" w:rsidRDefault="00E65D43" w:rsidP="00223037">
            <w:pPr>
              <w:pStyle w:val="Tabletext"/>
            </w:pPr>
          </w:p>
        </w:tc>
        <w:tc>
          <w:tcPr>
            <w:tcW w:w="2088" w:type="dxa"/>
            <w:shd w:val="clear" w:color="auto" w:fill="FFFFFF" w:themeFill="background1"/>
          </w:tcPr>
          <w:p w14:paraId="23FF3E69" w14:textId="77777777" w:rsidR="00E65D43" w:rsidRDefault="00E65D43" w:rsidP="00223037">
            <w:pPr>
              <w:pStyle w:val="Tabletext"/>
              <w:rPr>
                <w:i/>
              </w:rPr>
            </w:pPr>
            <w:r>
              <w:rPr>
                <w:i/>
              </w:rPr>
              <w:t>Primary objective: sustained response, not requiring TMS reintroduction during maintenance phase</w:t>
            </w:r>
          </w:p>
          <w:p w14:paraId="120A0489" w14:textId="77777777" w:rsidR="00E65D43" w:rsidRPr="003F488C" w:rsidRDefault="00E65D43" w:rsidP="00223037">
            <w:pPr>
              <w:pStyle w:val="Tabletext"/>
              <w:rPr>
                <w:i/>
                <w:u w:val="single"/>
              </w:rPr>
            </w:pPr>
            <w:r w:rsidRPr="003F488C">
              <w:rPr>
                <w:i/>
                <w:u w:val="single"/>
              </w:rPr>
              <w:t>HAMD</w:t>
            </w:r>
          </w:p>
          <w:p w14:paraId="255CACB3" w14:textId="77777777" w:rsidR="00E65D43" w:rsidRDefault="00E65D43" w:rsidP="00223037">
            <w:pPr>
              <w:pStyle w:val="Tabletext"/>
              <w:rPr>
                <w:i/>
              </w:rPr>
            </w:pPr>
            <w:r>
              <w:rPr>
                <w:i/>
              </w:rPr>
              <w:t>Remission: HAMD17 &lt;8, HAD24&lt;11</w:t>
            </w:r>
          </w:p>
          <w:p w14:paraId="6F5A19F4" w14:textId="77777777" w:rsidR="00E65D43" w:rsidRPr="003F488C" w:rsidRDefault="00E65D43" w:rsidP="00223037">
            <w:pPr>
              <w:pStyle w:val="Tabletext"/>
              <w:rPr>
                <w:i/>
                <w:u w:val="single"/>
              </w:rPr>
            </w:pPr>
            <w:r w:rsidRPr="003F488C">
              <w:rPr>
                <w:i/>
                <w:u w:val="single"/>
              </w:rPr>
              <w:t>CGI-S</w:t>
            </w:r>
          </w:p>
          <w:p w14:paraId="6EA2980E" w14:textId="77777777" w:rsidR="00E65D43" w:rsidRDefault="00E65D43" w:rsidP="00223037">
            <w:pPr>
              <w:pStyle w:val="Tabletext"/>
              <w:rPr>
                <w:i/>
              </w:rPr>
            </w:pPr>
            <w:r>
              <w:rPr>
                <w:i/>
              </w:rPr>
              <w:t>Remission&lt;3; Response&lt;4</w:t>
            </w:r>
          </w:p>
          <w:p w14:paraId="6EB03902" w14:textId="77777777" w:rsidR="00E65D43" w:rsidRPr="003F488C" w:rsidRDefault="00E65D43" w:rsidP="00223037">
            <w:pPr>
              <w:pStyle w:val="Tabletext"/>
              <w:rPr>
                <w:i/>
                <w:u w:val="single"/>
              </w:rPr>
            </w:pPr>
            <w:r w:rsidRPr="003F488C">
              <w:rPr>
                <w:i/>
                <w:u w:val="single"/>
              </w:rPr>
              <w:t>PHQ-9</w:t>
            </w:r>
          </w:p>
          <w:p w14:paraId="7987FF87" w14:textId="77777777" w:rsidR="00E65D43" w:rsidRDefault="00E65D43" w:rsidP="00223037">
            <w:pPr>
              <w:pStyle w:val="Tabletext"/>
              <w:rPr>
                <w:i/>
              </w:rPr>
            </w:pPr>
            <w:r>
              <w:rPr>
                <w:i/>
              </w:rPr>
              <w:t>Remission&lt;5 Response&lt;10</w:t>
            </w:r>
          </w:p>
          <w:p w14:paraId="7162DD58" w14:textId="77777777" w:rsidR="00E65D43" w:rsidRDefault="00E65D43" w:rsidP="00223037">
            <w:pPr>
              <w:pStyle w:val="Tabletext"/>
              <w:rPr>
                <w:i/>
              </w:rPr>
            </w:pPr>
            <w:r>
              <w:rPr>
                <w:i/>
              </w:rPr>
              <w:t>IDS-SR</w:t>
            </w:r>
          </w:p>
          <w:p w14:paraId="78D26A2F" w14:textId="77777777" w:rsidR="00E65D43" w:rsidRDefault="00E65D43" w:rsidP="00223037">
            <w:pPr>
              <w:pStyle w:val="Tabletext"/>
              <w:rPr>
                <w:i/>
              </w:rPr>
            </w:pPr>
            <w:r>
              <w:rPr>
                <w:i/>
              </w:rPr>
              <w:t>Remission&lt;!5</w:t>
            </w:r>
          </w:p>
          <w:p w14:paraId="3B407899" w14:textId="77777777" w:rsidR="00E65D43" w:rsidRDefault="00E65D43" w:rsidP="00223037">
            <w:pPr>
              <w:pStyle w:val="Tabletext"/>
              <w:rPr>
                <w:i/>
              </w:rPr>
            </w:pPr>
            <w:r>
              <w:rPr>
                <w:i/>
              </w:rPr>
              <w:t>Response &gt;50% reduction</w:t>
            </w:r>
          </w:p>
          <w:p w14:paraId="335F523C" w14:textId="77777777" w:rsidR="00E65D43" w:rsidRDefault="00E65D43" w:rsidP="00223037">
            <w:pPr>
              <w:pStyle w:val="Tabletext"/>
              <w:rPr>
                <w:i/>
              </w:rPr>
            </w:pPr>
          </w:p>
          <w:p w14:paraId="6AE29AAA" w14:textId="77777777" w:rsidR="00E65D43" w:rsidRPr="005A126F" w:rsidRDefault="00E65D43" w:rsidP="00223037">
            <w:pPr>
              <w:pStyle w:val="Tabletext"/>
              <w:rPr>
                <w:i/>
              </w:rPr>
            </w:pPr>
          </w:p>
        </w:tc>
        <w:tc>
          <w:tcPr>
            <w:tcW w:w="851" w:type="dxa"/>
            <w:shd w:val="clear" w:color="auto" w:fill="FFFFFF" w:themeFill="background1"/>
          </w:tcPr>
          <w:p w14:paraId="125467EB" w14:textId="77777777" w:rsidR="00E65D43" w:rsidRPr="005A126F" w:rsidRDefault="00E65D43" w:rsidP="00223037">
            <w:pPr>
              <w:pStyle w:val="Tabletext"/>
              <w:rPr>
                <w:i/>
              </w:rPr>
            </w:pPr>
            <w:r>
              <w:rPr>
                <w:i/>
              </w:rPr>
              <w:t>No</w:t>
            </w:r>
          </w:p>
        </w:tc>
        <w:tc>
          <w:tcPr>
            <w:tcW w:w="850" w:type="dxa"/>
            <w:shd w:val="clear" w:color="auto" w:fill="FFFFFF" w:themeFill="background1"/>
          </w:tcPr>
          <w:p w14:paraId="4B235519" w14:textId="77777777" w:rsidR="00E65D43" w:rsidRPr="005A126F" w:rsidRDefault="00E65D43" w:rsidP="00223037">
            <w:pPr>
              <w:pStyle w:val="Tabletext"/>
              <w:rPr>
                <w:i/>
              </w:rPr>
            </w:pPr>
            <w:r>
              <w:rPr>
                <w:i/>
              </w:rPr>
              <w:t>No</w:t>
            </w:r>
          </w:p>
        </w:tc>
        <w:tc>
          <w:tcPr>
            <w:tcW w:w="851" w:type="dxa"/>
            <w:shd w:val="clear" w:color="auto" w:fill="FFFFFF" w:themeFill="background1"/>
          </w:tcPr>
          <w:p w14:paraId="258478CD" w14:textId="77777777" w:rsidR="00E65D43" w:rsidRPr="005A126F" w:rsidRDefault="00E65D43" w:rsidP="00223037">
            <w:pPr>
              <w:pStyle w:val="Tabletext"/>
              <w:rPr>
                <w:i/>
              </w:rPr>
            </w:pPr>
            <w:r>
              <w:rPr>
                <w:i/>
              </w:rPr>
              <w:t>No</w:t>
            </w:r>
          </w:p>
        </w:tc>
        <w:tc>
          <w:tcPr>
            <w:tcW w:w="837" w:type="dxa"/>
            <w:shd w:val="clear" w:color="auto" w:fill="FFFFFF" w:themeFill="background1"/>
          </w:tcPr>
          <w:p w14:paraId="661B0658" w14:textId="77777777" w:rsidR="00E65D43" w:rsidRPr="005A126F" w:rsidRDefault="00E65D43" w:rsidP="00223037">
            <w:pPr>
              <w:pStyle w:val="Tabletext"/>
              <w:rPr>
                <w:i/>
              </w:rPr>
            </w:pPr>
            <w:r>
              <w:rPr>
                <w:i/>
              </w:rPr>
              <w:t>1-4 AD trials</w:t>
            </w:r>
          </w:p>
        </w:tc>
        <w:tc>
          <w:tcPr>
            <w:tcW w:w="544" w:type="dxa"/>
            <w:shd w:val="clear" w:color="auto" w:fill="FFFFFF" w:themeFill="background1"/>
          </w:tcPr>
          <w:p w14:paraId="35CF4ED0" w14:textId="77777777" w:rsidR="00E65D43" w:rsidRPr="005A126F" w:rsidRDefault="00E65D43" w:rsidP="00223037">
            <w:pPr>
              <w:pStyle w:val="Tabletext"/>
              <w:rPr>
                <w:i/>
              </w:rPr>
            </w:pPr>
            <w:r>
              <w:rPr>
                <w:i/>
              </w:rPr>
              <w:t>No AD</w:t>
            </w:r>
          </w:p>
        </w:tc>
      </w:tr>
      <w:tr w:rsidR="00E65D43" w:rsidRPr="00D82D3D" w14:paraId="5BBA2FB6" w14:textId="77777777" w:rsidTr="00223037">
        <w:tc>
          <w:tcPr>
            <w:tcW w:w="958" w:type="dxa"/>
          </w:tcPr>
          <w:p w14:paraId="7E9D2DD5" w14:textId="77777777" w:rsidR="00E65D43" w:rsidRDefault="00E65D43" w:rsidP="00223037">
            <w:pPr>
              <w:pStyle w:val="Tabletext"/>
            </w:pPr>
            <w:r w:rsidRPr="00D82D3D">
              <w:t>Pridmore</w:t>
            </w:r>
            <w:r>
              <w:t xml:space="preserve"> et al. 2019</w:t>
            </w:r>
          </w:p>
          <w:p w14:paraId="6EF438E4" w14:textId="77777777" w:rsidR="00E65D43" w:rsidRPr="004A25C9" w:rsidRDefault="00E65D43" w:rsidP="00223037">
            <w:pPr>
              <w:pStyle w:val="Tabletext"/>
              <w:rPr>
                <w:i/>
              </w:rPr>
            </w:pPr>
            <w:r w:rsidRPr="004A25C9">
              <w:rPr>
                <w:i/>
              </w:rPr>
              <w:t>(Australia)</w:t>
            </w:r>
          </w:p>
        </w:tc>
        <w:tc>
          <w:tcPr>
            <w:tcW w:w="1141" w:type="dxa"/>
          </w:tcPr>
          <w:p w14:paraId="2A376E0D" w14:textId="77777777" w:rsidR="00E65D43" w:rsidRPr="00BD1388" w:rsidRDefault="00E65D43" w:rsidP="00223037">
            <w:pPr>
              <w:pStyle w:val="Tabletext"/>
              <w:rPr>
                <w:i/>
              </w:rPr>
            </w:pPr>
            <w:r>
              <w:rPr>
                <w:i/>
              </w:rPr>
              <w:t>Naturalistic (observational) prospective study</w:t>
            </w:r>
          </w:p>
        </w:tc>
        <w:tc>
          <w:tcPr>
            <w:tcW w:w="1260" w:type="dxa"/>
          </w:tcPr>
          <w:p w14:paraId="2B85BFDE" w14:textId="77777777" w:rsidR="00E65D43" w:rsidRPr="00D82D3D" w:rsidRDefault="00E65D43" w:rsidP="00223037">
            <w:pPr>
              <w:pStyle w:val="Tabletext"/>
            </w:pPr>
            <w:r w:rsidRPr="00D82D3D">
              <w:t xml:space="preserve">120 </w:t>
            </w:r>
            <w:r w:rsidRPr="000C02CA">
              <w:rPr>
                <w:i/>
              </w:rPr>
              <w:t>hospitalised</w:t>
            </w:r>
            <w:r>
              <w:t xml:space="preserve"> </w:t>
            </w:r>
            <w:r w:rsidRPr="00D82D3D">
              <w:t>patients rec</w:t>
            </w:r>
            <w:r>
              <w:t>eived an initial course and 30 p</w:t>
            </w:r>
            <w:r w:rsidRPr="00D82D3D">
              <w:t>atients a second course of treatment</w:t>
            </w:r>
          </w:p>
        </w:tc>
        <w:tc>
          <w:tcPr>
            <w:tcW w:w="579" w:type="dxa"/>
          </w:tcPr>
          <w:p w14:paraId="451E64A4" w14:textId="77777777" w:rsidR="00E65D43" w:rsidRPr="00D82D3D" w:rsidRDefault="00E65D43" w:rsidP="00223037">
            <w:pPr>
              <w:pStyle w:val="Tabletext"/>
            </w:pPr>
          </w:p>
        </w:tc>
        <w:tc>
          <w:tcPr>
            <w:tcW w:w="921" w:type="dxa"/>
          </w:tcPr>
          <w:p w14:paraId="3A07BBE0" w14:textId="77777777" w:rsidR="00E65D43" w:rsidRPr="00D82D3D" w:rsidRDefault="00E65D43" w:rsidP="00223037">
            <w:pPr>
              <w:pStyle w:val="Tabletext"/>
            </w:pPr>
          </w:p>
        </w:tc>
        <w:tc>
          <w:tcPr>
            <w:tcW w:w="1070" w:type="dxa"/>
          </w:tcPr>
          <w:p w14:paraId="55BF411D" w14:textId="77777777" w:rsidR="00E65D43" w:rsidRPr="00D82D3D" w:rsidRDefault="00E65D43" w:rsidP="00223037">
            <w:pPr>
              <w:pStyle w:val="Tabletext"/>
            </w:pPr>
            <w:r w:rsidRPr="00247507">
              <w:rPr>
                <w:i/>
              </w:rPr>
              <w:t>Mean:</w:t>
            </w:r>
            <w:r>
              <w:t xml:space="preserve"> </w:t>
            </w:r>
            <w:r w:rsidRPr="00D82D3D">
              <w:t>27.5 +/- 16.7 weeks</w:t>
            </w:r>
          </w:p>
        </w:tc>
        <w:tc>
          <w:tcPr>
            <w:tcW w:w="1256" w:type="dxa"/>
          </w:tcPr>
          <w:p w14:paraId="2531CCFA" w14:textId="77777777" w:rsidR="00E65D43" w:rsidRPr="00D82D3D" w:rsidRDefault="00E65D43" w:rsidP="00223037">
            <w:pPr>
              <w:pStyle w:val="Tabletext"/>
            </w:pPr>
          </w:p>
        </w:tc>
        <w:tc>
          <w:tcPr>
            <w:tcW w:w="1167" w:type="dxa"/>
          </w:tcPr>
          <w:p w14:paraId="02916BB0" w14:textId="77777777" w:rsidR="00E65D43" w:rsidRPr="00D82D3D" w:rsidRDefault="00E65D43" w:rsidP="00223037">
            <w:pPr>
              <w:pStyle w:val="Tabletext"/>
            </w:pPr>
            <w:r w:rsidRPr="00D82D3D">
              <w:t>Same degree of response seen for first and second course of treatment</w:t>
            </w:r>
          </w:p>
        </w:tc>
        <w:tc>
          <w:tcPr>
            <w:tcW w:w="895" w:type="dxa"/>
          </w:tcPr>
          <w:p w14:paraId="1FDD02C0" w14:textId="77777777" w:rsidR="00E65D43" w:rsidRDefault="00E65D43" w:rsidP="00223037">
            <w:pPr>
              <w:pStyle w:val="Tabletext"/>
              <w:rPr>
                <w:i/>
              </w:rPr>
            </w:pPr>
            <w:r>
              <w:rPr>
                <w:i/>
              </w:rPr>
              <w:t>Based on HAMD6:</w:t>
            </w:r>
          </w:p>
          <w:p w14:paraId="7CBF41FC" w14:textId="77777777" w:rsidR="00E65D43" w:rsidRDefault="00E65D43" w:rsidP="00223037">
            <w:pPr>
              <w:pStyle w:val="Tabletext"/>
              <w:rPr>
                <w:i/>
              </w:rPr>
            </w:pPr>
            <w:r>
              <w:rPr>
                <w:i/>
              </w:rPr>
              <w:t>Initial course: 26 (87%) remitters</w:t>
            </w:r>
          </w:p>
          <w:p w14:paraId="50536744" w14:textId="77777777" w:rsidR="00E65D43" w:rsidRPr="00152762" w:rsidRDefault="00E65D43" w:rsidP="00223037">
            <w:pPr>
              <w:pStyle w:val="Tabletext"/>
              <w:rPr>
                <w:i/>
              </w:rPr>
            </w:pPr>
            <w:r>
              <w:rPr>
                <w:i/>
              </w:rPr>
              <w:lastRenderedPageBreak/>
              <w:t>Second course: 22 (73%)</w:t>
            </w:r>
          </w:p>
        </w:tc>
        <w:tc>
          <w:tcPr>
            <w:tcW w:w="2088" w:type="dxa"/>
            <w:shd w:val="clear" w:color="auto" w:fill="FFFFFF" w:themeFill="background1"/>
          </w:tcPr>
          <w:p w14:paraId="2AAD8C52" w14:textId="77777777" w:rsidR="00E65D43" w:rsidRPr="003F488C" w:rsidRDefault="00E65D43" w:rsidP="00223037">
            <w:pPr>
              <w:pStyle w:val="Tabletext"/>
              <w:rPr>
                <w:i/>
                <w:u w:val="single"/>
              </w:rPr>
            </w:pPr>
            <w:r w:rsidRPr="003F488C">
              <w:rPr>
                <w:i/>
                <w:u w:val="single"/>
              </w:rPr>
              <w:lastRenderedPageBreak/>
              <w:t>HAMD6</w:t>
            </w:r>
          </w:p>
          <w:p w14:paraId="5EECFFDA" w14:textId="77777777" w:rsidR="00E65D43" w:rsidRDefault="00E65D43" w:rsidP="00223037">
            <w:pPr>
              <w:pStyle w:val="Tabletext"/>
              <w:rPr>
                <w:i/>
              </w:rPr>
            </w:pPr>
            <w:r>
              <w:rPr>
                <w:i/>
              </w:rPr>
              <w:t>Remission ≤4</w:t>
            </w:r>
          </w:p>
          <w:p w14:paraId="452034C6" w14:textId="77777777" w:rsidR="00E65D43" w:rsidRDefault="00E65D43" w:rsidP="00223037">
            <w:pPr>
              <w:pStyle w:val="Tabletext"/>
              <w:rPr>
                <w:b/>
                <w:i/>
              </w:rPr>
            </w:pPr>
            <w:r w:rsidRPr="003F488C">
              <w:rPr>
                <w:b/>
                <w:i/>
              </w:rPr>
              <w:t>Relapse &gt;7</w:t>
            </w:r>
          </w:p>
          <w:p w14:paraId="7F955CF4" w14:textId="77777777" w:rsidR="00E65D43" w:rsidRPr="003F488C" w:rsidRDefault="00E65D43" w:rsidP="00223037">
            <w:pPr>
              <w:pStyle w:val="Tabletext"/>
              <w:rPr>
                <w:i/>
              </w:rPr>
            </w:pPr>
            <w:r w:rsidRPr="003F488C">
              <w:rPr>
                <w:i/>
              </w:rPr>
              <w:t>Partial remission 4 -7</w:t>
            </w:r>
          </w:p>
          <w:p w14:paraId="201BF25B" w14:textId="77777777" w:rsidR="00E65D43" w:rsidRPr="003F488C" w:rsidRDefault="00E65D43" w:rsidP="00223037">
            <w:pPr>
              <w:pStyle w:val="Tabletext"/>
              <w:rPr>
                <w:i/>
                <w:u w:val="single"/>
              </w:rPr>
            </w:pPr>
            <w:r w:rsidRPr="003F488C">
              <w:rPr>
                <w:i/>
                <w:u w:val="single"/>
              </w:rPr>
              <w:t>CGI-S</w:t>
            </w:r>
          </w:p>
          <w:p w14:paraId="6B2D4E52" w14:textId="77777777" w:rsidR="00E65D43" w:rsidRDefault="00E65D43" w:rsidP="00223037">
            <w:pPr>
              <w:pStyle w:val="Tabletext"/>
              <w:rPr>
                <w:i/>
              </w:rPr>
            </w:pPr>
            <w:r>
              <w:rPr>
                <w:i/>
              </w:rPr>
              <w:t>Remission &gt;2</w:t>
            </w:r>
          </w:p>
          <w:p w14:paraId="442281A5" w14:textId="77777777" w:rsidR="00E65D43" w:rsidRPr="005A126F" w:rsidRDefault="00E65D43" w:rsidP="00223037">
            <w:pPr>
              <w:pStyle w:val="Tabletext"/>
              <w:rPr>
                <w:i/>
              </w:rPr>
            </w:pPr>
          </w:p>
        </w:tc>
        <w:tc>
          <w:tcPr>
            <w:tcW w:w="851" w:type="dxa"/>
            <w:shd w:val="clear" w:color="auto" w:fill="FFFFFF" w:themeFill="background1"/>
          </w:tcPr>
          <w:p w14:paraId="7AD47978" w14:textId="77777777" w:rsidR="00E65D43" w:rsidRPr="005A126F" w:rsidRDefault="00E65D43" w:rsidP="00223037">
            <w:pPr>
              <w:pStyle w:val="Tabletext"/>
              <w:rPr>
                <w:i/>
              </w:rPr>
            </w:pPr>
            <w:r>
              <w:rPr>
                <w:i/>
              </w:rPr>
              <w:lastRenderedPageBreak/>
              <w:t>No</w:t>
            </w:r>
          </w:p>
        </w:tc>
        <w:tc>
          <w:tcPr>
            <w:tcW w:w="850" w:type="dxa"/>
            <w:shd w:val="clear" w:color="auto" w:fill="FFFFFF" w:themeFill="background1"/>
          </w:tcPr>
          <w:p w14:paraId="4444EB54" w14:textId="77777777" w:rsidR="00E65D43" w:rsidRPr="005A126F" w:rsidRDefault="00E65D43" w:rsidP="00223037">
            <w:pPr>
              <w:pStyle w:val="Tabletext"/>
              <w:rPr>
                <w:i/>
              </w:rPr>
            </w:pPr>
            <w:r>
              <w:rPr>
                <w:i/>
              </w:rPr>
              <w:t>No</w:t>
            </w:r>
          </w:p>
        </w:tc>
        <w:tc>
          <w:tcPr>
            <w:tcW w:w="851" w:type="dxa"/>
            <w:shd w:val="clear" w:color="auto" w:fill="FFFFFF" w:themeFill="background1"/>
          </w:tcPr>
          <w:p w14:paraId="2304BD60" w14:textId="77777777" w:rsidR="00E65D43" w:rsidRPr="005A126F" w:rsidRDefault="00E65D43" w:rsidP="00223037">
            <w:pPr>
              <w:pStyle w:val="Tabletext"/>
              <w:rPr>
                <w:i/>
              </w:rPr>
            </w:pPr>
            <w:r>
              <w:rPr>
                <w:i/>
              </w:rPr>
              <w:t>No</w:t>
            </w:r>
          </w:p>
        </w:tc>
        <w:tc>
          <w:tcPr>
            <w:tcW w:w="837" w:type="dxa"/>
            <w:shd w:val="clear" w:color="auto" w:fill="FFFFFF" w:themeFill="background1"/>
          </w:tcPr>
          <w:p w14:paraId="07E1C6C6" w14:textId="77777777" w:rsidR="00E65D43" w:rsidRPr="005A126F" w:rsidRDefault="00E65D43" w:rsidP="00223037">
            <w:pPr>
              <w:pStyle w:val="Tabletext"/>
              <w:rPr>
                <w:i/>
              </w:rPr>
            </w:pPr>
            <w:r>
              <w:rPr>
                <w:i/>
              </w:rPr>
              <w:t>Failed ADs (did not specify number of AD trials)</w:t>
            </w:r>
          </w:p>
        </w:tc>
        <w:tc>
          <w:tcPr>
            <w:tcW w:w="544" w:type="dxa"/>
            <w:shd w:val="clear" w:color="auto" w:fill="FFFFFF" w:themeFill="background1"/>
          </w:tcPr>
          <w:p w14:paraId="7B934490" w14:textId="77777777" w:rsidR="00E65D43" w:rsidRPr="005A126F" w:rsidRDefault="00E65D43" w:rsidP="00223037">
            <w:pPr>
              <w:pStyle w:val="Tabletext"/>
              <w:rPr>
                <w:i/>
              </w:rPr>
            </w:pPr>
            <w:r>
              <w:rPr>
                <w:i/>
              </w:rPr>
              <w:t>Add on</w:t>
            </w:r>
          </w:p>
        </w:tc>
      </w:tr>
      <w:tr w:rsidR="00E65D43" w:rsidRPr="00D82D3D" w14:paraId="6EABD6BE" w14:textId="77777777" w:rsidTr="00223037">
        <w:tc>
          <w:tcPr>
            <w:tcW w:w="958" w:type="dxa"/>
          </w:tcPr>
          <w:p w14:paraId="10C54C6F" w14:textId="77777777" w:rsidR="00E65D43" w:rsidRPr="00D82D3D" w:rsidRDefault="00E65D43" w:rsidP="00223037">
            <w:pPr>
              <w:pStyle w:val="Tabletext"/>
            </w:pPr>
            <w:r w:rsidRPr="00D82D3D">
              <w:t>Kelly</w:t>
            </w:r>
            <w:r>
              <w:t xml:space="preserve"> et al. 2016</w:t>
            </w:r>
          </w:p>
        </w:tc>
        <w:tc>
          <w:tcPr>
            <w:tcW w:w="1141" w:type="dxa"/>
          </w:tcPr>
          <w:p w14:paraId="7C1206B4" w14:textId="77777777" w:rsidR="00E65D43" w:rsidRPr="00BD1388" w:rsidRDefault="00E65D43" w:rsidP="00223037">
            <w:pPr>
              <w:pStyle w:val="Tabletext"/>
              <w:rPr>
                <w:i/>
              </w:rPr>
            </w:pPr>
            <w:r>
              <w:rPr>
                <w:i/>
              </w:rPr>
              <w:t>Retrospective chart review</w:t>
            </w:r>
          </w:p>
        </w:tc>
        <w:tc>
          <w:tcPr>
            <w:tcW w:w="1260" w:type="dxa"/>
          </w:tcPr>
          <w:p w14:paraId="5A981310" w14:textId="77777777" w:rsidR="00E65D43" w:rsidRPr="00D82D3D" w:rsidRDefault="00E65D43" w:rsidP="00223037">
            <w:pPr>
              <w:pStyle w:val="Tabletext"/>
            </w:pPr>
            <w:r w:rsidRPr="00D82D3D">
              <w:t>16 patients had a second course out of 225 studied</w:t>
            </w:r>
          </w:p>
        </w:tc>
        <w:tc>
          <w:tcPr>
            <w:tcW w:w="579" w:type="dxa"/>
          </w:tcPr>
          <w:p w14:paraId="17202767" w14:textId="77777777" w:rsidR="00E65D43" w:rsidRPr="00D82D3D" w:rsidRDefault="00E65D43" w:rsidP="00223037">
            <w:pPr>
              <w:pStyle w:val="Tabletext"/>
            </w:pPr>
          </w:p>
        </w:tc>
        <w:tc>
          <w:tcPr>
            <w:tcW w:w="921" w:type="dxa"/>
          </w:tcPr>
          <w:p w14:paraId="4794650C" w14:textId="77777777" w:rsidR="00E65D43" w:rsidRPr="00D82D3D" w:rsidRDefault="00E65D43" w:rsidP="00223037">
            <w:pPr>
              <w:pStyle w:val="Tabletext"/>
            </w:pPr>
          </w:p>
        </w:tc>
        <w:tc>
          <w:tcPr>
            <w:tcW w:w="1070" w:type="dxa"/>
          </w:tcPr>
          <w:p w14:paraId="22F553E7" w14:textId="77777777" w:rsidR="00E65D43" w:rsidRPr="00D82D3D" w:rsidRDefault="00E65D43" w:rsidP="00223037">
            <w:pPr>
              <w:pStyle w:val="Tabletext"/>
            </w:pPr>
          </w:p>
        </w:tc>
        <w:tc>
          <w:tcPr>
            <w:tcW w:w="1256" w:type="dxa"/>
          </w:tcPr>
          <w:p w14:paraId="38A096E4" w14:textId="77777777" w:rsidR="00E65D43" w:rsidRPr="00FB277D" w:rsidRDefault="00E65D43" w:rsidP="00223037">
            <w:pPr>
              <w:pStyle w:val="Tabletext"/>
              <w:rPr>
                <w:i/>
              </w:rPr>
            </w:pPr>
            <w:r w:rsidRPr="00FB277D">
              <w:rPr>
                <w:i/>
              </w:rPr>
              <w:t>Reintroduction defined as ≥3 sessions per week, &gt;2 weeks &lt;3 months (30 sessions)</w:t>
            </w:r>
          </w:p>
        </w:tc>
        <w:tc>
          <w:tcPr>
            <w:tcW w:w="1167" w:type="dxa"/>
          </w:tcPr>
          <w:p w14:paraId="03C977BB" w14:textId="77777777" w:rsidR="00E65D43" w:rsidRPr="00D82D3D" w:rsidRDefault="00E65D43" w:rsidP="00223037">
            <w:pPr>
              <w:rPr>
                <w:rFonts w:ascii="Arial Narrow" w:hAnsi="Arial Narrow"/>
                <w:sz w:val="20"/>
              </w:rPr>
            </w:pPr>
            <w:r w:rsidRPr="00D82D3D">
              <w:rPr>
                <w:rFonts w:ascii="Arial Narrow" w:hAnsi="Arial Narrow"/>
                <w:sz w:val="20"/>
              </w:rPr>
              <w:t xml:space="preserve">Average percent change in BDI across induction was similar to that after reintroduction (57.967.7% and 56.569.4%, respectively; paired-samples t test, p=0.9) (Figure 1). Ten of 16 (62.5%) patients were responders to the initial rTMS treatment course, and 11 of 16 (68.8%) patients were </w:t>
            </w:r>
            <w:r w:rsidRPr="00D82D3D">
              <w:rPr>
                <w:rFonts w:ascii="Arial Narrow" w:hAnsi="Arial Narrow"/>
                <w:sz w:val="20"/>
              </w:rPr>
              <w:lastRenderedPageBreak/>
              <w:t>responders to reintroduction.</w:t>
            </w:r>
          </w:p>
          <w:p w14:paraId="6302FEAC" w14:textId="77777777" w:rsidR="00E65D43" w:rsidRPr="00D82D3D" w:rsidRDefault="00E65D43" w:rsidP="00223037">
            <w:pPr>
              <w:pStyle w:val="Tabletext"/>
            </w:pPr>
          </w:p>
        </w:tc>
        <w:tc>
          <w:tcPr>
            <w:tcW w:w="895" w:type="dxa"/>
          </w:tcPr>
          <w:p w14:paraId="04F1001A" w14:textId="77777777" w:rsidR="00E65D43" w:rsidRPr="00D82D3D" w:rsidRDefault="00E65D43" w:rsidP="00223037">
            <w:pPr>
              <w:pStyle w:val="Tabletext"/>
            </w:pPr>
          </w:p>
        </w:tc>
        <w:tc>
          <w:tcPr>
            <w:tcW w:w="2088" w:type="dxa"/>
            <w:shd w:val="clear" w:color="auto" w:fill="FFFFFF" w:themeFill="background1"/>
          </w:tcPr>
          <w:p w14:paraId="2C9DA356" w14:textId="77777777" w:rsidR="00E65D43" w:rsidRDefault="00E65D43" w:rsidP="00223037">
            <w:pPr>
              <w:pStyle w:val="Tabletext"/>
              <w:rPr>
                <w:i/>
              </w:rPr>
            </w:pPr>
            <w:r>
              <w:rPr>
                <w:i/>
              </w:rPr>
              <w:t>BDI</w:t>
            </w:r>
          </w:p>
          <w:p w14:paraId="368FF56E" w14:textId="77777777" w:rsidR="00E65D43" w:rsidRDefault="00E65D43" w:rsidP="00223037">
            <w:pPr>
              <w:pStyle w:val="Tabletext"/>
              <w:rPr>
                <w:i/>
              </w:rPr>
            </w:pPr>
            <w:r>
              <w:rPr>
                <w:i/>
              </w:rPr>
              <w:t>Response: &gt;50% reduction</w:t>
            </w:r>
          </w:p>
          <w:p w14:paraId="4BC758F9" w14:textId="77777777" w:rsidR="00E65D43" w:rsidRPr="005A126F" w:rsidRDefault="00E65D43" w:rsidP="00223037">
            <w:pPr>
              <w:pStyle w:val="Tabletext"/>
              <w:rPr>
                <w:i/>
              </w:rPr>
            </w:pPr>
            <w:r>
              <w:rPr>
                <w:i/>
              </w:rPr>
              <w:t>Partial response 25%-50% reduction</w:t>
            </w:r>
          </w:p>
        </w:tc>
        <w:tc>
          <w:tcPr>
            <w:tcW w:w="851" w:type="dxa"/>
            <w:shd w:val="clear" w:color="auto" w:fill="FFFFFF" w:themeFill="background1"/>
          </w:tcPr>
          <w:p w14:paraId="39AD2465" w14:textId="77777777" w:rsidR="00E65D43" w:rsidRPr="005A126F" w:rsidRDefault="00E65D43" w:rsidP="00223037">
            <w:pPr>
              <w:pStyle w:val="Tabletext"/>
              <w:rPr>
                <w:i/>
              </w:rPr>
            </w:pPr>
            <w:r>
              <w:rPr>
                <w:i/>
              </w:rPr>
              <w:t>No</w:t>
            </w:r>
          </w:p>
        </w:tc>
        <w:tc>
          <w:tcPr>
            <w:tcW w:w="850" w:type="dxa"/>
            <w:shd w:val="clear" w:color="auto" w:fill="FFFFFF" w:themeFill="background1"/>
          </w:tcPr>
          <w:p w14:paraId="425A0BA9" w14:textId="77777777" w:rsidR="00E65D43" w:rsidRPr="005A126F" w:rsidRDefault="00E65D43" w:rsidP="00223037">
            <w:pPr>
              <w:pStyle w:val="Tabletext"/>
              <w:rPr>
                <w:i/>
              </w:rPr>
            </w:pPr>
            <w:r>
              <w:rPr>
                <w:i/>
              </w:rPr>
              <w:t>No</w:t>
            </w:r>
          </w:p>
        </w:tc>
        <w:tc>
          <w:tcPr>
            <w:tcW w:w="851" w:type="dxa"/>
            <w:shd w:val="clear" w:color="auto" w:fill="FFFFFF" w:themeFill="background1"/>
          </w:tcPr>
          <w:p w14:paraId="137E2B7D" w14:textId="77777777" w:rsidR="00E65D43" w:rsidRPr="005A126F" w:rsidRDefault="00E65D43" w:rsidP="00223037">
            <w:pPr>
              <w:pStyle w:val="Tabletext"/>
              <w:rPr>
                <w:i/>
              </w:rPr>
            </w:pPr>
            <w:r>
              <w:rPr>
                <w:i/>
              </w:rPr>
              <w:t>No</w:t>
            </w:r>
          </w:p>
        </w:tc>
        <w:tc>
          <w:tcPr>
            <w:tcW w:w="837" w:type="dxa"/>
            <w:shd w:val="clear" w:color="auto" w:fill="FFFFFF" w:themeFill="background1"/>
          </w:tcPr>
          <w:p w14:paraId="6A570CC2" w14:textId="77777777" w:rsidR="00E65D43" w:rsidRPr="005A126F" w:rsidRDefault="00E65D43" w:rsidP="00223037">
            <w:pPr>
              <w:pStyle w:val="Tabletext"/>
              <w:rPr>
                <w:i/>
              </w:rPr>
            </w:pPr>
            <w:r w:rsidRPr="005A126F">
              <w:rPr>
                <w:rFonts w:eastAsiaTheme="minorEastAsia"/>
                <w:i/>
                <w:lang w:val="en-GB"/>
              </w:rPr>
              <w:t>≥2</w:t>
            </w:r>
          </w:p>
        </w:tc>
        <w:tc>
          <w:tcPr>
            <w:tcW w:w="544" w:type="dxa"/>
            <w:shd w:val="clear" w:color="auto" w:fill="FFFFFF" w:themeFill="background1"/>
          </w:tcPr>
          <w:p w14:paraId="28917114" w14:textId="77777777" w:rsidR="00E65D43" w:rsidRPr="005A126F" w:rsidRDefault="00E65D43" w:rsidP="00223037">
            <w:pPr>
              <w:pStyle w:val="Tabletext"/>
              <w:rPr>
                <w:i/>
              </w:rPr>
            </w:pPr>
            <w:r>
              <w:rPr>
                <w:i/>
              </w:rPr>
              <w:t>Add on</w:t>
            </w:r>
          </w:p>
        </w:tc>
      </w:tr>
    </w:tbl>
    <w:p w14:paraId="515A25FE" w14:textId="77777777" w:rsidR="00E65D43" w:rsidRPr="00DF4D38" w:rsidRDefault="00E65D43" w:rsidP="00E65D43">
      <w:pPr>
        <w:pStyle w:val="Tablenotes1"/>
        <w:rPr>
          <w:i/>
        </w:rPr>
      </w:pPr>
      <w:r>
        <w:t xml:space="preserve"> Source: Table 1, Applicant response </w:t>
      </w:r>
      <w:r w:rsidRPr="00DF4D38">
        <w:rPr>
          <w:i/>
        </w:rPr>
        <w:t>and extracted data from publications (Demirtas-Tatlidede 2008, Fitzgerald 2006, Janicak 2010, Dunner 2014, Philip 2016, Pridmore 2019, Kelly 2016)</w:t>
      </w:r>
    </w:p>
    <w:p w14:paraId="0A705B91" w14:textId="77777777" w:rsidR="00E65D43" w:rsidRDefault="00E65D43" w:rsidP="00E65D43">
      <w:pPr>
        <w:pStyle w:val="Tablenotes1"/>
        <w:spacing w:after="360"/>
      </w:pPr>
      <w:r>
        <w:t>Abbreviations: AD = antidepressant; BDI = Beck Depression Inventory; CGI-S = Clinician-Reported Clinical Global Impressions-Severity of Illness scale; DSM_IV = Diagnostic and Statistical Manual of Mental Disorders;  HAMD = Hamilton Depression Rating Scale; IDS-SR = patient-reported Inventory of Depressive Symptoms-Self Report;  MADRS = Montgomery-Ashber; MBS = Medicare Benefits Schedule; MD = major depression; MC = multi centre; OL = open label; PHQ-9 = 9-Item Patient Health Questionnaire; QIDS-SR = Quick Inventory of Depressive Symptoms Self report 16 Item version; RCT = randomised controlled trial; rTMS = repetitive transcranial magnetic stimulation; SD = standard deviation;  SR = systematic review</w:t>
      </w:r>
    </w:p>
    <w:p w14:paraId="1375786F" w14:textId="46DFFF6F" w:rsidR="00E65D43" w:rsidRDefault="00E65D43" w:rsidP="00E65D43">
      <w:pPr>
        <w:pStyle w:val="Tablefootnote"/>
        <w:rPr>
          <w:i/>
          <w:color w:val="000000" w:themeColor="text1"/>
        </w:rPr>
      </w:pPr>
      <w:r w:rsidRPr="00982230">
        <w:rPr>
          <w:i/>
          <w:color w:val="000000" w:themeColor="text1"/>
        </w:rPr>
        <w:t xml:space="preserve">Note italicised includes </w:t>
      </w:r>
      <w:r>
        <w:rPr>
          <w:i/>
          <w:color w:val="000000" w:themeColor="text1"/>
        </w:rPr>
        <w:t xml:space="preserve">data added in by the </w:t>
      </w:r>
      <w:r w:rsidRPr="00982230">
        <w:rPr>
          <w:i/>
          <w:color w:val="000000" w:themeColor="text1"/>
        </w:rPr>
        <w:t xml:space="preserve">Department </w:t>
      </w:r>
      <w:r w:rsidR="006C19FD">
        <w:rPr>
          <w:i/>
          <w:color w:val="000000" w:themeColor="text1"/>
        </w:rPr>
        <w:t>from the a</w:t>
      </w:r>
      <w:r>
        <w:rPr>
          <w:i/>
          <w:color w:val="000000" w:themeColor="text1"/>
        </w:rPr>
        <w:t>pplicant’s evidence pack for Application 1196.3</w:t>
      </w:r>
    </w:p>
    <w:p w14:paraId="1C99FAFD" w14:textId="77777777" w:rsidR="00E65D43" w:rsidRDefault="00E65D43" w:rsidP="00E65D43">
      <w:pPr>
        <w:pStyle w:val="Tablefootnote"/>
        <w:rPr>
          <w:i/>
          <w:color w:val="000000" w:themeColor="text1"/>
        </w:rPr>
        <w:sectPr w:rsidR="00E65D43" w:rsidSect="00E65D43">
          <w:footerReference w:type="default" r:id="rId17"/>
          <w:pgSz w:w="16838" w:h="11906" w:orient="landscape"/>
          <w:pgMar w:top="1440" w:right="1134" w:bottom="1440" w:left="426" w:header="708" w:footer="708" w:gutter="0"/>
          <w:cols w:space="708"/>
          <w:docGrid w:linePitch="360"/>
        </w:sectPr>
      </w:pPr>
    </w:p>
    <w:p w14:paraId="6824BD72" w14:textId="1DBF3168" w:rsidR="00A428E9" w:rsidRPr="00F715D1" w:rsidRDefault="00A428E9" w:rsidP="00A428E9">
      <w:pPr>
        <w:pStyle w:val="Heading1"/>
      </w:pPr>
      <w:r w:rsidRPr="00F715D1">
        <w:lastRenderedPageBreak/>
        <w:t>Economic evaluation</w:t>
      </w:r>
    </w:p>
    <w:p w14:paraId="0D97C372" w14:textId="77777777" w:rsidR="007D662E" w:rsidRDefault="007D662E" w:rsidP="007D662E">
      <w:r>
        <w:t xml:space="preserve">Previously, </w:t>
      </w:r>
      <w:r w:rsidRPr="0094214B">
        <w:t>MSAC noted that the economic model was not appropriately structured or populated to specifically assess the cost-effectiveness of retreatment with rTMS</w:t>
      </w:r>
      <w:r>
        <w:t>.</w:t>
      </w:r>
      <w:r w:rsidRPr="0094214B">
        <w:t xml:space="preserve"> </w:t>
      </w:r>
      <w:r>
        <w:t>G</w:t>
      </w:r>
      <w:r w:rsidRPr="0094214B">
        <w:t>iven the short time horizon of the model (3 years), the full benefits of retreatment may not be realised.</w:t>
      </w:r>
      <w:r w:rsidRPr="00527440">
        <w:t xml:space="preserve"> </w:t>
      </w:r>
      <w:r>
        <w:t xml:space="preserve">MSAC noted that despite structural and input issues with the model, the respecified base case and sensitivity analyses in the Critique show that rTMS largely remains cost-effective (ICER less than </w:t>
      </w:r>
      <w:r w:rsidRPr="006B481F">
        <w:t>$50,000/</w:t>
      </w:r>
      <w:r>
        <w:t>quality-adjusted life year [</w:t>
      </w:r>
      <w:r w:rsidRPr="006B481F">
        <w:t>QALY</w:t>
      </w:r>
      <w:r>
        <w:t>]) (Application No. 1196.2 PSD, p</w:t>
      </w:r>
      <w:r w:rsidRPr="007B598A">
        <w:t>.</w:t>
      </w:r>
      <w:r>
        <w:t>4).</w:t>
      </w:r>
    </w:p>
    <w:p w14:paraId="1231A703" w14:textId="77777777" w:rsidR="00A428E9" w:rsidRPr="00F715D1" w:rsidRDefault="00A428E9" w:rsidP="00A428E9">
      <w:pPr>
        <w:pStyle w:val="Heading1"/>
      </w:pPr>
      <w:r w:rsidRPr="00F715D1">
        <w:t>Financial/budgetary impacts</w:t>
      </w:r>
    </w:p>
    <w:p w14:paraId="6D13B680" w14:textId="1489D0F8" w:rsidR="007D662E" w:rsidRDefault="007D662E" w:rsidP="00A25FF3">
      <w:pPr>
        <w:spacing w:after="240"/>
      </w:pPr>
      <w:r>
        <w:t>The financial estimates from MSAC 1196.2 using an epidemiological approach were updated by</w:t>
      </w:r>
      <w:r w:rsidR="006C19FD">
        <w:t xml:space="preserve"> the Department to include the a</w:t>
      </w:r>
      <w:r>
        <w:t xml:space="preserve">pplicant’s current proposed values for rTMS retreatment, which were largely similar to previous values used in previous </w:t>
      </w:r>
      <w:r w:rsidR="00E51CCB">
        <w:t>iterations of MSAC 1196 (Table 5</w:t>
      </w:r>
      <w:r w:rsidR="00A25FF3">
        <w:t>).</w:t>
      </w:r>
    </w:p>
    <w:p w14:paraId="284D3E51" w14:textId="6DF8825D" w:rsidR="007D662E" w:rsidRPr="005B5918" w:rsidRDefault="00E51CCB" w:rsidP="005B5918">
      <w:pPr>
        <w:rPr>
          <w:rFonts w:ascii="Arial Narrow" w:hAnsi="Arial Narrow"/>
          <w:b/>
          <w:sz w:val="20"/>
        </w:rPr>
      </w:pPr>
      <w:r w:rsidRPr="005B5918">
        <w:rPr>
          <w:rFonts w:ascii="Arial Narrow" w:hAnsi="Arial Narrow"/>
          <w:b/>
          <w:sz w:val="20"/>
        </w:rPr>
        <w:t>Table 5</w:t>
      </w:r>
      <w:r w:rsidR="007D662E" w:rsidRPr="005B5918">
        <w:rPr>
          <w:rFonts w:ascii="Arial Narrow" w:hAnsi="Arial Narrow"/>
          <w:b/>
          <w:sz w:val="20"/>
        </w:rPr>
        <w:tab/>
        <w:t>Summary of rTMS retreatment from previous iterations of MSAC 1196 (shaded grey is current application)</w:t>
      </w:r>
    </w:p>
    <w:tbl>
      <w:tblPr>
        <w:tblStyle w:val="TableGrid"/>
        <w:tblW w:w="9351" w:type="dxa"/>
        <w:tblLayout w:type="fixed"/>
        <w:tblCellMar>
          <w:left w:w="28" w:type="dxa"/>
          <w:right w:w="28" w:type="dxa"/>
        </w:tblCellMar>
        <w:tblLook w:val="04A0" w:firstRow="1" w:lastRow="0" w:firstColumn="1" w:lastColumn="0" w:noHBand="0" w:noVBand="1"/>
        <w:tblCaption w:val="Summary of rTMS retreatment from previous iterations of MSAC 1196 (shaded grey is current application)"/>
        <w:tblDescription w:val="Summary of rTMS reatreatment variables throught MSAC 1196 application series"/>
      </w:tblPr>
      <w:tblGrid>
        <w:gridCol w:w="1159"/>
        <w:gridCol w:w="892"/>
        <w:gridCol w:w="1065"/>
        <w:gridCol w:w="935"/>
        <w:gridCol w:w="1045"/>
        <w:gridCol w:w="935"/>
        <w:gridCol w:w="1023"/>
        <w:gridCol w:w="994"/>
        <w:gridCol w:w="1303"/>
      </w:tblGrid>
      <w:tr w:rsidR="007D662E" w14:paraId="0286F070" w14:textId="77777777" w:rsidTr="00E51CCB">
        <w:trPr>
          <w:tblHeader/>
        </w:trPr>
        <w:tc>
          <w:tcPr>
            <w:tcW w:w="1159" w:type="dxa"/>
            <w:tcBorders>
              <w:right w:val="single" w:sz="4" w:space="0" w:color="auto"/>
            </w:tcBorders>
          </w:tcPr>
          <w:p w14:paraId="365C7FF8" w14:textId="77777777" w:rsidR="007D662E" w:rsidRPr="006319BD" w:rsidRDefault="007D662E" w:rsidP="00223037">
            <w:pPr>
              <w:pStyle w:val="Tabletext"/>
              <w:rPr>
                <w:b/>
              </w:rPr>
            </w:pPr>
          </w:p>
        </w:tc>
        <w:tc>
          <w:tcPr>
            <w:tcW w:w="892" w:type="dxa"/>
            <w:tcBorders>
              <w:top w:val="single" w:sz="4" w:space="0" w:color="auto"/>
              <w:left w:val="single" w:sz="4" w:space="0" w:color="auto"/>
              <w:bottom w:val="single" w:sz="4" w:space="0" w:color="auto"/>
              <w:right w:val="nil"/>
            </w:tcBorders>
          </w:tcPr>
          <w:p w14:paraId="15A61F11" w14:textId="77777777" w:rsidR="007D662E" w:rsidRPr="006319BD" w:rsidRDefault="007D662E" w:rsidP="00223037">
            <w:pPr>
              <w:pStyle w:val="Tabletext"/>
              <w:rPr>
                <w:b/>
              </w:rPr>
            </w:pPr>
            <w:r w:rsidRPr="006319BD">
              <w:rPr>
                <w:b/>
              </w:rPr>
              <w:t>MSAC 1196</w:t>
            </w:r>
          </w:p>
        </w:tc>
        <w:tc>
          <w:tcPr>
            <w:tcW w:w="1065" w:type="dxa"/>
            <w:tcBorders>
              <w:top w:val="single" w:sz="4" w:space="0" w:color="auto"/>
              <w:left w:val="nil"/>
              <w:bottom w:val="single" w:sz="4" w:space="0" w:color="auto"/>
              <w:right w:val="single" w:sz="4" w:space="0" w:color="auto"/>
            </w:tcBorders>
          </w:tcPr>
          <w:p w14:paraId="21029E14" w14:textId="77777777" w:rsidR="007D662E" w:rsidRPr="006319BD" w:rsidRDefault="007D662E" w:rsidP="00223037">
            <w:pPr>
              <w:pStyle w:val="Tabletext"/>
              <w:rPr>
                <w:b/>
              </w:rPr>
            </w:pPr>
          </w:p>
        </w:tc>
        <w:tc>
          <w:tcPr>
            <w:tcW w:w="935" w:type="dxa"/>
            <w:tcBorders>
              <w:top w:val="single" w:sz="4" w:space="0" w:color="auto"/>
              <w:left w:val="single" w:sz="4" w:space="0" w:color="auto"/>
              <w:bottom w:val="single" w:sz="4" w:space="0" w:color="auto"/>
              <w:right w:val="nil"/>
            </w:tcBorders>
          </w:tcPr>
          <w:p w14:paraId="7C772301" w14:textId="77777777" w:rsidR="007D662E" w:rsidRPr="006319BD" w:rsidRDefault="007D662E" w:rsidP="00223037">
            <w:pPr>
              <w:pStyle w:val="Tabletext"/>
              <w:rPr>
                <w:b/>
              </w:rPr>
            </w:pPr>
            <w:r w:rsidRPr="006319BD">
              <w:rPr>
                <w:b/>
              </w:rPr>
              <w:t>MSAC 1196.1</w:t>
            </w:r>
          </w:p>
        </w:tc>
        <w:tc>
          <w:tcPr>
            <w:tcW w:w="1045" w:type="dxa"/>
            <w:tcBorders>
              <w:top w:val="single" w:sz="4" w:space="0" w:color="auto"/>
              <w:left w:val="nil"/>
              <w:bottom w:val="single" w:sz="4" w:space="0" w:color="auto"/>
              <w:right w:val="single" w:sz="4" w:space="0" w:color="auto"/>
            </w:tcBorders>
          </w:tcPr>
          <w:p w14:paraId="0186D0FB" w14:textId="77777777" w:rsidR="007D662E" w:rsidRPr="006319BD" w:rsidRDefault="007D662E" w:rsidP="00223037">
            <w:pPr>
              <w:pStyle w:val="Tabletext"/>
              <w:rPr>
                <w:b/>
              </w:rPr>
            </w:pPr>
          </w:p>
        </w:tc>
        <w:tc>
          <w:tcPr>
            <w:tcW w:w="935" w:type="dxa"/>
            <w:tcBorders>
              <w:top w:val="single" w:sz="4" w:space="0" w:color="auto"/>
              <w:left w:val="single" w:sz="4" w:space="0" w:color="auto"/>
              <w:bottom w:val="single" w:sz="4" w:space="0" w:color="auto"/>
              <w:right w:val="nil"/>
            </w:tcBorders>
          </w:tcPr>
          <w:p w14:paraId="2C0BEB27" w14:textId="77777777" w:rsidR="007D662E" w:rsidRPr="006319BD" w:rsidRDefault="007D662E" w:rsidP="00223037">
            <w:pPr>
              <w:pStyle w:val="Tabletext"/>
              <w:rPr>
                <w:b/>
              </w:rPr>
            </w:pPr>
            <w:r w:rsidRPr="006319BD">
              <w:rPr>
                <w:b/>
              </w:rPr>
              <w:t>MSAC 1196.2</w:t>
            </w:r>
          </w:p>
        </w:tc>
        <w:tc>
          <w:tcPr>
            <w:tcW w:w="1023" w:type="dxa"/>
            <w:tcBorders>
              <w:top w:val="single" w:sz="4" w:space="0" w:color="auto"/>
              <w:left w:val="nil"/>
              <w:bottom w:val="single" w:sz="4" w:space="0" w:color="auto"/>
              <w:right w:val="single" w:sz="4" w:space="0" w:color="auto"/>
            </w:tcBorders>
          </w:tcPr>
          <w:p w14:paraId="6048F2F6" w14:textId="77777777" w:rsidR="007D662E" w:rsidRPr="006319BD" w:rsidRDefault="007D662E" w:rsidP="00223037">
            <w:pPr>
              <w:pStyle w:val="Tabletext"/>
              <w:rPr>
                <w:b/>
              </w:rPr>
            </w:pPr>
          </w:p>
        </w:tc>
        <w:tc>
          <w:tcPr>
            <w:tcW w:w="994" w:type="dxa"/>
            <w:tcBorders>
              <w:top w:val="single" w:sz="4" w:space="0" w:color="auto"/>
              <w:left w:val="single" w:sz="4" w:space="0" w:color="auto"/>
              <w:bottom w:val="single" w:sz="4" w:space="0" w:color="auto"/>
              <w:right w:val="nil"/>
            </w:tcBorders>
            <w:shd w:val="clear" w:color="auto" w:fill="D9D9D9" w:themeFill="background1" w:themeFillShade="D9"/>
          </w:tcPr>
          <w:p w14:paraId="699DAAC2" w14:textId="77777777" w:rsidR="007D662E" w:rsidRDefault="007D662E" w:rsidP="00223037">
            <w:pPr>
              <w:pStyle w:val="Tabletext"/>
              <w:rPr>
                <w:b/>
              </w:rPr>
            </w:pPr>
            <w:r>
              <w:rPr>
                <w:b/>
              </w:rPr>
              <w:t>MSAC</w:t>
            </w:r>
          </w:p>
          <w:p w14:paraId="60ACBF79" w14:textId="77777777" w:rsidR="007D662E" w:rsidRPr="006319BD" w:rsidRDefault="007D662E" w:rsidP="00223037">
            <w:pPr>
              <w:pStyle w:val="Tabletext"/>
              <w:rPr>
                <w:b/>
              </w:rPr>
            </w:pPr>
            <w:r>
              <w:rPr>
                <w:b/>
              </w:rPr>
              <w:t>1196.3</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tcPr>
          <w:p w14:paraId="5E3A6D7B" w14:textId="77777777" w:rsidR="007D662E" w:rsidRDefault="007D662E" w:rsidP="00223037">
            <w:pPr>
              <w:pStyle w:val="Tabletext"/>
              <w:rPr>
                <w:b/>
              </w:rPr>
            </w:pPr>
            <w:r>
              <w:rPr>
                <w:b/>
              </w:rPr>
              <w:t>Base case</w:t>
            </w:r>
          </w:p>
        </w:tc>
      </w:tr>
      <w:tr w:rsidR="007D662E" w14:paraId="4924B985" w14:textId="77777777" w:rsidTr="00E51CCB">
        <w:trPr>
          <w:tblHeader/>
        </w:trPr>
        <w:tc>
          <w:tcPr>
            <w:tcW w:w="1159" w:type="dxa"/>
            <w:tcBorders>
              <w:bottom w:val="single" w:sz="4" w:space="0" w:color="auto"/>
            </w:tcBorders>
          </w:tcPr>
          <w:p w14:paraId="0DC2A99E" w14:textId="77777777" w:rsidR="007D662E" w:rsidRPr="006319BD" w:rsidRDefault="007D662E" w:rsidP="00223037">
            <w:pPr>
              <w:pStyle w:val="Tabletext"/>
              <w:rPr>
                <w:b/>
              </w:rPr>
            </w:pPr>
          </w:p>
        </w:tc>
        <w:tc>
          <w:tcPr>
            <w:tcW w:w="892" w:type="dxa"/>
            <w:tcBorders>
              <w:top w:val="single" w:sz="4" w:space="0" w:color="auto"/>
              <w:bottom w:val="single" w:sz="4" w:space="0" w:color="auto"/>
            </w:tcBorders>
          </w:tcPr>
          <w:p w14:paraId="7FF1DD53" w14:textId="77777777" w:rsidR="007D662E" w:rsidRPr="006319BD" w:rsidRDefault="007D662E" w:rsidP="00223037">
            <w:pPr>
              <w:pStyle w:val="Tabletext"/>
              <w:rPr>
                <w:b/>
              </w:rPr>
            </w:pPr>
            <w:r w:rsidRPr="006319BD">
              <w:rPr>
                <w:b/>
              </w:rPr>
              <w:t>Value</w:t>
            </w:r>
          </w:p>
        </w:tc>
        <w:tc>
          <w:tcPr>
            <w:tcW w:w="1065" w:type="dxa"/>
            <w:tcBorders>
              <w:top w:val="single" w:sz="4" w:space="0" w:color="auto"/>
              <w:bottom w:val="single" w:sz="4" w:space="0" w:color="auto"/>
            </w:tcBorders>
          </w:tcPr>
          <w:p w14:paraId="7CC4C291" w14:textId="77777777" w:rsidR="007D662E" w:rsidRPr="006319BD" w:rsidRDefault="007D662E" w:rsidP="00223037">
            <w:pPr>
              <w:pStyle w:val="Tabletext"/>
              <w:rPr>
                <w:b/>
              </w:rPr>
            </w:pPr>
            <w:r w:rsidRPr="006319BD">
              <w:rPr>
                <w:b/>
              </w:rPr>
              <w:t>Source</w:t>
            </w:r>
          </w:p>
        </w:tc>
        <w:tc>
          <w:tcPr>
            <w:tcW w:w="935" w:type="dxa"/>
            <w:tcBorders>
              <w:top w:val="single" w:sz="4" w:space="0" w:color="auto"/>
              <w:bottom w:val="single" w:sz="4" w:space="0" w:color="auto"/>
            </w:tcBorders>
          </w:tcPr>
          <w:p w14:paraId="236939FA" w14:textId="77777777" w:rsidR="007D662E" w:rsidRPr="006319BD" w:rsidRDefault="007D662E" w:rsidP="00223037">
            <w:pPr>
              <w:pStyle w:val="Tabletext"/>
              <w:rPr>
                <w:b/>
              </w:rPr>
            </w:pPr>
            <w:r w:rsidRPr="006319BD">
              <w:rPr>
                <w:b/>
              </w:rPr>
              <w:t>Value</w:t>
            </w:r>
          </w:p>
        </w:tc>
        <w:tc>
          <w:tcPr>
            <w:tcW w:w="1045" w:type="dxa"/>
            <w:tcBorders>
              <w:top w:val="single" w:sz="4" w:space="0" w:color="auto"/>
              <w:bottom w:val="single" w:sz="4" w:space="0" w:color="auto"/>
            </w:tcBorders>
          </w:tcPr>
          <w:p w14:paraId="16E1E4B2" w14:textId="77777777" w:rsidR="007D662E" w:rsidRPr="006319BD" w:rsidRDefault="007D662E" w:rsidP="00223037">
            <w:pPr>
              <w:pStyle w:val="Tabletext"/>
              <w:rPr>
                <w:b/>
              </w:rPr>
            </w:pPr>
            <w:r w:rsidRPr="006319BD">
              <w:rPr>
                <w:b/>
              </w:rPr>
              <w:t>Source</w:t>
            </w:r>
          </w:p>
        </w:tc>
        <w:tc>
          <w:tcPr>
            <w:tcW w:w="935" w:type="dxa"/>
            <w:tcBorders>
              <w:top w:val="single" w:sz="4" w:space="0" w:color="auto"/>
              <w:bottom w:val="single" w:sz="4" w:space="0" w:color="auto"/>
            </w:tcBorders>
          </w:tcPr>
          <w:p w14:paraId="730F2EF8" w14:textId="77777777" w:rsidR="007D662E" w:rsidRPr="006319BD" w:rsidRDefault="007D662E" w:rsidP="00223037">
            <w:pPr>
              <w:pStyle w:val="Tabletext"/>
              <w:rPr>
                <w:b/>
              </w:rPr>
            </w:pPr>
            <w:r w:rsidRPr="006319BD">
              <w:rPr>
                <w:b/>
              </w:rPr>
              <w:t>Value</w:t>
            </w:r>
          </w:p>
        </w:tc>
        <w:tc>
          <w:tcPr>
            <w:tcW w:w="1023" w:type="dxa"/>
            <w:tcBorders>
              <w:top w:val="single" w:sz="4" w:space="0" w:color="auto"/>
              <w:bottom w:val="single" w:sz="4" w:space="0" w:color="auto"/>
            </w:tcBorders>
          </w:tcPr>
          <w:p w14:paraId="2889C3AD" w14:textId="77777777" w:rsidR="007D662E" w:rsidRPr="006319BD" w:rsidRDefault="007D662E" w:rsidP="00223037">
            <w:pPr>
              <w:pStyle w:val="Tabletext"/>
              <w:rPr>
                <w:b/>
              </w:rPr>
            </w:pPr>
            <w:r w:rsidRPr="006319BD">
              <w:rPr>
                <w:b/>
              </w:rPr>
              <w:t>Source</w:t>
            </w:r>
          </w:p>
        </w:tc>
        <w:tc>
          <w:tcPr>
            <w:tcW w:w="994" w:type="dxa"/>
            <w:tcBorders>
              <w:top w:val="single" w:sz="4" w:space="0" w:color="auto"/>
              <w:bottom w:val="single" w:sz="4" w:space="0" w:color="auto"/>
            </w:tcBorders>
            <w:shd w:val="clear" w:color="auto" w:fill="D9D9D9" w:themeFill="background1" w:themeFillShade="D9"/>
          </w:tcPr>
          <w:p w14:paraId="482486C2" w14:textId="77777777" w:rsidR="007D662E" w:rsidRPr="006319BD" w:rsidRDefault="007D662E" w:rsidP="00223037">
            <w:pPr>
              <w:pStyle w:val="Tabletext"/>
              <w:rPr>
                <w:b/>
              </w:rPr>
            </w:pPr>
            <w:r w:rsidRPr="006319BD">
              <w:rPr>
                <w:b/>
              </w:rPr>
              <w:t>Value</w:t>
            </w:r>
          </w:p>
        </w:tc>
        <w:tc>
          <w:tcPr>
            <w:tcW w:w="1303" w:type="dxa"/>
            <w:tcBorders>
              <w:top w:val="single" w:sz="4" w:space="0" w:color="auto"/>
              <w:bottom w:val="single" w:sz="4" w:space="0" w:color="auto"/>
            </w:tcBorders>
            <w:shd w:val="clear" w:color="auto" w:fill="D9D9D9" w:themeFill="background1" w:themeFillShade="D9"/>
          </w:tcPr>
          <w:p w14:paraId="3C52A22F" w14:textId="77777777" w:rsidR="007D662E" w:rsidRPr="006319BD" w:rsidRDefault="007D662E" w:rsidP="00223037">
            <w:pPr>
              <w:pStyle w:val="Tabletext"/>
              <w:rPr>
                <w:b/>
              </w:rPr>
            </w:pPr>
            <w:r w:rsidRPr="006319BD">
              <w:rPr>
                <w:b/>
              </w:rPr>
              <w:t>Source</w:t>
            </w:r>
          </w:p>
        </w:tc>
      </w:tr>
      <w:tr w:rsidR="007D662E" w14:paraId="586CAE5F" w14:textId="77777777" w:rsidTr="00E51CCB">
        <w:tc>
          <w:tcPr>
            <w:tcW w:w="1159" w:type="dxa"/>
            <w:tcBorders>
              <w:top w:val="single" w:sz="4" w:space="0" w:color="auto"/>
              <w:left w:val="single" w:sz="4" w:space="0" w:color="auto"/>
              <w:bottom w:val="single" w:sz="4" w:space="0" w:color="auto"/>
              <w:right w:val="nil"/>
            </w:tcBorders>
          </w:tcPr>
          <w:p w14:paraId="20EDF1FE" w14:textId="77777777" w:rsidR="007D662E" w:rsidRDefault="007D662E" w:rsidP="00223037">
            <w:pPr>
              <w:pStyle w:val="Tabletext"/>
            </w:pPr>
            <w:r>
              <w:t>Initial course</w:t>
            </w:r>
          </w:p>
        </w:tc>
        <w:tc>
          <w:tcPr>
            <w:tcW w:w="892" w:type="dxa"/>
            <w:tcBorders>
              <w:top w:val="single" w:sz="4" w:space="0" w:color="auto"/>
              <w:left w:val="nil"/>
              <w:bottom w:val="single" w:sz="4" w:space="0" w:color="auto"/>
              <w:right w:val="nil"/>
            </w:tcBorders>
          </w:tcPr>
          <w:p w14:paraId="63696C79" w14:textId="77777777" w:rsidR="007D662E" w:rsidRDefault="007D662E" w:rsidP="00223037">
            <w:pPr>
              <w:pStyle w:val="Tabletext"/>
            </w:pPr>
          </w:p>
        </w:tc>
        <w:tc>
          <w:tcPr>
            <w:tcW w:w="1065" w:type="dxa"/>
            <w:tcBorders>
              <w:top w:val="single" w:sz="4" w:space="0" w:color="auto"/>
              <w:left w:val="nil"/>
              <w:bottom w:val="single" w:sz="4" w:space="0" w:color="auto"/>
              <w:right w:val="nil"/>
            </w:tcBorders>
          </w:tcPr>
          <w:p w14:paraId="5E733792" w14:textId="77777777" w:rsidR="007D662E" w:rsidRPr="0046026B" w:rsidRDefault="007D662E" w:rsidP="00223037">
            <w:pPr>
              <w:pStyle w:val="Tabletext"/>
            </w:pPr>
          </w:p>
        </w:tc>
        <w:tc>
          <w:tcPr>
            <w:tcW w:w="935" w:type="dxa"/>
            <w:tcBorders>
              <w:top w:val="single" w:sz="4" w:space="0" w:color="auto"/>
              <w:left w:val="nil"/>
              <w:bottom w:val="single" w:sz="4" w:space="0" w:color="auto"/>
              <w:right w:val="nil"/>
            </w:tcBorders>
          </w:tcPr>
          <w:p w14:paraId="0527BF2C" w14:textId="77777777" w:rsidR="007D662E" w:rsidRDefault="007D662E" w:rsidP="00223037">
            <w:pPr>
              <w:pStyle w:val="Tabletext"/>
            </w:pPr>
          </w:p>
        </w:tc>
        <w:tc>
          <w:tcPr>
            <w:tcW w:w="1045" w:type="dxa"/>
            <w:tcBorders>
              <w:top w:val="single" w:sz="4" w:space="0" w:color="auto"/>
              <w:left w:val="nil"/>
              <w:bottom w:val="single" w:sz="4" w:space="0" w:color="auto"/>
              <w:right w:val="nil"/>
            </w:tcBorders>
          </w:tcPr>
          <w:p w14:paraId="60DDBA5F" w14:textId="77777777" w:rsidR="007D662E" w:rsidRDefault="007D662E" w:rsidP="00223037">
            <w:pPr>
              <w:pStyle w:val="Tabletext"/>
            </w:pPr>
          </w:p>
        </w:tc>
        <w:tc>
          <w:tcPr>
            <w:tcW w:w="935" w:type="dxa"/>
            <w:tcBorders>
              <w:top w:val="single" w:sz="4" w:space="0" w:color="auto"/>
              <w:left w:val="nil"/>
              <w:bottom w:val="single" w:sz="4" w:space="0" w:color="auto"/>
              <w:right w:val="nil"/>
            </w:tcBorders>
          </w:tcPr>
          <w:p w14:paraId="3543C1FA" w14:textId="77777777" w:rsidR="007D662E" w:rsidRDefault="007D662E" w:rsidP="00223037">
            <w:pPr>
              <w:pStyle w:val="Tabletext"/>
            </w:pPr>
          </w:p>
        </w:tc>
        <w:tc>
          <w:tcPr>
            <w:tcW w:w="1023" w:type="dxa"/>
            <w:tcBorders>
              <w:top w:val="single" w:sz="4" w:space="0" w:color="auto"/>
              <w:left w:val="nil"/>
              <w:bottom w:val="single" w:sz="4" w:space="0" w:color="auto"/>
              <w:right w:val="nil"/>
            </w:tcBorders>
          </w:tcPr>
          <w:p w14:paraId="03756A24" w14:textId="77777777" w:rsidR="007D662E" w:rsidRDefault="007D662E" w:rsidP="00223037">
            <w:pPr>
              <w:pStyle w:val="Tabletext"/>
            </w:pPr>
          </w:p>
        </w:tc>
        <w:tc>
          <w:tcPr>
            <w:tcW w:w="994" w:type="dxa"/>
            <w:tcBorders>
              <w:top w:val="single" w:sz="4" w:space="0" w:color="auto"/>
              <w:left w:val="nil"/>
              <w:bottom w:val="single" w:sz="4" w:space="0" w:color="auto"/>
              <w:right w:val="nil"/>
            </w:tcBorders>
            <w:shd w:val="clear" w:color="auto" w:fill="D9D9D9" w:themeFill="background1" w:themeFillShade="D9"/>
          </w:tcPr>
          <w:p w14:paraId="4A75A425" w14:textId="77777777" w:rsidR="007D662E" w:rsidRDefault="007D662E" w:rsidP="00223037">
            <w:pPr>
              <w:pStyle w:val="Tabletext"/>
            </w:pP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tcPr>
          <w:p w14:paraId="1E26FAB5" w14:textId="77777777" w:rsidR="007D662E" w:rsidRDefault="007D662E" w:rsidP="00223037">
            <w:pPr>
              <w:pStyle w:val="Tabletext"/>
            </w:pPr>
          </w:p>
        </w:tc>
      </w:tr>
      <w:tr w:rsidR="007D662E" w14:paraId="5A4ACA05" w14:textId="77777777" w:rsidTr="00E51CCB">
        <w:tc>
          <w:tcPr>
            <w:tcW w:w="1159" w:type="dxa"/>
            <w:tcBorders>
              <w:top w:val="single" w:sz="4" w:space="0" w:color="auto"/>
              <w:bottom w:val="single" w:sz="4" w:space="0" w:color="auto"/>
            </w:tcBorders>
          </w:tcPr>
          <w:p w14:paraId="5C6A4A54" w14:textId="77777777" w:rsidR="007D662E" w:rsidRDefault="007D662E" w:rsidP="00223037">
            <w:pPr>
              <w:pStyle w:val="Tabletext"/>
            </w:pPr>
            <w:r>
              <w:t>Number of sessions</w:t>
            </w:r>
          </w:p>
        </w:tc>
        <w:tc>
          <w:tcPr>
            <w:tcW w:w="892" w:type="dxa"/>
            <w:tcBorders>
              <w:top w:val="single" w:sz="4" w:space="0" w:color="auto"/>
              <w:bottom w:val="single" w:sz="4" w:space="0" w:color="auto"/>
            </w:tcBorders>
          </w:tcPr>
          <w:p w14:paraId="74B24DDB" w14:textId="77777777" w:rsidR="007D662E" w:rsidRDefault="007D662E" w:rsidP="00223037">
            <w:pPr>
              <w:pStyle w:val="Tabletext"/>
            </w:pPr>
            <w:r>
              <w:t>28.3</w:t>
            </w:r>
          </w:p>
        </w:tc>
        <w:tc>
          <w:tcPr>
            <w:tcW w:w="1065" w:type="dxa"/>
            <w:tcBorders>
              <w:top w:val="single" w:sz="4" w:space="0" w:color="auto"/>
              <w:bottom w:val="single" w:sz="4" w:space="0" w:color="auto"/>
            </w:tcBorders>
          </w:tcPr>
          <w:p w14:paraId="7761C67D" w14:textId="77777777" w:rsidR="007D662E" w:rsidRPr="0046026B" w:rsidRDefault="007D662E" w:rsidP="00223037">
            <w:pPr>
              <w:pStyle w:val="Tabletext"/>
            </w:pPr>
            <w:r>
              <w:t>Carpenter 2012 and Protocol p14</w:t>
            </w:r>
          </w:p>
        </w:tc>
        <w:tc>
          <w:tcPr>
            <w:tcW w:w="935" w:type="dxa"/>
            <w:tcBorders>
              <w:top w:val="single" w:sz="4" w:space="0" w:color="auto"/>
              <w:bottom w:val="single" w:sz="4" w:space="0" w:color="auto"/>
            </w:tcBorders>
          </w:tcPr>
          <w:p w14:paraId="7D089408" w14:textId="77777777" w:rsidR="007D662E" w:rsidRDefault="007D662E" w:rsidP="00223037">
            <w:pPr>
              <w:pStyle w:val="Tabletext"/>
            </w:pPr>
            <w:r>
              <w:t>28.3</w:t>
            </w:r>
          </w:p>
        </w:tc>
        <w:tc>
          <w:tcPr>
            <w:tcW w:w="1045" w:type="dxa"/>
            <w:tcBorders>
              <w:top w:val="single" w:sz="4" w:space="0" w:color="auto"/>
              <w:bottom w:val="single" w:sz="4" w:space="0" w:color="auto"/>
            </w:tcBorders>
          </w:tcPr>
          <w:p w14:paraId="4D23E307" w14:textId="77777777" w:rsidR="007D662E" w:rsidRDefault="007D662E" w:rsidP="00223037">
            <w:pPr>
              <w:pStyle w:val="Tabletext"/>
            </w:pPr>
            <w:r>
              <w:t>Unchanged</w:t>
            </w:r>
          </w:p>
        </w:tc>
        <w:tc>
          <w:tcPr>
            <w:tcW w:w="935" w:type="dxa"/>
            <w:tcBorders>
              <w:top w:val="single" w:sz="4" w:space="0" w:color="auto"/>
              <w:bottom w:val="single" w:sz="4" w:space="0" w:color="auto"/>
            </w:tcBorders>
          </w:tcPr>
          <w:p w14:paraId="74C96193" w14:textId="77777777" w:rsidR="007D662E" w:rsidRDefault="007D662E" w:rsidP="00223037">
            <w:pPr>
              <w:pStyle w:val="Tabletext"/>
            </w:pPr>
            <w:r>
              <w:t>28.3</w:t>
            </w:r>
          </w:p>
        </w:tc>
        <w:tc>
          <w:tcPr>
            <w:tcW w:w="1023" w:type="dxa"/>
            <w:tcBorders>
              <w:top w:val="single" w:sz="4" w:space="0" w:color="auto"/>
              <w:bottom w:val="single" w:sz="4" w:space="0" w:color="auto"/>
            </w:tcBorders>
          </w:tcPr>
          <w:p w14:paraId="6CB14307" w14:textId="77777777" w:rsidR="007D662E" w:rsidRDefault="007D662E" w:rsidP="00223037">
            <w:pPr>
              <w:pStyle w:val="Tabletext"/>
            </w:pPr>
            <w:r>
              <w:t>Unchanged</w:t>
            </w:r>
          </w:p>
        </w:tc>
        <w:tc>
          <w:tcPr>
            <w:tcW w:w="994" w:type="dxa"/>
            <w:tcBorders>
              <w:top w:val="single" w:sz="4" w:space="0" w:color="auto"/>
              <w:bottom w:val="single" w:sz="4" w:space="0" w:color="auto"/>
            </w:tcBorders>
            <w:shd w:val="clear" w:color="auto" w:fill="D9D9D9" w:themeFill="background1" w:themeFillShade="D9"/>
          </w:tcPr>
          <w:p w14:paraId="676562D8" w14:textId="77777777" w:rsidR="007D662E" w:rsidRDefault="007D662E" w:rsidP="00223037">
            <w:pPr>
              <w:pStyle w:val="Tabletext"/>
            </w:pPr>
            <w:r>
              <w:t>28.3</w:t>
            </w:r>
          </w:p>
        </w:tc>
        <w:tc>
          <w:tcPr>
            <w:tcW w:w="1303" w:type="dxa"/>
            <w:tcBorders>
              <w:top w:val="single" w:sz="4" w:space="0" w:color="auto"/>
              <w:bottom w:val="single" w:sz="4" w:space="0" w:color="auto"/>
            </w:tcBorders>
            <w:shd w:val="clear" w:color="auto" w:fill="D9D9D9" w:themeFill="background1" w:themeFillShade="D9"/>
          </w:tcPr>
          <w:p w14:paraId="378DE9B0" w14:textId="77777777" w:rsidR="007D662E" w:rsidRDefault="007D662E" w:rsidP="00223037">
            <w:pPr>
              <w:pStyle w:val="Tabletext"/>
            </w:pPr>
            <w:r>
              <w:t>Unchanged</w:t>
            </w:r>
          </w:p>
        </w:tc>
      </w:tr>
      <w:tr w:rsidR="007D662E" w14:paraId="75B0F314" w14:textId="77777777" w:rsidTr="00E51CCB">
        <w:tc>
          <w:tcPr>
            <w:tcW w:w="1159" w:type="dxa"/>
            <w:tcBorders>
              <w:top w:val="single" w:sz="4" w:space="0" w:color="auto"/>
              <w:bottom w:val="single" w:sz="4" w:space="0" w:color="auto"/>
            </w:tcBorders>
          </w:tcPr>
          <w:p w14:paraId="02350DCB" w14:textId="77777777" w:rsidR="007D662E" w:rsidRDefault="007D662E" w:rsidP="00223037">
            <w:pPr>
              <w:pStyle w:val="Tabletext"/>
            </w:pPr>
            <w:r>
              <w:t>Total cost</w:t>
            </w:r>
          </w:p>
        </w:tc>
        <w:tc>
          <w:tcPr>
            <w:tcW w:w="892" w:type="dxa"/>
            <w:tcBorders>
              <w:top w:val="single" w:sz="4" w:space="0" w:color="auto"/>
              <w:bottom w:val="single" w:sz="4" w:space="0" w:color="auto"/>
            </w:tcBorders>
          </w:tcPr>
          <w:p w14:paraId="485ECE68" w14:textId="77777777" w:rsidR="007D662E" w:rsidRDefault="007D662E" w:rsidP="00223037">
            <w:pPr>
              <w:pStyle w:val="Tabletext"/>
            </w:pPr>
            <w:r>
              <w:t>$4,595</w:t>
            </w:r>
          </w:p>
        </w:tc>
        <w:tc>
          <w:tcPr>
            <w:tcW w:w="1065" w:type="dxa"/>
            <w:tcBorders>
              <w:top w:val="single" w:sz="4" w:space="0" w:color="auto"/>
              <w:bottom w:val="single" w:sz="4" w:space="0" w:color="auto"/>
            </w:tcBorders>
          </w:tcPr>
          <w:p w14:paraId="78214552" w14:textId="77777777" w:rsidR="007D662E" w:rsidRDefault="007D662E" w:rsidP="00223037">
            <w:pPr>
              <w:pStyle w:val="Tabletext"/>
            </w:pPr>
            <w:r>
              <w:t xml:space="preserve">MBS fee: $150 + $350 </w:t>
            </w:r>
            <w:r w:rsidRPr="003F43E6">
              <w:t>psychiatrist consultation</w:t>
            </w:r>
          </w:p>
        </w:tc>
        <w:tc>
          <w:tcPr>
            <w:tcW w:w="935" w:type="dxa"/>
            <w:tcBorders>
              <w:top w:val="single" w:sz="4" w:space="0" w:color="auto"/>
              <w:bottom w:val="single" w:sz="4" w:space="0" w:color="auto"/>
            </w:tcBorders>
          </w:tcPr>
          <w:p w14:paraId="2F6D4DF5" w14:textId="77777777" w:rsidR="007D662E" w:rsidRDefault="007D662E" w:rsidP="00223037">
            <w:pPr>
              <w:pStyle w:val="Tabletext"/>
            </w:pPr>
            <w:r>
              <w:t>$5,620.50</w:t>
            </w:r>
          </w:p>
        </w:tc>
        <w:tc>
          <w:tcPr>
            <w:tcW w:w="1045" w:type="dxa"/>
            <w:tcBorders>
              <w:top w:val="single" w:sz="4" w:space="0" w:color="auto"/>
              <w:bottom w:val="single" w:sz="4" w:space="0" w:color="auto"/>
            </w:tcBorders>
          </w:tcPr>
          <w:p w14:paraId="0F546A87" w14:textId="77777777" w:rsidR="007D662E" w:rsidRDefault="007D662E" w:rsidP="00223037">
            <w:pPr>
              <w:pStyle w:val="Tabletext"/>
            </w:pPr>
            <w:r>
              <w:t xml:space="preserve">MBS fee: $185 + $385 </w:t>
            </w:r>
            <w:r w:rsidRPr="003F43E6">
              <w:t>psychiatrist consultation</w:t>
            </w:r>
          </w:p>
        </w:tc>
        <w:tc>
          <w:tcPr>
            <w:tcW w:w="935" w:type="dxa"/>
            <w:tcBorders>
              <w:top w:val="single" w:sz="4" w:space="0" w:color="auto"/>
              <w:bottom w:val="single" w:sz="4" w:space="0" w:color="auto"/>
            </w:tcBorders>
          </w:tcPr>
          <w:p w14:paraId="34876B33" w14:textId="77777777" w:rsidR="007D662E" w:rsidRDefault="007D662E" w:rsidP="00223037">
            <w:pPr>
              <w:pStyle w:val="Tabletext"/>
            </w:pPr>
            <w:r>
              <w:t>$4,714.40</w:t>
            </w:r>
          </w:p>
        </w:tc>
        <w:tc>
          <w:tcPr>
            <w:tcW w:w="1023" w:type="dxa"/>
            <w:tcBorders>
              <w:top w:val="single" w:sz="4" w:space="0" w:color="auto"/>
              <w:bottom w:val="single" w:sz="4" w:space="0" w:color="auto"/>
            </w:tcBorders>
          </w:tcPr>
          <w:p w14:paraId="4A28592C" w14:textId="77777777" w:rsidR="007D662E" w:rsidRDefault="007D662E" w:rsidP="00223037">
            <w:pPr>
              <w:pStyle w:val="Tabletext"/>
            </w:pPr>
            <w:r>
              <w:t xml:space="preserve">MBS fee: $160 + $186.40 </w:t>
            </w:r>
            <w:r w:rsidRPr="003F43E6">
              <w:t>psychiatrist consultation</w:t>
            </w:r>
          </w:p>
        </w:tc>
        <w:tc>
          <w:tcPr>
            <w:tcW w:w="994" w:type="dxa"/>
            <w:tcBorders>
              <w:top w:val="single" w:sz="4" w:space="0" w:color="auto"/>
              <w:bottom w:val="single" w:sz="4" w:space="0" w:color="auto"/>
            </w:tcBorders>
            <w:shd w:val="clear" w:color="auto" w:fill="D9D9D9" w:themeFill="background1" w:themeFillShade="D9"/>
          </w:tcPr>
          <w:p w14:paraId="08F1B811" w14:textId="77777777" w:rsidR="007D662E" w:rsidRDefault="007D662E" w:rsidP="00223037">
            <w:pPr>
              <w:pStyle w:val="Tabletext"/>
            </w:pPr>
            <w:r>
              <w:t>$4,714.40</w:t>
            </w:r>
          </w:p>
        </w:tc>
        <w:tc>
          <w:tcPr>
            <w:tcW w:w="1303" w:type="dxa"/>
            <w:tcBorders>
              <w:top w:val="single" w:sz="4" w:space="0" w:color="auto"/>
              <w:bottom w:val="single" w:sz="4" w:space="0" w:color="auto"/>
            </w:tcBorders>
            <w:shd w:val="clear" w:color="auto" w:fill="D9D9D9" w:themeFill="background1" w:themeFillShade="D9"/>
          </w:tcPr>
          <w:p w14:paraId="3C2F17CD" w14:textId="77777777" w:rsidR="007D662E" w:rsidRDefault="007D662E" w:rsidP="00223037">
            <w:pPr>
              <w:pStyle w:val="Tabletext"/>
            </w:pPr>
            <w:r>
              <w:t>Unchanged</w:t>
            </w:r>
          </w:p>
        </w:tc>
      </w:tr>
      <w:tr w:rsidR="007D662E" w14:paraId="0F83C7E1" w14:textId="77777777" w:rsidTr="00E51CCB">
        <w:tc>
          <w:tcPr>
            <w:tcW w:w="1159" w:type="dxa"/>
            <w:tcBorders>
              <w:top w:val="single" w:sz="4" w:space="0" w:color="auto"/>
              <w:left w:val="single" w:sz="4" w:space="0" w:color="auto"/>
              <w:bottom w:val="single" w:sz="4" w:space="0" w:color="auto"/>
              <w:right w:val="nil"/>
            </w:tcBorders>
          </w:tcPr>
          <w:p w14:paraId="206A3DC7" w14:textId="77777777" w:rsidR="007D662E" w:rsidRDefault="007D662E" w:rsidP="00223037">
            <w:pPr>
              <w:pStyle w:val="Tabletext"/>
            </w:pPr>
            <w:r>
              <w:t>Retreatment</w:t>
            </w:r>
          </w:p>
        </w:tc>
        <w:tc>
          <w:tcPr>
            <w:tcW w:w="892" w:type="dxa"/>
            <w:tcBorders>
              <w:top w:val="single" w:sz="4" w:space="0" w:color="auto"/>
              <w:left w:val="nil"/>
              <w:bottom w:val="single" w:sz="4" w:space="0" w:color="auto"/>
              <w:right w:val="nil"/>
            </w:tcBorders>
          </w:tcPr>
          <w:p w14:paraId="26D0CA58" w14:textId="77777777" w:rsidR="007D662E" w:rsidRDefault="007D662E" w:rsidP="00223037">
            <w:pPr>
              <w:pStyle w:val="Tabletext"/>
            </w:pPr>
          </w:p>
        </w:tc>
        <w:tc>
          <w:tcPr>
            <w:tcW w:w="1065" w:type="dxa"/>
            <w:tcBorders>
              <w:top w:val="single" w:sz="4" w:space="0" w:color="auto"/>
              <w:left w:val="nil"/>
              <w:bottom w:val="single" w:sz="4" w:space="0" w:color="auto"/>
              <w:right w:val="nil"/>
            </w:tcBorders>
          </w:tcPr>
          <w:p w14:paraId="32EF5DA6" w14:textId="77777777" w:rsidR="007D662E" w:rsidRPr="0046026B" w:rsidRDefault="007D662E" w:rsidP="00223037">
            <w:pPr>
              <w:pStyle w:val="Tabletext"/>
            </w:pPr>
          </w:p>
        </w:tc>
        <w:tc>
          <w:tcPr>
            <w:tcW w:w="935" w:type="dxa"/>
            <w:tcBorders>
              <w:top w:val="single" w:sz="4" w:space="0" w:color="auto"/>
              <w:left w:val="nil"/>
              <w:bottom w:val="single" w:sz="4" w:space="0" w:color="auto"/>
              <w:right w:val="nil"/>
            </w:tcBorders>
          </w:tcPr>
          <w:p w14:paraId="23E86E51" w14:textId="77777777" w:rsidR="007D662E" w:rsidRDefault="007D662E" w:rsidP="00223037">
            <w:pPr>
              <w:pStyle w:val="Tabletext"/>
            </w:pPr>
          </w:p>
        </w:tc>
        <w:tc>
          <w:tcPr>
            <w:tcW w:w="1045" w:type="dxa"/>
            <w:tcBorders>
              <w:top w:val="single" w:sz="4" w:space="0" w:color="auto"/>
              <w:left w:val="nil"/>
              <w:bottom w:val="single" w:sz="4" w:space="0" w:color="auto"/>
              <w:right w:val="nil"/>
            </w:tcBorders>
          </w:tcPr>
          <w:p w14:paraId="26DCD811" w14:textId="77777777" w:rsidR="007D662E" w:rsidRDefault="007D662E" w:rsidP="00223037">
            <w:pPr>
              <w:pStyle w:val="Tabletext"/>
            </w:pPr>
          </w:p>
        </w:tc>
        <w:tc>
          <w:tcPr>
            <w:tcW w:w="935" w:type="dxa"/>
            <w:tcBorders>
              <w:top w:val="single" w:sz="4" w:space="0" w:color="auto"/>
              <w:left w:val="nil"/>
              <w:bottom w:val="single" w:sz="4" w:space="0" w:color="auto"/>
              <w:right w:val="nil"/>
            </w:tcBorders>
          </w:tcPr>
          <w:p w14:paraId="0159D853" w14:textId="77777777" w:rsidR="007D662E" w:rsidRDefault="007D662E" w:rsidP="00223037">
            <w:pPr>
              <w:pStyle w:val="Tabletext"/>
            </w:pPr>
          </w:p>
        </w:tc>
        <w:tc>
          <w:tcPr>
            <w:tcW w:w="1023" w:type="dxa"/>
            <w:tcBorders>
              <w:top w:val="single" w:sz="4" w:space="0" w:color="auto"/>
              <w:left w:val="nil"/>
              <w:bottom w:val="single" w:sz="4" w:space="0" w:color="auto"/>
              <w:right w:val="nil"/>
            </w:tcBorders>
          </w:tcPr>
          <w:p w14:paraId="6ECC9AF4" w14:textId="77777777" w:rsidR="007D662E" w:rsidRDefault="007D662E" w:rsidP="00223037">
            <w:pPr>
              <w:pStyle w:val="Tabletext"/>
            </w:pPr>
          </w:p>
        </w:tc>
        <w:tc>
          <w:tcPr>
            <w:tcW w:w="994" w:type="dxa"/>
            <w:tcBorders>
              <w:top w:val="single" w:sz="4" w:space="0" w:color="auto"/>
              <w:left w:val="nil"/>
              <w:bottom w:val="single" w:sz="4" w:space="0" w:color="auto"/>
              <w:right w:val="nil"/>
            </w:tcBorders>
            <w:shd w:val="clear" w:color="auto" w:fill="D9D9D9" w:themeFill="background1" w:themeFillShade="D9"/>
          </w:tcPr>
          <w:p w14:paraId="3A616253" w14:textId="77777777" w:rsidR="007D662E" w:rsidRDefault="007D662E" w:rsidP="00223037">
            <w:pPr>
              <w:pStyle w:val="Tabletext"/>
            </w:pP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tcPr>
          <w:p w14:paraId="4505EDE2" w14:textId="77777777" w:rsidR="007D662E" w:rsidRDefault="007D662E" w:rsidP="00223037">
            <w:pPr>
              <w:pStyle w:val="Tabletext"/>
            </w:pPr>
          </w:p>
        </w:tc>
      </w:tr>
      <w:tr w:rsidR="007D662E" w14:paraId="0CF72D36" w14:textId="77777777" w:rsidTr="00E51CCB">
        <w:tc>
          <w:tcPr>
            <w:tcW w:w="1159" w:type="dxa"/>
            <w:tcBorders>
              <w:top w:val="single" w:sz="4" w:space="0" w:color="auto"/>
            </w:tcBorders>
          </w:tcPr>
          <w:p w14:paraId="4D97AEDF" w14:textId="77777777" w:rsidR="007D662E" w:rsidRDefault="007D662E" w:rsidP="00223037">
            <w:pPr>
              <w:pStyle w:val="Tabletext"/>
            </w:pPr>
            <w:r>
              <w:t>Retreatment with TMS after initial TMS</w:t>
            </w:r>
          </w:p>
        </w:tc>
        <w:tc>
          <w:tcPr>
            <w:tcW w:w="892" w:type="dxa"/>
            <w:tcBorders>
              <w:top w:val="single" w:sz="4" w:space="0" w:color="auto"/>
              <w:bottom w:val="single" w:sz="4" w:space="0" w:color="auto"/>
            </w:tcBorders>
          </w:tcPr>
          <w:p w14:paraId="4F1C7A53" w14:textId="77777777" w:rsidR="007D662E" w:rsidRDefault="007D662E" w:rsidP="00223037">
            <w:pPr>
              <w:pStyle w:val="Tabletext"/>
            </w:pPr>
            <w:r>
              <w:t>36.2%</w:t>
            </w:r>
          </w:p>
        </w:tc>
        <w:tc>
          <w:tcPr>
            <w:tcW w:w="1065" w:type="dxa"/>
            <w:tcBorders>
              <w:top w:val="single" w:sz="4" w:space="0" w:color="auto"/>
              <w:bottom w:val="single" w:sz="4" w:space="0" w:color="auto"/>
            </w:tcBorders>
          </w:tcPr>
          <w:p w14:paraId="128DAFC7" w14:textId="77777777" w:rsidR="007D662E" w:rsidRDefault="007D662E" w:rsidP="00223037">
            <w:pPr>
              <w:pStyle w:val="Tabletext"/>
            </w:pPr>
            <w:r w:rsidRPr="0046026B">
              <w:t xml:space="preserve">NeuroNetics for rTMS; </w:t>
            </w:r>
            <w:r w:rsidRPr="009811C5">
              <w:rPr>
                <w:i/>
              </w:rPr>
              <w:t>Dunner</w:t>
            </w:r>
            <w:r>
              <w:rPr>
                <w:i/>
              </w:rPr>
              <w:t xml:space="preserve"> et al.</w:t>
            </w:r>
            <w:r w:rsidRPr="009811C5">
              <w:rPr>
                <w:i/>
              </w:rPr>
              <w:t xml:space="preserve"> 2014</w:t>
            </w:r>
          </w:p>
        </w:tc>
        <w:tc>
          <w:tcPr>
            <w:tcW w:w="935" w:type="dxa"/>
            <w:tcBorders>
              <w:top w:val="single" w:sz="4" w:space="0" w:color="auto"/>
              <w:bottom w:val="single" w:sz="4" w:space="0" w:color="auto"/>
            </w:tcBorders>
          </w:tcPr>
          <w:p w14:paraId="609D0ECD" w14:textId="77777777" w:rsidR="007D662E" w:rsidRDefault="007D662E" w:rsidP="00223037">
            <w:pPr>
              <w:pStyle w:val="Tabletext"/>
            </w:pPr>
            <w:r>
              <w:t>36.2%</w:t>
            </w:r>
          </w:p>
        </w:tc>
        <w:tc>
          <w:tcPr>
            <w:tcW w:w="1045" w:type="dxa"/>
            <w:tcBorders>
              <w:top w:val="single" w:sz="4" w:space="0" w:color="auto"/>
              <w:bottom w:val="single" w:sz="4" w:space="0" w:color="auto"/>
            </w:tcBorders>
          </w:tcPr>
          <w:p w14:paraId="044DC071" w14:textId="77777777" w:rsidR="007D662E" w:rsidRDefault="007D662E" w:rsidP="00223037">
            <w:pPr>
              <w:pStyle w:val="Tabletext"/>
            </w:pPr>
            <w:r>
              <w:t>Unchanged</w:t>
            </w:r>
          </w:p>
        </w:tc>
        <w:tc>
          <w:tcPr>
            <w:tcW w:w="935" w:type="dxa"/>
            <w:tcBorders>
              <w:top w:val="single" w:sz="4" w:space="0" w:color="auto"/>
              <w:bottom w:val="single" w:sz="4" w:space="0" w:color="auto"/>
            </w:tcBorders>
          </w:tcPr>
          <w:p w14:paraId="35DC6D18" w14:textId="77777777" w:rsidR="007D662E" w:rsidRDefault="007D662E" w:rsidP="00223037">
            <w:pPr>
              <w:pStyle w:val="Tabletext"/>
            </w:pPr>
            <w:r>
              <w:t>0%.</w:t>
            </w:r>
          </w:p>
        </w:tc>
        <w:tc>
          <w:tcPr>
            <w:tcW w:w="1023" w:type="dxa"/>
            <w:tcBorders>
              <w:top w:val="single" w:sz="4" w:space="0" w:color="auto"/>
              <w:bottom w:val="single" w:sz="4" w:space="0" w:color="auto"/>
            </w:tcBorders>
          </w:tcPr>
          <w:p w14:paraId="6451F47A" w14:textId="77777777" w:rsidR="007D662E" w:rsidRPr="00D74117" w:rsidRDefault="007D662E" w:rsidP="00223037">
            <w:pPr>
              <w:pStyle w:val="Tabletext"/>
              <w:rPr>
                <w:vertAlign w:val="superscript"/>
              </w:rPr>
            </w:pPr>
            <w:r>
              <w:t>Removed due to lack of evidence</w:t>
            </w:r>
            <w:r>
              <w:rPr>
                <w:vertAlign w:val="superscript"/>
              </w:rPr>
              <w:t>a.</w:t>
            </w:r>
          </w:p>
        </w:tc>
        <w:tc>
          <w:tcPr>
            <w:tcW w:w="994" w:type="dxa"/>
            <w:tcBorders>
              <w:top w:val="single" w:sz="4" w:space="0" w:color="auto"/>
              <w:bottom w:val="single" w:sz="4" w:space="0" w:color="auto"/>
            </w:tcBorders>
            <w:shd w:val="clear" w:color="auto" w:fill="D9D9D9" w:themeFill="background1" w:themeFillShade="D9"/>
          </w:tcPr>
          <w:p w14:paraId="371CE674" w14:textId="77777777" w:rsidR="007D662E" w:rsidRPr="00035B57" w:rsidRDefault="007D662E" w:rsidP="00223037">
            <w:pPr>
              <w:pStyle w:val="Tabletext"/>
              <w:rPr>
                <w:i/>
              </w:rPr>
            </w:pPr>
            <w:r w:rsidRPr="00035B57">
              <w:rPr>
                <w:i/>
              </w:rPr>
              <w:t>37.5%</w:t>
            </w:r>
          </w:p>
          <w:p w14:paraId="6AC1CCD3" w14:textId="77777777" w:rsidR="007D662E" w:rsidRPr="00035B57" w:rsidRDefault="007D662E" w:rsidP="00223037">
            <w:pPr>
              <w:pStyle w:val="Tabletext"/>
              <w:rPr>
                <w:i/>
              </w:rPr>
            </w:pPr>
          </w:p>
          <w:p w14:paraId="27DBAEF1" w14:textId="77777777" w:rsidR="007D662E" w:rsidRPr="00035B57" w:rsidRDefault="007D662E" w:rsidP="00223037">
            <w:pPr>
              <w:pStyle w:val="Tabletext"/>
              <w:rPr>
                <w:i/>
              </w:rPr>
            </w:pPr>
          </w:p>
        </w:tc>
        <w:tc>
          <w:tcPr>
            <w:tcW w:w="1303" w:type="dxa"/>
            <w:tcBorders>
              <w:top w:val="single" w:sz="4" w:space="0" w:color="auto"/>
              <w:bottom w:val="single" w:sz="4" w:space="0" w:color="auto"/>
            </w:tcBorders>
            <w:shd w:val="clear" w:color="auto" w:fill="D9D9D9" w:themeFill="background1" w:themeFillShade="D9"/>
          </w:tcPr>
          <w:p w14:paraId="31D329CB" w14:textId="77777777" w:rsidR="007D662E" w:rsidRPr="00035B57" w:rsidRDefault="007D662E" w:rsidP="00223037">
            <w:pPr>
              <w:pStyle w:val="Tabletext"/>
              <w:rPr>
                <w:i/>
              </w:rPr>
            </w:pPr>
            <w:r w:rsidRPr="00035B57">
              <w:rPr>
                <w:i/>
              </w:rPr>
              <w:t>Dunner et al. 2014</w:t>
            </w:r>
          </w:p>
        </w:tc>
      </w:tr>
      <w:tr w:rsidR="007D662E" w14:paraId="39EC2735" w14:textId="77777777" w:rsidTr="00E51CCB">
        <w:tc>
          <w:tcPr>
            <w:tcW w:w="1159" w:type="dxa"/>
          </w:tcPr>
          <w:p w14:paraId="018E29A4" w14:textId="77777777" w:rsidR="007D662E" w:rsidRDefault="007D662E" w:rsidP="00223037">
            <w:pPr>
              <w:pStyle w:val="Tabletext"/>
            </w:pPr>
            <w:r>
              <w:t>Number of rTMS sessions per course/year</w:t>
            </w:r>
          </w:p>
        </w:tc>
        <w:tc>
          <w:tcPr>
            <w:tcW w:w="892" w:type="dxa"/>
            <w:tcBorders>
              <w:top w:val="single" w:sz="4" w:space="0" w:color="auto"/>
              <w:bottom w:val="single" w:sz="4" w:space="0" w:color="auto"/>
            </w:tcBorders>
          </w:tcPr>
          <w:p w14:paraId="45E034D2" w14:textId="77777777" w:rsidR="007D662E" w:rsidRDefault="007D662E" w:rsidP="00223037">
            <w:pPr>
              <w:pStyle w:val="Tabletext"/>
            </w:pPr>
            <w:r>
              <w:t>16.2</w:t>
            </w:r>
          </w:p>
        </w:tc>
        <w:tc>
          <w:tcPr>
            <w:tcW w:w="1065" w:type="dxa"/>
            <w:tcBorders>
              <w:top w:val="single" w:sz="4" w:space="0" w:color="auto"/>
              <w:bottom w:val="single" w:sz="4" w:space="0" w:color="auto"/>
            </w:tcBorders>
          </w:tcPr>
          <w:p w14:paraId="455737A1" w14:textId="77777777" w:rsidR="007D662E" w:rsidRDefault="007D662E" w:rsidP="00223037">
            <w:pPr>
              <w:pStyle w:val="Tabletext"/>
            </w:pPr>
            <w:r w:rsidRPr="0046026B">
              <w:t>NeuroNetics</w:t>
            </w:r>
            <w:r>
              <w:t xml:space="preserve"> data; </w:t>
            </w:r>
            <w:r w:rsidRPr="008D204F">
              <w:rPr>
                <w:i/>
              </w:rPr>
              <w:t>Dunner et al 2014</w:t>
            </w:r>
          </w:p>
        </w:tc>
        <w:tc>
          <w:tcPr>
            <w:tcW w:w="935" w:type="dxa"/>
            <w:tcBorders>
              <w:top w:val="single" w:sz="4" w:space="0" w:color="auto"/>
              <w:bottom w:val="single" w:sz="4" w:space="0" w:color="auto"/>
            </w:tcBorders>
          </w:tcPr>
          <w:p w14:paraId="3DFDEA8A" w14:textId="77777777" w:rsidR="007D662E" w:rsidRDefault="007D662E" w:rsidP="00223037">
            <w:pPr>
              <w:pStyle w:val="Tabletext"/>
            </w:pPr>
            <w:r>
              <w:t>16.2</w:t>
            </w:r>
          </w:p>
        </w:tc>
        <w:tc>
          <w:tcPr>
            <w:tcW w:w="1045" w:type="dxa"/>
            <w:tcBorders>
              <w:top w:val="single" w:sz="4" w:space="0" w:color="auto"/>
              <w:bottom w:val="single" w:sz="4" w:space="0" w:color="auto"/>
            </w:tcBorders>
          </w:tcPr>
          <w:p w14:paraId="511B7BCF" w14:textId="77777777" w:rsidR="007D662E" w:rsidRDefault="007D662E" w:rsidP="00223037">
            <w:pPr>
              <w:pStyle w:val="Tabletext"/>
            </w:pPr>
            <w:r>
              <w:t>Unchanged</w:t>
            </w:r>
          </w:p>
        </w:tc>
        <w:tc>
          <w:tcPr>
            <w:tcW w:w="935" w:type="dxa"/>
            <w:tcBorders>
              <w:top w:val="single" w:sz="4" w:space="0" w:color="auto"/>
              <w:bottom w:val="single" w:sz="4" w:space="0" w:color="auto"/>
            </w:tcBorders>
          </w:tcPr>
          <w:p w14:paraId="26699F93" w14:textId="77777777" w:rsidR="007D662E" w:rsidRDefault="007D662E" w:rsidP="00223037">
            <w:pPr>
              <w:pStyle w:val="Tabletext"/>
            </w:pPr>
            <w:r>
              <w:t>N/A</w:t>
            </w:r>
          </w:p>
        </w:tc>
        <w:tc>
          <w:tcPr>
            <w:tcW w:w="1023" w:type="dxa"/>
            <w:tcBorders>
              <w:top w:val="single" w:sz="4" w:space="0" w:color="auto"/>
              <w:bottom w:val="single" w:sz="4" w:space="0" w:color="auto"/>
            </w:tcBorders>
          </w:tcPr>
          <w:p w14:paraId="3D1B890B" w14:textId="77777777" w:rsidR="007D662E" w:rsidRDefault="007D662E" w:rsidP="00223037">
            <w:pPr>
              <w:pStyle w:val="Tabletext"/>
            </w:pPr>
            <w:r>
              <w:t>N/A</w:t>
            </w:r>
          </w:p>
        </w:tc>
        <w:tc>
          <w:tcPr>
            <w:tcW w:w="994" w:type="dxa"/>
            <w:tcBorders>
              <w:top w:val="single" w:sz="4" w:space="0" w:color="auto"/>
              <w:bottom w:val="single" w:sz="4" w:space="0" w:color="auto"/>
            </w:tcBorders>
            <w:shd w:val="clear" w:color="auto" w:fill="D9D9D9" w:themeFill="background1" w:themeFillShade="D9"/>
          </w:tcPr>
          <w:p w14:paraId="64653F23" w14:textId="77777777" w:rsidR="007D662E" w:rsidRPr="00035B57" w:rsidRDefault="007D662E" w:rsidP="00223037">
            <w:pPr>
              <w:pStyle w:val="Tabletext"/>
              <w:rPr>
                <w:i/>
              </w:rPr>
            </w:pPr>
            <w:r w:rsidRPr="00035B57">
              <w:rPr>
                <w:i/>
              </w:rPr>
              <w:t>15</w:t>
            </w:r>
          </w:p>
        </w:tc>
        <w:tc>
          <w:tcPr>
            <w:tcW w:w="1303" w:type="dxa"/>
            <w:tcBorders>
              <w:top w:val="single" w:sz="4" w:space="0" w:color="auto"/>
              <w:bottom w:val="single" w:sz="4" w:space="0" w:color="auto"/>
            </w:tcBorders>
            <w:shd w:val="clear" w:color="auto" w:fill="D9D9D9" w:themeFill="background1" w:themeFillShade="D9"/>
          </w:tcPr>
          <w:p w14:paraId="1B34213F" w14:textId="77777777" w:rsidR="007D662E" w:rsidRPr="00035B57" w:rsidRDefault="007D662E" w:rsidP="00223037">
            <w:pPr>
              <w:pStyle w:val="Tabletext"/>
              <w:rPr>
                <w:i/>
              </w:rPr>
            </w:pPr>
            <w:r w:rsidRPr="00035B57">
              <w:rPr>
                <w:i/>
              </w:rPr>
              <w:t>Assumption- based on Janicak et al. 2010</w:t>
            </w:r>
          </w:p>
        </w:tc>
      </w:tr>
      <w:tr w:rsidR="007D662E" w14:paraId="56FC57DA" w14:textId="77777777" w:rsidTr="00E51CCB">
        <w:tc>
          <w:tcPr>
            <w:tcW w:w="1159" w:type="dxa"/>
          </w:tcPr>
          <w:p w14:paraId="33A8F45F" w14:textId="77777777" w:rsidR="007D662E" w:rsidRDefault="007D662E" w:rsidP="00223037">
            <w:pPr>
              <w:pStyle w:val="Tabletext"/>
            </w:pPr>
            <w:r>
              <w:t>Applied in economics</w:t>
            </w:r>
          </w:p>
        </w:tc>
        <w:tc>
          <w:tcPr>
            <w:tcW w:w="892" w:type="dxa"/>
            <w:tcBorders>
              <w:top w:val="single" w:sz="4" w:space="0" w:color="auto"/>
              <w:bottom w:val="single" w:sz="4" w:space="0" w:color="auto"/>
            </w:tcBorders>
          </w:tcPr>
          <w:p w14:paraId="73B3AB5D" w14:textId="77777777" w:rsidR="007D662E" w:rsidRDefault="007D662E" w:rsidP="00223037">
            <w:pPr>
              <w:pStyle w:val="Tabletext"/>
            </w:pPr>
            <w:r>
              <w:t>Yes (25-45%)</w:t>
            </w:r>
          </w:p>
        </w:tc>
        <w:tc>
          <w:tcPr>
            <w:tcW w:w="1065" w:type="dxa"/>
            <w:tcBorders>
              <w:top w:val="single" w:sz="4" w:space="0" w:color="auto"/>
              <w:bottom w:val="single" w:sz="4" w:space="0" w:color="auto"/>
            </w:tcBorders>
          </w:tcPr>
          <w:p w14:paraId="4EC1FA3B" w14:textId="77777777" w:rsidR="007D662E" w:rsidRPr="0046026B" w:rsidRDefault="007D662E" w:rsidP="00223037">
            <w:pPr>
              <w:pStyle w:val="Tabletext"/>
            </w:pPr>
            <w:r>
              <w:t>-</w:t>
            </w:r>
          </w:p>
        </w:tc>
        <w:tc>
          <w:tcPr>
            <w:tcW w:w="935" w:type="dxa"/>
            <w:tcBorders>
              <w:top w:val="single" w:sz="4" w:space="0" w:color="auto"/>
              <w:bottom w:val="single" w:sz="4" w:space="0" w:color="auto"/>
            </w:tcBorders>
          </w:tcPr>
          <w:p w14:paraId="02A9958F" w14:textId="77777777" w:rsidR="007D662E" w:rsidRDefault="007D662E" w:rsidP="00223037">
            <w:pPr>
              <w:pStyle w:val="Tabletext"/>
            </w:pPr>
            <w:r>
              <w:t>Yes</w:t>
            </w:r>
          </w:p>
        </w:tc>
        <w:tc>
          <w:tcPr>
            <w:tcW w:w="1045" w:type="dxa"/>
            <w:tcBorders>
              <w:top w:val="single" w:sz="4" w:space="0" w:color="auto"/>
              <w:bottom w:val="single" w:sz="4" w:space="0" w:color="auto"/>
            </w:tcBorders>
          </w:tcPr>
          <w:p w14:paraId="3EDB468C" w14:textId="77777777" w:rsidR="007D662E" w:rsidRDefault="007D662E" w:rsidP="00223037">
            <w:pPr>
              <w:pStyle w:val="Tabletext"/>
            </w:pPr>
            <w:r>
              <w:t>-</w:t>
            </w:r>
          </w:p>
        </w:tc>
        <w:tc>
          <w:tcPr>
            <w:tcW w:w="935" w:type="dxa"/>
            <w:tcBorders>
              <w:top w:val="single" w:sz="4" w:space="0" w:color="auto"/>
              <w:bottom w:val="single" w:sz="4" w:space="0" w:color="auto"/>
            </w:tcBorders>
          </w:tcPr>
          <w:p w14:paraId="7D2E3A28" w14:textId="77777777" w:rsidR="007D662E" w:rsidRDefault="007D662E" w:rsidP="00223037">
            <w:pPr>
              <w:pStyle w:val="Tabletext"/>
            </w:pPr>
            <w:r>
              <w:t xml:space="preserve">No </w:t>
            </w:r>
          </w:p>
        </w:tc>
        <w:tc>
          <w:tcPr>
            <w:tcW w:w="1023" w:type="dxa"/>
            <w:tcBorders>
              <w:top w:val="single" w:sz="4" w:space="0" w:color="auto"/>
              <w:bottom w:val="single" w:sz="4" w:space="0" w:color="auto"/>
            </w:tcBorders>
          </w:tcPr>
          <w:p w14:paraId="717A0471" w14:textId="77777777" w:rsidR="007D662E" w:rsidRDefault="007D662E" w:rsidP="00223037">
            <w:pPr>
              <w:pStyle w:val="Tabletext"/>
            </w:pPr>
            <w:r>
              <w:t>N/A</w:t>
            </w:r>
          </w:p>
        </w:tc>
        <w:tc>
          <w:tcPr>
            <w:tcW w:w="994" w:type="dxa"/>
            <w:tcBorders>
              <w:top w:val="single" w:sz="4" w:space="0" w:color="auto"/>
              <w:bottom w:val="single" w:sz="4" w:space="0" w:color="auto"/>
            </w:tcBorders>
            <w:shd w:val="clear" w:color="auto" w:fill="D9D9D9" w:themeFill="background1" w:themeFillShade="D9"/>
          </w:tcPr>
          <w:p w14:paraId="71096340" w14:textId="77777777" w:rsidR="007D662E" w:rsidRPr="00035B57" w:rsidRDefault="007D662E" w:rsidP="00223037">
            <w:pPr>
              <w:pStyle w:val="Tabletext"/>
              <w:rPr>
                <w:i/>
              </w:rPr>
            </w:pPr>
            <w:r w:rsidRPr="00035B57">
              <w:rPr>
                <w:i/>
              </w:rPr>
              <w:t>No</w:t>
            </w:r>
          </w:p>
        </w:tc>
        <w:tc>
          <w:tcPr>
            <w:tcW w:w="1303" w:type="dxa"/>
            <w:tcBorders>
              <w:top w:val="single" w:sz="4" w:space="0" w:color="auto"/>
              <w:bottom w:val="single" w:sz="4" w:space="0" w:color="auto"/>
            </w:tcBorders>
            <w:shd w:val="clear" w:color="auto" w:fill="D9D9D9" w:themeFill="background1" w:themeFillShade="D9"/>
          </w:tcPr>
          <w:p w14:paraId="1031865D" w14:textId="77777777" w:rsidR="007D662E" w:rsidRPr="00035B57" w:rsidRDefault="007D662E" w:rsidP="00223037">
            <w:pPr>
              <w:pStyle w:val="Tabletext"/>
              <w:rPr>
                <w:i/>
              </w:rPr>
            </w:pPr>
            <w:r w:rsidRPr="00035B57">
              <w:rPr>
                <w:i/>
              </w:rPr>
              <w:t>-</w:t>
            </w:r>
          </w:p>
        </w:tc>
      </w:tr>
      <w:tr w:rsidR="007D662E" w14:paraId="1E35FF1C" w14:textId="77777777" w:rsidTr="00E51CCB">
        <w:tc>
          <w:tcPr>
            <w:tcW w:w="1159" w:type="dxa"/>
          </w:tcPr>
          <w:p w14:paraId="29C33DA2" w14:textId="77777777" w:rsidR="007D662E" w:rsidRDefault="007D662E" w:rsidP="00223037">
            <w:pPr>
              <w:pStyle w:val="Tabletext"/>
            </w:pPr>
            <w:r>
              <w:t>Applied in financials</w:t>
            </w:r>
          </w:p>
        </w:tc>
        <w:tc>
          <w:tcPr>
            <w:tcW w:w="892" w:type="dxa"/>
            <w:tcBorders>
              <w:top w:val="single" w:sz="4" w:space="0" w:color="auto"/>
            </w:tcBorders>
          </w:tcPr>
          <w:p w14:paraId="422037DC" w14:textId="77777777" w:rsidR="007D662E" w:rsidRDefault="007D662E" w:rsidP="00223037">
            <w:pPr>
              <w:pStyle w:val="Tabletext"/>
            </w:pPr>
            <w:r>
              <w:t>Yes</w:t>
            </w:r>
          </w:p>
        </w:tc>
        <w:tc>
          <w:tcPr>
            <w:tcW w:w="1065" w:type="dxa"/>
            <w:tcBorders>
              <w:top w:val="single" w:sz="4" w:space="0" w:color="auto"/>
            </w:tcBorders>
          </w:tcPr>
          <w:p w14:paraId="690BBBC0" w14:textId="77777777" w:rsidR="007D662E" w:rsidRPr="0046026B" w:rsidRDefault="007D662E" w:rsidP="00223037">
            <w:pPr>
              <w:pStyle w:val="Tabletext"/>
            </w:pPr>
            <w:r>
              <w:t>-</w:t>
            </w:r>
          </w:p>
        </w:tc>
        <w:tc>
          <w:tcPr>
            <w:tcW w:w="935" w:type="dxa"/>
            <w:tcBorders>
              <w:top w:val="single" w:sz="4" w:space="0" w:color="auto"/>
            </w:tcBorders>
          </w:tcPr>
          <w:p w14:paraId="022EA3DF" w14:textId="77777777" w:rsidR="007D662E" w:rsidRDefault="007D662E" w:rsidP="00223037">
            <w:pPr>
              <w:pStyle w:val="Tabletext"/>
            </w:pPr>
            <w:r>
              <w:t>Yes</w:t>
            </w:r>
          </w:p>
        </w:tc>
        <w:tc>
          <w:tcPr>
            <w:tcW w:w="1045" w:type="dxa"/>
            <w:tcBorders>
              <w:top w:val="single" w:sz="4" w:space="0" w:color="auto"/>
            </w:tcBorders>
          </w:tcPr>
          <w:p w14:paraId="525163CC" w14:textId="77777777" w:rsidR="007D662E" w:rsidRDefault="007D662E" w:rsidP="00223037">
            <w:pPr>
              <w:pStyle w:val="Tabletext"/>
            </w:pPr>
            <w:r>
              <w:t>-</w:t>
            </w:r>
          </w:p>
        </w:tc>
        <w:tc>
          <w:tcPr>
            <w:tcW w:w="935" w:type="dxa"/>
            <w:tcBorders>
              <w:top w:val="single" w:sz="4" w:space="0" w:color="auto"/>
            </w:tcBorders>
          </w:tcPr>
          <w:p w14:paraId="176E7563" w14:textId="77777777" w:rsidR="007D662E" w:rsidRDefault="007D662E" w:rsidP="00223037">
            <w:pPr>
              <w:pStyle w:val="Tabletext"/>
            </w:pPr>
            <w:r>
              <w:t>No</w:t>
            </w:r>
          </w:p>
        </w:tc>
        <w:tc>
          <w:tcPr>
            <w:tcW w:w="1023" w:type="dxa"/>
            <w:tcBorders>
              <w:top w:val="single" w:sz="4" w:space="0" w:color="auto"/>
            </w:tcBorders>
          </w:tcPr>
          <w:p w14:paraId="039A0D24" w14:textId="77777777" w:rsidR="007D662E" w:rsidRDefault="007D662E" w:rsidP="00223037">
            <w:pPr>
              <w:pStyle w:val="Tabletext"/>
            </w:pPr>
            <w:r>
              <w:t>N/A</w:t>
            </w:r>
          </w:p>
        </w:tc>
        <w:tc>
          <w:tcPr>
            <w:tcW w:w="994" w:type="dxa"/>
            <w:tcBorders>
              <w:top w:val="single" w:sz="4" w:space="0" w:color="auto"/>
            </w:tcBorders>
            <w:shd w:val="clear" w:color="auto" w:fill="D9D9D9" w:themeFill="background1" w:themeFillShade="D9"/>
          </w:tcPr>
          <w:p w14:paraId="47F6DE11" w14:textId="77777777" w:rsidR="007D662E" w:rsidRPr="00035B57" w:rsidRDefault="007D662E" w:rsidP="00223037">
            <w:pPr>
              <w:pStyle w:val="Tabletext"/>
              <w:rPr>
                <w:i/>
              </w:rPr>
            </w:pPr>
            <w:r w:rsidRPr="00035B57">
              <w:rPr>
                <w:i/>
              </w:rPr>
              <w:t>Applied 4 months after initial course of treatment</w:t>
            </w:r>
          </w:p>
        </w:tc>
        <w:tc>
          <w:tcPr>
            <w:tcW w:w="1303" w:type="dxa"/>
            <w:tcBorders>
              <w:top w:val="single" w:sz="4" w:space="0" w:color="auto"/>
            </w:tcBorders>
            <w:shd w:val="clear" w:color="auto" w:fill="D9D9D9" w:themeFill="background1" w:themeFillShade="D9"/>
          </w:tcPr>
          <w:p w14:paraId="64B210A9" w14:textId="77777777" w:rsidR="007D662E" w:rsidRPr="00035B57" w:rsidRDefault="007D662E" w:rsidP="00223037">
            <w:pPr>
              <w:pStyle w:val="Tabletext"/>
              <w:rPr>
                <w:i/>
              </w:rPr>
            </w:pPr>
            <w:r w:rsidRPr="00035B57">
              <w:rPr>
                <w:i/>
              </w:rPr>
              <w:t>Assumption, based on average time to retreatment of 4-10 months across included studies in Table 5.</w:t>
            </w:r>
          </w:p>
        </w:tc>
      </w:tr>
    </w:tbl>
    <w:p w14:paraId="1888953D" w14:textId="77777777" w:rsidR="007D662E" w:rsidRDefault="007D662E" w:rsidP="007D662E">
      <w:pPr>
        <w:pStyle w:val="Tablenotes"/>
      </w:pPr>
      <w:r>
        <w:t>Source: Extracted from Table 8, pp36-38 of Application 1196.2</w:t>
      </w:r>
    </w:p>
    <w:p w14:paraId="4AD20440" w14:textId="77777777" w:rsidR="007D662E" w:rsidRDefault="007D662E" w:rsidP="007D662E">
      <w:pPr>
        <w:pStyle w:val="Tablenotes"/>
      </w:pPr>
      <w:r>
        <w:t>Abbreviations: AD = antidepressant; MSAC =Medical Services Advisory Council; NA = not applicable; TMS = repetitive transcranial magnetic stimulation</w:t>
      </w:r>
    </w:p>
    <w:p w14:paraId="7E51E6D6" w14:textId="77777777" w:rsidR="00E51CCB" w:rsidRDefault="007D662E" w:rsidP="00E51CCB">
      <w:pPr>
        <w:pStyle w:val="Tablenotes"/>
      </w:pPr>
      <w:r>
        <w:rPr>
          <w:vertAlign w:val="superscript"/>
        </w:rPr>
        <w:t xml:space="preserve">a </w:t>
      </w:r>
      <w:r>
        <w:t>Also removed from AD arm for consistency</w:t>
      </w:r>
    </w:p>
    <w:p w14:paraId="0E8038E9" w14:textId="2B8F6CAD" w:rsidR="007D662E" w:rsidRPr="00E51CCB" w:rsidRDefault="007D662E" w:rsidP="00E51CCB">
      <w:pPr>
        <w:pStyle w:val="Tablenotes"/>
      </w:pPr>
      <w:r w:rsidRPr="00982230">
        <w:rPr>
          <w:i/>
          <w:color w:val="000000" w:themeColor="text1"/>
        </w:rPr>
        <w:t>Note italicised includes Department calculations bas</w:t>
      </w:r>
      <w:r w:rsidR="00E51CCB">
        <w:rPr>
          <w:i/>
          <w:color w:val="000000" w:themeColor="text1"/>
        </w:rPr>
        <w:t>ed on a</w:t>
      </w:r>
      <w:r>
        <w:rPr>
          <w:i/>
          <w:color w:val="000000" w:themeColor="text1"/>
        </w:rPr>
        <w:t xml:space="preserve">pplicant’s evidence pack for </w:t>
      </w:r>
      <w:r w:rsidRPr="00982230">
        <w:rPr>
          <w:i/>
          <w:color w:val="000000" w:themeColor="text1"/>
        </w:rPr>
        <w:t>Application 1196.3</w:t>
      </w:r>
    </w:p>
    <w:p w14:paraId="6813FE36" w14:textId="77777777" w:rsidR="007D662E" w:rsidRDefault="007D662E" w:rsidP="007D662E">
      <w:pPr>
        <w:pStyle w:val="Heading2"/>
      </w:pPr>
      <w:r>
        <w:lastRenderedPageBreak/>
        <w:t>Base case: o</w:t>
      </w:r>
      <w:r w:rsidRPr="001B05DC">
        <w:t>ne retreatment course</w:t>
      </w:r>
    </w:p>
    <w:p w14:paraId="0C0B5A69" w14:textId="0737D430" w:rsidR="007D662E" w:rsidRDefault="007D662E" w:rsidP="00A25FF3">
      <w:pPr>
        <w:spacing w:after="240"/>
      </w:pPr>
      <w:r>
        <w:t>Based on the Department-proposed MBS item descriptor for one course of retreatment with rTMS (base case MB</w:t>
      </w:r>
      <w:r w:rsidR="00E51CCB">
        <w:t>S item descriptor XXXXX; Table 1</w:t>
      </w:r>
      <w:r>
        <w:t>), the updated financial implications of listing rTMS to the MBS including one rTMS retreatment course only in those who relapse after remission</w:t>
      </w:r>
      <w:r w:rsidRPr="00666F63">
        <w:t xml:space="preserve"> or satisfactory clinical response (according to a validated clinical assessment tool for </w:t>
      </w:r>
      <w:r w:rsidRPr="00666F63">
        <w:rPr>
          <w:lang w:eastAsia="en-US"/>
        </w:rPr>
        <w:t xml:space="preserve">antidepressant medication-resistant </w:t>
      </w:r>
      <w:r>
        <w:t>MDD</w:t>
      </w:r>
      <w:r w:rsidRPr="00666F63">
        <w:t>)</w:t>
      </w:r>
      <w:r w:rsidR="00E51CCB">
        <w:t xml:space="preserve"> is summarised in Table 6</w:t>
      </w:r>
      <w:r>
        <w:t xml:space="preserve">. </w:t>
      </w:r>
      <w:r w:rsidRPr="001717AA">
        <w:t>Note, these updated values were based on the respecified model provided in the Critique</w:t>
      </w:r>
      <w:r w:rsidR="00E51CCB">
        <w:t>, including the</w:t>
      </w:r>
      <w:r>
        <w:t xml:space="preserve"> previous sensitivity an</w:t>
      </w:r>
      <w:r w:rsidR="00E51CCB">
        <w:t>alysis (1 and 2 below in Table 6</w:t>
      </w:r>
      <w:r>
        <w:t>).</w:t>
      </w:r>
    </w:p>
    <w:p w14:paraId="2A98181B" w14:textId="7BDD8B80" w:rsidR="007D662E" w:rsidRPr="005B5918" w:rsidRDefault="007D662E" w:rsidP="005B5918">
      <w:pPr>
        <w:rPr>
          <w:rFonts w:ascii="Arial Narrow" w:hAnsi="Arial Narrow"/>
          <w:b/>
          <w:sz w:val="20"/>
        </w:rPr>
      </w:pPr>
      <w:r w:rsidRPr="005B5918">
        <w:rPr>
          <w:rFonts w:ascii="Arial Narrow" w:hAnsi="Arial Narrow"/>
          <w:b/>
          <w:sz w:val="20"/>
        </w:rPr>
        <w:t xml:space="preserve">Table </w:t>
      </w:r>
      <w:r w:rsidR="00E51CCB" w:rsidRPr="005B5918">
        <w:rPr>
          <w:rFonts w:ascii="Arial Narrow" w:hAnsi="Arial Narrow"/>
          <w:b/>
          <w:sz w:val="20"/>
        </w:rPr>
        <w:t>6</w:t>
      </w:r>
      <w:r w:rsidRPr="005B5918">
        <w:rPr>
          <w:rFonts w:ascii="Arial Narrow" w:hAnsi="Arial Narrow"/>
          <w:b/>
          <w:sz w:val="20"/>
        </w:rPr>
        <w:tab/>
        <w:t xml:space="preserve">Respecified net financial implications to the MBS (as 1196.2 Critique), updated to include one course of retreatment </w:t>
      </w:r>
    </w:p>
    <w:tbl>
      <w:tblPr>
        <w:tblStyle w:val="OPTUMTableNormal"/>
        <w:tblW w:w="5000" w:type="pct"/>
        <w:tblLayout w:type="fixed"/>
        <w:tblCellMar>
          <w:left w:w="28" w:type="dxa"/>
          <w:right w:w="28" w:type="dxa"/>
        </w:tblCellMar>
        <w:tblLook w:val="04A0" w:firstRow="1" w:lastRow="0" w:firstColumn="1" w:lastColumn="0" w:noHBand="0" w:noVBand="1"/>
        <w:tblCaption w:val="Respecified net financial implications to the MBS"/>
        <w:tblDescription w:val="Summary of Critique's respecified financial implications to the MBS"/>
      </w:tblPr>
      <w:tblGrid>
        <w:gridCol w:w="2974"/>
        <w:gridCol w:w="1209"/>
        <w:gridCol w:w="1209"/>
        <w:gridCol w:w="1208"/>
        <w:gridCol w:w="1208"/>
        <w:gridCol w:w="1208"/>
      </w:tblGrid>
      <w:tr w:rsidR="007D662E" w:rsidRPr="002531B7" w14:paraId="54843737" w14:textId="77777777" w:rsidTr="00223037">
        <w:trPr>
          <w:cnfStyle w:val="100000000000" w:firstRow="1" w:lastRow="0" w:firstColumn="0" w:lastColumn="0" w:oddVBand="0" w:evenVBand="0" w:oddHBand="0" w:evenHBand="0" w:firstRowFirstColumn="0" w:firstRowLastColumn="0" w:lastRowFirstColumn="0" w:lastRowLastColumn="0"/>
          <w:trHeight w:val="174"/>
          <w:tblHeader/>
        </w:trPr>
        <w:tc>
          <w:tcPr>
            <w:tcW w:w="1649" w:type="pct"/>
            <w:shd w:val="clear" w:color="auto" w:fill="auto"/>
            <w:hideMark/>
          </w:tcPr>
          <w:p w14:paraId="27E192DC" w14:textId="77777777" w:rsidR="007D662E" w:rsidRPr="002531B7" w:rsidRDefault="007D662E" w:rsidP="00223037">
            <w:pPr>
              <w:pStyle w:val="CommentaryTabletext"/>
              <w:rPr>
                <w:rFonts w:eastAsia="Calibri"/>
                <w:b/>
                <w:color w:val="auto"/>
              </w:rPr>
            </w:pPr>
          </w:p>
        </w:tc>
        <w:tc>
          <w:tcPr>
            <w:tcW w:w="670" w:type="pct"/>
            <w:shd w:val="clear" w:color="auto" w:fill="auto"/>
            <w:hideMark/>
          </w:tcPr>
          <w:p w14:paraId="13CBCD9A"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1</w:t>
            </w:r>
          </w:p>
        </w:tc>
        <w:tc>
          <w:tcPr>
            <w:tcW w:w="670" w:type="pct"/>
            <w:shd w:val="clear" w:color="auto" w:fill="auto"/>
          </w:tcPr>
          <w:p w14:paraId="0C9B51F5"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2</w:t>
            </w:r>
          </w:p>
        </w:tc>
        <w:tc>
          <w:tcPr>
            <w:tcW w:w="670" w:type="pct"/>
            <w:shd w:val="clear" w:color="auto" w:fill="auto"/>
          </w:tcPr>
          <w:p w14:paraId="3DA3E2A5"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3</w:t>
            </w:r>
          </w:p>
        </w:tc>
        <w:tc>
          <w:tcPr>
            <w:tcW w:w="670" w:type="pct"/>
            <w:shd w:val="clear" w:color="auto" w:fill="auto"/>
          </w:tcPr>
          <w:p w14:paraId="533AA816"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4</w:t>
            </w:r>
          </w:p>
        </w:tc>
        <w:tc>
          <w:tcPr>
            <w:tcW w:w="670" w:type="pct"/>
            <w:shd w:val="clear" w:color="auto" w:fill="auto"/>
          </w:tcPr>
          <w:p w14:paraId="0C4F2D29"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5</w:t>
            </w:r>
          </w:p>
        </w:tc>
      </w:tr>
      <w:tr w:rsidR="007D662E" w:rsidRPr="002531B7" w14:paraId="5FEC1291" w14:textId="77777777" w:rsidTr="00223037">
        <w:trPr>
          <w:trHeight w:val="174"/>
        </w:trPr>
        <w:tc>
          <w:tcPr>
            <w:tcW w:w="1649" w:type="pct"/>
            <w:shd w:val="clear" w:color="auto" w:fill="auto"/>
          </w:tcPr>
          <w:p w14:paraId="6F471118"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Population with TRD (less prior patients)</w:t>
            </w:r>
          </w:p>
        </w:tc>
        <w:tc>
          <w:tcPr>
            <w:tcW w:w="670" w:type="pct"/>
            <w:shd w:val="clear" w:color="auto" w:fill="auto"/>
            <w:vAlign w:val="bottom"/>
          </w:tcPr>
          <w:p w14:paraId="1467B6F0"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112,488</w:t>
            </w:r>
          </w:p>
        </w:tc>
        <w:tc>
          <w:tcPr>
            <w:tcW w:w="670" w:type="pct"/>
            <w:shd w:val="clear" w:color="auto" w:fill="auto"/>
            <w:vAlign w:val="bottom"/>
          </w:tcPr>
          <w:p w14:paraId="69E1DA58"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103,015</w:t>
            </w:r>
          </w:p>
        </w:tc>
        <w:tc>
          <w:tcPr>
            <w:tcW w:w="670" w:type="pct"/>
            <w:shd w:val="clear" w:color="auto" w:fill="auto"/>
            <w:vAlign w:val="bottom"/>
          </w:tcPr>
          <w:p w14:paraId="188254E9"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86,779</w:t>
            </w:r>
          </w:p>
        </w:tc>
        <w:tc>
          <w:tcPr>
            <w:tcW w:w="670" w:type="pct"/>
            <w:shd w:val="clear" w:color="auto" w:fill="auto"/>
            <w:vAlign w:val="bottom"/>
          </w:tcPr>
          <w:p w14:paraId="5B003A8C"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66,902</w:t>
            </w:r>
          </w:p>
        </w:tc>
        <w:tc>
          <w:tcPr>
            <w:tcW w:w="670" w:type="pct"/>
            <w:shd w:val="clear" w:color="auto" w:fill="auto"/>
            <w:vAlign w:val="bottom"/>
          </w:tcPr>
          <w:p w14:paraId="32D2E6C6" w14:textId="77777777" w:rsidR="007D662E" w:rsidRPr="002531B7" w:rsidRDefault="007D662E" w:rsidP="00223037">
            <w:pPr>
              <w:pStyle w:val="TableText0"/>
              <w:rPr>
                <w:rFonts w:eastAsia="MS Mincho" w:cs="ArialMT"/>
                <w:bCs/>
                <w:szCs w:val="20"/>
                <w:lang w:val="en-GB"/>
              </w:rPr>
            </w:pPr>
            <w:r w:rsidRPr="002531B7">
              <w:rPr>
                <w:rFonts w:eastAsia="MS Mincho" w:cs="ArialMT"/>
                <w:bCs/>
                <w:szCs w:val="20"/>
                <w:lang w:val="en-GB"/>
              </w:rPr>
              <w:t>47,027</w:t>
            </w:r>
          </w:p>
        </w:tc>
      </w:tr>
      <w:tr w:rsidR="007D662E" w:rsidRPr="002531B7" w14:paraId="578DA02A" w14:textId="77777777" w:rsidTr="00223037">
        <w:trPr>
          <w:trHeight w:val="174"/>
        </w:trPr>
        <w:tc>
          <w:tcPr>
            <w:tcW w:w="1649" w:type="pct"/>
            <w:shd w:val="clear" w:color="auto" w:fill="auto"/>
            <w:vAlign w:val="center"/>
          </w:tcPr>
          <w:p w14:paraId="7E91404E" w14:textId="77777777" w:rsidR="007D662E" w:rsidRPr="002531B7" w:rsidRDefault="007D662E" w:rsidP="00223037">
            <w:pPr>
              <w:pStyle w:val="TableText0"/>
              <w:rPr>
                <w:rFonts w:eastAsia="MS Mincho"/>
              </w:rPr>
            </w:pPr>
            <w:r w:rsidRPr="002531B7">
              <w:rPr>
                <w:rFonts w:eastAsia="MS Mincho" w:cs="ArialMT"/>
                <w:bCs/>
                <w:szCs w:val="20"/>
                <w:lang w:val="en-GB"/>
              </w:rPr>
              <w:t xml:space="preserve">Uptake rate of rTMS </w:t>
            </w:r>
          </w:p>
        </w:tc>
        <w:tc>
          <w:tcPr>
            <w:tcW w:w="670" w:type="pct"/>
            <w:shd w:val="clear" w:color="auto" w:fill="auto"/>
            <w:vAlign w:val="bottom"/>
          </w:tcPr>
          <w:p w14:paraId="255CE54D" w14:textId="77777777" w:rsidR="007D662E" w:rsidRPr="002531B7" w:rsidRDefault="007D662E" w:rsidP="00223037">
            <w:pPr>
              <w:pStyle w:val="TableText0"/>
            </w:pPr>
            <w:r w:rsidRPr="002531B7">
              <w:rPr>
                <w:rFonts w:eastAsia="MS Mincho" w:cs="ArialMT"/>
                <w:bCs/>
                <w:szCs w:val="20"/>
                <w:lang w:val="en-GB"/>
              </w:rPr>
              <w:t>10.00%</w:t>
            </w:r>
          </w:p>
        </w:tc>
        <w:tc>
          <w:tcPr>
            <w:tcW w:w="670" w:type="pct"/>
            <w:shd w:val="clear" w:color="auto" w:fill="auto"/>
            <w:vAlign w:val="bottom"/>
          </w:tcPr>
          <w:p w14:paraId="77D58346" w14:textId="77777777" w:rsidR="007D662E" w:rsidRPr="002531B7" w:rsidRDefault="007D662E" w:rsidP="00223037">
            <w:pPr>
              <w:pStyle w:val="TableText0"/>
            </w:pPr>
            <w:r w:rsidRPr="002531B7">
              <w:rPr>
                <w:rFonts w:eastAsia="MS Mincho" w:cs="ArialMT"/>
                <w:bCs/>
                <w:szCs w:val="20"/>
                <w:lang w:val="en-GB"/>
              </w:rPr>
              <w:t>17.50%</w:t>
            </w:r>
          </w:p>
        </w:tc>
        <w:tc>
          <w:tcPr>
            <w:tcW w:w="670" w:type="pct"/>
            <w:shd w:val="clear" w:color="auto" w:fill="auto"/>
            <w:vAlign w:val="bottom"/>
          </w:tcPr>
          <w:p w14:paraId="551A1F7F" w14:textId="77777777" w:rsidR="007D662E" w:rsidRPr="002531B7" w:rsidRDefault="007D662E" w:rsidP="00223037">
            <w:pPr>
              <w:pStyle w:val="TableText0"/>
            </w:pPr>
            <w:r w:rsidRPr="002531B7">
              <w:rPr>
                <w:rFonts w:eastAsia="MS Mincho" w:cs="ArialMT"/>
                <w:bCs/>
                <w:szCs w:val="20"/>
                <w:lang w:val="en-GB"/>
              </w:rPr>
              <w:t>25.00%</w:t>
            </w:r>
          </w:p>
        </w:tc>
        <w:tc>
          <w:tcPr>
            <w:tcW w:w="670" w:type="pct"/>
            <w:shd w:val="clear" w:color="auto" w:fill="auto"/>
            <w:vAlign w:val="bottom"/>
          </w:tcPr>
          <w:p w14:paraId="663729C5" w14:textId="77777777" w:rsidR="007D662E" w:rsidRPr="002531B7" w:rsidRDefault="007D662E" w:rsidP="00223037">
            <w:pPr>
              <w:pStyle w:val="TableText0"/>
            </w:pPr>
            <w:r w:rsidRPr="002531B7">
              <w:rPr>
                <w:rFonts w:eastAsia="MS Mincho" w:cs="ArialMT"/>
                <w:bCs/>
                <w:szCs w:val="20"/>
                <w:lang w:val="en-GB"/>
              </w:rPr>
              <w:t>32.50%</w:t>
            </w:r>
          </w:p>
        </w:tc>
        <w:tc>
          <w:tcPr>
            <w:tcW w:w="670" w:type="pct"/>
            <w:shd w:val="clear" w:color="auto" w:fill="auto"/>
            <w:vAlign w:val="bottom"/>
          </w:tcPr>
          <w:p w14:paraId="6D4A5436" w14:textId="77777777" w:rsidR="007D662E" w:rsidRPr="002531B7" w:rsidRDefault="007D662E" w:rsidP="00223037">
            <w:pPr>
              <w:pStyle w:val="TableText0"/>
            </w:pPr>
            <w:r w:rsidRPr="002531B7">
              <w:rPr>
                <w:rFonts w:eastAsia="MS Mincho" w:cs="ArialMT"/>
                <w:bCs/>
                <w:szCs w:val="20"/>
                <w:lang w:val="en-GB"/>
              </w:rPr>
              <w:t>40.00%</w:t>
            </w:r>
          </w:p>
        </w:tc>
      </w:tr>
      <w:tr w:rsidR="007D662E" w:rsidRPr="002531B7" w14:paraId="46920188" w14:textId="77777777" w:rsidTr="00223037">
        <w:trPr>
          <w:trHeight w:val="174"/>
        </w:trPr>
        <w:tc>
          <w:tcPr>
            <w:tcW w:w="1649" w:type="pct"/>
            <w:shd w:val="clear" w:color="auto" w:fill="auto"/>
            <w:vAlign w:val="center"/>
          </w:tcPr>
          <w:p w14:paraId="6F465188" w14:textId="77777777" w:rsidR="007D662E" w:rsidRPr="002531B7" w:rsidRDefault="007D662E" w:rsidP="00223037">
            <w:pPr>
              <w:pStyle w:val="TableText0"/>
              <w:rPr>
                <w:rFonts w:eastAsia="MS Mincho"/>
              </w:rPr>
            </w:pPr>
            <w:r w:rsidRPr="002531B7">
              <w:rPr>
                <w:rFonts w:eastAsia="MS Mincho" w:cs="ArialMT"/>
                <w:bCs/>
                <w:szCs w:val="20"/>
                <w:lang w:val="en-GB"/>
              </w:rPr>
              <w:t>Patients starting</w:t>
            </w:r>
          </w:p>
        </w:tc>
        <w:tc>
          <w:tcPr>
            <w:tcW w:w="670" w:type="pct"/>
            <w:shd w:val="clear" w:color="auto" w:fill="auto"/>
            <w:vAlign w:val="bottom"/>
          </w:tcPr>
          <w:p w14:paraId="77B2CC48" w14:textId="77777777" w:rsidR="007D662E" w:rsidRPr="002531B7" w:rsidRDefault="007D662E" w:rsidP="00223037">
            <w:pPr>
              <w:pStyle w:val="TableText0"/>
            </w:pPr>
            <w:r w:rsidRPr="002531B7">
              <w:rPr>
                <w:rFonts w:eastAsia="MS Mincho" w:cs="ArialMT"/>
                <w:bCs/>
                <w:szCs w:val="20"/>
                <w:lang w:val="en-GB"/>
              </w:rPr>
              <w:t>11,249</w:t>
            </w:r>
          </w:p>
        </w:tc>
        <w:tc>
          <w:tcPr>
            <w:tcW w:w="670" w:type="pct"/>
            <w:shd w:val="clear" w:color="auto" w:fill="auto"/>
            <w:vAlign w:val="bottom"/>
          </w:tcPr>
          <w:p w14:paraId="2153EC5B" w14:textId="77777777" w:rsidR="007D662E" w:rsidRPr="002531B7" w:rsidRDefault="007D662E" w:rsidP="00223037">
            <w:pPr>
              <w:pStyle w:val="TableText0"/>
            </w:pPr>
            <w:r w:rsidRPr="002531B7">
              <w:rPr>
                <w:rFonts w:eastAsia="MS Mincho" w:cs="ArialMT"/>
                <w:bCs/>
                <w:szCs w:val="20"/>
                <w:lang w:val="en-GB"/>
              </w:rPr>
              <w:t>18,028</w:t>
            </w:r>
          </w:p>
        </w:tc>
        <w:tc>
          <w:tcPr>
            <w:tcW w:w="670" w:type="pct"/>
            <w:shd w:val="clear" w:color="auto" w:fill="auto"/>
            <w:vAlign w:val="bottom"/>
          </w:tcPr>
          <w:p w14:paraId="2B9F1ED3" w14:textId="77777777" w:rsidR="007D662E" w:rsidRPr="002531B7" w:rsidRDefault="007D662E" w:rsidP="00223037">
            <w:pPr>
              <w:pStyle w:val="TableText0"/>
            </w:pPr>
            <w:r w:rsidRPr="002531B7">
              <w:rPr>
                <w:rFonts w:eastAsia="MS Mincho" w:cs="ArialMT"/>
                <w:bCs/>
                <w:szCs w:val="20"/>
                <w:lang w:val="en-GB"/>
              </w:rPr>
              <w:t>21,695</w:t>
            </w:r>
          </w:p>
        </w:tc>
        <w:tc>
          <w:tcPr>
            <w:tcW w:w="670" w:type="pct"/>
            <w:shd w:val="clear" w:color="auto" w:fill="auto"/>
            <w:vAlign w:val="bottom"/>
          </w:tcPr>
          <w:p w14:paraId="126E4E3C" w14:textId="77777777" w:rsidR="007D662E" w:rsidRPr="002531B7" w:rsidRDefault="007D662E" w:rsidP="00223037">
            <w:pPr>
              <w:pStyle w:val="TableText0"/>
            </w:pPr>
            <w:r w:rsidRPr="002531B7">
              <w:rPr>
                <w:rFonts w:eastAsia="MS Mincho" w:cs="ArialMT"/>
                <w:bCs/>
                <w:szCs w:val="20"/>
                <w:lang w:val="en-GB"/>
              </w:rPr>
              <w:t>21,743</w:t>
            </w:r>
          </w:p>
        </w:tc>
        <w:tc>
          <w:tcPr>
            <w:tcW w:w="670" w:type="pct"/>
            <w:shd w:val="clear" w:color="auto" w:fill="auto"/>
            <w:vAlign w:val="bottom"/>
          </w:tcPr>
          <w:p w14:paraId="2CBC1583" w14:textId="77777777" w:rsidR="007D662E" w:rsidRPr="002531B7" w:rsidRDefault="007D662E" w:rsidP="00223037">
            <w:pPr>
              <w:pStyle w:val="TableText0"/>
            </w:pPr>
            <w:r w:rsidRPr="002531B7">
              <w:rPr>
                <w:rFonts w:eastAsia="MS Mincho" w:cs="ArialMT"/>
                <w:bCs/>
                <w:szCs w:val="20"/>
                <w:lang w:val="en-GB"/>
              </w:rPr>
              <w:t>18,811</w:t>
            </w:r>
          </w:p>
        </w:tc>
      </w:tr>
      <w:tr w:rsidR="007D662E" w:rsidRPr="002531B7" w14:paraId="4CB6F509" w14:textId="77777777" w:rsidTr="00223037">
        <w:trPr>
          <w:trHeight w:val="174"/>
        </w:trPr>
        <w:tc>
          <w:tcPr>
            <w:tcW w:w="1649" w:type="pct"/>
            <w:shd w:val="clear" w:color="auto" w:fill="auto"/>
            <w:vAlign w:val="center"/>
          </w:tcPr>
          <w:p w14:paraId="6A51880F" w14:textId="77777777" w:rsidR="007D662E" w:rsidRPr="00B34BB8" w:rsidRDefault="007D662E" w:rsidP="00223037">
            <w:pPr>
              <w:pStyle w:val="TableText0"/>
              <w:rPr>
                <w:rFonts w:eastAsia="MS Mincho" w:cs="ArialMT"/>
                <w:bCs/>
                <w:i/>
                <w:szCs w:val="20"/>
                <w:vertAlign w:val="superscript"/>
                <w:lang w:val="en-GB"/>
              </w:rPr>
            </w:pPr>
            <w:r>
              <w:rPr>
                <w:rFonts w:eastAsia="MS Mincho" w:cs="ArialMT"/>
                <w:bCs/>
                <w:i/>
                <w:szCs w:val="20"/>
                <w:lang w:val="en-GB"/>
              </w:rPr>
              <w:t>Non-remitters</w:t>
            </w:r>
            <w:r>
              <w:rPr>
                <w:rFonts w:eastAsia="MS Mincho" w:cs="ArialMT"/>
                <w:bCs/>
                <w:i/>
                <w:szCs w:val="20"/>
                <w:vertAlign w:val="superscript"/>
                <w:lang w:val="en-GB"/>
              </w:rPr>
              <w:t>a</w:t>
            </w:r>
            <w:r>
              <w:rPr>
                <w:rFonts w:eastAsia="MS Mincho" w:cs="ArialMT"/>
                <w:bCs/>
                <w:i/>
                <w:szCs w:val="20"/>
                <w:lang w:val="en-GB"/>
              </w:rPr>
              <w:t xml:space="preserve"> who relapse (37.5%); rTMS retreatment subpopulation</w:t>
            </w:r>
          </w:p>
        </w:tc>
        <w:tc>
          <w:tcPr>
            <w:tcW w:w="670" w:type="pct"/>
            <w:shd w:val="clear" w:color="auto" w:fill="auto"/>
          </w:tcPr>
          <w:p w14:paraId="54DD967E" w14:textId="77777777" w:rsidR="007D662E" w:rsidRPr="002B2E7B" w:rsidRDefault="007D662E" w:rsidP="00223037">
            <w:pPr>
              <w:pStyle w:val="TableText0"/>
              <w:jc w:val="left"/>
              <w:rPr>
                <w:rFonts w:eastAsia="MS Mincho" w:cs="ArialMT"/>
                <w:bCs/>
                <w:i/>
                <w:szCs w:val="20"/>
                <w:lang w:val="en-GB"/>
              </w:rPr>
            </w:pPr>
            <w:r w:rsidRPr="002B2E7B">
              <w:rPr>
                <w:rFonts w:cs="Arial"/>
                <w:i/>
                <w:szCs w:val="20"/>
              </w:rPr>
              <w:t>3,248</w:t>
            </w:r>
          </w:p>
        </w:tc>
        <w:tc>
          <w:tcPr>
            <w:tcW w:w="670" w:type="pct"/>
            <w:shd w:val="clear" w:color="auto" w:fill="auto"/>
          </w:tcPr>
          <w:p w14:paraId="53E340F4" w14:textId="77777777" w:rsidR="007D662E" w:rsidRPr="002B2E7B" w:rsidRDefault="007D662E" w:rsidP="00223037">
            <w:pPr>
              <w:pStyle w:val="TableText0"/>
              <w:jc w:val="left"/>
              <w:rPr>
                <w:rFonts w:eastAsia="MS Mincho" w:cs="ArialMT"/>
                <w:bCs/>
                <w:i/>
                <w:szCs w:val="20"/>
                <w:lang w:val="en-GB"/>
              </w:rPr>
            </w:pPr>
            <w:r w:rsidRPr="002B2E7B">
              <w:rPr>
                <w:rFonts w:cs="Arial"/>
                <w:i/>
                <w:szCs w:val="20"/>
              </w:rPr>
              <w:t>5,205</w:t>
            </w:r>
          </w:p>
        </w:tc>
        <w:tc>
          <w:tcPr>
            <w:tcW w:w="670" w:type="pct"/>
            <w:shd w:val="clear" w:color="auto" w:fill="auto"/>
          </w:tcPr>
          <w:p w14:paraId="503FC108" w14:textId="77777777" w:rsidR="007D662E" w:rsidRPr="002B2E7B" w:rsidRDefault="007D662E" w:rsidP="00223037">
            <w:pPr>
              <w:pStyle w:val="TableText0"/>
              <w:jc w:val="left"/>
              <w:rPr>
                <w:rFonts w:eastAsia="MS Mincho" w:cs="ArialMT"/>
                <w:bCs/>
                <w:i/>
                <w:szCs w:val="20"/>
                <w:lang w:val="en-GB"/>
              </w:rPr>
            </w:pPr>
            <w:r w:rsidRPr="002B2E7B">
              <w:rPr>
                <w:rFonts w:cs="Arial"/>
                <w:i/>
                <w:szCs w:val="20"/>
              </w:rPr>
              <w:t>6,264</w:t>
            </w:r>
          </w:p>
        </w:tc>
        <w:tc>
          <w:tcPr>
            <w:tcW w:w="670" w:type="pct"/>
            <w:shd w:val="clear" w:color="auto" w:fill="auto"/>
          </w:tcPr>
          <w:p w14:paraId="38DD3B6E" w14:textId="77777777" w:rsidR="007D662E" w:rsidRPr="002B2E7B" w:rsidRDefault="007D662E" w:rsidP="00223037">
            <w:pPr>
              <w:pStyle w:val="TableText0"/>
              <w:jc w:val="left"/>
              <w:rPr>
                <w:rFonts w:eastAsia="MS Mincho" w:cs="ArialMT"/>
                <w:bCs/>
                <w:i/>
                <w:szCs w:val="20"/>
                <w:lang w:val="en-GB"/>
              </w:rPr>
            </w:pPr>
            <w:r w:rsidRPr="002B2E7B">
              <w:rPr>
                <w:rFonts w:cs="Arial"/>
                <w:i/>
                <w:szCs w:val="20"/>
              </w:rPr>
              <w:t>6,278</w:t>
            </w:r>
          </w:p>
        </w:tc>
        <w:tc>
          <w:tcPr>
            <w:tcW w:w="670" w:type="pct"/>
            <w:shd w:val="clear" w:color="auto" w:fill="auto"/>
          </w:tcPr>
          <w:p w14:paraId="1A3DB78A" w14:textId="77777777" w:rsidR="007D662E" w:rsidRPr="002B2E7B" w:rsidRDefault="007D662E" w:rsidP="00223037">
            <w:pPr>
              <w:pStyle w:val="TableText0"/>
              <w:jc w:val="left"/>
              <w:rPr>
                <w:rFonts w:eastAsia="MS Mincho" w:cs="ArialMT"/>
                <w:bCs/>
                <w:i/>
                <w:szCs w:val="20"/>
                <w:lang w:val="en-GB"/>
              </w:rPr>
            </w:pPr>
            <w:r w:rsidRPr="002B2E7B">
              <w:rPr>
                <w:rFonts w:cs="Arial"/>
                <w:i/>
                <w:szCs w:val="20"/>
              </w:rPr>
              <w:t>5,432</w:t>
            </w:r>
          </w:p>
        </w:tc>
      </w:tr>
      <w:tr w:rsidR="007D662E" w:rsidRPr="002531B7" w14:paraId="72FA9F35" w14:textId="77777777" w:rsidTr="00223037">
        <w:trPr>
          <w:trHeight w:val="174"/>
        </w:trPr>
        <w:tc>
          <w:tcPr>
            <w:tcW w:w="1649" w:type="pct"/>
            <w:shd w:val="clear" w:color="auto" w:fill="auto"/>
          </w:tcPr>
          <w:p w14:paraId="21E33430" w14:textId="77777777" w:rsidR="007D662E" w:rsidRPr="002531B7" w:rsidRDefault="007D662E" w:rsidP="00223037">
            <w:pPr>
              <w:pStyle w:val="CommentaryTabletext"/>
              <w:rPr>
                <w:rFonts w:eastAsia="MS Mincho"/>
                <w:b/>
                <w:color w:val="auto"/>
              </w:rPr>
            </w:pPr>
            <w:r w:rsidRPr="002531B7">
              <w:rPr>
                <w:rFonts w:eastAsia="MS Mincho"/>
                <w:b/>
                <w:color w:val="auto"/>
              </w:rPr>
              <w:t>Resubmission base net to the MBS</w:t>
            </w:r>
          </w:p>
        </w:tc>
        <w:tc>
          <w:tcPr>
            <w:tcW w:w="670" w:type="pct"/>
            <w:shd w:val="clear" w:color="auto" w:fill="auto"/>
            <w:vAlign w:val="bottom"/>
          </w:tcPr>
          <w:p w14:paraId="2455C7B7" w14:textId="77777777" w:rsidR="007D662E" w:rsidRPr="002531B7" w:rsidRDefault="007D662E" w:rsidP="00223037">
            <w:pPr>
              <w:pStyle w:val="CommentaryTabletext"/>
              <w:jc w:val="right"/>
              <w:rPr>
                <w:rFonts w:eastAsia="MS Mincho"/>
                <w:b/>
                <w:color w:val="auto"/>
              </w:rPr>
            </w:pPr>
          </w:p>
        </w:tc>
        <w:tc>
          <w:tcPr>
            <w:tcW w:w="670" w:type="pct"/>
            <w:shd w:val="clear" w:color="auto" w:fill="auto"/>
            <w:vAlign w:val="bottom"/>
          </w:tcPr>
          <w:p w14:paraId="09DB8CC1" w14:textId="77777777" w:rsidR="007D662E" w:rsidRPr="002531B7" w:rsidRDefault="007D662E" w:rsidP="00223037">
            <w:pPr>
              <w:pStyle w:val="CommentaryTabletext"/>
              <w:jc w:val="right"/>
              <w:rPr>
                <w:rFonts w:eastAsia="MS Mincho"/>
                <w:b/>
                <w:color w:val="auto"/>
              </w:rPr>
            </w:pPr>
          </w:p>
        </w:tc>
        <w:tc>
          <w:tcPr>
            <w:tcW w:w="670" w:type="pct"/>
            <w:shd w:val="clear" w:color="auto" w:fill="auto"/>
            <w:vAlign w:val="bottom"/>
          </w:tcPr>
          <w:p w14:paraId="46B3705A" w14:textId="77777777" w:rsidR="007D662E" w:rsidRPr="002531B7" w:rsidRDefault="007D662E" w:rsidP="00223037">
            <w:pPr>
              <w:pStyle w:val="CommentaryTabletext"/>
              <w:jc w:val="right"/>
              <w:rPr>
                <w:rFonts w:eastAsia="MS Mincho"/>
                <w:b/>
                <w:color w:val="auto"/>
              </w:rPr>
            </w:pPr>
          </w:p>
        </w:tc>
        <w:tc>
          <w:tcPr>
            <w:tcW w:w="670" w:type="pct"/>
            <w:shd w:val="clear" w:color="auto" w:fill="auto"/>
            <w:vAlign w:val="bottom"/>
          </w:tcPr>
          <w:p w14:paraId="6CE9F4EC" w14:textId="77777777" w:rsidR="007D662E" w:rsidRPr="002531B7" w:rsidRDefault="007D662E" w:rsidP="00223037">
            <w:pPr>
              <w:pStyle w:val="CommentaryTabletext"/>
              <w:jc w:val="right"/>
              <w:rPr>
                <w:rFonts w:eastAsia="MS Mincho"/>
                <w:b/>
                <w:color w:val="auto"/>
              </w:rPr>
            </w:pPr>
          </w:p>
        </w:tc>
        <w:tc>
          <w:tcPr>
            <w:tcW w:w="670" w:type="pct"/>
            <w:shd w:val="clear" w:color="auto" w:fill="auto"/>
            <w:vAlign w:val="bottom"/>
          </w:tcPr>
          <w:p w14:paraId="666605D5" w14:textId="77777777" w:rsidR="007D662E" w:rsidRPr="002531B7" w:rsidRDefault="007D662E" w:rsidP="00223037">
            <w:pPr>
              <w:pStyle w:val="CommentaryTabletext"/>
              <w:jc w:val="right"/>
              <w:rPr>
                <w:rFonts w:eastAsia="MS Mincho"/>
                <w:b/>
                <w:color w:val="auto"/>
              </w:rPr>
            </w:pPr>
          </w:p>
        </w:tc>
      </w:tr>
      <w:tr w:rsidR="007D662E" w:rsidRPr="002531B7" w14:paraId="779DBCBB" w14:textId="77777777" w:rsidTr="00223037">
        <w:trPr>
          <w:trHeight w:val="174"/>
        </w:trPr>
        <w:tc>
          <w:tcPr>
            <w:tcW w:w="1649" w:type="pct"/>
            <w:shd w:val="clear" w:color="auto" w:fill="auto"/>
          </w:tcPr>
          <w:p w14:paraId="13BAA480" w14:textId="77777777" w:rsidR="007D662E" w:rsidRPr="008E76D5" w:rsidRDefault="007D662E" w:rsidP="00223037">
            <w:pPr>
              <w:pStyle w:val="CommentaryTabletext"/>
              <w:ind w:left="284"/>
              <w:rPr>
                <w:rFonts w:eastAsia="MS Mincho"/>
                <w:i w:val="0"/>
                <w:color w:val="auto"/>
              </w:rPr>
            </w:pPr>
            <w:r w:rsidRPr="008E76D5">
              <w:rPr>
                <w:rFonts w:eastAsia="MS Mincho"/>
                <w:i w:val="0"/>
                <w:color w:val="auto"/>
              </w:rPr>
              <w:t>Starting TMS</w:t>
            </w:r>
          </w:p>
        </w:tc>
        <w:tc>
          <w:tcPr>
            <w:tcW w:w="670" w:type="pct"/>
            <w:shd w:val="clear" w:color="auto" w:fill="auto"/>
            <w:vAlign w:val="bottom"/>
          </w:tcPr>
          <w:p w14:paraId="7A4579DE" w14:textId="77777777" w:rsidR="007D662E" w:rsidRPr="008E76D5" w:rsidRDefault="007D662E" w:rsidP="00223037">
            <w:pPr>
              <w:pStyle w:val="CommentaryTabletext"/>
              <w:jc w:val="right"/>
              <w:rPr>
                <w:i w:val="0"/>
                <w:color w:val="auto"/>
              </w:rPr>
            </w:pPr>
            <w:r w:rsidRPr="008E76D5">
              <w:rPr>
                <w:i w:val="0"/>
                <w:color w:val="auto"/>
              </w:rPr>
              <w:t>$45,076,623</w:t>
            </w:r>
          </w:p>
        </w:tc>
        <w:tc>
          <w:tcPr>
            <w:tcW w:w="670" w:type="pct"/>
            <w:shd w:val="clear" w:color="auto" w:fill="auto"/>
            <w:vAlign w:val="bottom"/>
          </w:tcPr>
          <w:p w14:paraId="566142C4" w14:textId="77777777" w:rsidR="007D662E" w:rsidRPr="008E76D5" w:rsidRDefault="007D662E" w:rsidP="00223037">
            <w:pPr>
              <w:pStyle w:val="CommentaryTabletext"/>
              <w:jc w:val="right"/>
              <w:rPr>
                <w:i w:val="0"/>
                <w:color w:val="auto"/>
              </w:rPr>
            </w:pPr>
            <w:r w:rsidRPr="008E76D5">
              <w:rPr>
                <w:i w:val="0"/>
                <w:color w:val="auto"/>
              </w:rPr>
              <w:t>$72,241,023</w:t>
            </w:r>
          </w:p>
        </w:tc>
        <w:tc>
          <w:tcPr>
            <w:tcW w:w="670" w:type="pct"/>
            <w:shd w:val="clear" w:color="auto" w:fill="auto"/>
            <w:vAlign w:val="bottom"/>
          </w:tcPr>
          <w:p w14:paraId="6C4B42A0" w14:textId="77777777" w:rsidR="007D662E" w:rsidRPr="008E76D5" w:rsidRDefault="007D662E" w:rsidP="00223037">
            <w:pPr>
              <w:pStyle w:val="CommentaryTabletext"/>
              <w:jc w:val="right"/>
              <w:rPr>
                <w:i w:val="0"/>
                <w:color w:val="auto"/>
              </w:rPr>
            </w:pPr>
            <w:r w:rsidRPr="008E76D5">
              <w:rPr>
                <w:i w:val="0"/>
                <w:color w:val="auto"/>
              </w:rPr>
              <w:t>$86,936,156</w:t>
            </w:r>
          </w:p>
        </w:tc>
        <w:tc>
          <w:tcPr>
            <w:tcW w:w="670" w:type="pct"/>
            <w:shd w:val="clear" w:color="auto" w:fill="auto"/>
            <w:vAlign w:val="bottom"/>
          </w:tcPr>
          <w:p w14:paraId="1E47E3C5" w14:textId="77777777" w:rsidR="007D662E" w:rsidRPr="008E76D5" w:rsidRDefault="007D662E" w:rsidP="00223037">
            <w:pPr>
              <w:pStyle w:val="CommentaryTabletext"/>
              <w:jc w:val="right"/>
              <w:rPr>
                <w:i w:val="0"/>
                <w:color w:val="auto"/>
              </w:rPr>
            </w:pPr>
            <w:r w:rsidRPr="008E76D5">
              <w:rPr>
                <w:i w:val="0"/>
                <w:color w:val="auto"/>
              </w:rPr>
              <w:t>$87,129,717</w:t>
            </w:r>
          </w:p>
        </w:tc>
        <w:tc>
          <w:tcPr>
            <w:tcW w:w="670" w:type="pct"/>
            <w:shd w:val="clear" w:color="auto" w:fill="auto"/>
            <w:vAlign w:val="bottom"/>
          </w:tcPr>
          <w:p w14:paraId="46F9C8EB" w14:textId="77777777" w:rsidR="007D662E" w:rsidRPr="008E76D5" w:rsidRDefault="007D662E" w:rsidP="00223037">
            <w:pPr>
              <w:pStyle w:val="CommentaryTabletext"/>
              <w:jc w:val="right"/>
              <w:rPr>
                <w:i w:val="0"/>
                <w:color w:val="auto"/>
              </w:rPr>
            </w:pPr>
            <w:r w:rsidRPr="008E76D5">
              <w:rPr>
                <w:i w:val="0"/>
                <w:color w:val="auto"/>
              </w:rPr>
              <w:t>$75,378,870</w:t>
            </w:r>
          </w:p>
        </w:tc>
      </w:tr>
      <w:tr w:rsidR="007D662E" w:rsidRPr="002531B7" w14:paraId="2DEFE280" w14:textId="77777777" w:rsidTr="00223037">
        <w:trPr>
          <w:trHeight w:val="174"/>
        </w:trPr>
        <w:tc>
          <w:tcPr>
            <w:tcW w:w="1649" w:type="pct"/>
            <w:shd w:val="clear" w:color="auto" w:fill="auto"/>
          </w:tcPr>
          <w:p w14:paraId="795E3835" w14:textId="77777777" w:rsidR="007D662E" w:rsidRPr="008E76D5" w:rsidRDefault="007D662E" w:rsidP="00223037">
            <w:pPr>
              <w:pStyle w:val="CommentaryTabletext"/>
              <w:ind w:left="284"/>
              <w:rPr>
                <w:rFonts w:eastAsia="MS Mincho"/>
                <w:color w:val="auto"/>
              </w:rPr>
            </w:pPr>
            <w:r w:rsidRPr="008E76D5">
              <w:rPr>
                <w:rFonts w:eastAsia="MS Mincho"/>
                <w:color w:val="auto"/>
              </w:rPr>
              <w:t>Retreatment</w:t>
            </w:r>
            <w:r>
              <w:rPr>
                <w:rFonts w:eastAsia="MS Mincho"/>
                <w:color w:val="auto"/>
              </w:rPr>
              <w:t xml:space="preserve"> (15/patient/year)</w:t>
            </w:r>
          </w:p>
        </w:tc>
        <w:tc>
          <w:tcPr>
            <w:tcW w:w="670" w:type="pct"/>
            <w:shd w:val="clear" w:color="auto" w:fill="auto"/>
            <w:vAlign w:val="bottom"/>
          </w:tcPr>
          <w:p w14:paraId="2E9F4736" w14:textId="77777777" w:rsidR="007D662E" w:rsidRPr="002B2E7B" w:rsidRDefault="007D662E" w:rsidP="00223037">
            <w:pPr>
              <w:pStyle w:val="CommentaryTabletext"/>
              <w:jc w:val="right"/>
              <w:rPr>
                <w:color w:val="auto"/>
              </w:rPr>
            </w:pPr>
            <w:r w:rsidRPr="002B2E7B">
              <w:rPr>
                <w:color w:val="auto"/>
              </w:rPr>
              <w:t>$7,140,730</w:t>
            </w:r>
          </w:p>
        </w:tc>
        <w:tc>
          <w:tcPr>
            <w:tcW w:w="670" w:type="pct"/>
            <w:shd w:val="clear" w:color="auto" w:fill="auto"/>
            <w:vAlign w:val="bottom"/>
          </w:tcPr>
          <w:p w14:paraId="2F7BA322" w14:textId="77777777" w:rsidR="007D662E" w:rsidRPr="002B2E7B" w:rsidRDefault="007D662E" w:rsidP="00223037">
            <w:pPr>
              <w:pStyle w:val="CommentaryTabletext"/>
              <w:jc w:val="right"/>
              <w:rPr>
                <w:color w:val="auto"/>
              </w:rPr>
            </w:pPr>
            <w:r w:rsidRPr="002B2E7B">
              <w:rPr>
                <w:color w:val="auto"/>
              </w:rPr>
              <w:t>$11,443,929</w:t>
            </w:r>
          </w:p>
        </w:tc>
        <w:tc>
          <w:tcPr>
            <w:tcW w:w="670" w:type="pct"/>
            <w:shd w:val="clear" w:color="auto" w:fill="auto"/>
            <w:vAlign w:val="bottom"/>
          </w:tcPr>
          <w:p w14:paraId="352E11E4" w14:textId="77777777" w:rsidR="007D662E" w:rsidRPr="002B2E7B" w:rsidRDefault="007D662E" w:rsidP="00223037">
            <w:pPr>
              <w:pStyle w:val="CommentaryTabletext"/>
              <w:jc w:val="right"/>
              <w:rPr>
                <w:color w:val="auto"/>
              </w:rPr>
            </w:pPr>
            <w:r w:rsidRPr="002B2E7B">
              <w:rPr>
                <w:color w:val="auto"/>
              </w:rPr>
              <w:t>$13,771,831</w:t>
            </w:r>
          </w:p>
        </w:tc>
        <w:tc>
          <w:tcPr>
            <w:tcW w:w="670" w:type="pct"/>
            <w:shd w:val="clear" w:color="auto" w:fill="auto"/>
            <w:vAlign w:val="bottom"/>
          </w:tcPr>
          <w:p w14:paraId="437116B1" w14:textId="77777777" w:rsidR="007D662E" w:rsidRPr="002B2E7B" w:rsidRDefault="007D662E" w:rsidP="00223037">
            <w:pPr>
              <w:pStyle w:val="CommentaryTabletext"/>
              <w:jc w:val="right"/>
              <w:rPr>
                <w:color w:val="auto"/>
              </w:rPr>
            </w:pPr>
            <w:r w:rsidRPr="002B2E7B">
              <w:rPr>
                <w:color w:val="auto"/>
              </w:rPr>
              <w:t>$13,802,494</w:t>
            </w:r>
          </w:p>
        </w:tc>
        <w:tc>
          <w:tcPr>
            <w:tcW w:w="670" w:type="pct"/>
            <w:shd w:val="clear" w:color="auto" w:fill="auto"/>
            <w:vAlign w:val="bottom"/>
          </w:tcPr>
          <w:p w14:paraId="64806D59" w14:textId="77777777" w:rsidR="007D662E" w:rsidRPr="002B2E7B" w:rsidRDefault="007D662E" w:rsidP="00223037">
            <w:pPr>
              <w:pStyle w:val="CommentaryTabletext"/>
              <w:jc w:val="right"/>
              <w:rPr>
                <w:color w:val="auto"/>
              </w:rPr>
            </w:pPr>
            <w:r w:rsidRPr="002B2E7B">
              <w:rPr>
                <w:color w:val="auto"/>
              </w:rPr>
              <w:t>$11,941,005</w:t>
            </w:r>
          </w:p>
        </w:tc>
      </w:tr>
      <w:tr w:rsidR="007D662E" w:rsidRPr="002531B7" w14:paraId="60FB3281" w14:textId="77777777" w:rsidTr="00223037">
        <w:trPr>
          <w:trHeight w:val="174"/>
        </w:trPr>
        <w:tc>
          <w:tcPr>
            <w:tcW w:w="1649" w:type="pct"/>
            <w:shd w:val="clear" w:color="auto" w:fill="auto"/>
          </w:tcPr>
          <w:p w14:paraId="66D102F1" w14:textId="77777777" w:rsidR="007D662E" w:rsidRPr="008E76D5" w:rsidRDefault="007D662E" w:rsidP="00223037">
            <w:pPr>
              <w:pStyle w:val="CommentaryTabletext"/>
              <w:ind w:left="284"/>
              <w:rPr>
                <w:rFonts w:eastAsia="MS Mincho"/>
                <w:i w:val="0"/>
                <w:color w:val="auto"/>
              </w:rPr>
            </w:pPr>
            <w:r>
              <w:rPr>
                <w:rFonts w:eastAsia="MS Mincho"/>
                <w:i w:val="0"/>
                <w:color w:val="auto"/>
              </w:rPr>
              <w:t>Changes in use of other MBS items</w:t>
            </w:r>
          </w:p>
        </w:tc>
        <w:tc>
          <w:tcPr>
            <w:tcW w:w="670" w:type="pct"/>
            <w:shd w:val="clear" w:color="auto" w:fill="auto"/>
            <w:vAlign w:val="bottom"/>
          </w:tcPr>
          <w:p w14:paraId="7B6ACB76" w14:textId="77777777" w:rsidR="007D662E" w:rsidRPr="008E76D5" w:rsidRDefault="007D662E" w:rsidP="00223037">
            <w:pPr>
              <w:pStyle w:val="CommentaryTabletext"/>
              <w:jc w:val="right"/>
              <w:rPr>
                <w:i w:val="0"/>
                <w:color w:val="auto"/>
              </w:rPr>
            </w:pPr>
            <w:r w:rsidRPr="008E76D5">
              <w:rPr>
                <w:i w:val="0"/>
                <w:color w:val="auto"/>
              </w:rPr>
              <w:t>-$2,240,507</w:t>
            </w:r>
          </w:p>
        </w:tc>
        <w:tc>
          <w:tcPr>
            <w:tcW w:w="670" w:type="pct"/>
            <w:shd w:val="clear" w:color="auto" w:fill="auto"/>
            <w:vAlign w:val="bottom"/>
          </w:tcPr>
          <w:p w14:paraId="4B0C6DFF" w14:textId="77777777" w:rsidR="007D662E" w:rsidRPr="008E76D5" w:rsidRDefault="007D662E" w:rsidP="00223037">
            <w:pPr>
              <w:pStyle w:val="CommentaryTabletext"/>
              <w:jc w:val="right"/>
              <w:rPr>
                <w:i w:val="0"/>
                <w:color w:val="auto"/>
              </w:rPr>
            </w:pPr>
            <w:r w:rsidRPr="008E76D5">
              <w:rPr>
                <w:i w:val="0"/>
                <w:color w:val="auto"/>
              </w:rPr>
              <w:t>-$5,831,204</w:t>
            </w:r>
          </w:p>
        </w:tc>
        <w:tc>
          <w:tcPr>
            <w:tcW w:w="670" w:type="pct"/>
            <w:shd w:val="clear" w:color="auto" w:fill="auto"/>
            <w:vAlign w:val="bottom"/>
          </w:tcPr>
          <w:p w14:paraId="36E49A7E" w14:textId="77777777" w:rsidR="007D662E" w:rsidRPr="008E76D5" w:rsidRDefault="007D662E" w:rsidP="00223037">
            <w:pPr>
              <w:pStyle w:val="CommentaryTabletext"/>
              <w:jc w:val="right"/>
              <w:rPr>
                <w:i w:val="0"/>
                <w:color w:val="auto"/>
              </w:rPr>
            </w:pPr>
            <w:r w:rsidRPr="008E76D5">
              <w:rPr>
                <w:i w:val="0"/>
                <w:color w:val="auto"/>
              </w:rPr>
              <w:t>-$10,152,315</w:t>
            </w:r>
          </w:p>
        </w:tc>
        <w:tc>
          <w:tcPr>
            <w:tcW w:w="670" w:type="pct"/>
            <w:shd w:val="clear" w:color="auto" w:fill="auto"/>
            <w:vAlign w:val="bottom"/>
          </w:tcPr>
          <w:p w14:paraId="7B0798DB" w14:textId="77777777" w:rsidR="007D662E" w:rsidRPr="008E76D5" w:rsidRDefault="007D662E" w:rsidP="00223037">
            <w:pPr>
              <w:pStyle w:val="CommentaryTabletext"/>
              <w:jc w:val="right"/>
              <w:rPr>
                <w:i w:val="0"/>
                <w:color w:val="auto"/>
              </w:rPr>
            </w:pPr>
            <w:r w:rsidRPr="008E76D5">
              <w:rPr>
                <w:i w:val="0"/>
                <w:color w:val="auto"/>
              </w:rPr>
              <w:t>-$14,483,046</w:t>
            </w:r>
          </w:p>
        </w:tc>
        <w:tc>
          <w:tcPr>
            <w:tcW w:w="670" w:type="pct"/>
            <w:shd w:val="clear" w:color="auto" w:fill="auto"/>
            <w:vAlign w:val="bottom"/>
          </w:tcPr>
          <w:p w14:paraId="6D7FF587" w14:textId="77777777" w:rsidR="007D662E" w:rsidRPr="008E76D5" w:rsidRDefault="007D662E" w:rsidP="00223037">
            <w:pPr>
              <w:pStyle w:val="CommentaryTabletext"/>
              <w:jc w:val="right"/>
              <w:rPr>
                <w:i w:val="0"/>
                <w:color w:val="auto"/>
              </w:rPr>
            </w:pPr>
            <w:r w:rsidRPr="008E76D5">
              <w:rPr>
                <w:i w:val="0"/>
                <w:color w:val="auto"/>
              </w:rPr>
              <w:t>-$18,229,708</w:t>
            </w:r>
          </w:p>
        </w:tc>
      </w:tr>
      <w:tr w:rsidR="007D662E" w:rsidRPr="002531B7" w14:paraId="69C27FB9" w14:textId="77777777" w:rsidTr="00223037">
        <w:trPr>
          <w:trHeight w:val="174"/>
        </w:trPr>
        <w:tc>
          <w:tcPr>
            <w:tcW w:w="1649" w:type="pct"/>
            <w:shd w:val="clear" w:color="auto" w:fill="auto"/>
          </w:tcPr>
          <w:p w14:paraId="1FCD5F73" w14:textId="77777777" w:rsidR="007D662E" w:rsidRPr="002531B7" w:rsidRDefault="007D662E" w:rsidP="00223037">
            <w:pPr>
              <w:pStyle w:val="CommentaryTabletext"/>
              <w:rPr>
                <w:rFonts w:eastAsia="MS Mincho"/>
                <w:b/>
                <w:color w:val="auto"/>
              </w:rPr>
            </w:pPr>
            <w:r>
              <w:rPr>
                <w:rFonts w:eastAsia="MS Mincho"/>
                <w:b/>
                <w:color w:val="auto"/>
              </w:rPr>
              <w:t>Total base net to the MBS</w:t>
            </w:r>
          </w:p>
        </w:tc>
        <w:tc>
          <w:tcPr>
            <w:tcW w:w="670" w:type="pct"/>
            <w:shd w:val="clear" w:color="auto" w:fill="auto"/>
            <w:vAlign w:val="bottom"/>
          </w:tcPr>
          <w:p w14:paraId="24D3776D" w14:textId="77777777" w:rsidR="007D662E" w:rsidRPr="002B2E7B" w:rsidRDefault="007D662E" w:rsidP="00223037">
            <w:pPr>
              <w:pStyle w:val="CommentaryTabletext"/>
              <w:jc w:val="right"/>
              <w:rPr>
                <w:b/>
                <w:color w:val="auto"/>
              </w:rPr>
            </w:pPr>
            <w:r w:rsidRPr="002B2E7B">
              <w:rPr>
                <w:b/>
                <w:bCs/>
                <w:color w:val="auto"/>
              </w:rPr>
              <w:t>$49,976,846</w:t>
            </w:r>
          </w:p>
        </w:tc>
        <w:tc>
          <w:tcPr>
            <w:tcW w:w="670" w:type="pct"/>
            <w:shd w:val="clear" w:color="auto" w:fill="auto"/>
            <w:vAlign w:val="bottom"/>
          </w:tcPr>
          <w:p w14:paraId="5F99505C" w14:textId="77777777" w:rsidR="007D662E" w:rsidRPr="002B2E7B" w:rsidRDefault="007D662E" w:rsidP="00223037">
            <w:pPr>
              <w:pStyle w:val="CommentaryTabletext"/>
              <w:jc w:val="right"/>
              <w:rPr>
                <w:b/>
                <w:color w:val="auto"/>
              </w:rPr>
            </w:pPr>
            <w:r w:rsidRPr="002B2E7B">
              <w:rPr>
                <w:b/>
                <w:bCs/>
                <w:color w:val="auto"/>
              </w:rPr>
              <w:t>$77,853,747</w:t>
            </w:r>
          </w:p>
        </w:tc>
        <w:tc>
          <w:tcPr>
            <w:tcW w:w="670" w:type="pct"/>
            <w:shd w:val="clear" w:color="auto" w:fill="auto"/>
            <w:vAlign w:val="bottom"/>
          </w:tcPr>
          <w:p w14:paraId="17ACC95E" w14:textId="77777777" w:rsidR="007D662E" w:rsidRPr="002B2E7B" w:rsidRDefault="007D662E" w:rsidP="00223037">
            <w:pPr>
              <w:pStyle w:val="CommentaryTabletext"/>
              <w:jc w:val="right"/>
              <w:rPr>
                <w:b/>
                <w:color w:val="auto"/>
              </w:rPr>
            </w:pPr>
            <w:r w:rsidRPr="002B2E7B">
              <w:rPr>
                <w:b/>
                <w:bCs/>
                <w:color w:val="auto"/>
              </w:rPr>
              <w:t>$90,555,673</w:t>
            </w:r>
          </w:p>
        </w:tc>
        <w:tc>
          <w:tcPr>
            <w:tcW w:w="670" w:type="pct"/>
            <w:shd w:val="clear" w:color="auto" w:fill="auto"/>
            <w:vAlign w:val="bottom"/>
          </w:tcPr>
          <w:p w14:paraId="5AB5DCDC" w14:textId="77777777" w:rsidR="007D662E" w:rsidRPr="002B2E7B" w:rsidRDefault="007D662E" w:rsidP="00223037">
            <w:pPr>
              <w:pStyle w:val="CommentaryTabletext"/>
              <w:jc w:val="right"/>
              <w:rPr>
                <w:b/>
                <w:color w:val="auto"/>
              </w:rPr>
            </w:pPr>
            <w:r w:rsidRPr="002B2E7B">
              <w:rPr>
                <w:b/>
                <w:bCs/>
                <w:color w:val="auto"/>
              </w:rPr>
              <w:t>$86,449,165</w:t>
            </w:r>
          </w:p>
        </w:tc>
        <w:tc>
          <w:tcPr>
            <w:tcW w:w="670" w:type="pct"/>
            <w:shd w:val="clear" w:color="auto" w:fill="auto"/>
            <w:vAlign w:val="bottom"/>
          </w:tcPr>
          <w:p w14:paraId="0DE6C93A" w14:textId="77777777" w:rsidR="007D662E" w:rsidRPr="002B2E7B" w:rsidRDefault="007D662E" w:rsidP="00223037">
            <w:pPr>
              <w:pStyle w:val="CommentaryTabletext"/>
              <w:jc w:val="right"/>
              <w:rPr>
                <w:b/>
                <w:color w:val="auto"/>
              </w:rPr>
            </w:pPr>
            <w:r w:rsidRPr="002B2E7B">
              <w:rPr>
                <w:b/>
                <w:bCs/>
                <w:color w:val="auto"/>
              </w:rPr>
              <w:t>$69,090,166</w:t>
            </w:r>
          </w:p>
        </w:tc>
      </w:tr>
      <w:tr w:rsidR="007D662E" w:rsidRPr="002531B7" w14:paraId="019ABAE0" w14:textId="77777777" w:rsidTr="00223037">
        <w:trPr>
          <w:trHeight w:val="174"/>
        </w:trPr>
        <w:tc>
          <w:tcPr>
            <w:tcW w:w="1649" w:type="pct"/>
            <w:shd w:val="clear" w:color="auto" w:fill="auto"/>
          </w:tcPr>
          <w:p w14:paraId="65AACB40" w14:textId="77777777" w:rsidR="007D662E" w:rsidRPr="002531B7" w:rsidRDefault="007D662E" w:rsidP="007D662E">
            <w:pPr>
              <w:pStyle w:val="CommentaryTabletext"/>
              <w:numPr>
                <w:ilvl w:val="0"/>
                <w:numId w:val="11"/>
              </w:numPr>
              <w:ind w:left="171" w:hanging="171"/>
              <w:rPr>
                <w:rFonts w:eastAsia="MS Mincho"/>
                <w:color w:val="auto"/>
              </w:rPr>
            </w:pPr>
            <w:r w:rsidRPr="002531B7">
              <w:rPr>
                <w:rFonts w:eastAsia="MS Mincho"/>
                <w:color w:val="auto"/>
              </w:rPr>
              <w:t xml:space="preserve">Estimating MBS costs as </w:t>
            </w:r>
            <w:r>
              <w:rPr>
                <w:rFonts w:eastAsia="MS Mincho"/>
                <w:color w:val="auto"/>
              </w:rPr>
              <w:t>a proportion of ECT cost offsets</w:t>
            </w:r>
            <w:r>
              <w:rPr>
                <w:rFonts w:eastAsia="MS Mincho"/>
                <w:color w:val="auto"/>
                <w:vertAlign w:val="superscript"/>
              </w:rPr>
              <w:t>b</w:t>
            </w:r>
          </w:p>
        </w:tc>
        <w:tc>
          <w:tcPr>
            <w:tcW w:w="670" w:type="pct"/>
            <w:shd w:val="clear" w:color="auto" w:fill="auto"/>
            <w:vAlign w:val="bottom"/>
          </w:tcPr>
          <w:p w14:paraId="6444376E" w14:textId="77777777" w:rsidR="007D662E" w:rsidRPr="002B2E7B" w:rsidRDefault="007D662E" w:rsidP="00223037">
            <w:pPr>
              <w:pStyle w:val="CommentaryTabletext"/>
              <w:jc w:val="right"/>
              <w:rPr>
                <w:color w:val="auto"/>
              </w:rPr>
            </w:pPr>
            <w:r w:rsidRPr="002B2E7B">
              <w:rPr>
                <w:bCs/>
                <w:color w:val="auto"/>
              </w:rPr>
              <w:t>$51,847,670</w:t>
            </w:r>
          </w:p>
        </w:tc>
        <w:tc>
          <w:tcPr>
            <w:tcW w:w="670" w:type="pct"/>
            <w:shd w:val="clear" w:color="auto" w:fill="auto"/>
            <w:vAlign w:val="bottom"/>
          </w:tcPr>
          <w:p w14:paraId="280F675B" w14:textId="77777777" w:rsidR="007D662E" w:rsidRPr="002B2E7B" w:rsidRDefault="007D662E" w:rsidP="00223037">
            <w:pPr>
              <w:pStyle w:val="CommentaryTabletext"/>
              <w:jc w:val="right"/>
              <w:rPr>
                <w:color w:val="auto"/>
              </w:rPr>
            </w:pPr>
            <w:r w:rsidRPr="002B2E7B">
              <w:rPr>
                <w:bCs/>
                <w:color w:val="auto"/>
              </w:rPr>
              <w:t>$82,722,802</w:t>
            </w:r>
          </w:p>
        </w:tc>
        <w:tc>
          <w:tcPr>
            <w:tcW w:w="670" w:type="pct"/>
            <w:shd w:val="clear" w:color="auto" w:fill="auto"/>
            <w:vAlign w:val="bottom"/>
          </w:tcPr>
          <w:p w14:paraId="71FCD337" w14:textId="77777777" w:rsidR="007D662E" w:rsidRPr="002B2E7B" w:rsidRDefault="007D662E" w:rsidP="00223037">
            <w:pPr>
              <w:pStyle w:val="CommentaryTabletext"/>
              <w:jc w:val="right"/>
              <w:rPr>
                <w:color w:val="auto"/>
              </w:rPr>
            </w:pPr>
            <w:r w:rsidRPr="002B2E7B">
              <w:rPr>
                <w:bCs/>
                <w:color w:val="auto"/>
              </w:rPr>
              <w:t>$99,032,856</w:t>
            </w:r>
          </w:p>
        </w:tc>
        <w:tc>
          <w:tcPr>
            <w:tcW w:w="670" w:type="pct"/>
            <w:shd w:val="clear" w:color="auto" w:fill="auto"/>
            <w:vAlign w:val="bottom"/>
          </w:tcPr>
          <w:p w14:paraId="0B3FD7ED" w14:textId="77777777" w:rsidR="007D662E" w:rsidRPr="002B2E7B" w:rsidRDefault="007D662E" w:rsidP="00223037">
            <w:pPr>
              <w:pStyle w:val="CommentaryTabletext"/>
              <w:jc w:val="right"/>
              <w:rPr>
                <w:color w:val="auto"/>
              </w:rPr>
            </w:pPr>
            <w:r w:rsidRPr="002B2E7B">
              <w:rPr>
                <w:bCs/>
                <w:color w:val="auto"/>
              </w:rPr>
              <w:t>$98,542,508</w:t>
            </w:r>
          </w:p>
        </w:tc>
        <w:tc>
          <w:tcPr>
            <w:tcW w:w="670" w:type="pct"/>
            <w:shd w:val="clear" w:color="auto" w:fill="auto"/>
            <w:vAlign w:val="bottom"/>
          </w:tcPr>
          <w:p w14:paraId="2B4B44CA" w14:textId="77777777" w:rsidR="007D662E" w:rsidRPr="002B2E7B" w:rsidRDefault="007D662E" w:rsidP="00223037">
            <w:pPr>
              <w:pStyle w:val="CommentaryTabletext"/>
              <w:jc w:val="right"/>
              <w:rPr>
                <w:color w:val="auto"/>
              </w:rPr>
            </w:pPr>
            <w:r w:rsidRPr="002B2E7B">
              <w:rPr>
                <w:bCs/>
                <w:color w:val="auto"/>
              </w:rPr>
              <w:t>$84,311,973</w:t>
            </w:r>
          </w:p>
        </w:tc>
      </w:tr>
      <w:tr w:rsidR="007D662E" w:rsidRPr="002531B7" w14:paraId="77B97E44" w14:textId="77777777" w:rsidTr="00223037">
        <w:trPr>
          <w:trHeight w:val="174"/>
        </w:trPr>
        <w:tc>
          <w:tcPr>
            <w:tcW w:w="1649" w:type="pct"/>
            <w:shd w:val="clear" w:color="auto" w:fill="auto"/>
          </w:tcPr>
          <w:p w14:paraId="27FFCD69" w14:textId="77777777" w:rsidR="007D662E" w:rsidRPr="002531B7" w:rsidRDefault="007D662E" w:rsidP="007D662E">
            <w:pPr>
              <w:pStyle w:val="CommentaryTabletext"/>
              <w:numPr>
                <w:ilvl w:val="0"/>
                <w:numId w:val="11"/>
              </w:numPr>
              <w:ind w:left="171" w:hanging="171"/>
              <w:rPr>
                <w:rFonts w:eastAsia="MS Mincho"/>
                <w:color w:val="auto"/>
              </w:rPr>
            </w:pPr>
            <w:r w:rsidRPr="002531B7">
              <w:rPr>
                <w:rFonts w:eastAsia="MS Mincho"/>
                <w:color w:val="auto"/>
              </w:rPr>
              <w:t>Assuming cost offsets apply for three years (as per the model time horizon)</w:t>
            </w:r>
          </w:p>
        </w:tc>
        <w:tc>
          <w:tcPr>
            <w:tcW w:w="670" w:type="pct"/>
            <w:shd w:val="clear" w:color="auto" w:fill="auto"/>
            <w:vAlign w:val="bottom"/>
          </w:tcPr>
          <w:p w14:paraId="1B780B2A" w14:textId="77777777" w:rsidR="007D662E" w:rsidRPr="002B2E7B" w:rsidRDefault="007D662E" w:rsidP="00223037">
            <w:pPr>
              <w:pStyle w:val="CommentaryTabletext"/>
              <w:jc w:val="right"/>
              <w:rPr>
                <w:color w:val="auto"/>
              </w:rPr>
            </w:pPr>
            <w:r w:rsidRPr="002B2E7B">
              <w:rPr>
                <w:bCs/>
                <w:color w:val="auto"/>
              </w:rPr>
              <w:t>$49,976,846</w:t>
            </w:r>
          </w:p>
        </w:tc>
        <w:tc>
          <w:tcPr>
            <w:tcW w:w="670" w:type="pct"/>
            <w:shd w:val="clear" w:color="auto" w:fill="auto"/>
            <w:vAlign w:val="bottom"/>
          </w:tcPr>
          <w:p w14:paraId="67511D50" w14:textId="77777777" w:rsidR="007D662E" w:rsidRPr="002B2E7B" w:rsidRDefault="007D662E" w:rsidP="00223037">
            <w:pPr>
              <w:pStyle w:val="CommentaryTabletext"/>
              <w:jc w:val="right"/>
              <w:rPr>
                <w:color w:val="auto"/>
              </w:rPr>
            </w:pPr>
            <w:r w:rsidRPr="002B2E7B">
              <w:rPr>
                <w:bCs/>
                <w:color w:val="auto"/>
              </w:rPr>
              <w:t>$77,853,747</w:t>
            </w:r>
          </w:p>
        </w:tc>
        <w:tc>
          <w:tcPr>
            <w:tcW w:w="670" w:type="pct"/>
            <w:shd w:val="clear" w:color="auto" w:fill="auto"/>
            <w:vAlign w:val="bottom"/>
          </w:tcPr>
          <w:p w14:paraId="2DDE8076" w14:textId="77777777" w:rsidR="007D662E" w:rsidRPr="002B2E7B" w:rsidRDefault="007D662E" w:rsidP="00223037">
            <w:pPr>
              <w:pStyle w:val="CommentaryTabletext"/>
              <w:jc w:val="right"/>
              <w:rPr>
                <w:color w:val="auto"/>
              </w:rPr>
            </w:pPr>
            <w:r w:rsidRPr="002B2E7B">
              <w:rPr>
                <w:bCs/>
                <w:color w:val="auto"/>
              </w:rPr>
              <w:t>$90,555,673</w:t>
            </w:r>
          </w:p>
        </w:tc>
        <w:tc>
          <w:tcPr>
            <w:tcW w:w="670" w:type="pct"/>
            <w:shd w:val="clear" w:color="auto" w:fill="auto"/>
            <w:vAlign w:val="bottom"/>
          </w:tcPr>
          <w:p w14:paraId="4BF2EA5C" w14:textId="77777777" w:rsidR="007D662E" w:rsidRPr="002B2E7B" w:rsidRDefault="007D662E" w:rsidP="00223037">
            <w:pPr>
              <w:pStyle w:val="CommentaryTabletext"/>
              <w:jc w:val="right"/>
              <w:rPr>
                <w:color w:val="auto"/>
              </w:rPr>
            </w:pPr>
            <w:r w:rsidRPr="002B2E7B">
              <w:rPr>
                <w:bCs/>
                <w:color w:val="auto"/>
              </w:rPr>
              <w:t>$88,689,672</w:t>
            </w:r>
          </w:p>
        </w:tc>
        <w:tc>
          <w:tcPr>
            <w:tcW w:w="670" w:type="pct"/>
            <w:shd w:val="clear" w:color="auto" w:fill="auto"/>
            <w:vAlign w:val="bottom"/>
          </w:tcPr>
          <w:p w14:paraId="4115ADCE" w14:textId="77777777" w:rsidR="007D662E" w:rsidRPr="002B2E7B" w:rsidRDefault="007D662E" w:rsidP="00223037">
            <w:pPr>
              <w:pStyle w:val="CommentaryTabletext"/>
              <w:jc w:val="right"/>
              <w:rPr>
                <w:color w:val="auto"/>
              </w:rPr>
            </w:pPr>
            <w:r w:rsidRPr="002B2E7B">
              <w:rPr>
                <w:bCs/>
                <w:color w:val="auto"/>
              </w:rPr>
              <w:t>$74,921,371</w:t>
            </w:r>
          </w:p>
        </w:tc>
      </w:tr>
      <w:tr w:rsidR="007D662E" w:rsidRPr="002531B7" w14:paraId="416E3D50" w14:textId="77777777" w:rsidTr="00223037">
        <w:trPr>
          <w:trHeight w:val="174"/>
        </w:trPr>
        <w:tc>
          <w:tcPr>
            <w:tcW w:w="1649" w:type="pct"/>
            <w:shd w:val="clear" w:color="auto" w:fill="auto"/>
          </w:tcPr>
          <w:p w14:paraId="222DED04" w14:textId="77777777" w:rsidR="007D662E" w:rsidRPr="002531B7" w:rsidRDefault="007D662E" w:rsidP="00223037">
            <w:pPr>
              <w:pStyle w:val="CommentaryTabletext"/>
              <w:jc w:val="left"/>
              <w:rPr>
                <w:rFonts w:eastAsia="MS Mincho"/>
                <w:b/>
                <w:color w:val="auto"/>
              </w:rPr>
            </w:pPr>
            <w:r>
              <w:rPr>
                <w:rFonts w:eastAsia="MS Mincho"/>
                <w:b/>
                <w:color w:val="auto"/>
              </w:rPr>
              <w:t>Critique’s r</w:t>
            </w:r>
            <w:r w:rsidRPr="002531B7">
              <w:rPr>
                <w:rFonts w:eastAsia="MS Mincho"/>
                <w:b/>
                <w:color w:val="auto"/>
              </w:rPr>
              <w:t>especified net implications to the MBS (i.e. multivariate analysis #1 and #2)</w:t>
            </w:r>
          </w:p>
        </w:tc>
        <w:tc>
          <w:tcPr>
            <w:tcW w:w="670" w:type="pct"/>
            <w:shd w:val="clear" w:color="auto" w:fill="auto"/>
            <w:vAlign w:val="bottom"/>
          </w:tcPr>
          <w:p w14:paraId="56EA8519" w14:textId="77777777" w:rsidR="007D662E" w:rsidRPr="002B2E7B" w:rsidRDefault="007D662E" w:rsidP="00223037">
            <w:pPr>
              <w:pStyle w:val="CommentaryTabletext"/>
              <w:jc w:val="right"/>
              <w:rPr>
                <w:b/>
                <w:color w:val="auto"/>
              </w:rPr>
            </w:pPr>
            <w:r w:rsidRPr="002B2E7B">
              <w:rPr>
                <w:b/>
                <w:bCs/>
                <w:color w:val="auto"/>
              </w:rPr>
              <w:t>$51,847,670</w:t>
            </w:r>
          </w:p>
        </w:tc>
        <w:tc>
          <w:tcPr>
            <w:tcW w:w="670" w:type="pct"/>
            <w:shd w:val="clear" w:color="auto" w:fill="auto"/>
            <w:vAlign w:val="bottom"/>
          </w:tcPr>
          <w:p w14:paraId="7E00F754" w14:textId="77777777" w:rsidR="007D662E" w:rsidRPr="002B2E7B" w:rsidRDefault="007D662E" w:rsidP="00223037">
            <w:pPr>
              <w:pStyle w:val="CommentaryTabletext"/>
              <w:jc w:val="right"/>
              <w:rPr>
                <w:b/>
                <w:color w:val="auto"/>
              </w:rPr>
            </w:pPr>
            <w:r w:rsidRPr="002B2E7B">
              <w:rPr>
                <w:b/>
                <w:bCs/>
                <w:color w:val="auto"/>
              </w:rPr>
              <w:t>$82,722,802</w:t>
            </w:r>
          </w:p>
        </w:tc>
        <w:tc>
          <w:tcPr>
            <w:tcW w:w="670" w:type="pct"/>
            <w:shd w:val="clear" w:color="auto" w:fill="auto"/>
            <w:vAlign w:val="bottom"/>
          </w:tcPr>
          <w:p w14:paraId="061D5D43" w14:textId="77777777" w:rsidR="007D662E" w:rsidRPr="002B2E7B" w:rsidRDefault="007D662E" w:rsidP="00223037">
            <w:pPr>
              <w:pStyle w:val="CommentaryTabletext"/>
              <w:jc w:val="right"/>
              <w:rPr>
                <w:b/>
                <w:color w:val="auto"/>
              </w:rPr>
            </w:pPr>
            <w:r w:rsidRPr="002B2E7B">
              <w:rPr>
                <w:b/>
                <w:bCs/>
                <w:color w:val="auto"/>
              </w:rPr>
              <w:t>$99,032,856</w:t>
            </w:r>
          </w:p>
        </w:tc>
        <w:tc>
          <w:tcPr>
            <w:tcW w:w="670" w:type="pct"/>
            <w:shd w:val="clear" w:color="auto" w:fill="auto"/>
            <w:vAlign w:val="bottom"/>
          </w:tcPr>
          <w:p w14:paraId="2F8F7DAD" w14:textId="77777777" w:rsidR="007D662E" w:rsidRPr="002B2E7B" w:rsidRDefault="007D662E" w:rsidP="00223037">
            <w:pPr>
              <w:pStyle w:val="CommentaryTabletext"/>
              <w:jc w:val="right"/>
              <w:rPr>
                <w:b/>
                <w:color w:val="auto"/>
              </w:rPr>
            </w:pPr>
            <w:r w:rsidRPr="002B2E7B">
              <w:rPr>
                <w:b/>
                <w:bCs/>
                <w:color w:val="auto"/>
              </w:rPr>
              <w:t>$98,912,192</w:t>
            </w:r>
          </w:p>
        </w:tc>
        <w:tc>
          <w:tcPr>
            <w:tcW w:w="670" w:type="pct"/>
            <w:shd w:val="clear" w:color="auto" w:fill="auto"/>
            <w:vAlign w:val="bottom"/>
          </w:tcPr>
          <w:p w14:paraId="2ED52160" w14:textId="77777777" w:rsidR="007D662E" w:rsidRPr="002B2E7B" w:rsidRDefault="007D662E" w:rsidP="00223037">
            <w:pPr>
              <w:pStyle w:val="CommentaryTabletext"/>
              <w:jc w:val="right"/>
              <w:rPr>
                <w:b/>
                <w:color w:val="auto"/>
              </w:rPr>
            </w:pPr>
            <w:r w:rsidRPr="002B2E7B">
              <w:rPr>
                <w:b/>
                <w:bCs/>
                <w:color w:val="auto"/>
              </w:rPr>
              <w:t>$85,274,121</w:t>
            </w:r>
          </w:p>
        </w:tc>
      </w:tr>
      <w:tr w:rsidR="007D662E" w:rsidRPr="002531B7" w14:paraId="6781389D" w14:textId="77777777" w:rsidTr="00223037">
        <w:trPr>
          <w:trHeight w:val="174"/>
        </w:trPr>
        <w:tc>
          <w:tcPr>
            <w:tcW w:w="1649" w:type="pct"/>
            <w:shd w:val="clear" w:color="auto" w:fill="auto"/>
          </w:tcPr>
          <w:p w14:paraId="3D32ECF2" w14:textId="77777777" w:rsidR="007D662E" w:rsidRPr="002531B7" w:rsidRDefault="007D662E" w:rsidP="00223037">
            <w:pPr>
              <w:pStyle w:val="CommentaryTabletext"/>
              <w:ind w:left="284"/>
              <w:rPr>
                <w:rFonts w:eastAsia="MS Mincho"/>
                <w:color w:val="auto"/>
              </w:rPr>
            </w:pPr>
            <w:r w:rsidRPr="002531B7">
              <w:rPr>
                <w:rFonts w:eastAsia="MS Mincho"/>
                <w:color w:val="auto"/>
              </w:rPr>
              <w:t>Assuming maximum uptake of 60%</w:t>
            </w:r>
            <w:r>
              <w:rPr>
                <w:rFonts w:eastAsia="MS Mincho"/>
                <w:color w:val="auto"/>
                <w:vertAlign w:val="superscript"/>
              </w:rPr>
              <w:t>c</w:t>
            </w:r>
          </w:p>
        </w:tc>
        <w:tc>
          <w:tcPr>
            <w:tcW w:w="670" w:type="pct"/>
            <w:shd w:val="clear" w:color="auto" w:fill="auto"/>
            <w:vAlign w:val="bottom"/>
          </w:tcPr>
          <w:p w14:paraId="65B8D34F" w14:textId="77777777" w:rsidR="007D662E" w:rsidRPr="002B2E7B" w:rsidRDefault="007D662E" w:rsidP="00223037">
            <w:pPr>
              <w:pStyle w:val="CommentaryTabletext"/>
              <w:jc w:val="right"/>
              <w:rPr>
                <w:color w:val="auto"/>
              </w:rPr>
            </w:pPr>
            <w:r w:rsidRPr="002B2E7B">
              <w:rPr>
                <w:bCs/>
                <w:color w:val="auto"/>
              </w:rPr>
              <w:t>$51,847,670</w:t>
            </w:r>
          </w:p>
        </w:tc>
        <w:tc>
          <w:tcPr>
            <w:tcW w:w="670" w:type="pct"/>
            <w:shd w:val="clear" w:color="auto" w:fill="auto"/>
            <w:vAlign w:val="bottom"/>
          </w:tcPr>
          <w:p w14:paraId="7E8F5DE7" w14:textId="77777777" w:rsidR="007D662E" w:rsidRPr="002B2E7B" w:rsidRDefault="007D662E" w:rsidP="00223037">
            <w:pPr>
              <w:pStyle w:val="CommentaryTabletext"/>
              <w:jc w:val="right"/>
              <w:rPr>
                <w:color w:val="auto"/>
              </w:rPr>
            </w:pPr>
            <w:r w:rsidRPr="002B2E7B">
              <w:rPr>
                <w:bCs/>
                <w:color w:val="auto"/>
              </w:rPr>
              <w:t>$106,463,513</w:t>
            </w:r>
          </w:p>
        </w:tc>
        <w:tc>
          <w:tcPr>
            <w:tcW w:w="670" w:type="pct"/>
            <w:shd w:val="clear" w:color="auto" w:fill="auto"/>
            <w:vAlign w:val="bottom"/>
          </w:tcPr>
          <w:p w14:paraId="5D126FCF" w14:textId="77777777" w:rsidR="007D662E" w:rsidRPr="002B2E7B" w:rsidRDefault="007D662E" w:rsidP="00223037">
            <w:pPr>
              <w:pStyle w:val="CommentaryTabletext"/>
              <w:jc w:val="right"/>
              <w:rPr>
                <w:color w:val="auto"/>
              </w:rPr>
            </w:pPr>
            <w:r w:rsidRPr="002B2E7B">
              <w:rPr>
                <w:bCs/>
                <w:color w:val="auto"/>
              </w:rPr>
              <w:t>$130,552,333</w:t>
            </w:r>
          </w:p>
        </w:tc>
        <w:tc>
          <w:tcPr>
            <w:tcW w:w="670" w:type="pct"/>
            <w:shd w:val="clear" w:color="auto" w:fill="auto"/>
            <w:vAlign w:val="bottom"/>
          </w:tcPr>
          <w:p w14:paraId="27585302" w14:textId="77777777" w:rsidR="007D662E" w:rsidRPr="002B2E7B" w:rsidRDefault="007D662E" w:rsidP="00223037">
            <w:pPr>
              <w:pStyle w:val="CommentaryTabletext"/>
              <w:jc w:val="right"/>
              <w:rPr>
                <w:color w:val="auto"/>
              </w:rPr>
            </w:pPr>
            <w:r w:rsidRPr="002B2E7B">
              <w:rPr>
                <w:bCs/>
                <w:color w:val="auto"/>
              </w:rPr>
              <w:t>$118,442,270</w:t>
            </w:r>
          </w:p>
        </w:tc>
        <w:tc>
          <w:tcPr>
            <w:tcW w:w="670" w:type="pct"/>
            <w:shd w:val="clear" w:color="auto" w:fill="auto"/>
            <w:vAlign w:val="bottom"/>
          </w:tcPr>
          <w:p w14:paraId="02754268" w14:textId="77777777" w:rsidR="007D662E" w:rsidRPr="002B2E7B" w:rsidRDefault="007D662E" w:rsidP="00223037">
            <w:pPr>
              <w:pStyle w:val="CommentaryTabletext"/>
              <w:jc w:val="right"/>
              <w:rPr>
                <w:color w:val="auto"/>
              </w:rPr>
            </w:pPr>
            <w:r w:rsidRPr="002B2E7B">
              <w:rPr>
                <w:bCs/>
                <w:color w:val="auto"/>
              </w:rPr>
              <w:t>$83,044,083</w:t>
            </w:r>
          </w:p>
        </w:tc>
      </w:tr>
      <w:tr w:rsidR="007D662E" w:rsidRPr="002531B7" w14:paraId="1E3F40E4" w14:textId="77777777" w:rsidTr="00223037">
        <w:trPr>
          <w:trHeight w:val="174"/>
        </w:trPr>
        <w:tc>
          <w:tcPr>
            <w:tcW w:w="1649" w:type="pct"/>
            <w:shd w:val="clear" w:color="auto" w:fill="auto"/>
          </w:tcPr>
          <w:p w14:paraId="6365DF03" w14:textId="77777777" w:rsidR="007D662E" w:rsidRPr="002531B7" w:rsidRDefault="007D662E" w:rsidP="00223037">
            <w:pPr>
              <w:pStyle w:val="CommentaryTabletext"/>
              <w:ind w:left="284"/>
              <w:rPr>
                <w:rFonts w:eastAsia="MS Mincho"/>
                <w:color w:val="auto"/>
              </w:rPr>
            </w:pPr>
            <w:r w:rsidRPr="002531B7">
              <w:rPr>
                <w:rFonts w:eastAsia="MS Mincho"/>
                <w:color w:val="auto"/>
              </w:rPr>
              <w:t>Assuming all prescription rTMS items are claimed with item 306</w:t>
            </w:r>
          </w:p>
        </w:tc>
        <w:tc>
          <w:tcPr>
            <w:tcW w:w="670" w:type="pct"/>
            <w:shd w:val="clear" w:color="auto" w:fill="auto"/>
            <w:vAlign w:val="bottom"/>
          </w:tcPr>
          <w:p w14:paraId="56297039" w14:textId="77777777" w:rsidR="007D662E" w:rsidRPr="002B2E7B" w:rsidRDefault="007D662E" w:rsidP="00223037">
            <w:pPr>
              <w:pStyle w:val="CommentaryTabletext"/>
              <w:jc w:val="right"/>
              <w:rPr>
                <w:color w:val="auto"/>
              </w:rPr>
            </w:pPr>
            <w:r w:rsidRPr="002B2E7B">
              <w:rPr>
                <w:bCs/>
                <w:color w:val="auto"/>
              </w:rPr>
              <w:t>$54,144,556</w:t>
            </w:r>
          </w:p>
        </w:tc>
        <w:tc>
          <w:tcPr>
            <w:tcW w:w="670" w:type="pct"/>
            <w:shd w:val="clear" w:color="auto" w:fill="auto"/>
            <w:vAlign w:val="bottom"/>
          </w:tcPr>
          <w:p w14:paraId="0EC31766" w14:textId="77777777" w:rsidR="007D662E" w:rsidRPr="002B2E7B" w:rsidRDefault="007D662E" w:rsidP="00223037">
            <w:pPr>
              <w:pStyle w:val="CommentaryTabletext"/>
              <w:jc w:val="right"/>
              <w:rPr>
                <w:color w:val="auto"/>
              </w:rPr>
            </w:pPr>
            <w:r w:rsidRPr="002B2E7B">
              <w:rPr>
                <w:bCs/>
                <w:color w:val="auto"/>
              </w:rPr>
              <w:t>$86,403,855</w:t>
            </w:r>
          </w:p>
        </w:tc>
        <w:tc>
          <w:tcPr>
            <w:tcW w:w="670" w:type="pct"/>
            <w:shd w:val="clear" w:color="auto" w:fill="auto"/>
            <w:vAlign w:val="bottom"/>
          </w:tcPr>
          <w:p w14:paraId="6D654B9D" w14:textId="77777777" w:rsidR="007D662E" w:rsidRPr="002B2E7B" w:rsidRDefault="007D662E" w:rsidP="00223037">
            <w:pPr>
              <w:pStyle w:val="CommentaryTabletext"/>
              <w:jc w:val="right"/>
              <w:rPr>
                <w:color w:val="auto"/>
              </w:rPr>
            </w:pPr>
            <w:r w:rsidRPr="002B2E7B">
              <w:rPr>
                <w:bCs/>
                <w:color w:val="auto"/>
              </w:rPr>
              <w:t>$103,462,701</w:t>
            </w:r>
          </w:p>
        </w:tc>
        <w:tc>
          <w:tcPr>
            <w:tcW w:w="670" w:type="pct"/>
            <w:shd w:val="clear" w:color="auto" w:fill="auto"/>
            <w:vAlign w:val="bottom"/>
          </w:tcPr>
          <w:p w14:paraId="6212C2A4" w14:textId="77777777" w:rsidR="007D662E" w:rsidRPr="002B2E7B" w:rsidRDefault="007D662E" w:rsidP="00223037">
            <w:pPr>
              <w:pStyle w:val="CommentaryTabletext"/>
              <w:jc w:val="right"/>
              <w:rPr>
                <w:color w:val="auto"/>
              </w:rPr>
            </w:pPr>
            <w:r w:rsidRPr="002B2E7B">
              <w:rPr>
                <w:bCs/>
                <w:color w:val="auto"/>
              </w:rPr>
              <w:t>$103,351,901</w:t>
            </w:r>
          </w:p>
        </w:tc>
        <w:tc>
          <w:tcPr>
            <w:tcW w:w="670" w:type="pct"/>
            <w:shd w:val="clear" w:color="auto" w:fill="auto"/>
            <w:vAlign w:val="bottom"/>
          </w:tcPr>
          <w:p w14:paraId="04C1EA1E" w14:textId="77777777" w:rsidR="007D662E" w:rsidRPr="002B2E7B" w:rsidRDefault="007D662E" w:rsidP="00223037">
            <w:pPr>
              <w:pStyle w:val="CommentaryTabletext"/>
              <w:jc w:val="right"/>
              <w:rPr>
                <w:color w:val="auto"/>
              </w:rPr>
            </w:pPr>
            <w:r w:rsidRPr="002B2E7B">
              <w:rPr>
                <w:bCs/>
                <w:color w:val="auto"/>
              </w:rPr>
              <w:t>$89,115,064</w:t>
            </w:r>
          </w:p>
        </w:tc>
      </w:tr>
    </w:tbl>
    <w:p w14:paraId="7BA922F2" w14:textId="77777777" w:rsidR="007D662E" w:rsidRDefault="007D662E" w:rsidP="007D662E">
      <w:pPr>
        <w:pStyle w:val="Commentarytablenotes"/>
        <w:rPr>
          <w:i w:val="0"/>
          <w:color w:val="auto"/>
        </w:rPr>
      </w:pPr>
      <w:r w:rsidRPr="002531B7">
        <w:rPr>
          <w:i w:val="0"/>
          <w:color w:val="auto"/>
        </w:rPr>
        <w:t>Source: compiled from Table 12 of Cr</w:t>
      </w:r>
      <w:r>
        <w:rPr>
          <w:i w:val="0"/>
          <w:color w:val="auto"/>
        </w:rPr>
        <w:t>itique and SBA Critique Table 5</w:t>
      </w:r>
    </w:p>
    <w:p w14:paraId="22AE9FFE" w14:textId="77777777" w:rsidR="007D662E" w:rsidRPr="00035B57" w:rsidRDefault="007D662E" w:rsidP="007D662E">
      <w:pPr>
        <w:pStyle w:val="Commentarytablenotes"/>
        <w:rPr>
          <w:i w:val="0"/>
          <w:color w:val="auto"/>
        </w:rPr>
      </w:pPr>
      <w:r>
        <w:rPr>
          <w:i w:val="0"/>
          <w:color w:val="auto"/>
        </w:rPr>
        <w:t>Abbreviations: MBS = Medicare Benefits Schedule; ECT = electroconvulsive therapy; rTMS = repetitive transcranial magnetic stimulation</w:t>
      </w:r>
    </w:p>
    <w:p w14:paraId="203C9357" w14:textId="77777777" w:rsidR="007D662E" w:rsidRPr="002531B7" w:rsidRDefault="007D662E" w:rsidP="007D662E">
      <w:pPr>
        <w:pStyle w:val="Commentarytablenotes"/>
        <w:rPr>
          <w:color w:val="auto"/>
        </w:rPr>
      </w:pPr>
      <w:r w:rsidRPr="00241163">
        <w:rPr>
          <w:color w:val="auto"/>
        </w:rPr>
        <w:t xml:space="preserve">Note: Critique corrected these for the minor errors </w:t>
      </w:r>
    </w:p>
    <w:p w14:paraId="4EED2FB2" w14:textId="77777777" w:rsidR="007D662E" w:rsidRPr="00B34BB8" w:rsidRDefault="007D662E" w:rsidP="007D662E">
      <w:pPr>
        <w:pStyle w:val="Commentarytablenotes"/>
        <w:rPr>
          <w:color w:val="auto"/>
        </w:rPr>
      </w:pPr>
      <w:r>
        <w:rPr>
          <w:color w:val="auto"/>
          <w:vertAlign w:val="superscript"/>
        </w:rPr>
        <w:t>a</w:t>
      </w:r>
      <w:r>
        <w:rPr>
          <w:color w:val="auto"/>
        </w:rPr>
        <w:t xml:space="preserve"> 100%- 23% = 77% classified as non-remitters in Critique base case model (adapted from resubmission (1196.2) base case) </w:t>
      </w:r>
    </w:p>
    <w:p w14:paraId="7C4B9740" w14:textId="77777777" w:rsidR="007D662E" w:rsidRPr="002531B7" w:rsidRDefault="007D662E" w:rsidP="007D662E">
      <w:pPr>
        <w:pStyle w:val="Commentarytablenotes"/>
        <w:rPr>
          <w:color w:val="auto"/>
        </w:rPr>
      </w:pPr>
      <w:r>
        <w:rPr>
          <w:color w:val="auto"/>
          <w:vertAlign w:val="superscript"/>
        </w:rPr>
        <w:t>b</w:t>
      </w:r>
      <w:r w:rsidRPr="002531B7">
        <w:rPr>
          <w:color w:val="auto"/>
        </w:rPr>
        <w:t xml:space="preserve"> In the economic model, ECT treatment was comprised of 10 sessions at $907 (based on AR-DRG U40Z). MBS items associated with ECT are item 14224 ($70.35) and item 20104 ($79.20). Thus the component of ECT therapy costs attributed to the MBS is approximately 16.5%. </w:t>
      </w:r>
    </w:p>
    <w:p w14:paraId="7AF67F69" w14:textId="77777777" w:rsidR="007D662E" w:rsidRDefault="007D662E" w:rsidP="005F14BC">
      <w:pPr>
        <w:pStyle w:val="Commentarytablenotes"/>
        <w:spacing w:after="120"/>
        <w:rPr>
          <w:color w:val="auto"/>
          <w:szCs w:val="24"/>
          <w:u w:val="single"/>
        </w:rPr>
      </w:pPr>
      <w:r>
        <w:rPr>
          <w:color w:val="auto"/>
          <w:vertAlign w:val="superscript"/>
        </w:rPr>
        <w:t>c</w:t>
      </w:r>
      <w:r w:rsidRPr="002531B7">
        <w:rPr>
          <w:color w:val="auto"/>
        </w:rPr>
        <w:t xml:space="preserve"> While the proportion that uptake increases from Years 1 to 5, the pool of patients eligible for rTMS decreases as the number of patients eligible who had not previously received rTMS decreases. Thus the implications to the MBS are observed to peak in Year 3.</w:t>
      </w:r>
    </w:p>
    <w:p w14:paraId="5D82E770" w14:textId="361A0292" w:rsidR="007D662E" w:rsidRPr="00982230" w:rsidRDefault="007D662E" w:rsidP="005F14BC">
      <w:pPr>
        <w:pStyle w:val="Tablefootnote"/>
        <w:spacing w:after="240"/>
        <w:rPr>
          <w:color w:val="000000" w:themeColor="text1"/>
        </w:rPr>
      </w:pPr>
      <w:r w:rsidRPr="00893791">
        <w:rPr>
          <w:i/>
          <w:color w:val="000000" w:themeColor="text1"/>
        </w:rPr>
        <w:t>Note italicised includes Department calculations base</w:t>
      </w:r>
      <w:r w:rsidR="006C19FD">
        <w:rPr>
          <w:i/>
          <w:color w:val="000000" w:themeColor="text1"/>
        </w:rPr>
        <w:t>d on a</w:t>
      </w:r>
      <w:r>
        <w:rPr>
          <w:i/>
          <w:color w:val="000000" w:themeColor="text1"/>
        </w:rPr>
        <w:t xml:space="preserve">pplicant’s evidence pack for </w:t>
      </w:r>
      <w:r w:rsidRPr="00893791">
        <w:rPr>
          <w:i/>
          <w:color w:val="000000" w:themeColor="text1"/>
        </w:rPr>
        <w:t>Application 1196.3</w:t>
      </w:r>
    </w:p>
    <w:p w14:paraId="01F59D1E" w14:textId="47F6F666" w:rsidR="007D662E" w:rsidRPr="001717AA" w:rsidRDefault="007D662E" w:rsidP="007D662E">
      <w:r w:rsidRPr="001717AA">
        <w:t xml:space="preserve">Additional sensitivity analyses </w:t>
      </w:r>
      <w:r w:rsidR="00E51CCB">
        <w:t>were</w:t>
      </w:r>
      <w:r w:rsidRPr="001717AA">
        <w:t xml:space="preserve"> performed investigating the impact of using other plausible estimates for </w:t>
      </w:r>
      <w:r w:rsidR="006C19FD">
        <w:t>retreatment variables from the a</w:t>
      </w:r>
      <w:r w:rsidRPr="001717AA">
        <w:t>pplicant</w:t>
      </w:r>
      <w:r>
        <w:t>’s updated evidence pack:</w:t>
      </w:r>
    </w:p>
    <w:p w14:paraId="46992AD1" w14:textId="77777777" w:rsidR="007D662E" w:rsidRDefault="007D662E" w:rsidP="007D662E">
      <w:pPr>
        <w:pStyle w:val="ListParagraph"/>
        <w:numPr>
          <w:ilvl w:val="0"/>
          <w:numId w:val="12"/>
        </w:numPr>
      </w:pPr>
      <w:r w:rsidRPr="001717AA">
        <w:t>Higher relapse rate of 3</w:t>
      </w:r>
      <w:r>
        <w:t>8.4</w:t>
      </w:r>
      <w:r w:rsidRPr="001717AA">
        <w:t>%</w:t>
      </w:r>
      <w:r>
        <w:t xml:space="preserve"> from partial responders</w:t>
      </w:r>
      <w:r w:rsidRPr="001717AA">
        <w:t xml:space="preserve"> from </w:t>
      </w:r>
      <w:r>
        <w:t>Janicak et al. 2010</w:t>
      </w:r>
      <w:r w:rsidRPr="001717AA">
        <w:t xml:space="preserve"> (base case</w:t>
      </w:r>
      <w:r>
        <w:t> </w:t>
      </w:r>
      <w:r w:rsidRPr="001717AA">
        <w:t>=</w:t>
      </w:r>
      <w:r>
        <w:t> 37.5</w:t>
      </w:r>
      <w:r w:rsidRPr="001717AA">
        <w:t>%</w:t>
      </w:r>
      <w:r>
        <w:t xml:space="preserve"> relapse rate from remission and response criteria</w:t>
      </w:r>
      <w:r w:rsidRPr="001717AA">
        <w:t>);</w:t>
      </w:r>
    </w:p>
    <w:p w14:paraId="7D0C6020" w14:textId="77777777" w:rsidR="007D662E" w:rsidRPr="001717AA" w:rsidRDefault="007D662E" w:rsidP="007D662E">
      <w:pPr>
        <w:pStyle w:val="ListParagraph"/>
        <w:numPr>
          <w:ilvl w:val="0"/>
          <w:numId w:val="12"/>
        </w:numPr>
      </w:pPr>
      <w:r>
        <w:t xml:space="preserve">Lower relapse rate of 29.5% from non-remitters from </w:t>
      </w:r>
      <w:r w:rsidRPr="001717AA">
        <w:t>Dunner et. al 2014 (base case</w:t>
      </w:r>
      <w:r>
        <w:t> </w:t>
      </w:r>
      <w:r w:rsidRPr="001717AA">
        <w:t>=</w:t>
      </w:r>
      <w:r>
        <w:t> 37.5</w:t>
      </w:r>
      <w:r w:rsidRPr="001717AA">
        <w:t>%</w:t>
      </w:r>
      <w:r>
        <w:t xml:space="preserve"> relapse rate from remission and response criteria</w:t>
      </w:r>
      <w:r w:rsidRPr="001717AA">
        <w:t>);</w:t>
      </w:r>
      <w:r>
        <w:t xml:space="preserve"> and</w:t>
      </w:r>
    </w:p>
    <w:p w14:paraId="0654F086" w14:textId="2D020A92" w:rsidR="005F14BC" w:rsidRPr="00A25FF3" w:rsidRDefault="007D662E" w:rsidP="00A25FF3">
      <w:pPr>
        <w:pStyle w:val="ListParagraph"/>
        <w:numPr>
          <w:ilvl w:val="0"/>
          <w:numId w:val="12"/>
        </w:numPr>
      </w:pPr>
      <w:r w:rsidRPr="001717AA">
        <w:t xml:space="preserve">Higher number of rTMS sessions per patient retreatment course of </w:t>
      </w:r>
      <w:r>
        <w:t>~24</w:t>
      </w:r>
      <w:r w:rsidRPr="001717AA">
        <w:t xml:space="preserve"> sessions; using standard deviation from Janicak et al. 2010</w:t>
      </w:r>
      <w:r>
        <w:t xml:space="preserve"> (base case = </w:t>
      </w:r>
      <w:r w:rsidRPr="001717AA">
        <w:t>15 sessions)</w:t>
      </w:r>
      <w:r w:rsidR="00E51CCB">
        <w:t xml:space="preserve"> (Table 7</w:t>
      </w:r>
      <w:r w:rsidRPr="001717AA">
        <w:t>).</w:t>
      </w:r>
      <w:r w:rsidR="005F14BC">
        <w:br w:type="page"/>
      </w:r>
    </w:p>
    <w:p w14:paraId="0BEB57D5" w14:textId="1A714446" w:rsidR="007D662E" w:rsidRPr="005B5918" w:rsidRDefault="007D662E" w:rsidP="005B5918">
      <w:pPr>
        <w:rPr>
          <w:rFonts w:ascii="Arial Narrow" w:hAnsi="Arial Narrow"/>
          <w:b/>
          <w:sz w:val="20"/>
        </w:rPr>
      </w:pPr>
      <w:r w:rsidRPr="005B5918">
        <w:rPr>
          <w:rFonts w:ascii="Arial Narrow" w:hAnsi="Arial Narrow"/>
          <w:b/>
          <w:sz w:val="20"/>
        </w:rPr>
        <w:lastRenderedPageBreak/>
        <w:t xml:space="preserve">Table </w:t>
      </w:r>
      <w:r w:rsidR="00E51CCB" w:rsidRPr="005B5918">
        <w:rPr>
          <w:rFonts w:ascii="Arial Narrow" w:hAnsi="Arial Narrow"/>
          <w:b/>
          <w:sz w:val="20"/>
        </w:rPr>
        <w:t>7</w:t>
      </w:r>
      <w:r w:rsidRPr="005B5918">
        <w:rPr>
          <w:rFonts w:ascii="Arial Narrow" w:hAnsi="Arial Narrow"/>
          <w:b/>
          <w:sz w:val="20"/>
        </w:rPr>
        <w:tab/>
        <w:t>Sensitivity analysis investigating financial impact of 1 course of retreatment with rTMS</w:t>
      </w:r>
    </w:p>
    <w:tbl>
      <w:tblPr>
        <w:tblStyle w:val="OPTUMTableNormal"/>
        <w:tblW w:w="5000" w:type="pct"/>
        <w:tblLayout w:type="fixed"/>
        <w:tblCellMar>
          <w:left w:w="28" w:type="dxa"/>
          <w:right w:w="28" w:type="dxa"/>
        </w:tblCellMar>
        <w:tblLook w:val="04A0" w:firstRow="1" w:lastRow="0" w:firstColumn="1" w:lastColumn="0" w:noHBand="0" w:noVBand="1"/>
        <w:tblCaption w:val="Table 9 Sensitivity analysis investigating financial impact of 1 course of retreatment with rTMS"/>
        <w:tblDescription w:val="Department's sensitivity analyis of financial estimates now including rTMS retreatment"/>
      </w:tblPr>
      <w:tblGrid>
        <w:gridCol w:w="2974"/>
        <w:gridCol w:w="1209"/>
        <w:gridCol w:w="1209"/>
        <w:gridCol w:w="1208"/>
        <w:gridCol w:w="1208"/>
        <w:gridCol w:w="1208"/>
      </w:tblGrid>
      <w:tr w:rsidR="007D662E" w:rsidRPr="002531B7" w14:paraId="75BF30DB" w14:textId="77777777" w:rsidTr="00223037">
        <w:trPr>
          <w:cnfStyle w:val="100000000000" w:firstRow="1" w:lastRow="0" w:firstColumn="0" w:lastColumn="0" w:oddVBand="0" w:evenVBand="0" w:oddHBand="0" w:evenHBand="0" w:firstRowFirstColumn="0" w:firstRowLastColumn="0" w:lastRowFirstColumn="0" w:lastRowLastColumn="0"/>
          <w:trHeight w:val="174"/>
          <w:tblHeader/>
        </w:trPr>
        <w:tc>
          <w:tcPr>
            <w:tcW w:w="1649" w:type="pct"/>
            <w:hideMark/>
          </w:tcPr>
          <w:p w14:paraId="5E9542B2" w14:textId="77777777" w:rsidR="007D662E" w:rsidRPr="002531B7" w:rsidRDefault="007D662E" w:rsidP="00223037">
            <w:pPr>
              <w:pStyle w:val="CommentaryTabletext"/>
              <w:rPr>
                <w:rFonts w:eastAsia="Calibri"/>
                <w:b/>
                <w:color w:val="auto"/>
              </w:rPr>
            </w:pPr>
          </w:p>
        </w:tc>
        <w:tc>
          <w:tcPr>
            <w:tcW w:w="670" w:type="pct"/>
            <w:hideMark/>
          </w:tcPr>
          <w:p w14:paraId="1F2C88F9"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1</w:t>
            </w:r>
          </w:p>
        </w:tc>
        <w:tc>
          <w:tcPr>
            <w:tcW w:w="670" w:type="pct"/>
          </w:tcPr>
          <w:p w14:paraId="0A8F77ED"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2</w:t>
            </w:r>
          </w:p>
        </w:tc>
        <w:tc>
          <w:tcPr>
            <w:tcW w:w="670" w:type="pct"/>
          </w:tcPr>
          <w:p w14:paraId="3CF86CCE"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3</w:t>
            </w:r>
          </w:p>
        </w:tc>
        <w:tc>
          <w:tcPr>
            <w:tcW w:w="670" w:type="pct"/>
          </w:tcPr>
          <w:p w14:paraId="2172ED09"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4</w:t>
            </w:r>
          </w:p>
        </w:tc>
        <w:tc>
          <w:tcPr>
            <w:tcW w:w="670" w:type="pct"/>
          </w:tcPr>
          <w:p w14:paraId="50FC2FB6"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5</w:t>
            </w:r>
          </w:p>
        </w:tc>
      </w:tr>
      <w:tr w:rsidR="007D662E" w:rsidRPr="00241163" w14:paraId="15EE9279" w14:textId="77777777" w:rsidTr="00223037">
        <w:trPr>
          <w:trHeight w:val="174"/>
        </w:trPr>
        <w:tc>
          <w:tcPr>
            <w:tcW w:w="1649" w:type="pct"/>
            <w:tcBorders>
              <w:bottom w:val="single" w:sz="4" w:space="0" w:color="auto"/>
            </w:tcBorders>
            <w:shd w:val="clear" w:color="auto" w:fill="auto"/>
          </w:tcPr>
          <w:p w14:paraId="42C2364C" w14:textId="77777777" w:rsidR="007D662E" w:rsidRPr="002531B7" w:rsidRDefault="007D662E" w:rsidP="00223037">
            <w:pPr>
              <w:pStyle w:val="CommentaryTabletext"/>
              <w:jc w:val="left"/>
              <w:rPr>
                <w:rFonts w:eastAsia="MS Mincho"/>
                <w:b/>
                <w:color w:val="auto"/>
              </w:rPr>
            </w:pPr>
            <w:r>
              <w:rPr>
                <w:rFonts w:eastAsia="MS Mincho"/>
                <w:b/>
                <w:color w:val="auto"/>
              </w:rPr>
              <w:t>Critique’s r</w:t>
            </w:r>
            <w:r w:rsidRPr="002531B7">
              <w:rPr>
                <w:rFonts w:eastAsia="MS Mincho"/>
                <w:b/>
                <w:color w:val="auto"/>
              </w:rPr>
              <w:t xml:space="preserve">especified net implications to the MBS </w:t>
            </w:r>
            <w:r>
              <w:rPr>
                <w:rFonts w:eastAsia="MS Mincho"/>
                <w:b/>
                <w:color w:val="auto"/>
              </w:rPr>
              <w:t>(base case)</w:t>
            </w:r>
          </w:p>
        </w:tc>
        <w:tc>
          <w:tcPr>
            <w:tcW w:w="670" w:type="pct"/>
            <w:tcBorders>
              <w:bottom w:val="single" w:sz="4" w:space="0" w:color="auto"/>
            </w:tcBorders>
            <w:shd w:val="clear" w:color="auto" w:fill="auto"/>
            <w:vAlign w:val="bottom"/>
          </w:tcPr>
          <w:p w14:paraId="2FA9DB73" w14:textId="77777777" w:rsidR="007D662E" w:rsidRPr="00241163" w:rsidRDefault="007D662E" w:rsidP="00223037">
            <w:pPr>
              <w:pStyle w:val="CommentaryTabletext"/>
              <w:jc w:val="right"/>
              <w:rPr>
                <w:b/>
                <w:color w:val="auto"/>
              </w:rPr>
            </w:pPr>
            <w:r w:rsidRPr="002B2E7B">
              <w:rPr>
                <w:b/>
                <w:bCs/>
                <w:color w:val="auto"/>
              </w:rPr>
              <w:t>$51,847,670</w:t>
            </w:r>
          </w:p>
        </w:tc>
        <w:tc>
          <w:tcPr>
            <w:tcW w:w="670" w:type="pct"/>
            <w:tcBorders>
              <w:bottom w:val="single" w:sz="4" w:space="0" w:color="auto"/>
            </w:tcBorders>
            <w:shd w:val="clear" w:color="auto" w:fill="auto"/>
            <w:vAlign w:val="bottom"/>
          </w:tcPr>
          <w:p w14:paraId="22549C74" w14:textId="77777777" w:rsidR="007D662E" w:rsidRPr="00241163" w:rsidRDefault="007D662E" w:rsidP="00223037">
            <w:pPr>
              <w:pStyle w:val="CommentaryTabletext"/>
              <w:jc w:val="right"/>
              <w:rPr>
                <w:b/>
                <w:color w:val="auto"/>
              </w:rPr>
            </w:pPr>
            <w:r w:rsidRPr="002B2E7B">
              <w:rPr>
                <w:b/>
                <w:bCs/>
                <w:color w:val="auto"/>
              </w:rPr>
              <w:t>$82,722,802</w:t>
            </w:r>
          </w:p>
        </w:tc>
        <w:tc>
          <w:tcPr>
            <w:tcW w:w="670" w:type="pct"/>
            <w:tcBorders>
              <w:bottom w:val="single" w:sz="4" w:space="0" w:color="auto"/>
            </w:tcBorders>
            <w:shd w:val="clear" w:color="auto" w:fill="auto"/>
            <w:vAlign w:val="bottom"/>
          </w:tcPr>
          <w:p w14:paraId="2302C12B" w14:textId="77777777" w:rsidR="007D662E" w:rsidRPr="00241163" w:rsidRDefault="007D662E" w:rsidP="00223037">
            <w:pPr>
              <w:pStyle w:val="CommentaryTabletext"/>
              <w:jc w:val="right"/>
              <w:rPr>
                <w:b/>
                <w:color w:val="auto"/>
              </w:rPr>
            </w:pPr>
            <w:r w:rsidRPr="002B2E7B">
              <w:rPr>
                <w:b/>
                <w:bCs/>
                <w:color w:val="auto"/>
              </w:rPr>
              <w:t>$99,032,856</w:t>
            </w:r>
          </w:p>
        </w:tc>
        <w:tc>
          <w:tcPr>
            <w:tcW w:w="670" w:type="pct"/>
            <w:tcBorders>
              <w:bottom w:val="single" w:sz="4" w:space="0" w:color="auto"/>
            </w:tcBorders>
            <w:shd w:val="clear" w:color="auto" w:fill="auto"/>
            <w:vAlign w:val="bottom"/>
          </w:tcPr>
          <w:p w14:paraId="3BB95CD9" w14:textId="77777777" w:rsidR="007D662E" w:rsidRPr="00241163" w:rsidRDefault="007D662E" w:rsidP="00223037">
            <w:pPr>
              <w:pStyle w:val="CommentaryTabletext"/>
              <w:jc w:val="right"/>
              <w:rPr>
                <w:b/>
                <w:color w:val="auto"/>
              </w:rPr>
            </w:pPr>
            <w:r w:rsidRPr="002B2E7B">
              <w:rPr>
                <w:b/>
                <w:bCs/>
                <w:color w:val="auto"/>
              </w:rPr>
              <w:t>$98,912,192</w:t>
            </w:r>
          </w:p>
        </w:tc>
        <w:tc>
          <w:tcPr>
            <w:tcW w:w="670" w:type="pct"/>
            <w:tcBorders>
              <w:bottom w:val="single" w:sz="4" w:space="0" w:color="auto"/>
            </w:tcBorders>
            <w:shd w:val="clear" w:color="auto" w:fill="auto"/>
            <w:vAlign w:val="bottom"/>
          </w:tcPr>
          <w:p w14:paraId="512BBC95" w14:textId="77777777" w:rsidR="007D662E" w:rsidRPr="00241163" w:rsidRDefault="007D662E" w:rsidP="00223037">
            <w:pPr>
              <w:pStyle w:val="CommentaryTabletext"/>
              <w:jc w:val="right"/>
              <w:rPr>
                <w:b/>
                <w:color w:val="auto"/>
              </w:rPr>
            </w:pPr>
            <w:r w:rsidRPr="002B2E7B">
              <w:rPr>
                <w:b/>
                <w:bCs/>
                <w:color w:val="auto"/>
              </w:rPr>
              <w:t>$85,274,121</w:t>
            </w:r>
          </w:p>
        </w:tc>
      </w:tr>
      <w:tr w:rsidR="007D662E" w:rsidRPr="001A33FB" w14:paraId="2FB94C42" w14:textId="77777777" w:rsidTr="00223037">
        <w:trPr>
          <w:trHeight w:val="174"/>
        </w:trPr>
        <w:tc>
          <w:tcPr>
            <w:tcW w:w="1649" w:type="pct"/>
            <w:tcBorders>
              <w:top w:val="single" w:sz="4" w:space="0" w:color="auto"/>
              <w:left w:val="single" w:sz="4" w:space="0" w:color="auto"/>
              <w:bottom w:val="single" w:sz="4" w:space="0" w:color="auto"/>
              <w:right w:val="nil"/>
            </w:tcBorders>
            <w:shd w:val="clear" w:color="auto" w:fill="auto"/>
          </w:tcPr>
          <w:p w14:paraId="7C75E679" w14:textId="77777777" w:rsidR="007D662E" w:rsidRPr="002531B7" w:rsidRDefault="007D662E" w:rsidP="00223037">
            <w:pPr>
              <w:pStyle w:val="CommentaryTabletext"/>
              <w:rPr>
                <w:rFonts w:eastAsia="MS Mincho"/>
                <w:color w:val="auto"/>
              </w:rPr>
            </w:pPr>
            <w:r>
              <w:rPr>
                <w:rFonts w:eastAsia="MS Mincho"/>
                <w:color w:val="auto"/>
              </w:rPr>
              <w:t>Sensitivity analysis</w:t>
            </w:r>
          </w:p>
        </w:tc>
        <w:tc>
          <w:tcPr>
            <w:tcW w:w="670" w:type="pct"/>
            <w:tcBorders>
              <w:top w:val="single" w:sz="4" w:space="0" w:color="auto"/>
              <w:left w:val="nil"/>
              <w:bottom w:val="single" w:sz="4" w:space="0" w:color="auto"/>
              <w:right w:val="nil"/>
            </w:tcBorders>
            <w:shd w:val="clear" w:color="auto" w:fill="auto"/>
            <w:vAlign w:val="bottom"/>
          </w:tcPr>
          <w:p w14:paraId="5217AAD7" w14:textId="77777777" w:rsidR="007D662E" w:rsidRPr="001A33FB" w:rsidRDefault="007D662E" w:rsidP="00223037">
            <w:pPr>
              <w:pStyle w:val="CommentaryTabletext"/>
              <w:jc w:val="right"/>
              <w:rPr>
                <w:bCs/>
                <w:color w:val="auto"/>
              </w:rPr>
            </w:pPr>
          </w:p>
        </w:tc>
        <w:tc>
          <w:tcPr>
            <w:tcW w:w="670" w:type="pct"/>
            <w:tcBorders>
              <w:top w:val="single" w:sz="4" w:space="0" w:color="auto"/>
              <w:left w:val="nil"/>
              <w:bottom w:val="single" w:sz="4" w:space="0" w:color="auto"/>
              <w:right w:val="nil"/>
            </w:tcBorders>
            <w:shd w:val="clear" w:color="auto" w:fill="auto"/>
            <w:vAlign w:val="bottom"/>
          </w:tcPr>
          <w:p w14:paraId="7101CFBF" w14:textId="77777777" w:rsidR="007D662E" w:rsidRPr="001A33FB" w:rsidRDefault="007D662E" w:rsidP="00223037">
            <w:pPr>
              <w:pStyle w:val="CommentaryTabletext"/>
              <w:jc w:val="right"/>
              <w:rPr>
                <w:bCs/>
                <w:color w:val="auto"/>
              </w:rPr>
            </w:pPr>
          </w:p>
        </w:tc>
        <w:tc>
          <w:tcPr>
            <w:tcW w:w="670" w:type="pct"/>
            <w:tcBorders>
              <w:top w:val="single" w:sz="4" w:space="0" w:color="auto"/>
              <w:left w:val="nil"/>
              <w:bottom w:val="single" w:sz="4" w:space="0" w:color="auto"/>
              <w:right w:val="nil"/>
            </w:tcBorders>
            <w:shd w:val="clear" w:color="auto" w:fill="auto"/>
            <w:vAlign w:val="bottom"/>
          </w:tcPr>
          <w:p w14:paraId="6D8BC3D3" w14:textId="77777777" w:rsidR="007D662E" w:rsidRPr="001A33FB" w:rsidRDefault="007D662E" w:rsidP="00223037">
            <w:pPr>
              <w:pStyle w:val="CommentaryTabletext"/>
              <w:jc w:val="right"/>
              <w:rPr>
                <w:bCs/>
                <w:color w:val="auto"/>
              </w:rPr>
            </w:pPr>
          </w:p>
        </w:tc>
        <w:tc>
          <w:tcPr>
            <w:tcW w:w="670" w:type="pct"/>
            <w:tcBorders>
              <w:top w:val="single" w:sz="4" w:space="0" w:color="auto"/>
              <w:left w:val="nil"/>
              <w:bottom w:val="single" w:sz="4" w:space="0" w:color="auto"/>
              <w:right w:val="nil"/>
            </w:tcBorders>
            <w:shd w:val="clear" w:color="auto" w:fill="auto"/>
            <w:vAlign w:val="bottom"/>
          </w:tcPr>
          <w:p w14:paraId="25E47628" w14:textId="77777777" w:rsidR="007D662E" w:rsidRPr="001A33FB" w:rsidRDefault="007D662E" w:rsidP="00223037">
            <w:pPr>
              <w:pStyle w:val="CommentaryTabletext"/>
              <w:jc w:val="right"/>
              <w:rPr>
                <w:bCs/>
                <w:color w:val="auto"/>
              </w:rPr>
            </w:pPr>
          </w:p>
        </w:tc>
        <w:tc>
          <w:tcPr>
            <w:tcW w:w="670" w:type="pct"/>
            <w:tcBorders>
              <w:top w:val="single" w:sz="4" w:space="0" w:color="auto"/>
              <w:left w:val="nil"/>
              <w:bottom w:val="single" w:sz="4" w:space="0" w:color="auto"/>
              <w:right w:val="single" w:sz="4" w:space="0" w:color="auto"/>
            </w:tcBorders>
            <w:shd w:val="clear" w:color="auto" w:fill="auto"/>
            <w:vAlign w:val="bottom"/>
          </w:tcPr>
          <w:p w14:paraId="4895A3CA" w14:textId="77777777" w:rsidR="007D662E" w:rsidRPr="001A33FB" w:rsidRDefault="007D662E" w:rsidP="00223037">
            <w:pPr>
              <w:pStyle w:val="CommentaryTabletext"/>
              <w:jc w:val="right"/>
              <w:rPr>
                <w:bCs/>
                <w:color w:val="auto"/>
              </w:rPr>
            </w:pPr>
          </w:p>
        </w:tc>
      </w:tr>
      <w:tr w:rsidR="007D662E" w:rsidRPr="001A33FB" w14:paraId="341DE02E" w14:textId="77777777" w:rsidTr="00223037">
        <w:trPr>
          <w:trHeight w:val="174"/>
        </w:trPr>
        <w:tc>
          <w:tcPr>
            <w:tcW w:w="1649" w:type="pct"/>
            <w:tcBorders>
              <w:top w:val="single" w:sz="4" w:space="0" w:color="auto"/>
            </w:tcBorders>
            <w:shd w:val="clear" w:color="auto" w:fill="auto"/>
          </w:tcPr>
          <w:p w14:paraId="72AF4B94" w14:textId="77777777" w:rsidR="007D662E" w:rsidRPr="00E4630A" w:rsidRDefault="007D662E" w:rsidP="007D662E">
            <w:pPr>
              <w:pStyle w:val="CommentaryTabletext"/>
              <w:numPr>
                <w:ilvl w:val="0"/>
                <w:numId w:val="13"/>
              </w:numPr>
              <w:ind w:left="170" w:hanging="170"/>
              <w:rPr>
                <w:rFonts w:eastAsia="MS Mincho"/>
                <w:color w:val="auto"/>
              </w:rPr>
            </w:pPr>
            <w:r>
              <w:rPr>
                <w:rFonts w:eastAsia="MS Mincho"/>
                <w:color w:val="auto"/>
              </w:rPr>
              <w:t>Higher relapse rate of 38.4% (base case =37.5</w:t>
            </w:r>
            <w:r w:rsidRPr="00E4630A">
              <w:rPr>
                <w:rFonts w:eastAsia="MS Mincho"/>
                <w:color w:val="auto"/>
              </w:rPr>
              <w:t>%)</w:t>
            </w:r>
          </w:p>
        </w:tc>
        <w:tc>
          <w:tcPr>
            <w:tcW w:w="670" w:type="pct"/>
            <w:tcBorders>
              <w:top w:val="single" w:sz="4" w:space="0" w:color="auto"/>
            </w:tcBorders>
            <w:shd w:val="clear" w:color="auto" w:fill="auto"/>
            <w:vAlign w:val="bottom"/>
          </w:tcPr>
          <w:p w14:paraId="49F3512B" w14:textId="77777777" w:rsidR="007D662E" w:rsidRPr="005F5E9B" w:rsidRDefault="007D662E" w:rsidP="00223037">
            <w:pPr>
              <w:pStyle w:val="CommentaryTabletext"/>
              <w:jc w:val="right"/>
              <w:rPr>
                <w:color w:val="auto"/>
              </w:rPr>
            </w:pPr>
            <w:r w:rsidRPr="005F5E9B">
              <w:rPr>
                <w:bCs/>
                <w:color w:val="auto"/>
              </w:rPr>
              <w:t>$52,019,047</w:t>
            </w:r>
          </w:p>
        </w:tc>
        <w:tc>
          <w:tcPr>
            <w:tcW w:w="670" w:type="pct"/>
            <w:tcBorders>
              <w:top w:val="single" w:sz="4" w:space="0" w:color="auto"/>
            </w:tcBorders>
            <w:shd w:val="clear" w:color="auto" w:fill="auto"/>
            <w:vAlign w:val="bottom"/>
          </w:tcPr>
          <w:p w14:paraId="167DC7C0" w14:textId="77777777" w:rsidR="007D662E" w:rsidRPr="005F5E9B" w:rsidRDefault="007D662E" w:rsidP="00223037">
            <w:pPr>
              <w:pStyle w:val="CommentaryTabletext"/>
              <w:jc w:val="right"/>
              <w:rPr>
                <w:color w:val="auto"/>
              </w:rPr>
            </w:pPr>
            <w:r w:rsidRPr="005F5E9B">
              <w:rPr>
                <w:bCs/>
                <w:color w:val="auto"/>
              </w:rPr>
              <w:t>$82,997,457</w:t>
            </w:r>
          </w:p>
        </w:tc>
        <w:tc>
          <w:tcPr>
            <w:tcW w:w="670" w:type="pct"/>
            <w:tcBorders>
              <w:top w:val="single" w:sz="4" w:space="0" w:color="auto"/>
            </w:tcBorders>
            <w:shd w:val="clear" w:color="auto" w:fill="auto"/>
            <w:vAlign w:val="bottom"/>
          </w:tcPr>
          <w:p w14:paraId="7264BE27" w14:textId="77777777" w:rsidR="007D662E" w:rsidRPr="005F5E9B" w:rsidRDefault="007D662E" w:rsidP="00223037">
            <w:pPr>
              <w:pStyle w:val="CommentaryTabletext"/>
              <w:jc w:val="right"/>
              <w:rPr>
                <w:color w:val="auto"/>
              </w:rPr>
            </w:pPr>
            <w:r w:rsidRPr="005F5E9B">
              <w:rPr>
                <w:bCs/>
                <w:color w:val="auto"/>
              </w:rPr>
              <w:t>$99,363,380</w:t>
            </w:r>
          </w:p>
        </w:tc>
        <w:tc>
          <w:tcPr>
            <w:tcW w:w="670" w:type="pct"/>
            <w:tcBorders>
              <w:top w:val="single" w:sz="4" w:space="0" w:color="auto"/>
            </w:tcBorders>
            <w:shd w:val="clear" w:color="auto" w:fill="auto"/>
            <w:vAlign w:val="bottom"/>
          </w:tcPr>
          <w:p w14:paraId="1DDFE138" w14:textId="77777777" w:rsidR="007D662E" w:rsidRPr="005F5E9B" w:rsidRDefault="007D662E" w:rsidP="00223037">
            <w:pPr>
              <w:pStyle w:val="CommentaryTabletext"/>
              <w:jc w:val="right"/>
              <w:rPr>
                <w:color w:val="auto"/>
              </w:rPr>
            </w:pPr>
            <w:r w:rsidRPr="005F5E9B">
              <w:rPr>
                <w:bCs/>
                <w:color w:val="auto"/>
              </w:rPr>
              <w:t>$99,243,452</w:t>
            </w:r>
          </w:p>
        </w:tc>
        <w:tc>
          <w:tcPr>
            <w:tcW w:w="670" w:type="pct"/>
            <w:tcBorders>
              <w:top w:val="single" w:sz="4" w:space="0" w:color="auto"/>
            </w:tcBorders>
            <w:shd w:val="clear" w:color="auto" w:fill="auto"/>
            <w:vAlign w:val="bottom"/>
          </w:tcPr>
          <w:p w14:paraId="30CFEF58" w14:textId="77777777" w:rsidR="007D662E" w:rsidRPr="005F5E9B" w:rsidRDefault="007D662E" w:rsidP="00223037">
            <w:pPr>
              <w:pStyle w:val="CommentaryTabletext"/>
              <w:jc w:val="right"/>
              <w:rPr>
                <w:color w:val="auto"/>
              </w:rPr>
            </w:pPr>
            <w:r w:rsidRPr="005F5E9B">
              <w:rPr>
                <w:bCs/>
                <w:color w:val="auto"/>
              </w:rPr>
              <w:t>$85,560,705</w:t>
            </w:r>
          </w:p>
        </w:tc>
      </w:tr>
      <w:tr w:rsidR="007D662E" w:rsidRPr="001A33FB" w14:paraId="169CF9C3" w14:textId="77777777" w:rsidTr="00223037">
        <w:trPr>
          <w:trHeight w:val="174"/>
        </w:trPr>
        <w:tc>
          <w:tcPr>
            <w:tcW w:w="1649" w:type="pct"/>
            <w:shd w:val="clear" w:color="auto" w:fill="auto"/>
          </w:tcPr>
          <w:p w14:paraId="792E1D0C" w14:textId="77777777" w:rsidR="007D662E" w:rsidRDefault="007D662E" w:rsidP="007D662E">
            <w:pPr>
              <w:pStyle w:val="CommentaryTabletext"/>
              <w:numPr>
                <w:ilvl w:val="0"/>
                <w:numId w:val="13"/>
              </w:numPr>
              <w:ind w:left="170" w:hanging="170"/>
              <w:rPr>
                <w:rFonts w:eastAsia="MS Mincho"/>
                <w:color w:val="auto"/>
              </w:rPr>
            </w:pPr>
            <w:r>
              <w:rPr>
                <w:rFonts w:eastAsia="MS Mincho"/>
                <w:color w:val="auto"/>
              </w:rPr>
              <w:t>Lower relapse rate of 29.5% (base case =37.5</w:t>
            </w:r>
            <w:r w:rsidRPr="00E4630A">
              <w:rPr>
                <w:rFonts w:eastAsia="MS Mincho"/>
                <w:color w:val="auto"/>
              </w:rPr>
              <w:t>%)</w:t>
            </w:r>
          </w:p>
        </w:tc>
        <w:tc>
          <w:tcPr>
            <w:tcW w:w="670" w:type="pct"/>
            <w:shd w:val="clear" w:color="auto" w:fill="auto"/>
            <w:vAlign w:val="bottom"/>
          </w:tcPr>
          <w:p w14:paraId="791D5B7A" w14:textId="77777777" w:rsidR="007D662E" w:rsidRPr="00B10AE8" w:rsidRDefault="007D662E" w:rsidP="00223037">
            <w:pPr>
              <w:pStyle w:val="CommentaryTabletext"/>
              <w:jc w:val="right"/>
              <w:rPr>
                <w:bCs/>
                <w:color w:val="auto"/>
              </w:rPr>
            </w:pPr>
            <w:r w:rsidRPr="00B10AE8">
              <w:rPr>
                <w:bCs/>
                <w:color w:val="auto"/>
              </w:rPr>
              <w:t>$50,324,314</w:t>
            </w:r>
          </w:p>
        </w:tc>
        <w:tc>
          <w:tcPr>
            <w:tcW w:w="670" w:type="pct"/>
            <w:shd w:val="clear" w:color="auto" w:fill="auto"/>
            <w:vAlign w:val="bottom"/>
          </w:tcPr>
          <w:p w14:paraId="764B5CEA" w14:textId="77777777" w:rsidR="007D662E" w:rsidRPr="00B10AE8" w:rsidRDefault="007D662E" w:rsidP="00223037">
            <w:pPr>
              <w:pStyle w:val="CommentaryTabletext"/>
              <w:jc w:val="right"/>
              <w:rPr>
                <w:bCs/>
                <w:color w:val="auto"/>
              </w:rPr>
            </w:pPr>
            <w:r w:rsidRPr="00B10AE8">
              <w:rPr>
                <w:bCs/>
                <w:color w:val="auto"/>
              </w:rPr>
              <w:t>$80,281,431</w:t>
            </w:r>
          </w:p>
        </w:tc>
        <w:tc>
          <w:tcPr>
            <w:tcW w:w="670" w:type="pct"/>
            <w:shd w:val="clear" w:color="auto" w:fill="auto"/>
            <w:vAlign w:val="bottom"/>
          </w:tcPr>
          <w:p w14:paraId="4438781D" w14:textId="77777777" w:rsidR="007D662E" w:rsidRPr="00B10AE8" w:rsidRDefault="007D662E" w:rsidP="00223037">
            <w:pPr>
              <w:pStyle w:val="CommentaryTabletext"/>
              <w:jc w:val="right"/>
              <w:rPr>
                <w:bCs/>
                <w:color w:val="auto"/>
              </w:rPr>
            </w:pPr>
            <w:r w:rsidRPr="00B10AE8">
              <w:rPr>
                <w:bCs/>
                <w:color w:val="auto"/>
              </w:rPr>
              <w:t>$96,094,865</w:t>
            </w:r>
          </w:p>
        </w:tc>
        <w:tc>
          <w:tcPr>
            <w:tcW w:w="670" w:type="pct"/>
            <w:shd w:val="clear" w:color="auto" w:fill="auto"/>
            <w:vAlign w:val="bottom"/>
          </w:tcPr>
          <w:p w14:paraId="4564DB28" w14:textId="77777777" w:rsidR="007D662E" w:rsidRPr="00B10AE8" w:rsidRDefault="007D662E" w:rsidP="00223037">
            <w:pPr>
              <w:pStyle w:val="CommentaryTabletext"/>
              <w:jc w:val="right"/>
              <w:rPr>
                <w:bCs/>
                <w:color w:val="auto"/>
              </w:rPr>
            </w:pPr>
            <w:r w:rsidRPr="00B10AE8">
              <w:rPr>
                <w:bCs/>
                <w:color w:val="auto"/>
              </w:rPr>
              <w:t>$95,967,660</w:t>
            </w:r>
          </w:p>
        </w:tc>
        <w:tc>
          <w:tcPr>
            <w:tcW w:w="670" w:type="pct"/>
            <w:shd w:val="clear" w:color="auto" w:fill="auto"/>
            <w:vAlign w:val="bottom"/>
          </w:tcPr>
          <w:p w14:paraId="49387994" w14:textId="77777777" w:rsidR="007D662E" w:rsidRPr="00B10AE8" w:rsidRDefault="007D662E" w:rsidP="00223037">
            <w:pPr>
              <w:pStyle w:val="CommentaryTabletext"/>
              <w:jc w:val="right"/>
              <w:rPr>
                <w:bCs/>
                <w:color w:val="auto"/>
              </w:rPr>
            </w:pPr>
            <w:r w:rsidRPr="00B10AE8">
              <w:rPr>
                <w:bCs/>
                <w:color w:val="auto"/>
              </w:rPr>
              <w:t>$82,726,707</w:t>
            </w:r>
          </w:p>
        </w:tc>
      </w:tr>
      <w:tr w:rsidR="007D662E" w:rsidRPr="00241163" w14:paraId="22F1100B" w14:textId="77777777" w:rsidTr="00223037">
        <w:trPr>
          <w:trHeight w:val="174"/>
        </w:trPr>
        <w:tc>
          <w:tcPr>
            <w:tcW w:w="1649" w:type="pct"/>
            <w:shd w:val="clear" w:color="auto" w:fill="auto"/>
          </w:tcPr>
          <w:p w14:paraId="1F265CE6" w14:textId="77777777" w:rsidR="007D662E" w:rsidRPr="002531B7" w:rsidRDefault="007D662E" w:rsidP="007D662E">
            <w:pPr>
              <w:pStyle w:val="CommentaryTabletext"/>
              <w:numPr>
                <w:ilvl w:val="0"/>
                <w:numId w:val="13"/>
              </w:numPr>
              <w:ind w:left="170" w:hanging="170"/>
              <w:rPr>
                <w:rFonts w:eastAsia="MS Mincho"/>
                <w:color w:val="auto"/>
              </w:rPr>
            </w:pPr>
            <w:r>
              <w:rPr>
                <w:rFonts w:eastAsia="MS Mincho"/>
                <w:color w:val="auto"/>
              </w:rPr>
              <w:t>Sessions per retreatment course: 24 (base case = 15)</w:t>
            </w:r>
          </w:p>
        </w:tc>
        <w:tc>
          <w:tcPr>
            <w:tcW w:w="670" w:type="pct"/>
            <w:shd w:val="clear" w:color="auto" w:fill="auto"/>
            <w:vAlign w:val="bottom"/>
          </w:tcPr>
          <w:p w14:paraId="1DC699BB" w14:textId="77777777" w:rsidR="007D662E" w:rsidRPr="00B10AE8" w:rsidRDefault="007D662E" w:rsidP="00223037">
            <w:pPr>
              <w:pStyle w:val="CommentaryTabletext"/>
              <w:jc w:val="right"/>
              <w:rPr>
                <w:bCs/>
                <w:color w:val="auto"/>
              </w:rPr>
            </w:pPr>
            <w:r w:rsidRPr="00B10AE8">
              <w:rPr>
                <w:bCs/>
                <w:color w:val="auto"/>
              </w:rPr>
              <w:t>$55,823,332</w:t>
            </w:r>
          </w:p>
        </w:tc>
        <w:tc>
          <w:tcPr>
            <w:tcW w:w="670" w:type="pct"/>
            <w:shd w:val="clear" w:color="auto" w:fill="auto"/>
            <w:vAlign w:val="bottom"/>
          </w:tcPr>
          <w:p w14:paraId="67045AEC" w14:textId="77777777" w:rsidR="007D662E" w:rsidRPr="00B10AE8" w:rsidRDefault="007D662E" w:rsidP="00223037">
            <w:pPr>
              <w:pStyle w:val="CommentaryTabletext"/>
              <w:jc w:val="right"/>
              <w:rPr>
                <w:bCs/>
                <w:color w:val="auto"/>
              </w:rPr>
            </w:pPr>
            <w:r w:rsidRPr="00B10AE8">
              <w:rPr>
                <w:bCs/>
                <w:color w:val="auto"/>
              </w:rPr>
              <w:t>$89,094,306</w:t>
            </w:r>
          </w:p>
        </w:tc>
        <w:tc>
          <w:tcPr>
            <w:tcW w:w="670" w:type="pct"/>
            <w:shd w:val="clear" w:color="auto" w:fill="auto"/>
            <w:vAlign w:val="bottom"/>
          </w:tcPr>
          <w:p w14:paraId="2D20EE38" w14:textId="77777777" w:rsidR="007D662E" w:rsidRPr="00B10AE8" w:rsidRDefault="007D662E" w:rsidP="00223037">
            <w:pPr>
              <w:pStyle w:val="CommentaryTabletext"/>
              <w:jc w:val="right"/>
              <w:rPr>
                <w:bCs/>
                <w:color w:val="auto"/>
              </w:rPr>
            </w:pPr>
            <w:r w:rsidRPr="00B10AE8">
              <w:rPr>
                <w:bCs/>
                <w:color w:val="auto"/>
              </w:rPr>
              <w:t>$106,700,439</w:t>
            </w:r>
          </w:p>
        </w:tc>
        <w:tc>
          <w:tcPr>
            <w:tcW w:w="670" w:type="pct"/>
            <w:shd w:val="clear" w:color="auto" w:fill="auto"/>
            <w:vAlign w:val="bottom"/>
          </w:tcPr>
          <w:p w14:paraId="635FB60E" w14:textId="77777777" w:rsidR="007D662E" w:rsidRPr="00B10AE8" w:rsidRDefault="007D662E" w:rsidP="00223037">
            <w:pPr>
              <w:pStyle w:val="CommentaryTabletext"/>
              <w:jc w:val="right"/>
              <w:rPr>
                <w:bCs/>
                <w:color w:val="auto"/>
              </w:rPr>
            </w:pPr>
            <w:r w:rsidRPr="00B10AE8">
              <w:rPr>
                <w:bCs/>
                <w:color w:val="auto"/>
              </w:rPr>
              <w:t>$106,596,847</w:t>
            </w:r>
          </w:p>
        </w:tc>
        <w:tc>
          <w:tcPr>
            <w:tcW w:w="670" w:type="pct"/>
            <w:shd w:val="clear" w:color="auto" w:fill="auto"/>
            <w:vAlign w:val="bottom"/>
          </w:tcPr>
          <w:p w14:paraId="69D81D83" w14:textId="77777777" w:rsidR="007D662E" w:rsidRPr="00B10AE8" w:rsidRDefault="007D662E" w:rsidP="00223037">
            <w:pPr>
              <w:pStyle w:val="CommentaryTabletext"/>
              <w:jc w:val="right"/>
              <w:rPr>
                <w:bCs/>
                <w:color w:val="auto"/>
              </w:rPr>
            </w:pPr>
            <w:r w:rsidRPr="00B10AE8">
              <w:rPr>
                <w:bCs/>
                <w:color w:val="auto"/>
              </w:rPr>
              <w:t>$91,922,376</w:t>
            </w:r>
          </w:p>
        </w:tc>
      </w:tr>
    </w:tbl>
    <w:p w14:paraId="15014D97" w14:textId="77777777" w:rsidR="007D662E" w:rsidRDefault="007D662E" w:rsidP="007D662E">
      <w:pPr>
        <w:pStyle w:val="Tablefootnote"/>
        <w:spacing w:after="0"/>
        <w:rPr>
          <w:i/>
        </w:rPr>
      </w:pPr>
      <w:r w:rsidRPr="003000B8">
        <w:rPr>
          <w:i/>
        </w:rPr>
        <w:t>Source: Compiled using Critique spreadsheet</w:t>
      </w:r>
    </w:p>
    <w:p w14:paraId="6E0A5A4B" w14:textId="77777777" w:rsidR="007D662E" w:rsidRDefault="007D662E" w:rsidP="005F14BC">
      <w:pPr>
        <w:pStyle w:val="Commentarytablenotes"/>
        <w:spacing w:after="120"/>
        <w:rPr>
          <w:i w:val="0"/>
          <w:color w:val="auto"/>
        </w:rPr>
      </w:pPr>
      <w:r>
        <w:rPr>
          <w:i w:val="0"/>
          <w:color w:val="auto"/>
        </w:rPr>
        <w:t>Abbreviations: MBS = Medicare Benefits Schedule; ECT = electroconvulsive therapy; rTMS = repetitive transcranial magnetic stimulation</w:t>
      </w:r>
    </w:p>
    <w:p w14:paraId="1E36D12E" w14:textId="35FB240F" w:rsidR="007D662E" w:rsidRPr="00982230" w:rsidRDefault="007D662E" w:rsidP="005F14BC">
      <w:pPr>
        <w:pStyle w:val="Tablefootnote"/>
        <w:spacing w:after="240"/>
        <w:rPr>
          <w:i/>
          <w:color w:val="000000" w:themeColor="text1"/>
        </w:rPr>
      </w:pPr>
      <w:r w:rsidRPr="00893791">
        <w:rPr>
          <w:i/>
          <w:color w:val="000000" w:themeColor="text1"/>
        </w:rPr>
        <w:t>Note italicised includes Department calculations base</w:t>
      </w:r>
      <w:r w:rsidR="006C19FD">
        <w:rPr>
          <w:i/>
          <w:color w:val="000000" w:themeColor="text1"/>
        </w:rPr>
        <w:t>d on a</w:t>
      </w:r>
      <w:r>
        <w:rPr>
          <w:i/>
          <w:color w:val="000000" w:themeColor="text1"/>
        </w:rPr>
        <w:t xml:space="preserve">pplicant’s evidence pack for </w:t>
      </w:r>
      <w:r w:rsidRPr="00893791">
        <w:rPr>
          <w:i/>
          <w:color w:val="000000" w:themeColor="text1"/>
        </w:rPr>
        <w:t>Application 1196.3</w:t>
      </w:r>
    </w:p>
    <w:p w14:paraId="380394C6" w14:textId="77777777" w:rsidR="007D662E" w:rsidRDefault="007D662E" w:rsidP="007D662E">
      <w:pPr>
        <w:pStyle w:val="Heading2"/>
      </w:pPr>
      <w:r>
        <w:t>Scenario analyses: multiple retreatment courses</w:t>
      </w:r>
    </w:p>
    <w:p w14:paraId="7C6F3935" w14:textId="49492BCF" w:rsidR="007D662E" w:rsidRDefault="007D662E" w:rsidP="007D662E">
      <w:r>
        <w:t xml:space="preserve">Two scenario analyses </w:t>
      </w:r>
      <w:r w:rsidR="00E51CCB">
        <w:t>were</w:t>
      </w:r>
      <w:r>
        <w:t xml:space="preserve"> performed to investigate the impact </w:t>
      </w:r>
      <w:r w:rsidR="00E51CCB">
        <w:t>on the</w:t>
      </w:r>
      <w:r>
        <w:t xml:space="preserve"> financial estimates </w:t>
      </w:r>
      <w:r w:rsidR="00E51CCB">
        <w:t>if multiple retreatment courses of rTMS are allowed in the MBS listing (Table 8</w:t>
      </w:r>
      <w:r>
        <w:t>):</w:t>
      </w:r>
    </w:p>
    <w:p w14:paraId="51F298D2" w14:textId="4813162E" w:rsidR="007D662E" w:rsidRDefault="007D662E" w:rsidP="007D662E">
      <w:pPr>
        <w:pStyle w:val="ListParagraph"/>
        <w:numPr>
          <w:ilvl w:val="0"/>
          <w:numId w:val="14"/>
        </w:numPr>
      </w:pPr>
      <w:r>
        <w:t>an additional second course of retreatment with rTMS (alternative MB</w:t>
      </w:r>
      <w:r w:rsidR="00E51CCB">
        <w:t>S item descriptor YYYYY; Table 2</w:t>
      </w:r>
      <w:r>
        <w:t xml:space="preserve">). This was based on 15/99 (15.2%) </w:t>
      </w:r>
      <w:r w:rsidRPr="005F5E9B">
        <w:t xml:space="preserve">responders </w:t>
      </w:r>
      <w:r>
        <w:t>who experienced a second relapse</w:t>
      </w:r>
      <w:r>
        <w:rPr>
          <w:rStyle w:val="FootnoteReference"/>
        </w:rPr>
        <w:footnoteReference w:id="1"/>
      </w:r>
      <w:r>
        <w:t xml:space="preserve"> in Janicak et al. 2010. Given the paucity of data, the second-line retreatment regimen and timing of therapy was assumed to be similar to first-line retreatment (e.g. relapse occurring four months after completion of rTMS retreatment 1; and involving 15 sessions/course; retreatment course 2 would apply in same year as initial course of treatment); and</w:t>
      </w:r>
    </w:p>
    <w:p w14:paraId="667C3781" w14:textId="08360105" w:rsidR="007D662E" w:rsidRDefault="007D662E" w:rsidP="007D662E">
      <w:pPr>
        <w:pStyle w:val="ListParagraph"/>
        <w:numPr>
          <w:ilvl w:val="0"/>
          <w:numId w:val="14"/>
        </w:numPr>
      </w:pPr>
      <w:r>
        <w:t>an additional third course of retreatment with rTMS (alternative MB</w:t>
      </w:r>
      <w:r w:rsidR="00E51CCB">
        <w:t>S item descriptor ZZZZZ; Table 3</w:t>
      </w:r>
      <w:r>
        <w:t xml:space="preserve">). This was based on 5/99 (5.1%) </w:t>
      </w:r>
      <w:r w:rsidRPr="005F5E9B">
        <w:t>responders</w:t>
      </w:r>
      <w:r>
        <w:t xml:space="preserve"> who experienced a third relapse in Janicak et al. 2010. Given the paucity of data, the third-line retreatment regimen and timing of therapy was assumed to be similar across all treatment lines (e.g. relapse occurring four months after completion of rTMS retreatment line 2; and involving 15 sessions/course; retreatment course 3 would apply in subsequent year after initial course of treatment).</w:t>
      </w:r>
    </w:p>
    <w:p w14:paraId="466A48DF" w14:textId="47B2B2E7" w:rsidR="007D662E" w:rsidRPr="005B5918" w:rsidRDefault="007D662E" w:rsidP="005B5918">
      <w:pPr>
        <w:spacing w:before="240"/>
        <w:rPr>
          <w:rFonts w:ascii="Arial Narrow" w:hAnsi="Arial Narrow"/>
          <w:b/>
          <w:sz w:val="20"/>
        </w:rPr>
      </w:pPr>
      <w:r w:rsidRPr="005B5918">
        <w:rPr>
          <w:rFonts w:ascii="Arial Narrow" w:hAnsi="Arial Narrow"/>
          <w:b/>
          <w:sz w:val="20"/>
        </w:rPr>
        <w:t xml:space="preserve">Table </w:t>
      </w:r>
      <w:r w:rsidR="00E51CCB" w:rsidRPr="005B5918">
        <w:rPr>
          <w:rFonts w:ascii="Arial Narrow" w:hAnsi="Arial Narrow"/>
          <w:b/>
          <w:sz w:val="20"/>
        </w:rPr>
        <w:t>8</w:t>
      </w:r>
      <w:r w:rsidRPr="005B5918">
        <w:rPr>
          <w:rFonts w:ascii="Arial Narrow" w:hAnsi="Arial Narrow"/>
          <w:b/>
          <w:sz w:val="20"/>
        </w:rPr>
        <w:tab/>
        <w:t>Scenario analyses investigating financial impact of allowing up to 3 courses of retreatment with rTMS</w:t>
      </w:r>
    </w:p>
    <w:tbl>
      <w:tblPr>
        <w:tblStyle w:val="OPTUMTableNormal"/>
        <w:tblW w:w="5000" w:type="pct"/>
        <w:tblLayout w:type="fixed"/>
        <w:tblCellMar>
          <w:left w:w="28" w:type="dxa"/>
          <w:right w:w="28" w:type="dxa"/>
        </w:tblCellMar>
        <w:tblLook w:val="04A0" w:firstRow="1" w:lastRow="0" w:firstColumn="1" w:lastColumn="0" w:noHBand="0" w:noVBand="1"/>
        <w:tblCaption w:val="Table 10 Scenario analyses investigating financial impact of allowing up to 3 courses of retreatment with rTMS"/>
        <w:tblDescription w:val="Department's scenario analyses for rTMS retreatment"/>
      </w:tblPr>
      <w:tblGrid>
        <w:gridCol w:w="3258"/>
        <w:gridCol w:w="1150"/>
        <w:gridCol w:w="1152"/>
        <w:gridCol w:w="1152"/>
        <w:gridCol w:w="1152"/>
        <w:gridCol w:w="1152"/>
      </w:tblGrid>
      <w:tr w:rsidR="007D662E" w:rsidRPr="002531B7" w14:paraId="119DFC8E" w14:textId="77777777" w:rsidTr="00223037">
        <w:trPr>
          <w:cnfStyle w:val="100000000000" w:firstRow="1" w:lastRow="0" w:firstColumn="0" w:lastColumn="0" w:oddVBand="0" w:evenVBand="0" w:oddHBand="0" w:evenHBand="0" w:firstRowFirstColumn="0" w:firstRowLastColumn="0" w:lastRowFirstColumn="0" w:lastRowLastColumn="0"/>
          <w:trHeight w:val="174"/>
          <w:tblHeader/>
        </w:trPr>
        <w:tc>
          <w:tcPr>
            <w:tcW w:w="1806" w:type="pct"/>
            <w:hideMark/>
          </w:tcPr>
          <w:p w14:paraId="767A7A43" w14:textId="77777777" w:rsidR="007D662E" w:rsidRPr="002531B7" w:rsidRDefault="007D662E" w:rsidP="00223037">
            <w:pPr>
              <w:pStyle w:val="CommentaryTabletext"/>
              <w:rPr>
                <w:rFonts w:eastAsia="Calibri"/>
                <w:b/>
                <w:color w:val="auto"/>
              </w:rPr>
            </w:pPr>
          </w:p>
        </w:tc>
        <w:tc>
          <w:tcPr>
            <w:tcW w:w="638" w:type="pct"/>
            <w:hideMark/>
          </w:tcPr>
          <w:p w14:paraId="53B141B8"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1</w:t>
            </w:r>
          </w:p>
        </w:tc>
        <w:tc>
          <w:tcPr>
            <w:tcW w:w="639" w:type="pct"/>
          </w:tcPr>
          <w:p w14:paraId="5233008A"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2</w:t>
            </w:r>
          </w:p>
        </w:tc>
        <w:tc>
          <w:tcPr>
            <w:tcW w:w="639" w:type="pct"/>
          </w:tcPr>
          <w:p w14:paraId="09A8A007"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3</w:t>
            </w:r>
          </w:p>
        </w:tc>
        <w:tc>
          <w:tcPr>
            <w:tcW w:w="639" w:type="pct"/>
          </w:tcPr>
          <w:p w14:paraId="250FE39E"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4</w:t>
            </w:r>
          </w:p>
        </w:tc>
        <w:tc>
          <w:tcPr>
            <w:tcW w:w="639" w:type="pct"/>
          </w:tcPr>
          <w:p w14:paraId="6D9BEB47" w14:textId="77777777" w:rsidR="007D662E" w:rsidRPr="002531B7" w:rsidRDefault="007D662E" w:rsidP="00223037">
            <w:pPr>
              <w:pStyle w:val="CommentaryTabletext"/>
              <w:jc w:val="center"/>
              <w:rPr>
                <w:rFonts w:eastAsia="Calibri"/>
                <w:b/>
                <w:color w:val="auto"/>
              </w:rPr>
            </w:pPr>
            <w:r w:rsidRPr="002531B7">
              <w:rPr>
                <w:rFonts w:eastAsia="Calibri"/>
                <w:b/>
                <w:color w:val="auto"/>
              </w:rPr>
              <w:t>Year 5</w:t>
            </w:r>
          </w:p>
        </w:tc>
      </w:tr>
      <w:tr w:rsidR="007D662E" w:rsidRPr="00241163" w14:paraId="2C70164C" w14:textId="77777777" w:rsidTr="00223037">
        <w:trPr>
          <w:trHeight w:val="174"/>
        </w:trPr>
        <w:tc>
          <w:tcPr>
            <w:tcW w:w="1806" w:type="pct"/>
            <w:shd w:val="clear" w:color="auto" w:fill="auto"/>
          </w:tcPr>
          <w:p w14:paraId="74EE8D81" w14:textId="77777777" w:rsidR="007D662E" w:rsidRPr="000448BA" w:rsidRDefault="007D662E" w:rsidP="00223037">
            <w:pPr>
              <w:pStyle w:val="CommentaryTabletext"/>
              <w:jc w:val="left"/>
              <w:rPr>
                <w:rFonts w:eastAsia="MS Mincho"/>
                <w:b/>
                <w:color w:val="auto"/>
                <w:vertAlign w:val="superscript"/>
              </w:rPr>
            </w:pPr>
            <w:r>
              <w:rPr>
                <w:rFonts w:eastAsia="MS Mincho"/>
                <w:b/>
                <w:color w:val="auto"/>
              </w:rPr>
              <w:t>Critique’s r</w:t>
            </w:r>
            <w:r w:rsidRPr="002531B7">
              <w:rPr>
                <w:rFonts w:eastAsia="MS Mincho"/>
                <w:b/>
                <w:color w:val="auto"/>
              </w:rPr>
              <w:t xml:space="preserve">especified net implications to the MBS </w:t>
            </w:r>
            <w:r>
              <w:rPr>
                <w:rFonts w:eastAsia="MS Mincho"/>
                <w:b/>
                <w:color w:val="auto"/>
              </w:rPr>
              <w:t>(base case = 1 course of rTMS retreatment)</w:t>
            </w:r>
            <w:r>
              <w:rPr>
                <w:rFonts w:eastAsia="MS Mincho"/>
                <w:b/>
                <w:color w:val="auto"/>
                <w:vertAlign w:val="superscript"/>
              </w:rPr>
              <w:t>a</w:t>
            </w:r>
          </w:p>
        </w:tc>
        <w:tc>
          <w:tcPr>
            <w:tcW w:w="638" w:type="pct"/>
            <w:shd w:val="clear" w:color="auto" w:fill="auto"/>
            <w:vAlign w:val="bottom"/>
          </w:tcPr>
          <w:p w14:paraId="7EB7775C" w14:textId="77777777" w:rsidR="007D662E" w:rsidRPr="00241163" w:rsidRDefault="007D662E" w:rsidP="00223037">
            <w:pPr>
              <w:pStyle w:val="CommentaryTabletext"/>
              <w:jc w:val="right"/>
              <w:rPr>
                <w:b/>
                <w:color w:val="auto"/>
              </w:rPr>
            </w:pPr>
            <w:r w:rsidRPr="002B2E7B">
              <w:rPr>
                <w:b/>
                <w:bCs/>
                <w:color w:val="auto"/>
              </w:rPr>
              <w:t>$51,847,670</w:t>
            </w:r>
          </w:p>
        </w:tc>
        <w:tc>
          <w:tcPr>
            <w:tcW w:w="639" w:type="pct"/>
            <w:shd w:val="clear" w:color="auto" w:fill="auto"/>
            <w:vAlign w:val="bottom"/>
          </w:tcPr>
          <w:p w14:paraId="5F6AFB08" w14:textId="77777777" w:rsidR="007D662E" w:rsidRPr="00241163" w:rsidRDefault="007D662E" w:rsidP="00223037">
            <w:pPr>
              <w:pStyle w:val="CommentaryTabletext"/>
              <w:jc w:val="right"/>
              <w:rPr>
                <w:b/>
                <w:color w:val="auto"/>
              </w:rPr>
            </w:pPr>
            <w:r w:rsidRPr="002B2E7B">
              <w:rPr>
                <w:b/>
                <w:bCs/>
                <w:color w:val="auto"/>
              </w:rPr>
              <w:t>$82,722,802</w:t>
            </w:r>
          </w:p>
        </w:tc>
        <w:tc>
          <w:tcPr>
            <w:tcW w:w="639" w:type="pct"/>
            <w:shd w:val="clear" w:color="auto" w:fill="auto"/>
            <w:vAlign w:val="bottom"/>
          </w:tcPr>
          <w:p w14:paraId="262D506D" w14:textId="77777777" w:rsidR="007D662E" w:rsidRPr="00241163" w:rsidRDefault="007D662E" w:rsidP="00223037">
            <w:pPr>
              <w:pStyle w:val="CommentaryTabletext"/>
              <w:jc w:val="right"/>
              <w:rPr>
                <w:b/>
                <w:color w:val="auto"/>
              </w:rPr>
            </w:pPr>
            <w:r w:rsidRPr="002B2E7B">
              <w:rPr>
                <w:b/>
                <w:bCs/>
                <w:color w:val="auto"/>
              </w:rPr>
              <w:t>$99,032,856</w:t>
            </w:r>
          </w:p>
        </w:tc>
        <w:tc>
          <w:tcPr>
            <w:tcW w:w="639" w:type="pct"/>
            <w:shd w:val="clear" w:color="auto" w:fill="auto"/>
            <w:vAlign w:val="bottom"/>
          </w:tcPr>
          <w:p w14:paraId="33733C5E" w14:textId="77777777" w:rsidR="007D662E" w:rsidRPr="00241163" w:rsidRDefault="007D662E" w:rsidP="00223037">
            <w:pPr>
              <w:pStyle w:val="CommentaryTabletext"/>
              <w:jc w:val="right"/>
              <w:rPr>
                <w:b/>
                <w:color w:val="auto"/>
              </w:rPr>
            </w:pPr>
            <w:r w:rsidRPr="002B2E7B">
              <w:rPr>
                <w:b/>
                <w:bCs/>
                <w:color w:val="auto"/>
              </w:rPr>
              <w:t>$98,912,192</w:t>
            </w:r>
          </w:p>
        </w:tc>
        <w:tc>
          <w:tcPr>
            <w:tcW w:w="639" w:type="pct"/>
            <w:shd w:val="clear" w:color="auto" w:fill="auto"/>
            <w:vAlign w:val="bottom"/>
          </w:tcPr>
          <w:p w14:paraId="66DFA2A9" w14:textId="77777777" w:rsidR="007D662E" w:rsidRPr="00241163" w:rsidRDefault="007D662E" w:rsidP="00223037">
            <w:pPr>
              <w:pStyle w:val="CommentaryTabletext"/>
              <w:jc w:val="right"/>
              <w:rPr>
                <w:b/>
                <w:color w:val="auto"/>
              </w:rPr>
            </w:pPr>
            <w:r w:rsidRPr="002B2E7B">
              <w:rPr>
                <w:b/>
                <w:bCs/>
                <w:color w:val="auto"/>
              </w:rPr>
              <w:t>$85,274,121</w:t>
            </w:r>
          </w:p>
        </w:tc>
      </w:tr>
      <w:tr w:rsidR="007D662E" w:rsidRPr="001A33FB" w14:paraId="3AAB0EDF" w14:textId="77777777" w:rsidTr="00223037">
        <w:trPr>
          <w:trHeight w:val="174"/>
        </w:trPr>
        <w:tc>
          <w:tcPr>
            <w:tcW w:w="1806" w:type="pct"/>
            <w:shd w:val="clear" w:color="auto" w:fill="auto"/>
          </w:tcPr>
          <w:p w14:paraId="63142079" w14:textId="77777777" w:rsidR="007D662E" w:rsidRPr="002531B7" w:rsidRDefault="007D662E" w:rsidP="00223037">
            <w:pPr>
              <w:pStyle w:val="CommentaryTabletext"/>
              <w:rPr>
                <w:rFonts w:eastAsia="MS Mincho"/>
                <w:color w:val="auto"/>
              </w:rPr>
            </w:pPr>
            <w:r>
              <w:rPr>
                <w:rFonts w:eastAsia="MS Mincho"/>
                <w:color w:val="auto"/>
              </w:rPr>
              <w:t>Scenario analyses</w:t>
            </w:r>
          </w:p>
        </w:tc>
        <w:tc>
          <w:tcPr>
            <w:tcW w:w="638" w:type="pct"/>
            <w:shd w:val="clear" w:color="auto" w:fill="auto"/>
            <w:vAlign w:val="bottom"/>
          </w:tcPr>
          <w:p w14:paraId="162EAB02" w14:textId="77777777" w:rsidR="007D662E" w:rsidRPr="001A33FB" w:rsidRDefault="007D662E" w:rsidP="00223037">
            <w:pPr>
              <w:pStyle w:val="CommentaryTabletext"/>
              <w:jc w:val="right"/>
              <w:rPr>
                <w:bCs/>
                <w:color w:val="auto"/>
              </w:rPr>
            </w:pPr>
          </w:p>
        </w:tc>
        <w:tc>
          <w:tcPr>
            <w:tcW w:w="639" w:type="pct"/>
            <w:shd w:val="clear" w:color="auto" w:fill="auto"/>
            <w:vAlign w:val="bottom"/>
          </w:tcPr>
          <w:p w14:paraId="17633888" w14:textId="77777777" w:rsidR="007D662E" w:rsidRPr="001A33FB" w:rsidRDefault="007D662E" w:rsidP="00223037">
            <w:pPr>
              <w:pStyle w:val="CommentaryTabletext"/>
              <w:jc w:val="right"/>
              <w:rPr>
                <w:bCs/>
                <w:color w:val="auto"/>
              </w:rPr>
            </w:pPr>
          </w:p>
        </w:tc>
        <w:tc>
          <w:tcPr>
            <w:tcW w:w="639" w:type="pct"/>
            <w:shd w:val="clear" w:color="auto" w:fill="auto"/>
            <w:vAlign w:val="bottom"/>
          </w:tcPr>
          <w:p w14:paraId="547C73D9" w14:textId="77777777" w:rsidR="007D662E" w:rsidRPr="001A33FB" w:rsidRDefault="007D662E" w:rsidP="00223037">
            <w:pPr>
              <w:pStyle w:val="CommentaryTabletext"/>
              <w:jc w:val="right"/>
              <w:rPr>
                <w:bCs/>
                <w:color w:val="auto"/>
              </w:rPr>
            </w:pPr>
          </w:p>
        </w:tc>
        <w:tc>
          <w:tcPr>
            <w:tcW w:w="639" w:type="pct"/>
            <w:shd w:val="clear" w:color="auto" w:fill="auto"/>
            <w:vAlign w:val="bottom"/>
          </w:tcPr>
          <w:p w14:paraId="45753FBF" w14:textId="77777777" w:rsidR="007D662E" w:rsidRPr="001A33FB" w:rsidRDefault="007D662E" w:rsidP="00223037">
            <w:pPr>
              <w:pStyle w:val="CommentaryTabletext"/>
              <w:jc w:val="right"/>
              <w:rPr>
                <w:bCs/>
                <w:color w:val="auto"/>
              </w:rPr>
            </w:pPr>
          </w:p>
        </w:tc>
        <w:tc>
          <w:tcPr>
            <w:tcW w:w="639" w:type="pct"/>
            <w:shd w:val="clear" w:color="auto" w:fill="auto"/>
            <w:vAlign w:val="bottom"/>
          </w:tcPr>
          <w:p w14:paraId="3E1B5C27" w14:textId="77777777" w:rsidR="007D662E" w:rsidRPr="001A33FB" w:rsidRDefault="007D662E" w:rsidP="00223037">
            <w:pPr>
              <w:pStyle w:val="CommentaryTabletext"/>
              <w:jc w:val="right"/>
              <w:rPr>
                <w:bCs/>
                <w:color w:val="auto"/>
              </w:rPr>
            </w:pPr>
          </w:p>
        </w:tc>
      </w:tr>
      <w:tr w:rsidR="007D662E" w:rsidRPr="001A33FB" w14:paraId="10DDCF1B" w14:textId="77777777" w:rsidTr="00223037">
        <w:trPr>
          <w:trHeight w:val="174"/>
        </w:trPr>
        <w:tc>
          <w:tcPr>
            <w:tcW w:w="1806" w:type="pct"/>
            <w:shd w:val="clear" w:color="auto" w:fill="auto"/>
          </w:tcPr>
          <w:p w14:paraId="4F665E86" w14:textId="77777777" w:rsidR="007D662E" w:rsidRPr="00E4630A" w:rsidRDefault="007D662E" w:rsidP="007D662E">
            <w:pPr>
              <w:pStyle w:val="CommentaryTabletext"/>
              <w:numPr>
                <w:ilvl w:val="0"/>
                <w:numId w:val="15"/>
              </w:numPr>
              <w:ind w:left="170" w:hanging="170"/>
              <w:rPr>
                <w:rFonts w:eastAsia="MS Mincho"/>
                <w:color w:val="auto"/>
              </w:rPr>
            </w:pPr>
            <w:r>
              <w:rPr>
                <w:rFonts w:eastAsia="MS Mincho"/>
                <w:color w:val="auto"/>
              </w:rPr>
              <w:t>Two courses of retreatment with rTMS</w:t>
            </w:r>
            <w:r>
              <w:rPr>
                <w:rFonts w:eastAsia="MS Mincho"/>
                <w:color w:val="auto"/>
                <w:vertAlign w:val="superscript"/>
              </w:rPr>
              <w:t>b</w:t>
            </w:r>
          </w:p>
        </w:tc>
        <w:tc>
          <w:tcPr>
            <w:tcW w:w="638" w:type="pct"/>
            <w:shd w:val="clear" w:color="auto" w:fill="auto"/>
            <w:vAlign w:val="bottom"/>
          </w:tcPr>
          <w:p w14:paraId="25450888" w14:textId="77777777" w:rsidR="007D662E" w:rsidRPr="000448BA" w:rsidRDefault="007D662E" w:rsidP="00223037">
            <w:pPr>
              <w:pStyle w:val="CommentaryTabletext"/>
              <w:jc w:val="right"/>
              <w:rPr>
                <w:color w:val="auto"/>
              </w:rPr>
            </w:pPr>
            <w:r w:rsidRPr="000448BA">
              <w:rPr>
                <w:bCs/>
                <w:color w:val="auto"/>
              </w:rPr>
              <w:t>$54,732,813</w:t>
            </w:r>
          </w:p>
        </w:tc>
        <w:tc>
          <w:tcPr>
            <w:tcW w:w="639" w:type="pct"/>
            <w:shd w:val="clear" w:color="auto" w:fill="auto"/>
            <w:vAlign w:val="bottom"/>
          </w:tcPr>
          <w:p w14:paraId="646518AE" w14:textId="77777777" w:rsidR="007D662E" w:rsidRPr="000448BA" w:rsidRDefault="007D662E" w:rsidP="00223037">
            <w:pPr>
              <w:pStyle w:val="CommentaryTabletext"/>
              <w:jc w:val="right"/>
              <w:rPr>
                <w:color w:val="auto"/>
              </w:rPr>
            </w:pPr>
            <w:r w:rsidRPr="000448BA">
              <w:rPr>
                <w:bCs/>
                <w:color w:val="auto"/>
              </w:rPr>
              <w:t>$87,346,612</w:t>
            </w:r>
          </w:p>
        </w:tc>
        <w:tc>
          <w:tcPr>
            <w:tcW w:w="639" w:type="pct"/>
            <w:shd w:val="clear" w:color="auto" w:fill="auto"/>
            <w:vAlign w:val="bottom"/>
          </w:tcPr>
          <w:p w14:paraId="1570ABCC" w14:textId="77777777" w:rsidR="007D662E" w:rsidRPr="000448BA" w:rsidRDefault="007D662E" w:rsidP="00223037">
            <w:pPr>
              <w:pStyle w:val="CommentaryTabletext"/>
              <w:jc w:val="right"/>
              <w:rPr>
                <w:color w:val="auto"/>
              </w:rPr>
            </w:pPr>
            <w:r w:rsidRPr="000448BA">
              <w:rPr>
                <w:bCs/>
                <w:color w:val="auto"/>
              </w:rPr>
              <w:t>$104,597,232</w:t>
            </w:r>
          </w:p>
        </w:tc>
        <w:tc>
          <w:tcPr>
            <w:tcW w:w="639" w:type="pct"/>
            <w:shd w:val="clear" w:color="auto" w:fill="auto"/>
            <w:vAlign w:val="bottom"/>
          </w:tcPr>
          <w:p w14:paraId="1E7B69C2" w14:textId="77777777" w:rsidR="007D662E" w:rsidRPr="000448BA" w:rsidRDefault="007D662E" w:rsidP="00223037">
            <w:pPr>
              <w:pStyle w:val="CommentaryTabletext"/>
              <w:jc w:val="right"/>
              <w:rPr>
                <w:color w:val="auto"/>
              </w:rPr>
            </w:pPr>
            <w:r w:rsidRPr="000448BA">
              <w:rPr>
                <w:bCs/>
                <w:color w:val="auto"/>
              </w:rPr>
              <w:t>$104,488,957</w:t>
            </w:r>
          </w:p>
        </w:tc>
        <w:tc>
          <w:tcPr>
            <w:tcW w:w="639" w:type="pct"/>
            <w:shd w:val="clear" w:color="auto" w:fill="auto"/>
            <w:vAlign w:val="bottom"/>
          </w:tcPr>
          <w:p w14:paraId="7F94F73D" w14:textId="77777777" w:rsidR="007D662E" w:rsidRPr="000448BA" w:rsidRDefault="007D662E" w:rsidP="00223037">
            <w:pPr>
              <w:pStyle w:val="CommentaryTabletext"/>
              <w:jc w:val="right"/>
              <w:rPr>
                <w:color w:val="auto"/>
              </w:rPr>
            </w:pPr>
            <w:r w:rsidRPr="000448BA">
              <w:rPr>
                <w:bCs/>
                <w:color w:val="auto"/>
              </w:rPr>
              <w:t>$90,098,770</w:t>
            </w:r>
          </w:p>
        </w:tc>
      </w:tr>
      <w:tr w:rsidR="007D662E" w:rsidRPr="001A33FB" w14:paraId="1D711F08" w14:textId="77777777" w:rsidTr="00223037">
        <w:trPr>
          <w:trHeight w:val="174"/>
        </w:trPr>
        <w:tc>
          <w:tcPr>
            <w:tcW w:w="1806" w:type="pct"/>
            <w:shd w:val="clear" w:color="auto" w:fill="auto"/>
          </w:tcPr>
          <w:p w14:paraId="285F00AC" w14:textId="77777777" w:rsidR="007D662E" w:rsidRDefault="007D662E" w:rsidP="007D662E">
            <w:pPr>
              <w:pStyle w:val="CommentaryTabletext"/>
              <w:numPr>
                <w:ilvl w:val="0"/>
                <w:numId w:val="15"/>
              </w:numPr>
              <w:ind w:left="170" w:hanging="170"/>
              <w:rPr>
                <w:rFonts w:eastAsia="MS Mincho"/>
                <w:color w:val="auto"/>
              </w:rPr>
            </w:pPr>
            <w:r>
              <w:rPr>
                <w:rFonts w:eastAsia="MS Mincho"/>
                <w:color w:val="auto"/>
              </w:rPr>
              <w:t>Three courses of retreatment with rTMS</w:t>
            </w:r>
            <w:r>
              <w:rPr>
                <w:rFonts w:eastAsia="MS Mincho"/>
                <w:color w:val="auto"/>
                <w:vertAlign w:val="superscript"/>
              </w:rPr>
              <w:t>c</w:t>
            </w:r>
          </w:p>
        </w:tc>
        <w:tc>
          <w:tcPr>
            <w:tcW w:w="638" w:type="pct"/>
            <w:shd w:val="clear" w:color="auto" w:fill="auto"/>
            <w:vAlign w:val="bottom"/>
          </w:tcPr>
          <w:p w14:paraId="5FA9935C" w14:textId="77777777" w:rsidR="007D662E" w:rsidRPr="000448BA" w:rsidRDefault="007D662E" w:rsidP="00223037">
            <w:pPr>
              <w:pStyle w:val="CommentaryTabletext"/>
              <w:jc w:val="right"/>
              <w:rPr>
                <w:bCs/>
                <w:color w:val="auto"/>
              </w:rPr>
            </w:pPr>
            <w:r w:rsidRPr="000448BA">
              <w:rPr>
                <w:bCs/>
                <w:color w:val="auto"/>
              </w:rPr>
              <w:t>$54,732,813</w:t>
            </w:r>
          </w:p>
        </w:tc>
        <w:tc>
          <w:tcPr>
            <w:tcW w:w="639" w:type="pct"/>
            <w:shd w:val="clear" w:color="auto" w:fill="auto"/>
            <w:vAlign w:val="bottom"/>
          </w:tcPr>
          <w:p w14:paraId="07871834" w14:textId="77777777" w:rsidR="007D662E" w:rsidRPr="000448BA" w:rsidRDefault="007D662E" w:rsidP="00223037">
            <w:pPr>
              <w:pStyle w:val="CommentaryTabletext"/>
              <w:jc w:val="right"/>
              <w:rPr>
                <w:bCs/>
                <w:color w:val="auto"/>
              </w:rPr>
            </w:pPr>
            <w:r w:rsidRPr="000448BA">
              <w:rPr>
                <w:bCs/>
                <w:color w:val="auto"/>
              </w:rPr>
              <w:t>$88,308,327</w:t>
            </w:r>
          </w:p>
        </w:tc>
        <w:tc>
          <w:tcPr>
            <w:tcW w:w="639" w:type="pct"/>
            <w:shd w:val="clear" w:color="auto" w:fill="auto"/>
            <w:vAlign w:val="bottom"/>
          </w:tcPr>
          <w:p w14:paraId="64B825F5" w14:textId="77777777" w:rsidR="007D662E" w:rsidRPr="000448BA" w:rsidRDefault="007D662E" w:rsidP="00223037">
            <w:pPr>
              <w:pStyle w:val="CommentaryTabletext"/>
              <w:jc w:val="right"/>
              <w:rPr>
                <w:bCs/>
                <w:color w:val="auto"/>
              </w:rPr>
            </w:pPr>
            <w:r w:rsidRPr="000448BA">
              <w:rPr>
                <w:bCs/>
                <w:color w:val="auto"/>
              </w:rPr>
              <w:t>$106,138,502</w:t>
            </w:r>
          </w:p>
        </w:tc>
        <w:tc>
          <w:tcPr>
            <w:tcW w:w="639" w:type="pct"/>
            <w:shd w:val="clear" w:color="auto" w:fill="auto"/>
            <w:vAlign w:val="bottom"/>
          </w:tcPr>
          <w:p w14:paraId="07950225" w14:textId="77777777" w:rsidR="007D662E" w:rsidRPr="000448BA" w:rsidRDefault="007D662E" w:rsidP="00223037">
            <w:pPr>
              <w:pStyle w:val="CommentaryTabletext"/>
              <w:jc w:val="right"/>
              <w:rPr>
                <w:bCs/>
                <w:color w:val="auto"/>
              </w:rPr>
            </w:pPr>
            <w:r w:rsidRPr="000448BA">
              <w:rPr>
                <w:bCs/>
                <w:color w:val="auto"/>
              </w:rPr>
              <w:t>$106,343,749</w:t>
            </w:r>
          </w:p>
        </w:tc>
        <w:tc>
          <w:tcPr>
            <w:tcW w:w="639" w:type="pct"/>
            <w:shd w:val="clear" w:color="auto" w:fill="auto"/>
            <w:vAlign w:val="bottom"/>
          </w:tcPr>
          <w:p w14:paraId="7A800C9F" w14:textId="77777777" w:rsidR="007D662E" w:rsidRPr="00A3701A" w:rsidRDefault="007D662E" w:rsidP="00223037">
            <w:pPr>
              <w:pStyle w:val="CommentaryTabletext"/>
              <w:jc w:val="right"/>
              <w:rPr>
                <w:bCs/>
                <w:color w:val="auto"/>
                <w:vertAlign w:val="superscript"/>
              </w:rPr>
            </w:pPr>
            <w:r w:rsidRPr="000448BA">
              <w:rPr>
                <w:bCs/>
                <w:color w:val="auto"/>
              </w:rPr>
              <w:t>$91,957,691</w:t>
            </w:r>
            <w:r>
              <w:rPr>
                <w:bCs/>
                <w:color w:val="auto"/>
                <w:vertAlign w:val="superscript"/>
              </w:rPr>
              <w:t>d</w:t>
            </w:r>
          </w:p>
        </w:tc>
      </w:tr>
    </w:tbl>
    <w:p w14:paraId="17C045B5" w14:textId="77777777" w:rsidR="007D662E" w:rsidRDefault="007D662E" w:rsidP="007D662E">
      <w:pPr>
        <w:pStyle w:val="Tablefootnote"/>
        <w:rPr>
          <w:i/>
        </w:rPr>
      </w:pPr>
      <w:r w:rsidRPr="003000B8">
        <w:rPr>
          <w:i/>
        </w:rPr>
        <w:t>Source: Compiled using Critique spreadsheet</w:t>
      </w:r>
    </w:p>
    <w:p w14:paraId="463EF563" w14:textId="77777777" w:rsidR="007D662E" w:rsidRDefault="007D662E" w:rsidP="007D662E">
      <w:pPr>
        <w:pStyle w:val="Tablefootnote"/>
        <w:spacing w:after="0"/>
        <w:rPr>
          <w:i/>
        </w:rPr>
      </w:pPr>
      <w:r>
        <w:rPr>
          <w:i/>
          <w:vertAlign w:val="superscript"/>
        </w:rPr>
        <w:t xml:space="preserve">a </w:t>
      </w:r>
      <w:r>
        <w:rPr>
          <w:i/>
        </w:rPr>
        <w:t>Retreatment course 1 applied in same year as initial course (initial course: months 1-2; retreatment course 1: months 6-7)</w:t>
      </w:r>
    </w:p>
    <w:p w14:paraId="7858BF7D" w14:textId="77777777" w:rsidR="007D662E" w:rsidRDefault="007D662E" w:rsidP="007D662E">
      <w:pPr>
        <w:pStyle w:val="Tablefootnote"/>
        <w:spacing w:after="0"/>
        <w:rPr>
          <w:i/>
        </w:rPr>
      </w:pPr>
      <w:r>
        <w:rPr>
          <w:i/>
          <w:vertAlign w:val="superscript"/>
        </w:rPr>
        <w:t xml:space="preserve">b </w:t>
      </w:r>
      <w:r>
        <w:rPr>
          <w:i/>
        </w:rPr>
        <w:t>Retreatment course 2 applied in same year as initial course (initial course: months 1-2; retreatment course 1 months 6-7; retreatment course 2: months 11-12)</w:t>
      </w:r>
    </w:p>
    <w:p w14:paraId="7FB70728" w14:textId="77777777" w:rsidR="007D662E" w:rsidRDefault="007D662E" w:rsidP="007D662E">
      <w:pPr>
        <w:pStyle w:val="Tablefootnote"/>
        <w:spacing w:after="0"/>
        <w:rPr>
          <w:i/>
        </w:rPr>
      </w:pPr>
      <w:r>
        <w:rPr>
          <w:i/>
          <w:vertAlign w:val="superscript"/>
        </w:rPr>
        <w:t xml:space="preserve">c </w:t>
      </w:r>
      <w:r>
        <w:rPr>
          <w:i/>
        </w:rPr>
        <w:t>Retreatment course 3 applied in next year after initial course (initial course: months 1-2; retreatment course 1 months 6-7; retreatment course 2: months 11-12; retreatment course 3; months 15-16)</w:t>
      </w:r>
    </w:p>
    <w:p w14:paraId="2B9A8756" w14:textId="77777777" w:rsidR="007D662E" w:rsidRPr="007C4017" w:rsidRDefault="007D662E" w:rsidP="006C7448">
      <w:pPr>
        <w:pStyle w:val="Tabletext"/>
        <w:spacing w:after="0"/>
        <w:rPr>
          <w:i/>
          <w:sz w:val="18"/>
        </w:rPr>
      </w:pPr>
      <w:r w:rsidRPr="007C4017">
        <w:rPr>
          <w:i/>
          <w:sz w:val="18"/>
          <w:vertAlign w:val="superscript"/>
        </w:rPr>
        <w:t xml:space="preserve">d </w:t>
      </w:r>
      <w:r w:rsidRPr="007C4017">
        <w:rPr>
          <w:i/>
          <w:sz w:val="18"/>
        </w:rPr>
        <w:t>Note, cost of retreatment course 3 ($1,608,216 in Year 5) is not included in Year 5 estimates as it is applied in Year 6</w:t>
      </w:r>
    </w:p>
    <w:p w14:paraId="6246C72E" w14:textId="75642494" w:rsidR="007D662E" w:rsidRPr="00800D5E" w:rsidRDefault="007D662E" w:rsidP="006C7448">
      <w:pPr>
        <w:pStyle w:val="Tablefootnote"/>
        <w:spacing w:after="240"/>
        <w:rPr>
          <w:i/>
          <w:color w:val="000000" w:themeColor="text1"/>
        </w:rPr>
      </w:pPr>
      <w:r w:rsidRPr="00893791">
        <w:rPr>
          <w:i/>
          <w:color w:val="000000" w:themeColor="text1"/>
        </w:rPr>
        <w:t>Note italicised includes De</w:t>
      </w:r>
      <w:r w:rsidR="006C19FD">
        <w:rPr>
          <w:i/>
          <w:color w:val="000000" w:themeColor="text1"/>
        </w:rPr>
        <w:t>partment calculations based on a</w:t>
      </w:r>
      <w:r w:rsidRPr="00893791">
        <w:rPr>
          <w:i/>
          <w:color w:val="000000" w:themeColor="text1"/>
        </w:rPr>
        <w:t>pplicant’s evidence pack</w:t>
      </w:r>
      <w:r>
        <w:rPr>
          <w:i/>
          <w:color w:val="000000" w:themeColor="text1"/>
        </w:rPr>
        <w:t xml:space="preserve"> for Application 1196.3</w:t>
      </w:r>
    </w:p>
    <w:p w14:paraId="424D7992" w14:textId="77777777" w:rsidR="00A428E9" w:rsidRPr="00F715D1" w:rsidRDefault="00A428E9" w:rsidP="00A428E9">
      <w:pPr>
        <w:pStyle w:val="Heading1"/>
      </w:pPr>
      <w:r w:rsidRPr="00F715D1">
        <w:t>Applicant’s comments on MSAC’s Public Summary Document</w:t>
      </w:r>
    </w:p>
    <w:p w14:paraId="313DA072" w14:textId="089B508B" w:rsidR="00A428E9" w:rsidRPr="0007769B" w:rsidRDefault="0007769B" w:rsidP="00A428E9">
      <w:pPr>
        <w:spacing w:after="240"/>
        <w:rPr>
          <w:szCs w:val="24"/>
        </w:rPr>
      </w:pPr>
      <w:r w:rsidRPr="0007769B">
        <w:rPr>
          <w:szCs w:val="24"/>
        </w:rPr>
        <w:t xml:space="preserve">The applicants are grateful for the time and effort that MSAC has put into assessing the case for rTMS therapy for depression and welcome the committees recognition that rTMS is an </w:t>
      </w:r>
      <w:r w:rsidRPr="0007769B">
        <w:rPr>
          <w:szCs w:val="24"/>
        </w:rPr>
        <w:lastRenderedPageBreak/>
        <w:t>important new treatment for patients with depression. Unfortunately, the restrictions that MSAC has chosen to place on the capacity of patients to access ongoing treatment with rTMS after an initial successful course of therapy will place major limitations on successful use of this treatment with a marked negative impact on patients. The recommendations of the committee are such that a patient with depression will be able to only access a single course of rTMS and one additional ‘half course’ (15 sessions) in their entire lifetime. As depression is a recurrent illness, implementation of these recommendations will mean that patients who have done extremely well with their initial therapy will effectively be denied access to funded effective treatment for the duration of their lives after this. Other forms of treatment for mental health conditions have not been restricted in such a severe way: patients are able to access as many courses of medication, Medicare supported psychotherapy or electroconvulsive therapy throughout their life as is required to deal with multiple episodes of relapse. Restricting a repeat treatment to 15 sessions will also result in suboptimal outcomes. The data reviewed by the committee suggested that 15 sessions was on average sufficient: this implies directly that at least half of the patients requiring further treatment required longer courses than 15 to adequately respond. The applicants remain committed to working with MSAC and government to maximise availability and efficacy of this important new treatment.  We recommend that repeat courses be allowed for patients who have had a demonstrated positive response to the initial course, and that this is not restricted to a maximum number over a person’s lifetime.  If some restriction is felt to be necessary, then a maximum number of 30 sessions per patient for each 12 month period following the successful initial course would be more clinically appropriate.  These 30 sessions could be flexibly given as either one full course of 30 sessions, or alternatively two half-courses of 15</w:t>
      </w:r>
      <w:r w:rsidR="00CC4578">
        <w:rPr>
          <w:szCs w:val="24"/>
        </w:rPr>
        <w:t> </w:t>
      </w:r>
      <w:r w:rsidRPr="0007769B">
        <w:rPr>
          <w:szCs w:val="24"/>
        </w:rPr>
        <w:t>sessions each, or possibly 3 brief courses of 10 sessions each, or any similar combination, according to the patient’s individual needs.</w:t>
      </w:r>
    </w:p>
    <w:p w14:paraId="2440F70E" w14:textId="77777777" w:rsidR="00A428E9" w:rsidRPr="00F715D1" w:rsidRDefault="00A428E9" w:rsidP="00A428E9">
      <w:pPr>
        <w:pStyle w:val="Heading1"/>
      </w:pPr>
      <w:r w:rsidRPr="00F715D1">
        <w:t>Further information on MSAC</w:t>
      </w:r>
    </w:p>
    <w:p w14:paraId="6F1BA0D8" w14:textId="3547BAD6" w:rsidR="00280050" w:rsidRPr="00A25FF3" w:rsidRDefault="00A428E9" w:rsidP="00A25FF3">
      <w:pPr>
        <w:spacing w:after="240"/>
        <w:rPr>
          <w:szCs w:val="24"/>
        </w:rPr>
      </w:pPr>
      <w:r w:rsidRPr="00F715D1">
        <w:rPr>
          <w:szCs w:val="24"/>
        </w:rPr>
        <w:t xml:space="preserve">MSAC Terms of Reference and other information are available on the MSAC Website: </w:t>
      </w:r>
      <w:r>
        <w:rPr>
          <w:szCs w:val="24"/>
        </w:rPr>
        <w:br/>
      </w:r>
      <w:hyperlink r:id="rId18" w:tooltip="Link to Medical Services Advisory Committee website" w:history="1">
        <w:r w:rsidRPr="00F715D1">
          <w:rPr>
            <w:rStyle w:val="Hyperlink"/>
            <w:szCs w:val="24"/>
          </w:rPr>
          <w:t>visit the MSAC website</w:t>
        </w:r>
      </w:hyperlink>
    </w:p>
    <w:sectPr w:rsidR="00280050" w:rsidRPr="00A25FF3" w:rsidSect="00223037">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EECAB" w16cid:durableId="21A4807A"/>
  <w16cid:commentId w16cid:paraId="6FA20BAE" w16cid:durableId="21A48055"/>
  <w16cid:commentId w16cid:paraId="5062E5D9" w16cid:durableId="21A48188"/>
  <w16cid:commentId w16cid:paraId="27F70733" w16cid:durableId="21A4819A"/>
  <w16cid:commentId w16cid:paraId="69C60756" w16cid:durableId="21A481AB"/>
  <w16cid:commentId w16cid:paraId="1910F9CB" w16cid:durableId="21A48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0E0F" w14:textId="77777777" w:rsidR="00FE4E10" w:rsidRDefault="00FE4E10">
      <w:r>
        <w:separator/>
      </w:r>
    </w:p>
  </w:endnote>
  <w:endnote w:type="continuationSeparator" w:id="0">
    <w:p w14:paraId="1582DB54" w14:textId="77777777" w:rsidR="00FE4E10" w:rsidRDefault="00FE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A5FA" w14:textId="77777777" w:rsidR="00FE4E10" w:rsidRDefault="00FE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351888"/>
      <w:docPartObj>
        <w:docPartGallery w:val="Page Numbers (Bottom of Page)"/>
        <w:docPartUnique/>
      </w:docPartObj>
    </w:sdtPr>
    <w:sdtEndPr>
      <w:rPr>
        <w:noProof/>
      </w:rPr>
    </w:sdtEndPr>
    <w:sdtContent>
      <w:p w14:paraId="450FA583" w14:textId="2740BB90" w:rsidR="00FE4E10" w:rsidRDefault="00FE4E10">
        <w:pPr>
          <w:pStyle w:val="Footer"/>
          <w:jc w:val="right"/>
        </w:pPr>
        <w:r>
          <w:fldChar w:fldCharType="begin"/>
        </w:r>
        <w:r>
          <w:instrText xml:space="preserve"> PAGE   \* MERGEFORMAT </w:instrText>
        </w:r>
        <w:r>
          <w:fldChar w:fldCharType="separate"/>
        </w:r>
        <w:r w:rsidR="00B524DB">
          <w:rPr>
            <w:noProof/>
          </w:rPr>
          <w:t>10</w:t>
        </w:r>
        <w:r>
          <w:rPr>
            <w:noProof/>
          </w:rPr>
          <w:fldChar w:fldCharType="end"/>
        </w:r>
      </w:p>
    </w:sdtContent>
  </w:sdt>
  <w:p w14:paraId="044D70C7" w14:textId="77777777" w:rsidR="00FE4E10" w:rsidRDefault="00FE4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B50E" w14:textId="77777777" w:rsidR="00FE4E10" w:rsidRDefault="00FE4E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7B1E2E6" w14:textId="0DE87365" w:rsidR="00FE4E10" w:rsidRDefault="00FE4E10">
        <w:pPr>
          <w:pStyle w:val="Footer"/>
          <w:jc w:val="right"/>
        </w:pPr>
        <w:r>
          <w:fldChar w:fldCharType="begin"/>
        </w:r>
        <w:r>
          <w:instrText xml:space="preserve"> PAGE   \* MERGEFORMAT </w:instrText>
        </w:r>
        <w:r>
          <w:fldChar w:fldCharType="separate"/>
        </w:r>
        <w:r w:rsidR="00B524DB">
          <w:rPr>
            <w:noProof/>
          </w:rPr>
          <w:t>20</w:t>
        </w:r>
        <w:r>
          <w:rPr>
            <w:noProof/>
          </w:rPr>
          <w:fldChar w:fldCharType="end"/>
        </w:r>
      </w:p>
    </w:sdtContent>
  </w:sdt>
  <w:p w14:paraId="2E5A7583" w14:textId="77777777" w:rsidR="00FE4E10" w:rsidRDefault="00FE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89FC" w14:textId="77777777" w:rsidR="00FE4E10" w:rsidRDefault="00FE4E10">
      <w:r>
        <w:separator/>
      </w:r>
    </w:p>
  </w:footnote>
  <w:footnote w:type="continuationSeparator" w:id="0">
    <w:p w14:paraId="7F9E8A0E" w14:textId="77777777" w:rsidR="00FE4E10" w:rsidRDefault="00FE4E10">
      <w:r>
        <w:continuationSeparator/>
      </w:r>
    </w:p>
  </w:footnote>
  <w:footnote w:id="1">
    <w:p w14:paraId="5F5587F2" w14:textId="77777777" w:rsidR="00FE4E10" w:rsidRDefault="00FE4E10" w:rsidP="007D662E">
      <w:pPr>
        <w:pStyle w:val="FootnoteText"/>
      </w:pPr>
      <w:r>
        <w:rPr>
          <w:rStyle w:val="FootnoteReference"/>
        </w:rPr>
        <w:footnoteRef/>
      </w:r>
      <w:r>
        <w:t xml:space="preserve"> </w:t>
      </w:r>
      <w:r w:rsidRPr="00117975">
        <w:rPr>
          <w:i/>
        </w:rPr>
        <w:t xml:space="preserve">Based on </w:t>
      </w:r>
      <w:r>
        <w:rPr>
          <w:rFonts w:ascii="Arial Narrow" w:hAnsi="Arial Narrow"/>
          <w:i/>
          <w:sz w:val="18"/>
        </w:rPr>
        <w:t>p</w:t>
      </w:r>
      <w:r w:rsidRPr="00117975">
        <w:rPr>
          <w:rFonts w:ascii="Arial Narrow" w:hAnsi="Arial Narrow"/>
          <w:i/>
          <w:sz w:val="18"/>
        </w:rPr>
        <w:t>respecified criteria for symptom worsening (a change of one point on the CGI-scale for 2 consecutive weeks)</w:t>
      </w:r>
      <w:r>
        <w:rPr>
          <w:rFonts w:ascii="Arial Narrow" w:hAnsi="Arial Narrow"/>
          <w:i/>
          <w:sz w:val="18"/>
        </w:rPr>
        <w:t xml:space="preserve"> in Janicak et al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69AA" w14:textId="77777777" w:rsidR="00FE4E10" w:rsidRDefault="00FE4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987E" w14:textId="77777777" w:rsidR="00FE4E10" w:rsidRDefault="00FE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99CB" w14:textId="77777777" w:rsidR="00FE4E10" w:rsidRDefault="00FE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15C"/>
    <w:multiLevelType w:val="hybridMultilevel"/>
    <w:tmpl w:val="D8A857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DF07387"/>
    <w:multiLevelType w:val="hybridMultilevel"/>
    <w:tmpl w:val="A5483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D4663"/>
    <w:multiLevelType w:val="hybridMultilevel"/>
    <w:tmpl w:val="5F3E31EC"/>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4BB6B36"/>
    <w:multiLevelType w:val="hybridMultilevel"/>
    <w:tmpl w:val="8200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90730"/>
    <w:multiLevelType w:val="hybridMultilevel"/>
    <w:tmpl w:val="EC3405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D40A8"/>
    <w:multiLevelType w:val="hybridMultilevel"/>
    <w:tmpl w:val="7512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45427D"/>
    <w:multiLevelType w:val="hybridMultilevel"/>
    <w:tmpl w:val="55228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355FE9"/>
    <w:multiLevelType w:val="hybridMultilevel"/>
    <w:tmpl w:val="5470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D24F30"/>
    <w:multiLevelType w:val="hybridMultilevel"/>
    <w:tmpl w:val="55228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2578A6"/>
    <w:multiLevelType w:val="hybridMultilevel"/>
    <w:tmpl w:val="E236ED72"/>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4442CB3"/>
    <w:multiLevelType w:val="hybridMultilevel"/>
    <w:tmpl w:val="0300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C3775E"/>
    <w:multiLevelType w:val="hybridMultilevel"/>
    <w:tmpl w:val="50EAA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C5750F"/>
    <w:multiLevelType w:val="hybridMultilevel"/>
    <w:tmpl w:val="80E6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7"/>
  </w:num>
  <w:num w:numId="5">
    <w:abstractNumId w:val="13"/>
  </w:num>
  <w:num w:numId="6">
    <w:abstractNumId w:val="4"/>
  </w:num>
  <w:num w:numId="7">
    <w:abstractNumId w:val="3"/>
  </w:num>
  <w:num w:numId="8">
    <w:abstractNumId w:val="10"/>
  </w:num>
  <w:num w:numId="9">
    <w:abstractNumId w:val="14"/>
  </w:num>
  <w:num w:numId="10">
    <w:abstractNumId w:val="15"/>
  </w:num>
  <w:num w:numId="11">
    <w:abstractNumId w:val="1"/>
  </w:num>
  <w:num w:numId="12">
    <w:abstractNumId w:val="5"/>
  </w:num>
  <w:num w:numId="13">
    <w:abstractNumId w:val="8"/>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E9"/>
    <w:rsid w:val="00020EA4"/>
    <w:rsid w:val="000552E1"/>
    <w:rsid w:val="0007769B"/>
    <w:rsid w:val="000A4D39"/>
    <w:rsid w:val="000C05EE"/>
    <w:rsid w:val="001004A3"/>
    <w:rsid w:val="0012098B"/>
    <w:rsid w:val="00144937"/>
    <w:rsid w:val="0021748F"/>
    <w:rsid w:val="00223037"/>
    <w:rsid w:val="00271952"/>
    <w:rsid w:val="00280050"/>
    <w:rsid w:val="00297E0E"/>
    <w:rsid w:val="002D7951"/>
    <w:rsid w:val="00305A19"/>
    <w:rsid w:val="00397F70"/>
    <w:rsid w:val="004B421C"/>
    <w:rsid w:val="005B5918"/>
    <w:rsid w:val="005F14BC"/>
    <w:rsid w:val="0068459B"/>
    <w:rsid w:val="006B5B65"/>
    <w:rsid w:val="006C19FD"/>
    <w:rsid w:val="006C7448"/>
    <w:rsid w:val="006D014A"/>
    <w:rsid w:val="00732A99"/>
    <w:rsid w:val="007403A2"/>
    <w:rsid w:val="007B61D5"/>
    <w:rsid w:val="007D662E"/>
    <w:rsid w:val="00815452"/>
    <w:rsid w:val="008A54A7"/>
    <w:rsid w:val="00947FC2"/>
    <w:rsid w:val="009646E9"/>
    <w:rsid w:val="009C2B70"/>
    <w:rsid w:val="00A25FF3"/>
    <w:rsid w:val="00A428E9"/>
    <w:rsid w:val="00AD7A17"/>
    <w:rsid w:val="00B01FFD"/>
    <w:rsid w:val="00B524DB"/>
    <w:rsid w:val="00B55554"/>
    <w:rsid w:val="00B904A6"/>
    <w:rsid w:val="00BB361F"/>
    <w:rsid w:val="00BC226F"/>
    <w:rsid w:val="00C46549"/>
    <w:rsid w:val="00C7574C"/>
    <w:rsid w:val="00C76560"/>
    <w:rsid w:val="00CC4578"/>
    <w:rsid w:val="00D238C0"/>
    <w:rsid w:val="00D63FE5"/>
    <w:rsid w:val="00DF5764"/>
    <w:rsid w:val="00E51CCB"/>
    <w:rsid w:val="00E65D43"/>
    <w:rsid w:val="00E72532"/>
    <w:rsid w:val="00F14D6C"/>
    <w:rsid w:val="00F960BF"/>
    <w:rsid w:val="00FE4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919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A428E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0A4D39"/>
    <w:pPr>
      <w:keepNext/>
      <w:keepLines/>
      <w:spacing w:before="20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E65D43"/>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8E9"/>
    <w:rPr>
      <w:rFonts w:ascii="Arial" w:eastAsia="Times New Roman" w:hAnsi="Arial"/>
      <w:b/>
      <w:bCs/>
      <w:szCs w:val="28"/>
      <w:lang w:eastAsia="en-AU"/>
    </w:rPr>
  </w:style>
  <w:style w:type="character" w:styleId="Hyperlink">
    <w:name w:val="Hyperlink"/>
    <w:basedOn w:val="DefaultParagraphFont"/>
    <w:uiPriority w:val="99"/>
    <w:rsid w:val="00A428E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A428E9"/>
    <w:pPr>
      <w:ind w:left="720"/>
      <w:contextualSpacing/>
    </w:pPr>
  </w:style>
  <w:style w:type="paragraph" w:styleId="Footer">
    <w:name w:val="footer"/>
    <w:basedOn w:val="Normal"/>
    <w:link w:val="FooterChar"/>
    <w:uiPriority w:val="99"/>
    <w:rsid w:val="00A428E9"/>
    <w:pPr>
      <w:tabs>
        <w:tab w:val="center" w:pos="4513"/>
        <w:tab w:val="right" w:pos="9026"/>
      </w:tabs>
    </w:pPr>
  </w:style>
  <w:style w:type="character" w:customStyle="1" w:styleId="FooterChar">
    <w:name w:val="Footer Char"/>
    <w:basedOn w:val="DefaultParagraphFont"/>
    <w:link w:val="Footer"/>
    <w:uiPriority w:val="99"/>
    <w:rsid w:val="00A428E9"/>
    <w:rPr>
      <w:rFonts w:eastAsia="Times New Roman"/>
      <w:szCs w:val="20"/>
      <w:lang w:eastAsia="en-AU"/>
    </w:rPr>
  </w:style>
  <w:style w:type="paragraph" w:customStyle="1" w:styleId="Default">
    <w:name w:val="Default"/>
    <w:rsid w:val="00A428E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A428E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A428E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A428E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A428E9"/>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0A4D39"/>
    <w:rPr>
      <w:rFonts w:eastAsiaTheme="majorEastAsia" w:cstheme="majorBidi"/>
      <w:i/>
      <w:szCs w:val="26"/>
      <w:lang w:eastAsia="en-AU"/>
    </w:rPr>
  </w:style>
  <w:style w:type="table" w:styleId="TableGrid">
    <w:name w:val="Table Grid"/>
    <w:aliases w:val="Summary box,Table Gridbeth,RTI AMCP Table,new style,ASD Table"/>
    <w:basedOn w:val="TableNormal"/>
    <w:uiPriority w:val="39"/>
    <w:rsid w:val="00B5555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0A4D39"/>
    <w:rPr>
      <w:rFonts w:eastAsia="Times New Roman"/>
      <w:szCs w:val="20"/>
      <w:lang w:eastAsia="en-AU"/>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w:basedOn w:val="Normal"/>
    <w:next w:val="Normal"/>
    <w:link w:val="CaptionChar"/>
    <w:unhideWhenUsed/>
    <w:qFormat/>
    <w:rsid w:val="000A4D3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Caption Char1 Char Char"/>
    <w:basedOn w:val="DefaultParagraphFont"/>
    <w:link w:val="Caption"/>
    <w:rsid w:val="000A4D39"/>
    <w:rPr>
      <w:rFonts w:ascii="Arial Narrow" w:eastAsia="Times New Roman" w:hAnsi="Arial Narrow" w:cs="Arial"/>
      <w:b/>
      <w:bCs/>
      <w:iCs/>
      <w:sz w:val="20"/>
      <w:szCs w:val="20"/>
    </w:rPr>
  </w:style>
  <w:style w:type="paragraph" w:customStyle="1" w:styleId="Tablefootnote">
    <w:name w:val="Table footnote"/>
    <w:basedOn w:val="Normal"/>
    <w:link w:val="TablefootnoteChar"/>
    <w:qFormat/>
    <w:rsid w:val="000A4D39"/>
    <w:pPr>
      <w:keepLines/>
      <w:spacing w:after="360"/>
      <w:contextualSpacing/>
      <w:jc w:val="both"/>
    </w:pPr>
    <w:rPr>
      <w:rFonts w:ascii="Arial Narrow" w:hAnsi="Arial Narrow"/>
      <w:sz w:val="18"/>
      <w:szCs w:val="22"/>
      <w:lang w:eastAsia="en-US"/>
    </w:rPr>
  </w:style>
  <w:style w:type="character" w:customStyle="1" w:styleId="TablefootnoteChar">
    <w:name w:val="Table footnote Char"/>
    <w:basedOn w:val="DefaultParagraphFont"/>
    <w:link w:val="Tablefootnote"/>
    <w:rsid w:val="000A4D39"/>
    <w:rPr>
      <w:rFonts w:ascii="Arial Narrow" w:eastAsia="Times New Roman" w:hAnsi="Arial Narrow"/>
      <w:sz w:val="18"/>
      <w:szCs w:val="22"/>
    </w:rPr>
  </w:style>
  <w:style w:type="paragraph" w:customStyle="1" w:styleId="Tablenotes1">
    <w:name w:val="Tablenotes 1"/>
    <w:basedOn w:val="Normal"/>
    <w:link w:val="Tablenotes1Char"/>
    <w:qFormat/>
    <w:rsid w:val="00E65D43"/>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E65D43"/>
    <w:rPr>
      <w:rFonts w:ascii="Arial Narrow" w:eastAsia="Times New Roman" w:hAnsi="Arial Narrow" w:cs="Arial"/>
      <w:snapToGrid w:val="0"/>
      <w:sz w:val="18"/>
      <w:szCs w:val="20"/>
    </w:rPr>
  </w:style>
  <w:style w:type="paragraph" w:customStyle="1" w:styleId="Tabletext">
    <w:name w:val="Table text"/>
    <w:basedOn w:val="Normal"/>
    <w:link w:val="TabletextChar"/>
    <w:qFormat/>
    <w:rsid w:val="00E65D43"/>
    <w:pPr>
      <w:keepLines/>
      <w:spacing w:before="40" w:after="40"/>
    </w:pPr>
    <w:rPr>
      <w:rFonts w:ascii="Arial Narrow" w:hAnsi="Arial Narrow" w:cs="Tahoma"/>
      <w:sz w:val="20"/>
    </w:rPr>
  </w:style>
  <w:style w:type="character" w:customStyle="1" w:styleId="TabletextChar">
    <w:name w:val="Table text Char"/>
    <w:link w:val="Tabletext"/>
    <w:rsid w:val="00E65D43"/>
    <w:rPr>
      <w:rFonts w:ascii="Arial Narrow" w:eastAsia="Times New Roman" w:hAnsi="Arial Narrow" w:cs="Tahoma"/>
      <w:sz w:val="20"/>
      <w:szCs w:val="20"/>
      <w:lang w:eastAsia="en-AU"/>
    </w:rPr>
  </w:style>
  <w:style w:type="character" w:customStyle="1" w:styleId="Heading3Char">
    <w:name w:val="Heading 3 Char"/>
    <w:basedOn w:val="DefaultParagraphFont"/>
    <w:link w:val="Heading3"/>
    <w:uiPriority w:val="9"/>
    <w:rsid w:val="00E65D43"/>
    <w:rPr>
      <w:rFonts w:eastAsiaTheme="majorEastAsia" w:cstheme="majorBidi"/>
      <w:u w:val="single"/>
      <w:lang w:eastAsia="en-AU"/>
    </w:rPr>
  </w:style>
  <w:style w:type="paragraph" w:styleId="FootnoteText">
    <w:name w:val="footnote text"/>
    <w:basedOn w:val="Normal"/>
    <w:link w:val="FootnoteTextChar"/>
    <w:uiPriority w:val="99"/>
    <w:semiHidden/>
    <w:rsid w:val="007D662E"/>
    <w:rPr>
      <w:sz w:val="20"/>
    </w:rPr>
  </w:style>
  <w:style w:type="character" w:customStyle="1" w:styleId="FootnoteTextChar">
    <w:name w:val="Footnote Text Char"/>
    <w:basedOn w:val="DefaultParagraphFont"/>
    <w:link w:val="FootnoteText"/>
    <w:uiPriority w:val="99"/>
    <w:semiHidden/>
    <w:rsid w:val="007D662E"/>
    <w:rPr>
      <w:rFonts w:eastAsia="Times New Roman"/>
      <w:sz w:val="20"/>
      <w:szCs w:val="20"/>
      <w:lang w:eastAsia="en-AU"/>
    </w:rPr>
  </w:style>
  <w:style w:type="character" w:styleId="FootnoteReference">
    <w:name w:val="footnote reference"/>
    <w:basedOn w:val="DefaultParagraphFont"/>
    <w:uiPriority w:val="99"/>
    <w:semiHidden/>
    <w:rsid w:val="007D662E"/>
    <w:rPr>
      <w:rFonts w:cs="Times New Roman"/>
      <w:vertAlign w:val="superscript"/>
    </w:rPr>
  </w:style>
  <w:style w:type="paragraph" w:customStyle="1" w:styleId="TableText0">
    <w:name w:val="Table Text"/>
    <w:basedOn w:val="Normal"/>
    <w:link w:val="TableTextChar0"/>
    <w:qFormat/>
    <w:rsid w:val="007D662E"/>
    <w:pPr>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7D662E"/>
    <w:rPr>
      <w:rFonts w:ascii="Arial Narrow" w:eastAsia="Times New Roman" w:hAnsi="Arial Narrow" w:cs="Tahoma"/>
      <w:sz w:val="20"/>
      <w:szCs w:val="22"/>
    </w:rPr>
  </w:style>
  <w:style w:type="paragraph" w:customStyle="1" w:styleId="Tablenotes">
    <w:name w:val="Tablenotes"/>
    <w:basedOn w:val="Normal"/>
    <w:link w:val="TablenotesChar"/>
    <w:autoRedefine/>
    <w:qFormat/>
    <w:rsid w:val="007D662E"/>
    <w:pPr>
      <w:widowControl w:val="0"/>
      <w:spacing w:before="60" w:after="3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D662E"/>
    <w:rPr>
      <w:rFonts w:ascii="Arial Narrow" w:eastAsia="Times New Roman" w:hAnsi="Arial Narrow" w:cs="Arial"/>
      <w:snapToGrid w:val="0"/>
      <w:sz w:val="18"/>
      <w:szCs w:val="20"/>
    </w:rPr>
  </w:style>
  <w:style w:type="table" w:customStyle="1" w:styleId="OPTUMTableNormal">
    <w:name w:val="OPTUM Table Normal"/>
    <w:basedOn w:val="TableNormal"/>
    <w:rsid w:val="007D662E"/>
    <w:pPr>
      <w:spacing w:before="40" w:after="20" w:line="240" w:lineRule="auto"/>
    </w:pPr>
    <w:rPr>
      <w:rFonts w:ascii="Calibri" w:eastAsia="Times New Roman" w:hAnsi="Calibr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Commentarytablenotes">
    <w:name w:val="Commentary table notes"/>
    <w:basedOn w:val="Normal"/>
    <w:link w:val="CommentarytablenotesChar"/>
    <w:qFormat/>
    <w:rsid w:val="007D662E"/>
    <w:pPr>
      <w:keepLines/>
      <w:spacing w:after="360"/>
      <w:contextualSpacing/>
      <w:jc w:val="both"/>
    </w:pPr>
    <w:rPr>
      <w:rFonts w:ascii="Arial Narrow" w:hAnsi="Arial Narrow" w:cs="Arial"/>
      <w:i/>
      <w:snapToGrid w:val="0"/>
      <w:color w:val="FF0000"/>
      <w:sz w:val="18"/>
      <w:lang w:eastAsia="en-US"/>
    </w:rPr>
  </w:style>
  <w:style w:type="character" w:customStyle="1" w:styleId="CommentarytablenotesChar">
    <w:name w:val="Commentary table notes Char"/>
    <w:basedOn w:val="DefaultParagraphFont"/>
    <w:link w:val="Commentarytablenotes"/>
    <w:rsid w:val="007D662E"/>
    <w:rPr>
      <w:rFonts w:ascii="Arial Narrow" w:eastAsia="Times New Roman" w:hAnsi="Arial Narrow" w:cs="Arial"/>
      <w:i/>
      <w:snapToGrid w:val="0"/>
      <w:color w:val="FF0000"/>
      <w:sz w:val="18"/>
      <w:szCs w:val="20"/>
    </w:rPr>
  </w:style>
  <w:style w:type="paragraph" w:customStyle="1" w:styleId="CommentaryTabletext">
    <w:name w:val="Commentary Table text"/>
    <w:basedOn w:val="Commentarytablenotes"/>
    <w:link w:val="CommentaryTabletextChar"/>
    <w:qFormat/>
    <w:rsid w:val="007D662E"/>
    <w:pPr>
      <w:keepLines w:val="0"/>
      <w:spacing w:before="20" w:after="0"/>
    </w:pPr>
    <w:rPr>
      <w:sz w:val="20"/>
    </w:rPr>
  </w:style>
  <w:style w:type="character" w:customStyle="1" w:styleId="CommentaryTabletextChar">
    <w:name w:val="Commentary Table text Char"/>
    <w:basedOn w:val="CommentarytablenotesChar"/>
    <w:link w:val="CommentaryTabletext"/>
    <w:rsid w:val="007D662E"/>
    <w:rPr>
      <w:rFonts w:ascii="Arial Narrow" w:eastAsia="Times New Roman" w:hAnsi="Arial Narrow" w:cs="Arial"/>
      <w:i/>
      <w:snapToGrid w:val="0"/>
      <w:color w:val="FF0000"/>
      <w:sz w:val="20"/>
      <w:szCs w:val="20"/>
    </w:rPr>
  </w:style>
  <w:style w:type="character" w:styleId="CommentReference">
    <w:name w:val="annotation reference"/>
    <w:basedOn w:val="DefaultParagraphFont"/>
    <w:uiPriority w:val="99"/>
    <w:semiHidden/>
    <w:unhideWhenUsed/>
    <w:rsid w:val="007D662E"/>
    <w:rPr>
      <w:sz w:val="16"/>
      <w:szCs w:val="16"/>
    </w:rPr>
  </w:style>
  <w:style w:type="paragraph" w:styleId="CommentText">
    <w:name w:val="annotation text"/>
    <w:basedOn w:val="Normal"/>
    <w:link w:val="CommentTextChar"/>
    <w:uiPriority w:val="99"/>
    <w:semiHidden/>
    <w:unhideWhenUsed/>
    <w:rsid w:val="007D662E"/>
    <w:rPr>
      <w:sz w:val="20"/>
    </w:rPr>
  </w:style>
  <w:style w:type="character" w:customStyle="1" w:styleId="CommentTextChar">
    <w:name w:val="Comment Text Char"/>
    <w:basedOn w:val="DefaultParagraphFont"/>
    <w:link w:val="CommentText"/>
    <w:uiPriority w:val="99"/>
    <w:semiHidden/>
    <w:rsid w:val="007D662E"/>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D662E"/>
    <w:rPr>
      <w:b/>
      <w:bCs/>
    </w:rPr>
  </w:style>
  <w:style w:type="character" w:customStyle="1" w:styleId="CommentSubjectChar">
    <w:name w:val="Comment Subject Char"/>
    <w:basedOn w:val="CommentTextChar"/>
    <w:link w:val="CommentSubject"/>
    <w:uiPriority w:val="99"/>
    <w:semiHidden/>
    <w:rsid w:val="007D662E"/>
    <w:rPr>
      <w:rFonts w:eastAsia="Times New Roman"/>
      <w:b/>
      <w:bCs/>
      <w:sz w:val="20"/>
      <w:szCs w:val="20"/>
      <w:lang w:eastAsia="en-AU"/>
    </w:rPr>
  </w:style>
  <w:style w:type="paragraph" w:styleId="BalloonText">
    <w:name w:val="Balloon Text"/>
    <w:basedOn w:val="Normal"/>
    <w:link w:val="BalloonTextChar"/>
    <w:uiPriority w:val="99"/>
    <w:semiHidden/>
    <w:unhideWhenUsed/>
    <w:rsid w:val="007D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62E"/>
    <w:rPr>
      <w:rFonts w:ascii="Segoe UI" w:eastAsia="Times New Roman" w:hAnsi="Segoe UI" w:cs="Segoe UI"/>
      <w:sz w:val="18"/>
      <w:szCs w:val="18"/>
      <w:lang w:eastAsia="en-AU"/>
    </w:rPr>
  </w:style>
  <w:style w:type="paragraph" w:customStyle="1" w:styleId="BoxText">
    <w:name w:val="BoxText"/>
    <w:basedOn w:val="Normal"/>
    <w:qFormat/>
    <w:rsid w:val="00815452"/>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815452"/>
    <w:pPr>
      <w:keepNext/>
      <w:spacing w:before="180"/>
      <w:ind w:left="1080" w:hanging="1080"/>
    </w:pPr>
    <w:rPr>
      <w:b/>
      <w:bCs/>
    </w:rPr>
  </w:style>
  <w:style w:type="character" w:styleId="FollowedHyperlink">
    <w:name w:val="FollowedHyperlink"/>
    <w:basedOn w:val="DefaultParagraphFont"/>
    <w:uiPriority w:val="99"/>
    <w:semiHidden/>
    <w:unhideWhenUsed/>
    <w:rsid w:val="00397F70"/>
    <w:rPr>
      <w:color w:val="954F72" w:themeColor="followedHyperlink"/>
      <w:u w:val="single"/>
    </w:rPr>
  </w:style>
  <w:style w:type="paragraph" w:styleId="Header">
    <w:name w:val="header"/>
    <w:basedOn w:val="Normal"/>
    <w:link w:val="HeaderChar"/>
    <w:uiPriority w:val="99"/>
    <w:unhideWhenUsed/>
    <w:rsid w:val="00AD7A17"/>
    <w:pPr>
      <w:tabs>
        <w:tab w:val="center" w:pos="4513"/>
        <w:tab w:val="right" w:pos="9026"/>
      </w:tabs>
    </w:pPr>
  </w:style>
  <w:style w:type="character" w:customStyle="1" w:styleId="HeaderChar">
    <w:name w:val="Header Char"/>
    <w:basedOn w:val="DefaultParagraphFont"/>
    <w:link w:val="Header"/>
    <w:uiPriority w:val="99"/>
    <w:rsid w:val="00AD7A17"/>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msac.gov.a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2A06-7E75-43B5-A9AF-A53E0521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7174</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2020-03-02T03:04:00Z</dcterms:created>
  <dcterms:modified xsi:type="dcterms:W3CDTF">2020-03-02T03:45:00Z</dcterms:modified>
</cp:coreProperties>
</file>