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635005">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7FCB3680" wp14:editId="31F6C2AA">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F715D1" w:rsidRDefault="00F715D1" w:rsidP="00F715D1">
      <w:pPr>
        <w:pStyle w:val="Title"/>
        <w:tabs>
          <w:tab w:val="left" w:pos="1926"/>
          <w:tab w:val="center" w:pos="4513"/>
        </w:tabs>
        <w:jc w:val="left"/>
      </w:pPr>
      <w:r>
        <w:tab/>
      </w:r>
      <w:r>
        <w:tab/>
      </w:r>
      <w:r w:rsidR="00BF479B" w:rsidRPr="00F715D1">
        <w:t>Public Summary Document</w:t>
      </w:r>
    </w:p>
    <w:p w:rsidR="00BC1364" w:rsidRPr="00F715D1" w:rsidRDefault="00BC1364" w:rsidP="00F715D1">
      <w:pPr>
        <w:pStyle w:val="Subtitle"/>
      </w:pPr>
      <w:r w:rsidRPr="00F715D1">
        <w:t xml:space="preserve">Application No. </w:t>
      </w:r>
      <w:r w:rsidR="004C6AFA">
        <w:t>1216.1</w:t>
      </w:r>
      <w:r w:rsidRPr="00F715D1">
        <w:t xml:space="preserve"> – </w:t>
      </w:r>
      <w:r w:rsidR="004C6AFA" w:rsidRPr="006A2F51">
        <w:t xml:space="preserve">Cystic Fibrosis </w:t>
      </w:r>
      <w:proofErr w:type="spellStart"/>
      <w:r w:rsidR="004C6AFA" w:rsidRPr="006A2F51">
        <w:t>Transmembrane</w:t>
      </w:r>
      <w:proofErr w:type="spellEnd"/>
      <w:r w:rsidR="004C6AFA" w:rsidRPr="006A2F51">
        <w:t xml:space="preserve"> Regulator (CFTR) testing</w:t>
      </w:r>
    </w:p>
    <w:p w:rsidR="00BC1364" w:rsidRPr="00F715D1" w:rsidRDefault="00B35595" w:rsidP="004C6AFA">
      <w:pPr>
        <w:tabs>
          <w:tab w:val="left" w:pos="3686"/>
        </w:tabs>
        <w:spacing w:after="240"/>
        <w:ind w:left="1440" w:hanging="14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4C6AFA">
        <w:rPr>
          <w:rFonts w:ascii="Arial" w:hAnsi="Arial" w:cs="Arial"/>
          <w:b/>
          <w:szCs w:val="24"/>
        </w:rPr>
        <w:tab/>
        <w:t>The Royal College of P</w:t>
      </w:r>
      <w:r w:rsidR="00914611">
        <w:rPr>
          <w:rFonts w:ascii="Arial" w:hAnsi="Arial" w:cs="Arial"/>
          <w:b/>
          <w:szCs w:val="24"/>
        </w:rPr>
        <w:t xml:space="preserve">athologists of Australia </w:t>
      </w:r>
    </w:p>
    <w:p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4C6AFA">
        <w:rPr>
          <w:rFonts w:ascii="Arial" w:hAnsi="Arial" w:cs="Arial"/>
          <w:b/>
          <w:szCs w:val="24"/>
        </w:rPr>
        <w:t>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4C6AFA">
        <w:rPr>
          <w:rFonts w:ascii="Arial" w:hAnsi="Arial" w:cs="Arial"/>
          <w:b/>
          <w:szCs w:val="24"/>
        </w:rPr>
        <w:t>6-7 April 2017</w:t>
      </w:r>
    </w:p>
    <w:p w:rsidR="0041184F" w:rsidRPr="00914611" w:rsidRDefault="006A0D97" w:rsidP="00914611">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SAC website" w:history="1">
        <w:r w:rsidR="00F715D1" w:rsidRPr="00F715D1">
          <w:rPr>
            <w:rStyle w:val="Hyperlink"/>
            <w:szCs w:val="24"/>
          </w:rPr>
          <w:t>visit the MSAC website</w:t>
        </w:r>
      </w:hyperlink>
    </w:p>
    <w:p w:rsidR="003D7F29" w:rsidRPr="00F715D1" w:rsidRDefault="003D7F29" w:rsidP="00F715D1">
      <w:pPr>
        <w:pStyle w:val="Heading1"/>
      </w:pPr>
      <w:r w:rsidRPr="00F715D1">
        <w:t>Purpose of application</w:t>
      </w:r>
      <w:r w:rsidR="00822C7E" w:rsidRPr="00F715D1">
        <w:t xml:space="preserve"> </w:t>
      </w:r>
    </w:p>
    <w:p w:rsidR="00436336" w:rsidRDefault="00914611" w:rsidP="00273947">
      <w:pPr>
        <w:tabs>
          <w:tab w:val="num" w:pos="426"/>
        </w:tabs>
        <w:spacing w:after="240"/>
      </w:pPr>
      <w:r>
        <w:rPr>
          <w:rFonts w:eastAsiaTheme="minorHAnsi"/>
          <w:szCs w:val="24"/>
          <w:lang w:eastAsia="en-US"/>
        </w:rPr>
        <w:t xml:space="preserve">A resubmission </w:t>
      </w:r>
      <w:r w:rsidRPr="00EF1496">
        <w:rPr>
          <w:rFonts w:eastAsiaTheme="minorHAnsi"/>
          <w:szCs w:val="24"/>
          <w:lang w:eastAsia="en-US"/>
        </w:rPr>
        <w:t xml:space="preserve">requesting </w:t>
      </w:r>
      <w:r w:rsidR="004E755F" w:rsidRPr="009428BA">
        <w:t xml:space="preserve">Medicare Benefits Schedule (MBS) listing of the testing for </w:t>
      </w:r>
      <w:r w:rsidR="004E755F">
        <w:t xml:space="preserve">hereditary mutations in the cystic fibrosis </w:t>
      </w:r>
      <w:proofErr w:type="spellStart"/>
      <w:r w:rsidR="004E755F">
        <w:t>transmembrane</w:t>
      </w:r>
      <w:proofErr w:type="spellEnd"/>
      <w:r w:rsidR="004E755F">
        <w:t xml:space="preserve"> conductance regulator (CFTR) gene was </w:t>
      </w:r>
      <w:r>
        <w:t>received from</w:t>
      </w:r>
      <w:r w:rsidR="004E755F">
        <w:t xml:space="preserve"> the Royal College of Pathologists of Australasia (RCPA)</w:t>
      </w:r>
      <w:r>
        <w:t xml:space="preserve"> by the Department of Health</w:t>
      </w:r>
      <w:r w:rsidR="00977C92">
        <w:t xml:space="preserve"> (the Department).</w:t>
      </w:r>
      <w:r w:rsidR="004E755F">
        <w:t xml:space="preserve"> </w:t>
      </w:r>
    </w:p>
    <w:p w:rsidR="00436336" w:rsidRDefault="00436336" w:rsidP="00436336">
      <w:pPr>
        <w:tabs>
          <w:tab w:val="num" w:pos="426"/>
        </w:tabs>
      </w:pPr>
      <w:r>
        <w:t>The resubmission requested the creation of six new items on the MBS for identifying the presence of the CFTR gene in three key patient groups:</w:t>
      </w:r>
    </w:p>
    <w:p w:rsidR="00436336" w:rsidRDefault="00436336" w:rsidP="00436336">
      <w:pPr>
        <w:pStyle w:val="ListParagraph"/>
        <w:numPr>
          <w:ilvl w:val="0"/>
          <w:numId w:val="28"/>
        </w:numPr>
        <w:tabs>
          <w:tab w:val="num" w:pos="426"/>
        </w:tabs>
      </w:pPr>
      <w:r>
        <w:t>prenatal cystic fibrosis;</w:t>
      </w:r>
    </w:p>
    <w:p w:rsidR="00436336" w:rsidRDefault="00172B2B" w:rsidP="00436336">
      <w:pPr>
        <w:pStyle w:val="ListParagraph"/>
        <w:numPr>
          <w:ilvl w:val="0"/>
          <w:numId w:val="28"/>
        </w:numPr>
        <w:tabs>
          <w:tab w:val="num" w:pos="426"/>
        </w:tabs>
      </w:pPr>
      <w:r>
        <w:t xml:space="preserve">people suspected to have </w:t>
      </w:r>
      <w:r w:rsidR="007F7796">
        <w:t>cystic f</w:t>
      </w:r>
      <w:r>
        <w:t xml:space="preserve">ibrosis (CF) </w:t>
      </w:r>
      <w:r w:rsidR="00436336">
        <w:t>or CFTR-related disorders; and</w:t>
      </w:r>
    </w:p>
    <w:p w:rsidR="00436336" w:rsidRPr="00436336" w:rsidRDefault="00436336" w:rsidP="00546E1F">
      <w:pPr>
        <w:pStyle w:val="ListParagraph"/>
        <w:numPr>
          <w:ilvl w:val="0"/>
          <w:numId w:val="28"/>
        </w:numPr>
        <w:tabs>
          <w:tab w:val="num" w:pos="426"/>
        </w:tabs>
      </w:pPr>
      <w:proofErr w:type="gramStart"/>
      <w:r>
        <w:t>partners</w:t>
      </w:r>
      <w:proofErr w:type="gramEnd"/>
      <w:r>
        <w:t xml:space="preserve"> and family members of people with at least one known CFTR mutation, tested for the purpose of reproductive planning.</w:t>
      </w:r>
    </w:p>
    <w:p w:rsidR="00E977EE" w:rsidRPr="00F715D1" w:rsidRDefault="00E977EE" w:rsidP="00F715D1">
      <w:pPr>
        <w:pStyle w:val="Heading1"/>
      </w:pPr>
      <w:r w:rsidRPr="00F715D1">
        <w:t>MSAC’s advice to the Minister</w:t>
      </w:r>
    </w:p>
    <w:p w:rsidR="00CF7307" w:rsidRPr="00914611" w:rsidRDefault="00914611" w:rsidP="00914611">
      <w:pPr>
        <w:pStyle w:val="BodyText"/>
        <w:spacing w:before="0" w:line="240" w:lineRule="auto"/>
        <w:rPr>
          <w:rFonts w:ascii="Times New Roman" w:hAnsi="Times New Roman"/>
          <w:sz w:val="24"/>
          <w:lang w:eastAsia="en-US"/>
        </w:rPr>
      </w:pPr>
      <w:r w:rsidRPr="00914611">
        <w:rPr>
          <w:rFonts w:ascii="Times New Roman" w:hAnsi="Times New Roman"/>
          <w:sz w:val="24"/>
          <w:lang w:eastAsia="en-US"/>
        </w:rPr>
        <w:t>After considering the evidence presented in relation to safety, clinical effectiveness and cost-effectiveness, MSAC supported public funding of diagnostic testing for hereditary mutations in the CFTR gene. MSAC accepted that, pending some refinements to the proposal, the proposed service is safe, leads to improvements in overall health outcomes, and is acceptably cost-effective.</w:t>
      </w:r>
    </w:p>
    <w:p w:rsidR="00550354" w:rsidRPr="00F715D1" w:rsidRDefault="00550354" w:rsidP="00F715D1">
      <w:pPr>
        <w:pStyle w:val="Heading1"/>
      </w:pPr>
      <w:r w:rsidRPr="00F715D1">
        <w:t xml:space="preserve">Summary of consideration and rationale for MSAC’s advice </w:t>
      </w:r>
    </w:p>
    <w:p w:rsidR="00914611" w:rsidRPr="00914611" w:rsidRDefault="00914611" w:rsidP="00914611">
      <w:pPr>
        <w:pStyle w:val="BodyText"/>
        <w:spacing w:line="240" w:lineRule="auto"/>
        <w:rPr>
          <w:rFonts w:ascii="Times New Roman" w:hAnsi="Times New Roman"/>
          <w:sz w:val="24"/>
        </w:rPr>
      </w:pPr>
      <w:r w:rsidRPr="00914611">
        <w:rPr>
          <w:rFonts w:ascii="Times New Roman" w:hAnsi="Times New Roman"/>
          <w:sz w:val="24"/>
        </w:rPr>
        <w:t xml:space="preserve">An application requesting MBS listing of </w:t>
      </w:r>
      <w:r w:rsidRPr="00914611">
        <w:rPr>
          <w:rFonts w:ascii="Times New Roman" w:hAnsi="Times New Roman"/>
          <w:sz w:val="24"/>
          <w:lang w:eastAsia="en-US"/>
        </w:rPr>
        <w:t>diagnostic testing for hereditary mutations in the CFTR gene</w:t>
      </w:r>
      <w:r w:rsidRPr="00914611">
        <w:rPr>
          <w:rFonts w:ascii="Times New Roman" w:hAnsi="Times New Roman"/>
          <w:sz w:val="24"/>
        </w:rPr>
        <w:t xml:space="preserve"> was considered by MSAC in July 2015. MSAC deferred the application to seek better definitions and prevalence estimates of the intended populations in addition to a re-evaluation of the clinical and cost-effectiveness in the intended populations to be tested (see MSA</w:t>
      </w:r>
      <w:r>
        <w:rPr>
          <w:rFonts w:ascii="Times New Roman" w:hAnsi="Times New Roman"/>
          <w:sz w:val="24"/>
        </w:rPr>
        <w:t xml:space="preserve">C </w:t>
      </w:r>
      <w:hyperlink r:id="rId10" w:tooltip="Link to MSAC public summary document for application 1216" w:history="1">
        <w:r w:rsidRPr="000C32DF">
          <w:rPr>
            <w:rStyle w:val="Hyperlink"/>
            <w:rFonts w:ascii="Times New Roman" w:hAnsi="Times New Roman"/>
            <w:sz w:val="24"/>
          </w:rPr>
          <w:t>Public Summary Document Application 1216</w:t>
        </w:r>
      </w:hyperlink>
      <w:r w:rsidRPr="00914611">
        <w:rPr>
          <w:rFonts w:ascii="Times New Roman" w:hAnsi="Times New Roman"/>
          <w:sz w:val="24"/>
        </w:rPr>
        <w:t xml:space="preserve">, July 2015). </w:t>
      </w:r>
    </w:p>
    <w:p w:rsidR="00914611" w:rsidRPr="00914611" w:rsidRDefault="00914611" w:rsidP="00914611">
      <w:pPr>
        <w:pStyle w:val="BodyText"/>
        <w:spacing w:line="240" w:lineRule="auto"/>
        <w:rPr>
          <w:rFonts w:ascii="Times New Roman" w:hAnsi="Times New Roman"/>
          <w:sz w:val="24"/>
        </w:rPr>
      </w:pPr>
      <w:r w:rsidRPr="00914611">
        <w:rPr>
          <w:rFonts w:ascii="Times New Roman" w:hAnsi="Times New Roman"/>
          <w:sz w:val="24"/>
        </w:rPr>
        <w:t>Overall MSAC considered that the issues identified were addressed appropriately in the resubmission. MSAC noted the proposed service applies to three key population groups:</w:t>
      </w:r>
    </w:p>
    <w:p w:rsidR="00914611" w:rsidRPr="00914611" w:rsidRDefault="007F7796" w:rsidP="00914611">
      <w:pPr>
        <w:pStyle w:val="BodyText"/>
        <w:numPr>
          <w:ilvl w:val="0"/>
          <w:numId w:val="29"/>
        </w:numPr>
        <w:spacing w:before="0" w:line="240" w:lineRule="auto"/>
        <w:rPr>
          <w:rFonts w:ascii="Times New Roman" w:hAnsi="Times New Roman"/>
          <w:sz w:val="24"/>
        </w:rPr>
      </w:pPr>
      <w:r>
        <w:rPr>
          <w:rFonts w:ascii="Times New Roman" w:hAnsi="Times New Roman"/>
          <w:sz w:val="24"/>
        </w:rPr>
        <w:lastRenderedPageBreak/>
        <w:t>prenatal CF</w:t>
      </w:r>
      <w:r w:rsidR="00914611" w:rsidRPr="00914611">
        <w:rPr>
          <w:rFonts w:ascii="Times New Roman" w:hAnsi="Times New Roman"/>
          <w:sz w:val="24"/>
        </w:rPr>
        <w:t xml:space="preserve"> diagnosis;</w:t>
      </w:r>
    </w:p>
    <w:p w:rsidR="00914611" w:rsidRPr="00914611" w:rsidRDefault="00914611" w:rsidP="00914611">
      <w:pPr>
        <w:pStyle w:val="BodyText"/>
        <w:numPr>
          <w:ilvl w:val="0"/>
          <w:numId w:val="29"/>
        </w:numPr>
        <w:spacing w:before="0" w:line="240" w:lineRule="auto"/>
        <w:rPr>
          <w:rFonts w:ascii="Times New Roman" w:hAnsi="Times New Roman"/>
          <w:sz w:val="24"/>
        </w:rPr>
      </w:pPr>
      <w:r w:rsidRPr="00914611">
        <w:rPr>
          <w:rFonts w:ascii="Times New Roman" w:hAnsi="Times New Roman"/>
          <w:sz w:val="24"/>
        </w:rPr>
        <w:t>people suspected to have CF or CFTR-related disorders; and</w:t>
      </w:r>
    </w:p>
    <w:p w:rsidR="00914611" w:rsidRPr="00914611" w:rsidRDefault="00914611" w:rsidP="00914611">
      <w:pPr>
        <w:pStyle w:val="BodyText"/>
        <w:numPr>
          <w:ilvl w:val="0"/>
          <w:numId w:val="29"/>
        </w:numPr>
        <w:spacing w:before="0" w:line="240" w:lineRule="auto"/>
        <w:rPr>
          <w:rFonts w:ascii="Times New Roman" w:hAnsi="Times New Roman"/>
          <w:sz w:val="24"/>
        </w:rPr>
      </w:pPr>
      <w:proofErr w:type="gramStart"/>
      <w:r w:rsidRPr="00914611">
        <w:rPr>
          <w:rFonts w:ascii="Times New Roman" w:hAnsi="Times New Roman"/>
          <w:sz w:val="24"/>
        </w:rPr>
        <w:t>partners</w:t>
      </w:r>
      <w:proofErr w:type="gramEnd"/>
      <w:r w:rsidRPr="00914611">
        <w:rPr>
          <w:rFonts w:ascii="Times New Roman" w:hAnsi="Times New Roman"/>
          <w:sz w:val="24"/>
        </w:rPr>
        <w:t xml:space="preserve"> and family members of people with at least one known CFTR mutation for the purpose of reproductive planning (cascade testing).</w:t>
      </w:r>
    </w:p>
    <w:p w:rsidR="00914611" w:rsidRPr="00914611" w:rsidRDefault="00914611" w:rsidP="00914611">
      <w:pPr>
        <w:pStyle w:val="BodyText"/>
        <w:spacing w:line="240" w:lineRule="auto"/>
        <w:rPr>
          <w:rFonts w:ascii="Times New Roman" w:hAnsi="Times New Roman"/>
          <w:sz w:val="24"/>
        </w:rPr>
      </w:pPr>
      <w:r w:rsidRPr="00914611">
        <w:rPr>
          <w:rFonts w:ascii="Times New Roman" w:hAnsi="Times New Roman"/>
          <w:sz w:val="24"/>
        </w:rPr>
        <w:t xml:space="preserve">MSAC noted that six </w:t>
      </w:r>
      <w:r w:rsidR="0009178D">
        <w:rPr>
          <w:rFonts w:ascii="Times New Roman" w:hAnsi="Times New Roman"/>
          <w:sz w:val="24"/>
        </w:rPr>
        <w:t xml:space="preserve">MBS </w:t>
      </w:r>
      <w:r w:rsidRPr="00914611">
        <w:rPr>
          <w:rFonts w:ascii="Times New Roman" w:hAnsi="Times New Roman"/>
          <w:sz w:val="24"/>
        </w:rPr>
        <w:t xml:space="preserve">items </w:t>
      </w:r>
      <w:r w:rsidR="0009178D">
        <w:rPr>
          <w:rFonts w:ascii="Times New Roman" w:hAnsi="Times New Roman"/>
          <w:sz w:val="24"/>
        </w:rPr>
        <w:t>we</w:t>
      </w:r>
      <w:r w:rsidRPr="00914611">
        <w:rPr>
          <w:rFonts w:ascii="Times New Roman" w:hAnsi="Times New Roman"/>
          <w:sz w:val="24"/>
        </w:rPr>
        <w:t>re proposed, one for each specific population:</w:t>
      </w:r>
    </w:p>
    <w:p w:rsidR="00914611" w:rsidRPr="00914611" w:rsidRDefault="00914611" w:rsidP="00914611">
      <w:pPr>
        <w:pStyle w:val="BodyText"/>
        <w:numPr>
          <w:ilvl w:val="0"/>
          <w:numId w:val="30"/>
        </w:numPr>
        <w:spacing w:before="0" w:line="240" w:lineRule="auto"/>
        <w:ind w:hanging="357"/>
        <w:contextualSpacing/>
        <w:rPr>
          <w:rFonts w:ascii="Times New Roman" w:hAnsi="Times New Roman"/>
          <w:sz w:val="24"/>
        </w:rPr>
      </w:pPr>
      <w:r w:rsidRPr="00914611">
        <w:rPr>
          <w:rFonts w:ascii="Times New Roman" w:hAnsi="Times New Roman"/>
          <w:sz w:val="24"/>
        </w:rPr>
        <w:t>Diagnosis of a (new) case of CF, including:</w:t>
      </w:r>
    </w:p>
    <w:p w:rsidR="00914611" w:rsidRPr="00914611" w:rsidRDefault="00914611" w:rsidP="00914611">
      <w:pPr>
        <w:pStyle w:val="BodyText"/>
        <w:numPr>
          <w:ilvl w:val="1"/>
          <w:numId w:val="30"/>
        </w:numPr>
        <w:spacing w:before="0" w:line="240" w:lineRule="auto"/>
        <w:ind w:hanging="357"/>
        <w:contextualSpacing/>
        <w:rPr>
          <w:rFonts w:ascii="Times New Roman" w:hAnsi="Times New Roman"/>
          <w:sz w:val="24"/>
        </w:rPr>
      </w:pPr>
      <w:r w:rsidRPr="00914611">
        <w:rPr>
          <w:rFonts w:ascii="Times New Roman" w:hAnsi="Times New Roman"/>
          <w:sz w:val="24"/>
        </w:rPr>
        <w:t>Patients with classic CF symptoms</w:t>
      </w:r>
    </w:p>
    <w:p w:rsidR="00914611" w:rsidRPr="00914611" w:rsidRDefault="00914611" w:rsidP="00914611">
      <w:pPr>
        <w:pStyle w:val="BodyText"/>
        <w:numPr>
          <w:ilvl w:val="1"/>
          <w:numId w:val="30"/>
        </w:numPr>
        <w:spacing w:before="0" w:line="240" w:lineRule="auto"/>
        <w:ind w:hanging="357"/>
        <w:contextualSpacing/>
        <w:rPr>
          <w:rFonts w:ascii="Times New Roman" w:hAnsi="Times New Roman"/>
          <w:sz w:val="24"/>
        </w:rPr>
      </w:pPr>
      <w:r w:rsidRPr="00914611">
        <w:rPr>
          <w:rFonts w:ascii="Times New Roman" w:hAnsi="Times New Roman"/>
          <w:sz w:val="24"/>
        </w:rPr>
        <w:t>Patients with non-classic CF symptoms</w:t>
      </w:r>
    </w:p>
    <w:p w:rsidR="00914611" w:rsidRPr="00914611" w:rsidRDefault="00914611" w:rsidP="00914611">
      <w:pPr>
        <w:pStyle w:val="BodyText"/>
        <w:numPr>
          <w:ilvl w:val="1"/>
          <w:numId w:val="30"/>
        </w:numPr>
        <w:spacing w:before="0" w:line="240" w:lineRule="auto"/>
        <w:ind w:hanging="357"/>
        <w:contextualSpacing/>
        <w:rPr>
          <w:rFonts w:ascii="Times New Roman" w:hAnsi="Times New Roman"/>
          <w:sz w:val="24"/>
        </w:rPr>
      </w:pPr>
      <w:r w:rsidRPr="00914611">
        <w:rPr>
          <w:rFonts w:ascii="Times New Roman" w:hAnsi="Times New Roman"/>
          <w:sz w:val="24"/>
        </w:rPr>
        <w:t>Men with congenital bilateral absence of the vas deferens</w:t>
      </w:r>
    </w:p>
    <w:p w:rsidR="00914611" w:rsidRPr="00914611" w:rsidRDefault="00914611" w:rsidP="00914611">
      <w:pPr>
        <w:pStyle w:val="BodyText"/>
        <w:numPr>
          <w:ilvl w:val="0"/>
          <w:numId w:val="30"/>
        </w:numPr>
        <w:spacing w:before="0" w:line="240" w:lineRule="auto"/>
        <w:ind w:hanging="357"/>
        <w:contextualSpacing/>
        <w:rPr>
          <w:rFonts w:ascii="Times New Roman" w:hAnsi="Times New Roman"/>
          <w:sz w:val="24"/>
        </w:rPr>
      </w:pPr>
      <w:r w:rsidRPr="00914611">
        <w:rPr>
          <w:rFonts w:ascii="Times New Roman" w:hAnsi="Times New Roman"/>
          <w:sz w:val="24"/>
        </w:rPr>
        <w:t xml:space="preserve">In a </w:t>
      </w:r>
      <w:proofErr w:type="spellStart"/>
      <w:r w:rsidRPr="00914611">
        <w:rPr>
          <w:rFonts w:ascii="Times New Roman" w:hAnsi="Times New Roman"/>
          <w:sz w:val="24"/>
        </w:rPr>
        <w:t>fetus</w:t>
      </w:r>
      <w:proofErr w:type="spellEnd"/>
      <w:r w:rsidRPr="00914611">
        <w:rPr>
          <w:rFonts w:ascii="Times New Roman" w:hAnsi="Times New Roman"/>
          <w:sz w:val="24"/>
        </w:rPr>
        <w:t xml:space="preserve"> with ultrasonic evidence of echogenic gut, where CFTR variants have not been identified in the parents</w:t>
      </w:r>
    </w:p>
    <w:p w:rsidR="00914611" w:rsidRPr="00914611" w:rsidRDefault="00914611" w:rsidP="00914611">
      <w:pPr>
        <w:pStyle w:val="BodyText"/>
        <w:numPr>
          <w:ilvl w:val="0"/>
          <w:numId w:val="30"/>
        </w:numPr>
        <w:spacing w:before="0" w:line="240" w:lineRule="auto"/>
        <w:ind w:hanging="357"/>
        <w:contextualSpacing/>
        <w:rPr>
          <w:rFonts w:ascii="Times New Roman" w:hAnsi="Times New Roman"/>
          <w:sz w:val="24"/>
        </w:rPr>
      </w:pPr>
      <w:r w:rsidRPr="00914611">
        <w:rPr>
          <w:rFonts w:ascii="Times New Roman" w:hAnsi="Times New Roman"/>
          <w:sz w:val="24"/>
        </w:rPr>
        <w:t xml:space="preserve">Parents of a </w:t>
      </w:r>
      <w:proofErr w:type="spellStart"/>
      <w:r w:rsidRPr="00914611">
        <w:rPr>
          <w:rFonts w:ascii="Times New Roman" w:hAnsi="Times New Roman"/>
          <w:sz w:val="24"/>
        </w:rPr>
        <w:t>fetus</w:t>
      </w:r>
      <w:proofErr w:type="spellEnd"/>
      <w:r w:rsidRPr="00914611">
        <w:rPr>
          <w:rFonts w:ascii="Times New Roman" w:hAnsi="Times New Roman"/>
          <w:sz w:val="24"/>
        </w:rPr>
        <w:t xml:space="preserve"> with ultrasonic evidence of echogenic gut</w:t>
      </w:r>
    </w:p>
    <w:p w:rsidR="00914611" w:rsidRPr="00914611" w:rsidRDefault="00914611" w:rsidP="00914611">
      <w:pPr>
        <w:pStyle w:val="BodyText"/>
        <w:numPr>
          <w:ilvl w:val="0"/>
          <w:numId w:val="30"/>
        </w:numPr>
        <w:spacing w:before="0" w:line="240" w:lineRule="auto"/>
        <w:ind w:hanging="357"/>
        <w:contextualSpacing/>
        <w:rPr>
          <w:rFonts w:ascii="Times New Roman" w:hAnsi="Times New Roman"/>
          <w:sz w:val="24"/>
        </w:rPr>
      </w:pPr>
      <w:r w:rsidRPr="00914611">
        <w:rPr>
          <w:rFonts w:ascii="Times New Roman" w:hAnsi="Times New Roman"/>
          <w:sz w:val="24"/>
        </w:rPr>
        <w:t xml:space="preserve">Cascade testing of family members, following diagnosis of a case of CF or </w:t>
      </w:r>
      <w:r w:rsidR="00E124F7">
        <w:rPr>
          <w:rFonts w:ascii="Times New Roman" w:hAnsi="Times New Roman"/>
          <w:sz w:val="24"/>
        </w:rPr>
        <w:t xml:space="preserve">a </w:t>
      </w:r>
      <w:r w:rsidRPr="00914611">
        <w:rPr>
          <w:rFonts w:ascii="Times New Roman" w:hAnsi="Times New Roman"/>
          <w:sz w:val="24"/>
        </w:rPr>
        <w:t>CFTR carrier</w:t>
      </w:r>
    </w:p>
    <w:p w:rsidR="00914611" w:rsidRPr="00914611" w:rsidRDefault="00914611" w:rsidP="00914611">
      <w:pPr>
        <w:pStyle w:val="BodyText"/>
        <w:numPr>
          <w:ilvl w:val="0"/>
          <w:numId w:val="30"/>
        </w:numPr>
        <w:spacing w:before="0" w:line="240" w:lineRule="auto"/>
        <w:ind w:hanging="357"/>
        <w:contextualSpacing/>
        <w:rPr>
          <w:rFonts w:ascii="Times New Roman" w:hAnsi="Times New Roman"/>
          <w:sz w:val="24"/>
        </w:rPr>
      </w:pPr>
      <w:r w:rsidRPr="00914611">
        <w:rPr>
          <w:rFonts w:ascii="Times New Roman" w:hAnsi="Times New Roman"/>
          <w:sz w:val="24"/>
        </w:rPr>
        <w:t>Partner of a CF patient or CFTR carrier to assess risk to potential offspring</w:t>
      </w:r>
    </w:p>
    <w:p w:rsidR="00914611" w:rsidRPr="00914611" w:rsidRDefault="00914611" w:rsidP="00914611">
      <w:pPr>
        <w:pStyle w:val="BodyText"/>
        <w:numPr>
          <w:ilvl w:val="0"/>
          <w:numId w:val="30"/>
        </w:numPr>
        <w:spacing w:before="0" w:line="240" w:lineRule="auto"/>
        <w:ind w:hanging="357"/>
        <w:contextualSpacing/>
        <w:rPr>
          <w:rFonts w:ascii="Times New Roman" w:hAnsi="Times New Roman"/>
          <w:sz w:val="24"/>
        </w:rPr>
      </w:pPr>
      <w:r w:rsidRPr="00914611">
        <w:rPr>
          <w:rFonts w:ascii="Times New Roman" w:hAnsi="Times New Roman"/>
          <w:sz w:val="24"/>
        </w:rPr>
        <w:t xml:space="preserve">Prenatal testing of a </w:t>
      </w:r>
      <w:proofErr w:type="spellStart"/>
      <w:r w:rsidRPr="00914611">
        <w:rPr>
          <w:rFonts w:ascii="Times New Roman" w:hAnsi="Times New Roman"/>
          <w:sz w:val="24"/>
        </w:rPr>
        <w:t>fetus</w:t>
      </w:r>
      <w:proofErr w:type="spellEnd"/>
      <w:r w:rsidRPr="00914611">
        <w:rPr>
          <w:rFonts w:ascii="Times New Roman" w:hAnsi="Times New Roman"/>
          <w:sz w:val="24"/>
        </w:rPr>
        <w:t xml:space="preserve">, where the parents are known to have one or more pathogenic CFTR variants. This would include </w:t>
      </w:r>
      <w:proofErr w:type="spellStart"/>
      <w:r w:rsidRPr="00914611">
        <w:rPr>
          <w:rFonts w:ascii="Times New Roman" w:hAnsi="Times New Roman"/>
          <w:sz w:val="24"/>
        </w:rPr>
        <w:t>fetuses</w:t>
      </w:r>
      <w:proofErr w:type="spellEnd"/>
      <w:r w:rsidRPr="00914611">
        <w:rPr>
          <w:rFonts w:ascii="Times New Roman" w:hAnsi="Times New Roman"/>
          <w:sz w:val="24"/>
        </w:rPr>
        <w:t xml:space="preserve"> with echogenic gut, where at least one mutation is identified in a parent.</w:t>
      </w:r>
    </w:p>
    <w:p w:rsidR="00914611" w:rsidRPr="00914611" w:rsidRDefault="00914611" w:rsidP="00914611">
      <w:pPr>
        <w:pStyle w:val="BodyText"/>
        <w:spacing w:line="240" w:lineRule="auto"/>
        <w:rPr>
          <w:rFonts w:ascii="Times New Roman" w:hAnsi="Times New Roman"/>
          <w:sz w:val="24"/>
        </w:rPr>
      </w:pPr>
      <w:r w:rsidRPr="00914611">
        <w:rPr>
          <w:rFonts w:ascii="Times New Roman" w:hAnsi="Times New Roman"/>
          <w:sz w:val="24"/>
        </w:rPr>
        <w:t xml:space="preserve">MSAC recalled that the clinical evidence for prenatal CF testing and testing of people suspected to have CF or CFTR-related disorders was considered at its July 2015 meeting. MSAC noted that it had previously accepted the relative safety and effectiveness of </w:t>
      </w:r>
      <w:r w:rsidR="0009178D">
        <w:rPr>
          <w:rFonts w:ascii="Times New Roman" w:hAnsi="Times New Roman"/>
          <w:sz w:val="24"/>
        </w:rPr>
        <w:t xml:space="preserve">CFTR testing </w:t>
      </w:r>
      <w:r w:rsidRPr="00914611">
        <w:rPr>
          <w:rFonts w:ascii="Times New Roman" w:hAnsi="Times New Roman"/>
          <w:sz w:val="24"/>
        </w:rPr>
        <w:t xml:space="preserve">in these groups. </w:t>
      </w:r>
    </w:p>
    <w:p w:rsidR="00914611" w:rsidRPr="00914611" w:rsidRDefault="00914611" w:rsidP="00914611">
      <w:pPr>
        <w:pStyle w:val="BodyText"/>
        <w:spacing w:line="240" w:lineRule="auto"/>
        <w:rPr>
          <w:rFonts w:ascii="Times New Roman" w:hAnsi="Times New Roman"/>
          <w:sz w:val="24"/>
        </w:rPr>
      </w:pPr>
      <w:r w:rsidRPr="00914611">
        <w:rPr>
          <w:rFonts w:ascii="Times New Roman" w:hAnsi="Times New Roman"/>
          <w:sz w:val="24"/>
        </w:rPr>
        <w:t xml:space="preserve">MSAC noted that the resubmission included </w:t>
      </w:r>
      <w:r w:rsidR="0009178D">
        <w:rPr>
          <w:rFonts w:ascii="Times New Roman" w:hAnsi="Times New Roman"/>
          <w:sz w:val="24"/>
        </w:rPr>
        <w:t xml:space="preserve">CFTR </w:t>
      </w:r>
      <w:r w:rsidRPr="00914611">
        <w:rPr>
          <w:rFonts w:ascii="Times New Roman" w:hAnsi="Times New Roman"/>
          <w:sz w:val="24"/>
        </w:rPr>
        <w:t>cascade testing for the purpose of reproductive planning as an additional population. MSAC noted that additional information presented in the resubmission in relation to safety issues in the CFTR cascade testing population focused on psychological and social impacts on carriers and their families. Overall, although no comparative evidence was available, MSAC considered that the presented evidence was relatively consistent and indicated that a positive cascade carrier test result is a shock for most people, particularly if a decision regarding termination of pregnancy need</w:t>
      </w:r>
      <w:r w:rsidR="00E124F7">
        <w:rPr>
          <w:rFonts w:ascii="Times New Roman" w:hAnsi="Times New Roman"/>
          <w:sz w:val="24"/>
        </w:rPr>
        <w:t>ed</w:t>
      </w:r>
      <w:r w:rsidRPr="00914611">
        <w:rPr>
          <w:rFonts w:ascii="Times New Roman" w:hAnsi="Times New Roman"/>
          <w:sz w:val="24"/>
        </w:rPr>
        <w:t xml:space="preserve"> to be made quickly. However, within a short period of time, these individuals’ anxiety levels soon approximate those of people who are determined to be non-carriers. </w:t>
      </w:r>
    </w:p>
    <w:p w:rsidR="00914611" w:rsidRPr="00914611" w:rsidRDefault="00914611" w:rsidP="00914611">
      <w:pPr>
        <w:pStyle w:val="BodyText"/>
        <w:spacing w:line="240" w:lineRule="auto"/>
        <w:rPr>
          <w:rFonts w:ascii="Times New Roman" w:hAnsi="Times New Roman"/>
          <w:sz w:val="24"/>
        </w:rPr>
      </w:pPr>
      <w:r w:rsidRPr="00914611">
        <w:rPr>
          <w:rFonts w:ascii="Times New Roman" w:hAnsi="Times New Roman"/>
          <w:sz w:val="24"/>
        </w:rPr>
        <w:t>MSAC noted that no direct evidence was available to assess diagnostic accuracy in the cascade carrier population and the linked evidence approach used did not provide any additional evidence to support diagnostic performance (</w:t>
      </w:r>
      <w:r w:rsidR="0009178D">
        <w:rPr>
          <w:rFonts w:ascii="Times New Roman" w:hAnsi="Times New Roman"/>
          <w:sz w:val="24"/>
        </w:rPr>
        <w:t xml:space="preserve">analytical </w:t>
      </w:r>
      <w:r w:rsidRPr="00914611">
        <w:rPr>
          <w:rFonts w:ascii="Times New Roman" w:hAnsi="Times New Roman"/>
          <w:sz w:val="24"/>
        </w:rPr>
        <w:t>accuracy or clinical validity). Although there was heterogeneity in the direct evidence available in regards to clinical decision-making, MSAC acknowledged that overall, carrier testing is likely to have some impact on future reproductive choices and is likely to result in fewer CF-affected children being born. MSAC also noted that pre-implantation genetic diagnosis is likely to lead to more unaffected live births.</w:t>
      </w:r>
    </w:p>
    <w:p w:rsidR="00914611" w:rsidRPr="00914611" w:rsidRDefault="00914611" w:rsidP="00914611">
      <w:pPr>
        <w:pStyle w:val="BodyText"/>
        <w:spacing w:line="240" w:lineRule="auto"/>
        <w:rPr>
          <w:rFonts w:ascii="Times New Roman" w:hAnsi="Times New Roman"/>
          <w:sz w:val="24"/>
        </w:rPr>
      </w:pPr>
      <w:r w:rsidRPr="00914611">
        <w:rPr>
          <w:rFonts w:ascii="Times New Roman" w:hAnsi="Times New Roman"/>
          <w:sz w:val="24"/>
        </w:rPr>
        <w:t xml:space="preserve">MSAC noted that cost-effectiveness was assessed using separate models for each of the six populations, as well as an aggregated model for proposed listings 1, 4, 5 and 6. MSAC noted that the model for the cascade testing populations resulted in an incremental cost-effectiveness ratio (ICER) of $514 per additional mutation status known and $1,253 per additional familial carrier identified. MSAC noted that these estimates were sensitive to the carrier rate, with a higher carrier rate reducing the ICER. MSAC noted the complexity of the aggregated model, which estimated an ICER of $194,941 per CF birth averted. MSAC noted that the combined use of proposed listings 2 and 3 resulted in an ICER of $85,323 per CF </w:t>
      </w:r>
      <w:r w:rsidRPr="00914611">
        <w:rPr>
          <w:rFonts w:ascii="Times New Roman" w:hAnsi="Times New Roman"/>
          <w:sz w:val="24"/>
        </w:rPr>
        <w:lastRenderedPageBreak/>
        <w:t>birth averted. Overall MSAC considered that CFTR testing appears to be cost-effective or cost-saving when the costs of CF management are considered.</w:t>
      </w:r>
    </w:p>
    <w:p w:rsidR="00914611" w:rsidRPr="00914611" w:rsidRDefault="00914611" w:rsidP="00914611">
      <w:pPr>
        <w:pStyle w:val="BodyText"/>
        <w:spacing w:line="240" w:lineRule="auto"/>
        <w:rPr>
          <w:rFonts w:ascii="Times New Roman" w:hAnsi="Times New Roman"/>
          <w:sz w:val="24"/>
        </w:rPr>
      </w:pPr>
      <w:r w:rsidRPr="00914611">
        <w:rPr>
          <w:rFonts w:ascii="Times New Roman" w:hAnsi="Times New Roman"/>
          <w:sz w:val="24"/>
        </w:rPr>
        <w:t xml:space="preserve">MSAC noted the combined epidemiological and market approach used to estimate the utilisation of each of the six proposed items. MSAC noted that based on these estimates, the predicted MBS expenditure for </w:t>
      </w:r>
      <w:proofErr w:type="gramStart"/>
      <w:r w:rsidRPr="00914611">
        <w:rPr>
          <w:rFonts w:ascii="Times New Roman" w:hAnsi="Times New Roman"/>
          <w:sz w:val="24"/>
        </w:rPr>
        <w:t>these items is</w:t>
      </w:r>
      <w:proofErr w:type="gramEnd"/>
      <w:r w:rsidRPr="00914611">
        <w:rPr>
          <w:rFonts w:ascii="Times New Roman" w:hAnsi="Times New Roman"/>
          <w:sz w:val="24"/>
        </w:rPr>
        <w:t xml:space="preserve"> approximately $1.3 million per year. MSAC advised that the utilisation estimates were uncertain and noted that data from the 2011 RCPA survey suggests that actual usage and expenditure would be approximately twice these estimates. MSAC were concerned about the potential for use beyond the intended populations in the proposed listings and that there is no limit to repeat testing.</w:t>
      </w:r>
    </w:p>
    <w:p w:rsidR="00914611" w:rsidRPr="00914611" w:rsidRDefault="00914611" w:rsidP="00914611">
      <w:pPr>
        <w:pStyle w:val="BodyText"/>
        <w:spacing w:line="240" w:lineRule="auto"/>
        <w:rPr>
          <w:rFonts w:ascii="Times New Roman" w:hAnsi="Times New Roman"/>
          <w:sz w:val="24"/>
        </w:rPr>
      </w:pPr>
      <w:r w:rsidRPr="00914611">
        <w:rPr>
          <w:rFonts w:ascii="Times New Roman" w:hAnsi="Times New Roman"/>
          <w:sz w:val="24"/>
        </w:rPr>
        <w:t>MSAC noted that CFTR testing as in the proposed listing is usual</w:t>
      </w:r>
      <w:r w:rsidR="008675EB">
        <w:rPr>
          <w:rFonts w:ascii="Times New Roman" w:hAnsi="Times New Roman"/>
          <w:sz w:val="24"/>
        </w:rPr>
        <w:t>ly</w:t>
      </w:r>
      <w:r w:rsidRPr="00914611">
        <w:rPr>
          <w:rFonts w:ascii="Times New Roman" w:hAnsi="Times New Roman"/>
          <w:sz w:val="24"/>
        </w:rPr>
        <w:t xml:space="preserve"> funded by the States and Territories as well as private expenditure. MSAC considered that listing of this service on the MBS would involve cost-shifting from these existing funding sources but that it would address existing concerns of access and equity.</w:t>
      </w:r>
    </w:p>
    <w:p w:rsidR="00914611" w:rsidRPr="00914611" w:rsidRDefault="00914611" w:rsidP="00914611">
      <w:pPr>
        <w:pStyle w:val="BodyText"/>
        <w:spacing w:line="240" w:lineRule="auto"/>
        <w:rPr>
          <w:rFonts w:ascii="Times New Roman" w:hAnsi="Times New Roman"/>
          <w:sz w:val="24"/>
        </w:rPr>
      </w:pPr>
      <w:r w:rsidRPr="00914611">
        <w:rPr>
          <w:rFonts w:ascii="Times New Roman" w:hAnsi="Times New Roman"/>
          <w:sz w:val="24"/>
        </w:rPr>
        <w:t xml:space="preserve">MSAC recommended several amendments to the proposed </w:t>
      </w:r>
      <w:r w:rsidR="0009178D">
        <w:rPr>
          <w:rFonts w:ascii="Times New Roman" w:hAnsi="Times New Roman"/>
          <w:sz w:val="24"/>
        </w:rPr>
        <w:t xml:space="preserve">MBS </w:t>
      </w:r>
      <w:r w:rsidRPr="00914611">
        <w:rPr>
          <w:rFonts w:ascii="Times New Roman" w:hAnsi="Times New Roman"/>
          <w:sz w:val="24"/>
        </w:rPr>
        <w:t>item</w:t>
      </w:r>
      <w:r w:rsidR="0009178D">
        <w:rPr>
          <w:rFonts w:ascii="Times New Roman" w:hAnsi="Times New Roman"/>
          <w:sz w:val="24"/>
        </w:rPr>
        <w:t xml:space="preserve"> descriptor</w:t>
      </w:r>
      <w:r w:rsidRPr="00914611">
        <w:rPr>
          <w:rFonts w:ascii="Times New Roman" w:hAnsi="Times New Roman"/>
          <w:sz w:val="24"/>
        </w:rPr>
        <w:t xml:space="preserve">s to provide greater clarity. MSAC suggested that in order to comply with the legislation governing the MBS, items 2 and 6 need to specify that testing is in a pregnant woman to identify CFTR gene variants in the </w:t>
      </w:r>
      <w:proofErr w:type="spellStart"/>
      <w:r w:rsidRPr="00914611">
        <w:rPr>
          <w:rFonts w:ascii="Times New Roman" w:hAnsi="Times New Roman"/>
          <w:sz w:val="24"/>
        </w:rPr>
        <w:t>fetus</w:t>
      </w:r>
      <w:proofErr w:type="spellEnd"/>
      <w:r w:rsidRPr="00914611">
        <w:rPr>
          <w:rFonts w:ascii="Times New Roman" w:hAnsi="Times New Roman"/>
          <w:sz w:val="24"/>
        </w:rPr>
        <w:t xml:space="preserve"> (rather than testing of the </w:t>
      </w:r>
      <w:proofErr w:type="spellStart"/>
      <w:r w:rsidRPr="00914611">
        <w:rPr>
          <w:rFonts w:ascii="Times New Roman" w:hAnsi="Times New Roman"/>
          <w:sz w:val="24"/>
        </w:rPr>
        <w:t>fetus</w:t>
      </w:r>
      <w:proofErr w:type="spellEnd"/>
      <w:r w:rsidRPr="00914611">
        <w:rPr>
          <w:rFonts w:ascii="Times New Roman" w:hAnsi="Times New Roman"/>
          <w:sz w:val="24"/>
        </w:rPr>
        <w:t xml:space="preserve">). MSAC proposed amendments to item 4 to clarify that the item is intended for testing in an individual where the CFTR gene variant is already known. MSAC also proposed changes to the wording of item 5 to clarify that it is intended for testing of the partner of an individual known to be a carrier of a pathogenic CFTR gene variant (as identified in the applicant’s pre-MSAC response). </w:t>
      </w:r>
    </w:p>
    <w:p w:rsidR="00914611" w:rsidRPr="00914611" w:rsidRDefault="00914611" w:rsidP="00914611">
      <w:pPr>
        <w:pStyle w:val="BodyText"/>
        <w:spacing w:line="240" w:lineRule="auto"/>
        <w:rPr>
          <w:rFonts w:ascii="Times New Roman" w:hAnsi="Times New Roman"/>
          <w:sz w:val="24"/>
        </w:rPr>
      </w:pPr>
      <w:r w:rsidRPr="00914611">
        <w:rPr>
          <w:rFonts w:ascii="Times New Roman" w:hAnsi="Times New Roman"/>
          <w:sz w:val="24"/>
        </w:rPr>
        <w:t xml:space="preserve">MSAC advised that the overall frequency of CFTR gene mutations is likely to decrease as a result of the proposed </w:t>
      </w:r>
      <w:r w:rsidR="0009178D">
        <w:rPr>
          <w:rFonts w:ascii="Times New Roman" w:hAnsi="Times New Roman"/>
          <w:sz w:val="24"/>
        </w:rPr>
        <w:t xml:space="preserve">MBS </w:t>
      </w:r>
      <w:r w:rsidRPr="00914611">
        <w:rPr>
          <w:rFonts w:ascii="Times New Roman" w:hAnsi="Times New Roman"/>
          <w:sz w:val="24"/>
        </w:rPr>
        <w:t>items, which will affect the cost-effectiveness of cascade testing. MSAC questioned whether cost-effectiveness in the cascade population may need to be reassessed in the future in light of these changes. MSAC also noted that the prevalent mix of CFTR mutations in Australia is likely to continue to change with the changing population. As such it is important to ensure that testing continues to target the top 95% of prevalent CFTR mutations.</w:t>
      </w:r>
    </w:p>
    <w:p w:rsidR="00914611" w:rsidRPr="00914611" w:rsidRDefault="00914611" w:rsidP="00914611">
      <w:pPr>
        <w:pStyle w:val="BodyText"/>
        <w:spacing w:line="240" w:lineRule="auto"/>
        <w:rPr>
          <w:rFonts w:ascii="Times New Roman" w:hAnsi="Times New Roman"/>
          <w:sz w:val="24"/>
        </w:rPr>
      </w:pPr>
      <w:r w:rsidRPr="00914611">
        <w:rPr>
          <w:rFonts w:ascii="Times New Roman" w:hAnsi="Times New Roman"/>
          <w:sz w:val="24"/>
        </w:rPr>
        <w:t>MSAC supported MBS funding, accepting that, with some refinements to the proposal, testing for hereditary cystic fibrosis mutations is safe, leads to improved health outcomes overall, and is acceptably cost effective.</w:t>
      </w:r>
      <w:r w:rsidRPr="00914611">
        <w:rPr>
          <w:rFonts w:ascii="Times New Roman" w:hAnsi="Times New Roman"/>
          <w:sz w:val="24"/>
          <w:lang w:eastAsia="en-US"/>
        </w:rPr>
        <w:t xml:space="preserve"> </w:t>
      </w:r>
    </w:p>
    <w:p w:rsidR="00BC1364" w:rsidRPr="00F715D1" w:rsidRDefault="00BC1364" w:rsidP="00F715D1">
      <w:pPr>
        <w:pStyle w:val="Heading1"/>
      </w:pPr>
      <w:r w:rsidRPr="00F715D1">
        <w:t>Background</w:t>
      </w:r>
    </w:p>
    <w:p w:rsidR="00490A7B" w:rsidRPr="00545475" w:rsidRDefault="00914611" w:rsidP="00436336">
      <w:pPr>
        <w:rPr>
          <w:szCs w:val="24"/>
        </w:rPr>
      </w:pPr>
      <w:r>
        <w:t xml:space="preserve">Application 1216 was considered at the July 2015 MSAC meeting. </w:t>
      </w:r>
      <w:r w:rsidR="00436336" w:rsidRPr="006E369E">
        <w:t xml:space="preserve">MSAC </w:t>
      </w:r>
      <w:r w:rsidR="00436336">
        <w:t xml:space="preserve">deferred the application to seek </w:t>
      </w:r>
      <w:r w:rsidR="00436336" w:rsidRPr="008E03E7">
        <w:t>better definition</w:t>
      </w:r>
      <w:r w:rsidR="00436336">
        <w:t>s</w:t>
      </w:r>
      <w:r w:rsidR="00436336" w:rsidRPr="008E03E7">
        <w:t xml:space="preserve"> and prevalence estimates of the intended populations and re-evaluation of the clinical and cost effectiveness in the intended populations to be tested.</w:t>
      </w:r>
    </w:p>
    <w:p w:rsidR="00BC1364" w:rsidRDefault="00BC1364" w:rsidP="00F715D1">
      <w:pPr>
        <w:pStyle w:val="Heading1"/>
      </w:pPr>
      <w:r w:rsidRPr="00F715D1">
        <w:t>Prerequisites to implementation of any funding advice</w:t>
      </w:r>
    </w:p>
    <w:p w:rsidR="00E22F6D" w:rsidRPr="00E22F6D" w:rsidRDefault="00E22F6D" w:rsidP="00E22F6D">
      <w:r>
        <w:t>CFTR mutation testing is currently undertaken in all States and Territories, diagnostic laboratories should be National Association of Testing Authorities (NATA) accredited to perform CFTR mutation tests.</w:t>
      </w:r>
    </w:p>
    <w:p w:rsidR="00BC1364" w:rsidRPr="00F715D1" w:rsidRDefault="00BC1364" w:rsidP="00F715D1">
      <w:pPr>
        <w:pStyle w:val="Heading1"/>
      </w:pPr>
      <w:r w:rsidRPr="00F715D1">
        <w:lastRenderedPageBreak/>
        <w:t>Proposal for public funding</w:t>
      </w:r>
    </w:p>
    <w:p w:rsidR="00436336" w:rsidRPr="002A1889" w:rsidRDefault="009327DF" w:rsidP="00C94372">
      <w:pPr>
        <w:spacing w:after="240"/>
        <w:rPr>
          <w:szCs w:val="24"/>
        </w:rPr>
      </w:pPr>
      <w:r>
        <w:t>In the previous consideration,</w:t>
      </w:r>
      <w:r w:rsidR="00687BE4">
        <w:t xml:space="preserve"> </w:t>
      </w:r>
      <w:r w:rsidR="00F90369">
        <w:t>MSAC requested clearer MBS item descriptors</w:t>
      </w:r>
      <w:r w:rsidR="00436336">
        <w:t xml:space="preserve"> for the proposed service</w:t>
      </w:r>
      <w:r w:rsidR="00F90369">
        <w:t xml:space="preserve"> including restrictions on eligibility and genetic counselling requirements. </w:t>
      </w:r>
      <w:r w:rsidR="00436336" w:rsidRPr="00545475">
        <w:rPr>
          <w:szCs w:val="24"/>
        </w:rPr>
        <w:t xml:space="preserve">Abbreviated item descriptors are shown in </w:t>
      </w:r>
      <w:r w:rsidR="00436336" w:rsidRPr="00545475">
        <w:rPr>
          <w:szCs w:val="24"/>
        </w:rPr>
        <w:fldChar w:fldCharType="begin"/>
      </w:r>
      <w:r w:rsidR="00436336" w:rsidRPr="00545475">
        <w:rPr>
          <w:szCs w:val="24"/>
        </w:rPr>
        <w:instrText xml:space="preserve"> REF _Ref470018621 \h  \* MERGEFORMAT </w:instrText>
      </w:r>
      <w:r w:rsidR="00436336" w:rsidRPr="00545475">
        <w:rPr>
          <w:szCs w:val="24"/>
        </w:rPr>
      </w:r>
      <w:r w:rsidR="00436336" w:rsidRPr="00545475">
        <w:rPr>
          <w:szCs w:val="24"/>
        </w:rPr>
        <w:fldChar w:fldCharType="separate"/>
      </w:r>
      <w:r w:rsidR="00436336" w:rsidRPr="00545475">
        <w:rPr>
          <w:szCs w:val="24"/>
        </w:rPr>
        <w:t>Table 1</w:t>
      </w:r>
      <w:r w:rsidR="00436336" w:rsidRPr="00545475">
        <w:rPr>
          <w:szCs w:val="24"/>
        </w:rPr>
        <w:fldChar w:fldCharType="end"/>
      </w:r>
      <w:r w:rsidR="00436336" w:rsidRPr="00545475">
        <w:rPr>
          <w:szCs w:val="24"/>
        </w:rPr>
        <w:t>.</w:t>
      </w:r>
    </w:p>
    <w:p w:rsidR="00436336" w:rsidRPr="00635005" w:rsidRDefault="00436336" w:rsidP="00635005">
      <w:pPr>
        <w:rPr>
          <w:b/>
          <w:sz w:val="20"/>
        </w:rPr>
      </w:pPr>
      <w:bookmarkStart w:id="1" w:name="_Ref470018621"/>
      <w:bookmarkStart w:id="2" w:name="_Toc471398366"/>
      <w:r w:rsidRPr="00635005">
        <w:rPr>
          <w:b/>
          <w:sz w:val="20"/>
        </w:rPr>
        <w:t xml:space="preserve">Table </w:t>
      </w:r>
      <w:r w:rsidRPr="00635005">
        <w:rPr>
          <w:b/>
          <w:sz w:val="20"/>
        </w:rPr>
        <w:fldChar w:fldCharType="begin"/>
      </w:r>
      <w:r w:rsidRPr="00635005">
        <w:rPr>
          <w:b/>
          <w:sz w:val="20"/>
        </w:rPr>
        <w:instrText xml:space="preserve"> SEQ Table \* ARABIC </w:instrText>
      </w:r>
      <w:r w:rsidRPr="00635005">
        <w:rPr>
          <w:b/>
          <w:sz w:val="20"/>
        </w:rPr>
        <w:fldChar w:fldCharType="separate"/>
      </w:r>
      <w:r w:rsidRPr="00635005">
        <w:rPr>
          <w:b/>
          <w:sz w:val="20"/>
        </w:rPr>
        <w:t>1</w:t>
      </w:r>
      <w:r w:rsidRPr="00635005">
        <w:rPr>
          <w:b/>
          <w:sz w:val="20"/>
        </w:rPr>
        <w:fldChar w:fldCharType="end"/>
      </w:r>
      <w:bookmarkEnd w:id="1"/>
      <w:r w:rsidRPr="00635005">
        <w:rPr>
          <w:b/>
          <w:sz w:val="20"/>
        </w:rPr>
        <w:tab/>
      </w:r>
      <w:r w:rsidRPr="00635005">
        <w:rPr>
          <w:b/>
          <w:sz w:val="20"/>
        </w:rPr>
        <w:tab/>
        <w:t>Proposed MBS item descriptors (abbreviated)</w:t>
      </w:r>
      <w:bookmarkEnd w:id="2"/>
    </w:p>
    <w:tbl>
      <w:tblPr>
        <w:tblStyle w:val="TableGrid"/>
        <w:tblW w:w="5000" w:type="pct"/>
        <w:tblLook w:val="04A0" w:firstRow="1" w:lastRow="0" w:firstColumn="1" w:lastColumn="0" w:noHBand="0" w:noVBand="1"/>
        <w:tblDescription w:val="Abbreviated proposed MBS item descriptors"/>
      </w:tblPr>
      <w:tblGrid>
        <w:gridCol w:w="9242"/>
      </w:tblGrid>
      <w:tr w:rsidR="00436336" w:rsidRPr="006A2F51" w:rsidTr="00635005">
        <w:trPr>
          <w:trHeight w:val="950"/>
          <w:tblHeader/>
        </w:trPr>
        <w:tc>
          <w:tcPr>
            <w:tcW w:w="5000" w:type="pct"/>
          </w:tcPr>
          <w:p w:rsidR="00436336" w:rsidRPr="006A2F51" w:rsidRDefault="00436336" w:rsidP="006B4421">
            <w:pPr>
              <w:pStyle w:val="Tabletext"/>
              <w:spacing w:before="120"/>
              <w:rPr>
                <w:rFonts w:ascii="Times New Roman" w:hAnsi="Times New Roman"/>
              </w:rPr>
            </w:pPr>
            <w:r w:rsidRPr="006A2F51">
              <w:rPr>
                <w:rFonts w:ascii="Times New Roman" w:hAnsi="Times New Roman"/>
              </w:rPr>
              <w:t>Testing of an individual for pathogenic CFTR variants for the purpose of investigating, making or excluding a diagnosis of cystic fibrosis or a CFTR related disorder.</w:t>
            </w:r>
          </w:p>
          <w:p w:rsidR="00436336" w:rsidRPr="006A2F51" w:rsidRDefault="00436336" w:rsidP="006B4421">
            <w:pPr>
              <w:pStyle w:val="Tabletext"/>
              <w:rPr>
                <w:rFonts w:ascii="Times New Roman" w:hAnsi="Times New Roman"/>
              </w:rPr>
            </w:pPr>
            <w:r w:rsidRPr="006A2F51">
              <w:rPr>
                <w:rFonts w:ascii="Times New Roman" w:hAnsi="Times New Roman"/>
              </w:rPr>
              <w:t>The individual must have clinical or laboratory findings suggestive of cystic fibrosis or a CFTR related disorder.</w:t>
            </w:r>
          </w:p>
          <w:p w:rsidR="00436336" w:rsidRPr="006A2F51" w:rsidRDefault="00436336" w:rsidP="006B4421">
            <w:pPr>
              <w:pStyle w:val="Tabletext"/>
              <w:rPr>
                <w:rFonts w:ascii="Times New Roman" w:hAnsi="Times New Roman"/>
              </w:rPr>
            </w:pPr>
            <w:r w:rsidRPr="006A2F51">
              <w:rPr>
                <w:rFonts w:ascii="Times New Roman" w:hAnsi="Times New Roman"/>
              </w:rPr>
              <w:t>Fee: $500</w:t>
            </w:r>
          </w:p>
        </w:tc>
      </w:tr>
      <w:tr w:rsidR="00436336" w:rsidRPr="006A2F51" w:rsidTr="00635005">
        <w:trPr>
          <w:trHeight w:val="909"/>
        </w:trPr>
        <w:tc>
          <w:tcPr>
            <w:tcW w:w="5000" w:type="pct"/>
          </w:tcPr>
          <w:p w:rsidR="00436336" w:rsidRPr="006A2F51" w:rsidRDefault="00436336" w:rsidP="006B4421">
            <w:pPr>
              <w:pStyle w:val="Tabletext"/>
              <w:spacing w:before="120"/>
              <w:rPr>
                <w:rFonts w:ascii="Times New Roman" w:hAnsi="Times New Roman"/>
              </w:rPr>
            </w:pPr>
            <w:r w:rsidRPr="006A2F51">
              <w:rPr>
                <w:rFonts w:ascii="Times New Roman" w:hAnsi="Times New Roman"/>
              </w:rPr>
              <w:t xml:space="preserve">Testing of a </w:t>
            </w:r>
            <w:proofErr w:type="spellStart"/>
            <w:r w:rsidRPr="006A2F51">
              <w:rPr>
                <w:rFonts w:ascii="Times New Roman" w:hAnsi="Times New Roman"/>
              </w:rPr>
              <w:t>fetus</w:t>
            </w:r>
            <w:proofErr w:type="spellEnd"/>
            <w:r w:rsidRPr="006A2F51">
              <w:rPr>
                <w:rFonts w:ascii="Times New Roman" w:hAnsi="Times New Roman"/>
              </w:rPr>
              <w:t xml:space="preserve"> for pathogenic CFTR variants for the purpose of investigating, making or excluding a diagnosis of cystic fibrosis or a CFTR related disorder.</w:t>
            </w:r>
          </w:p>
          <w:p w:rsidR="00436336" w:rsidRPr="006A2F51" w:rsidRDefault="00436336" w:rsidP="006B4421">
            <w:pPr>
              <w:pStyle w:val="Tabletext"/>
              <w:rPr>
                <w:rFonts w:ascii="Times New Roman" w:hAnsi="Times New Roman"/>
              </w:rPr>
            </w:pPr>
            <w:r w:rsidRPr="006A2F51">
              <w:rPr>
                <w:rFonts w:ascii="Times New Roman" w:hAnsi="Times New Roman"/>
              </w:rPr>
              <w:t xml:space="preserve">The </w:t>
            </w:r>
            <w:proofErr w:type="spellStart"/>
            <w:r w:rsidRPr="006A2F51">
              <w:rPr>
                <w:rFonts w:ascii="Times New Roman" w:hAnsi="Times New Roman"/>
              </w:rPr>
              <w:t>fetus</w:t>
            </w:r>
            <w:proofErr w:type="spellEnd"/>
            <w:r w:rsidRPr="006A2F51">
              <w:rPr>
                <w:rFonts w:ascii="Times New Roman" w:hAnsi="Times New Roman"/>
              </w:rPr>
              <w:t xml:space="preserve"> must have ultrasonic findings of echogenic gut, with unknown family CFTR variants.</w:t>
            </w:r>
          </w:p>
          <w:p w:rsidR="00436336" w:rsidRPr="006A2F51" w:rsidRDefault="00436336" w:rsidP="006B4421">
            <w:pPr>
              <w:pStyle w:val="Tabletext"/>
              <w:rPr>
                <w:rFonts w:ascii="Times New Roman" w:hAnsi="Times New Roman"/>
              </w:rPr>
            </w:pPr>
            <w:r w:rsidRPr="006A2F51">
              <w:rPr>
                <w:rFonts w:ascii="Times New Roman" w:hAnsi="Times New Roman"/>
              </w:rPr>
              <w:t>Fee: $500</w:t>
            </w:r>
          </w:p>
        </w:tc>
      </w:tr>
      <w:tr w:rsidR="00436336" w:rsidRPr="006A2F51" w:rsidTr="00635005">
        <w:tc>
          <w:tcPr>
            <w:tcW w:w="5000" w:type="pct"/>
          </w:tcPr>
          <w:p w:rsidR="00436336" w:rsidRPr="006A2F51" w:rsidRDefault="00436336" w:rsidP="006B4421">
            <w:pPr>
              <w:pStyle w:val="Tabletext"/>
              <w:spacing w:before="120"/>
              <w:rPr>
                <w:rFonts w:ascii="Times New Roman" w:hAnsi="Times New Roman"/>
              </w:rPr>
            </w:pPr>
            <w:r w:rsidRPr="006A2F51">
              <w:rPr>
                <w:rFonts w:ascii="Times New Roman" w:hAnsi="Times New Roman"/>
              </w:rPr>
              <w:t xml:space="preserve">Testing of a prospective parent for pathogenic CFTR variants for the purpose of determining the risk of their </w:t>
            </w:r>
            <w:proofErr w:type="spellStart"/>
            <w:r w:rsidRPr="006A2F51">
              <w:rPr>
                <w:rFonts w:ascii="Times New Roman" w:hAnsi="Times New Roman"/>
              </w:rPr>
              <w:t>fetus</w:t>
            </w:r>
            <w:proofErr w:type="spellEnd"/>
            <w:r w:rsidRPr="006A2F51">
              <w:rPr>
                <w:rFonts w:ascii="Times New Roman" w:hAnsi="Times New Roman"/>
              </w:rPr>
              <w:t xml:space="preserve"> having pathogenic CFTR variants. This is indicated when the </w:t>
            </w:r>
            <w:proofErr w:type="spellStart"/>
            <w:r w:rsidRPr="006A2F51">
              <w:rPr>
                <w:rFonts w:ascii="Times New Roman" w:hAnsi="Times New Roman"/>
              </w:rPr>
              <w:t>fetus</w:t>
            </w:r>
            <w:proofErr w:type="spellEnd"/>
            <w:r w:rsidRPr="006A2F51">
              <w:rPr>
                <w:rFonts w:ascii="Times New Roman" w:hAnsi="Times New Roman"/>
              </w:rPr>
              <w:t xml:space="preserve"> has ultrasonic evidence of echogenic gut.</w:t>
            </w:r>
          </w:p>
          <w:p w:rsidR="00436336" w:rsidRPr="006A2F51" w:rsidRDefault="00436336" w:rsidP="006B4421">
            <w:pPr>
              <w:pStyle w:val="Tabletext"/>
              <w:rPr>
                <w:rFonts w:ascii="Times New Roman" w:hAnsi="Times New Roman"/>
              </w:rPr>
            </w:pPr>
            <w:r w:rsidRPr="006A2F51">
              <w:rPr>
                <w:rFonts w:ascii="Times New Roman" w:eastAsia="Calibri" w:hAnsi="Times New Roman"/>
              </w:rPr>
              <w:t>Fee: $500</w:t>
            </w:r>
          </w:p>
        </w:tc>
      </w:tr>
      <w:tr w:rsidR="00436336" w:rsidRPr="006A2F51" w:rsidTr="00635005">
        <w:trPr>
          <w:trHeight w:val="699"/>
        </w:trPr>
        <w:tc>
          <w:tcPr>
            <w:tcW w:w="5000" w:type="pct"/>
          </w:tcPr>
          <w:p w:rsidR="00436336" w:rsidRPr="006A2F51" w:rsidRDefault="00436336" w:rsidP="006B4421">
            <w:pPr>
              <w:pStyle w:val="Tabletext"/>
              <w:spacing w:before="120"/>
              <w:rPr>
                <w:rFonts w:ascii="Times New Roman" w:hAnsi="Times New Roman"/>
              </w:rPr>
            </w:pPr>
            <w:r w:rsidRPr="006A2F51">
              <w:rPr>
                <w:rFonts w:ascii="Times New Roman" w:hAnsi="Times New Roman"/>
              </w:rPr>
              <w:t>Testing of an individual with a laboratory-established family history of pathogenic CFTR variants, for the purpose of determining whether the individual is an asymptomatic genetic carrier of a CFTR variant.</w:t>
            </w:r>
          </w:p>
          <w:p w:rsidR="00436336" w:rsidRPr="006A2F51" w:rsidRDefault="00436336" w:rsidP="006B4421">
            <w:pPr>
              <w:pStyle w:val="Tabletext"/>
              <w:rPr>
                <w:rFonts w:ascii="Times New Roman" w:hAnsi="Times New Roman"/>
              </w:rPr>
            </w:pPr>
            <w:r w:rsidRPr="006A2F51">
              <w:rPr>
                <w:rFonts w:ascii="Times New Roman" w:hAnsi="Times New Roman"/>
              </w:rPr>
              <w:t>Fee: $250</w:t>
            </w:r>
          </w:p>
        </w:tc>
      </w:tr>
      <w:tr w:rsidR="00436336" w:rsidRPr="006A2F51" w:rsidTr="00635005">
        <w:trPr>
          <w:trHeight w:val="980"/>
        </w:trPr>
        <w:tc>
          <w:tcPr>
            <w:tcW w:w="5000" w:type="pct"/>
          </w:tcPr>
          <w:p w:rsidR="00436336" w:rsidRPr="006A2F51" w:rsidRDefault="00436336" w:rsidP="006B4421">
            <w:pPr>
              <w:pStyle w:val="Tabletext"/>
              <w:spacing w:before="120"/>
              <w:rPr>
                <w:rFonts w:ascii="Times New Roman" w:hAnsi="Times New Roman"/>
              </w:rPr>
            </w:pPr>
            <w:r w:rsidRPr="006A2F51">
              <w:rPr>
                <w:rFonts w:ascii="Times New Roman" w:hAnsi="Times New Roman"/>
              </w:rPr>
              <w:t>Testing of an individual for pathogenic CFTR variants for the purpose of determining the reproductive risk of the individual with their reproductive partner. Either the individual, or their reproductive partner, must be already known to have one or more pathogenic CFTR variants.</w:t>
            </w:r>
          </w:p>
          <w:p w:rsidR="00436336" w:rsidRPr="006A2F51" w:rsidRDefault="00436336" w:rsidP="006B4421">
            <w:pPr>
              <w:pStyle w:val="Tabletext"/>
              <w:rPr>
                <w:rFonts w:ascii="Times New Roman" w:eastAsia="Calibri" w:hAnsi="Times New Roman"/>
              </w:rPr>
            </w:pPr>
            <w:r w:rsidRPr="006A2F51">
              <w:rPr>
                <w:rFonts w:ascii="Times New Roman" w:eastAsia="Calibri" w:hAnsi="Times New Roman"/>
              </w:rPr>
              <w:t>Fee: $500</w:t>
            </w:r>
          </w:p>
        </w:tc>
      </w:tr>
      <w:tr w:rsidR="00436336" w:rsidRPr="006A2F51" w:rsidTr="00635005">
        <w:trPr>
          <w:trHeight w:val="274"/>
        </w:trPr>
        <w:tc>
          <w:tcPr>
            <w:tcW w:w="5000" w:type="pct"/>
          </w:tcPr>
          <w:p w:rsidR="00436336" w:rsidRPr="006A2F51" w:rsidRDefault="00436336" w:rsidP="006B4421">
            <w:pPr>
              <w:pStyle w:val="Tabletext"/>
              <w:spacing w:before="120"/>
              <w:rPr>
                <w:rFonts w:ascii="Times New Roman" w:hAnsi="Times New Roman"/>
              </w:rPr>
            </w:pPr>
            <w:r w:rsidRPr="006A2F51">
              <w:rPr>
                <w:rFonts w:ascii="Times New Roman" w:hAnsi="Times New Roman"/>
              </w:rPr>
              <w:t xml:space="preserve">Testing of a </w:t>
            </w:r>
            <w:proofErr w:type="spellStart"/>
            <w:r w:rsidRPr="006A2F51">
              <w:rPr>
                <w:rFonts w:ascii="Times New Roman" w:hAnsi="Times New Roman"/>
              </w:rPr>
              <w:t>fetus</w:t>
            </w:r>
            <w:proofErr w:type="spellEnd"/>
            <w:r w:rsidRPr="006A2F51">
              <w:rPr>
                <w:rFonts w:ascii="Times New Roman" w:hAnsi="Times New Roman"/>
              </w:rPr>
              <w:t xml:space="preserve"> for known familial CFTR variants for the purpose of investigating, making or excluding a diagnosis of cystic fibrosis or a CFTR related disorder, in the following situation:</w:t>
            </w:r>
          </w:p>
          <w:p w:rsidR="00436336" w:rsidRPr="006A2F51" w:rsidRDefault="00436336" w:rsidP="006B4421">
            <w:pPr>
              <w:pStyle w:val="Tabletext"/>
              <w:rPr>
                <w:rFonts w:ascii="Times New Roman" w:eastAsia="Calibri" w:hAnsi="Times New Roman"/>
              </w:rPr>
            </w:pPr>
            <w:r w:rsidRPr="006A2F51">
              <w:rPr>
                <w:rFonts w:ascii="Times New Roman" w:eastAsia="Calibri" w:hAnsi="Times New Roman"/>
              </w:rPr>
              <w:t xml:space="preserve">Where the </w:t>
            </w:r>
            <w:proofErr w:type="spellStart"/>
            <w:r w:rsidRPr="006A2F51">
              <w:rPr>
                <w:rFonts w:ascii="Times New Roman" w:eastAsia="Calibri" w:hAnsi="Times New Roman"/>
              </w:rPr>
              <w:t>fetus</w:t>
            </w:r>
            <w:proofErr w:type="spellEnd"/>
            <w:r w:rsidRPr="006A2F51">
              <w:rPr>
                <w:rFonts w:ascii="Times New Roman" w:eastAsia="Calibri" w:hAnsi="Times New Roman"/>
              </w:rPr>
              <w:t xml:space="preserve"> is at 25% or more risk of cystic fibrosis.</w:t>
            </w:r>
          </w:p>
          <w:p w:rsidR="00436336" w:rsidRPr="006A2F51" w:rsidRDefault="00436336" w:rsidP="006B4421">
            <w:pPr>
              <w:pStyle w:val="Tabletext"/>
              <w:rPr>
                <w:rFonts w:ascii="Times New Roman" w:hAnsi="Times New Roman"/>
              </w:rPr>
            </w:pPr>
            <w:r w:rsidRPr="006A2F51">
              <w:rPr>
                <w:rFonts w:ascii="Times New Roman" w:eastAsia="Calibri" w:hAnsi="Times New Roman"/>
              </w:rPr>
              <w:t>Fee: $250</w:t>
            </w:r>
          </w:p>
        </w:tc>
      </w:tr>
    </w:tbl>
    <w:p w:rsidR="00F90369" w:rsidRDefault="00436336" w:rsidP="00436336">
      <w:pPr>
        <w:pStyle w:val="Tabletext"/>
        <w:spacing w:after="240"/>
        <w:rPr>
          <w:rFonts w:ascii="Times New Roman" w:hAnsi="Times New Roman"/>
          <w:sz w:val="18"/>
          <w:szCs w:val="18"/>
        </w:rPr>
      </w:pPr>
      <w:r w:rsidRPr="006A2F51">
        <w:rPr>
          <w:rFonts w:ascii="Times New Roman" w:hAnsi="Times New Roman"/>
          <w:sz w:val="18"/>
          <w:szCs w:val="18"/>
        </w:rPr>
        <w:t xml:space="preserve">CFTR = cystic fibrosis </w:t>
      </w:r>
      <w:proofErr w:type="spellStart"/>
      <w:r w:rsidRPr="006A2F51">
        <w:rPr>
          <w:rFonts w:ascii="Times New Roman" w:hAnsi="Times New Roman"/>
          <w:sz w:val="18"/>
          <w:szCs w:val="18"/>
        </w:rPr>
        <w:t>transmembrane</w:t>
      </w:r>
      <w:proofErr w:type="spellEnd"/>
      <w:r w:rsidRPr="006A2F51">
        <w:rPr>
          <w:rFonts w:ascii="Times New Roman" w:hAnsi="Times New Roman"/>
          <w:sz w:val="18"/>
          <w:szCs w:val="18"/>
        </w:rPr>
        <w:t xml:space="preserve"> conductance regulator</w:t>
      </w:r>
    </w:p>
    <w:p w:rsidR="00D73213" w:rsidRDefault="00D73213" w:rsidP="00273947">
      <w:pPr>
        <w:pStyle w:val="Tabletext"/>
        <w:spacing w:after="240"/>
        <w:rPr>
          <w:rFonts w:ascii="Times New Roman" w:hAnsi="Times New Roman"/>
          <w:sz w:val="24"/>
        </w:rPr>
      </w:pPr>
      <w:r>
        <w:rPr>
          <w:rFonts w:ascii="Times New Roman" w:hAnsi="Times New Roman"/>
          <w:sz w:val="24"/>
        </w:rPr>
        <w:t>The applicant’s pre</w:t>
      </w:r>
      <w:r w:rsidR="0009178D">
        <w:rPr>
          <w:rFonts w:ascii="Times New Roman" w:hAnsi="Times New Roman"/>
          <w:sz w:val="24"/>
        </w:rPr>
        <w:t>-</w:t>
      </w:r>
      <w:r>
        <w:rPr>
          <w:rFonts w:ascii="Times New Roman" w:hAnsi="Times New Roman"/>
          <w:sz w:val="24"/>
        </w:rPr>
        <w:t>MSAC response noted that the descriptors do not refer to test sensitivity which may allow diagnostic laboratories to test for any number of pathogenic variants (from two variants to the whole gene). The</w:t>
      </w:r>
      <w:r w:rsidRPr="00D73213">
        <w:rPr>
          <w:rFonts w:ascii="Times New Roman" w:hAnsi="Times New Roman"/>
          <w:sz w:val="24"/>
        </w:rPr>
        <w:t xml:space="preserve"> application suggested that the testing laboratory use a</w:t>
      </w:r>
      <w:r>
        <w:rPr>
          <w:rFonts w:ascii="Times New Roman" w:hAnsi="Times New Roman"/>
          <w:sz w:val="24"/>
        </w:rPr>
        <w:t xml:space="preserve"> </w:t>
      </w:r>
      <w:r w:rsidRPr="00D73213">
        <w:rPr>
          <w:rFonts w:ascii="Times New Roman" w:hAnsi="Times New Roman"/>
          <w:sz w:val="24"/>
        </w:rPr>
        <w:t>testing method that can detect at least 95% of pathogenic CFTR variants prevalent in t</w:t>
      </w:r>
      <w:r>
        <w:rPr>
          <w:rFonts w:ascii="Times New Roman" w:hAnsi="Times New Roman"/>
          <w:sz w:val="24"/>
        </w:rPr>
        <w:t xml:space="preserve">he </w:t>
      </w:r>
      <w:r w:rsidRPr="00D73213">
        <w:rPr>
          <w:rFonts w:ascii="Times New Roman" w:hAnsi="Times New Roman"/>
          <w:sz w:val="24"/>
        </w:rPr>
        <w:t>Australian population</w:t>
      </w:r>
      <w:r>
        <w:rPr>
          <w:rFonts w:ascii="Times New Roman" w:hAnsi="Times New Roman"/>
          <w:sz w:val="24"/>
        </w:rPr>
        <w:t xml:space="preserve">. </w:t>
      </w:r>
    </w:p>
    <w:p w:rsidR="00D73213" w:rsidRPr="00D73213" w:rsidRDefault="00D73213" w:rsidP="00D73213">
      <w:pPr>
        <w:pStyle w:val="Tabletext"/>
        <w:rPr>
          <w:rFonts w:ascii="Times New Roman" w:hAnsi="Times New Roman"/>
          <w:sz w:val="24"/>
        </w:rPr>
      </w:pPr>
      <w:r>
        <w:rPr>
          <w:rFonts w:ascii="Times New Roman" w:hAnsi="Times New Roman"/>
          <w:sz w:val="24"/>
        </w:rPr>
        <w:t>The applicant’s pre</w:t>
      </w:r>
      <w:r w:rsidR="0009178D">
        <w:rPr>
          <w:rFonts w:ascii="Times New Roman" w:hAnsi="Times New Roman"/>
          <w:sz w:val="24"/>
        </w:rPr>
        <w:t>-</w:t>
      </w:r>
      <w:r>
        <w:rPr>
          <w:rFonts w:ascii="Times New Roman" w:hAnsi="Times New Roman"/>
          <w:sz w:val="24"/>
        </w:rPr>
        <w:t xml:space="preserve">MSAC response also noted that </w:t>
      </w:r>
      <w:r w:rsidRPr="00D73213">
        <w:rPr>
          <w:rFonts w:ascii="Times New Roman" w:hAnsi="Times New Roman"/>
          <w:sz w:val="24"/>
        </w:rPr>
        <w:t>the</w:t>
      </w:r>
      <w:r>
        <w:rPr>
          <w:rFonts w:ascii="Times New Roman" w:hAnsi="Times New Roman"/>
          <w:sz w:val="24"/>
        </w:rPr>
        <w:t xml:space="preserve"> fifth</w:t>
      </w:r>
      <w:r w:rsidRPr="00D73213">
        <w:rPr>
          <w:rFonts w:ascii="Times New Roman" w:hAnsi="Times New Roman"/>
          <w:sz w:val="24"/>
        </w:rPr>
        <w:t xml:space="preserve"> item in </w:t>
      </w:r>
      <w:r w:rsidR="0009178D">
        <w:rPr>
          <w:rFonts w:ascii="Times New Roman" w:hAnsi="Times New Roman"/>
          <w:sz w:val="24"/>
        </w:rPr>
        <w:t>T</w:t>
      </w:r>
      <w:r w:rsidRPr="00D73213">
        <w:rPr>
          <w:rFonts w:ascii="Times New Roman" w:hAnsi="Times New Roman"/>
          <w:sz w:val="24"/>
        </w:rPr>
        <w:t xml:space="preserve">able 1 </w:t>
      </w:r>
      <w:r>
        <w:rPr>
          <w:rFonts w:ascii="Times New Roman" w:hAnsi="Times New Roman"/>
          <w:sz w:val="24"/>
        </w:rPr>
        <w:t>seems</w:t>
      </w:r>
      <w:r w:rsidRPr="00D73213">
        <w:rPr>
          <w:rFonts w:ascii="Times New Roman" w:hAnsi="Times New Roman"/>
          <w:sz w:val="24"/>
        </w:rPr>
        <w:t xml:space="preserve"> to a</w:t>
      </w:r>
      <w:r>
        <w:rPr>
          <w:rFonts w:ascii="Times New Roman" w:hAnsi="Times New Roman"/>
          <w:sz w:val="24"/>
        </w:rPr>
        <w:t xml:space="preserve">llow paying $500 for testing an </w:t>
      </w:r>
      <w:r w:rsidRPr="00D73213">
        <w:rPr>
          <w:rFonts w:ascii="Times New Roman" w:hAnsi="Times New Roman"/>
          <w:sz w:val="24"/>
        </w:rPr>
        <w:t>individual who is already known to have pathogenic mut</w:t>
      </w:r>
      <w:r>
        <w:rPr>
          <w:rFonts w:ascii="Times New Roman" w:hAnsi="Times New Roman"/>
          <w:sz w:val="24"/>
        </w:rPr>
        <w:t xml:space="preserve">ation(s). The intent for this item was </w:t>
      </w:r>
      <w:r w:rsidRPr="00D73213">
        <w:rPr>
          <w:rFonts w:ascii="Times New Roman" w:hAnsi="Times New Roman"/>
          <w:sz w:val="24"/>
        </w:rPr>
        <w:t xml:space="preserve">to be limited to use for the partner of the person </w:t>
      </w:r>
      <w:r>
        <w:rPr>
          <w:rFonts w:ascii="Times New Roman" w:hAnsi="Times New Roman"/>
          <w:sz w:val="24"/>
        </w:rPr>
        <w:t xml:space="preserve">with known mutation(s), not the </w:t>
      </w:r>
      <w:r w:rsidRPr="00D73213">
        <w:rPr>
          <w:rFonts w:ascii="Times New Roman" w:hAnsi="Times New Roman"/>
          <w:sz w:val="24"/>
        </w:rPr>
        <w:t xml:space="preserve">person with known mutation(s) themselves. </w:t>
      </w:r>
    </w:p>
    <w:p w:rsidR="00954CB0" w:rsidRDefault="00BC1364" w:rsidP="00954CB0">
      <w:pPr>
        <w:pStyle w:val="Heading1"/>
      </w:pPr>
      <w:r w:rsidRPr="00F715D1">
        <w:t xml:space="preserve">Summary of </w:t>
      </w:r>
      <w:r w:rsidR="003D7F29" w:rsidRPr="00F715D1">
        <w:t>Public Consultation</w:t>
      </w:r>
      <w:r w:rsidRPr="00F715D1">
        <w:t xml:space="preserve"> Feedback</w:t>
      </w:r>
      <w:r w:rsidR="003D7F29" w:rsidRPr="00F715D1">
        <w:t>/Consumer Issues</w:t>
      </w:r>
    </w:p>
    <w:p w:rsidR="00F16A28" w:rsidRPr="00F16A28" w:rsidRDefault="00106C51" w:rsidP="00F16A28">
      <w:r>
        <w:t>See Public Summary Document for Application 1216 on the MSAC website.</w:t>
      </w:r>
    </w:p>
    <w:p w:rsidR="00BC1364" w:rsidRPr="00F715D1" w:rsidRDefault="00BC1364" w:rsidP="00F715D1">
      <w:pPr>
        <w:pStyle w:val="Heading1"/>
      </w:pPr>
      <w:r w:rsidRPr="00F715D1">
        <w:t>Proposed intervention’s place in clinical management</w:t>
      </w:r>
    </w:p>
    <w:p w:rsidR="00954CB0" w:rsidRPr="00545475" w:rsidRDefault="00F44E48" w:rsidP="00954CB0">
      <w:pPr>
        <w:tabs>
          <w:tab w:val="left" w:pos="720"/>
          <w:tab w:val="left" w:pos="1140"/>
        </w:tabs>
        <w:rPr>
          <w:szCs w:val="24"/>
        </w:rPr>
      </w:pPr>
      <w:r>
        <w:rPr>
          <w:szCs w:val="24"/>
        </w:rPr>
        <w:t xml:space="preserve">The application presented numerous clinical management algorithms for </w:t>
      </w:r>
      <w:r w:rsidR="00954CB0" w:rsidRPr="00545475">
        <w:rPr>
          <w:szCs w:val="24"/>
        </w:rPr>
        <w:t xml:space="preserve">CFTR testing across different populations </w:t>
      </w:r>
      <w:r>
        <w:rPr>
          <w:szCs w:val="24"/>
        </w:rPr>
        <w:t>to</w:t>
      </w:r>
      <w:r w:rsidR="00954CB0" w:rsidRPr="00545475">
        <w:rPr>
          <w:szCs w:val="24"/>
        </w:rPr>
        <w:t xml:space="preserve"> help define the place of the intervention in current and proposed clinical management. </w:t>
      </w:r>
    </w:p>
    <w:p w:rsidR="00BC1364" w:rsidRPr="00F715D1" w:rsidRDefault="00BC1364" w:rsidP="00F715D1">
      <w:pPr>
        <w:pStyle w:val="Heading1"/>
      </w:pPr>
      <w:r w:rsidRPr="00F715D1">
        <w:lastRenderedPageBreak/>
        <w:t xml:space="preserve">Comparator </w:t>
      </w:r>
    </w:p>
    <w:p w:rsidR="00954CB0" w:rsidRPr="002A1889" w:rsidRDefault="00A12DB5" w:rsidP="00954CB0">
      <w:pPr>
        <w:rPr>
          <w:szCs w:val="24"/>
        </w:rPr>
      </w:pPr>
      <w:r>
        <w:rPr>
          <w:color w:val="000000" w:themeColor="text1"/>
          <w:szCs w:val="24"/>
        </w:rPr>
        <w:t>The</w:t>
      </w:r>
      <w:r w:rsidR="00954CB0" w:rsidRPr="00545475">
        <w:rPr>
          <w:color w:val="000000" w:themeColor="text1"/>
          <w:szCs w:val="24"/>
        </w:rPr>
        <w:t xml:space="preserve"> comparator</w:t>
      </w:r>
      <w:r>
        <w:rPr>
          <w:color w:val="000000" w:themeColor="text1"/>
          <w:szCs w:val="24"/>
        </w:rPr>
        <w:t xml:space="preserve">, </w:t>
      </w:r>
      <w:r>
        <w:t>n</w:t>
      </w:r>
      <w:r w:rsidRPr="00187D09">
        <w:t>o prenatal CFTR mutation testing</w:t>
      </w:r>
      <w:r>
        <w:t>,</w:t>
      </w:r>
      <w:r w:rsidR="00954CB0" w:rsidRPr="00545475">
        <w:rPr>
          <w:color w:val="000000" w:themeColor="text1"/>
          <w:szCs w:val="24"/>
        </w:rPr>
        <w:t xml:space="preserve"> is identical to </w:t>
      </w:r>
      <w:r w:rsidR="00681126">
        <w:rPr>
          <w:color w:val="000000" w:themeColor="text1"/>
          <w:szCs w:val="24"/>
        </w:rPr>
        <w:t>the previous Application</w:t>
      </w:r>
      <w:r w:rsidR="00954CB0" w:rsidRPr="00545475">
        <w:rPr>
          <w:color w:val="000000" w:themeColor="text1"/>
          <w:szCs w:val="24"/>
        </w:rPr>
        <w:t xml:space="preserve"> 1216. In the economic analysis, ‘current clinical practice’ is the nominated comparator.</w:t>
      </w:r>
    </w:p>
    <w:p w:rsidR="00BC1364" w:rsidRPr="00F715D1" w:rsidRDefault="00BC1364" w:rsidP="00F715D1">
      <w:pPr>
        <w:pStyle w:val="Heading1"/>
      </w:pPr>
      <w:r w:rsidRPr="00F715D1">
        <w:t>Comparative safety</w:t>
      </w:r>
    </w:p>
    <w:p w:rsidR="00954CB0" w:rsidRPr="00273947" w:rsidRDefault="00954CB0" w:rsidP="00273947">
      <w:pPr>
        <w:spacing w:after="240"/>
      </w:pPr>
      <w:r w:rsidRPr="00545475">
        <w:t>All studies were non-comparative and could not address the question of safety and effectiveness of cascade testing compared to no testing.</w:t>
      </w:r>
    </w:p>
    <w:p w:rsidR="00EA5D2A" w:rsidRDefault="00954CB0" w:rsidP="00273947">
      <w:pPr>
        <w:spacing w:after="240"/>
        <w:rPr>
          <w:szCs w:val="24"/>
        </w:rPr>
      </w:pPr>
      <w:r w:rsidRPr="00545475">
        <w:rPr>
          <w:szCs w:val="24"/>
        </w:rPr>
        <w:t>A small body of evidence investigating the psychological impacts of testing and being a carrier found that a positive test result on cascade carrier testing is a shock for most people. However, with adequate time to process the information prior to reproductive decisions, anxiety levels soon approximate anxiety levels among non-carriers.</w:t>
      </w:r>
      <w:r>
        <w:rPr>
          <w:szCs w:val="24"/>
        </w:rPr>
        <w:t xml:space="preserve"> </w:t>
      </w:r>
      <w:r w:rsidRPr="00545475">
        <w:rPr>
          <w:szCs w:val="24"/>
        </w:rPr>
        <w:t>As testing and knowing carrier status can have psychological effects, it is important to ensure appropriate counselling and supports are in place around a testing program.</w:t>
      </w:r>
    </w:p>
    <w:p w:rsidR="00F3380C" w:rsidRDefault="00EA5D2A" w:rsidP="00954CB0">
      <w:r>
        <w:t>Cascade testing is likely to have slightly inferior safety in terms of psychological impact of testing and possible advers</w:t>
      </w:r>
      <w:r w:rsidR="00F3380C">
        <w:t>e events and consequences from prenatal diagnosis (PND)</w:t>
      </w:r>
      <w:r>
        <w:t xml:space="preserve">, </w:t>
      </w:r>
    </w:p>
    <w:p w:rsidR="00EA5D2A" w:rsidRPr="00545475" w:rsidRDefault="00F3380C" w:rsidP="00954CB0">
      <w:pPr>
        <w:rPr>
          <w:szCs w:val="24"/>
        </w:rPr>
      </w:pPr>
      <w:proofErr w:type="gramStart"/>
      <w:r>
        <w:t>pre-implantation</w:t>
      </w:r>
      <w:proofErr w:type="gramEnd"/>
      <w:r>
        <w:t xml:space="preserve"> genetic diagnosis (</w:t>
      </w:r>
      <w:r w:rsidR="00EA5D2A">
        <w:t>PGD</w:t>
      </w:r>
      <w:r>
        <w:t>)</w:t>
      </w:r>
      <w:r w:rsidR="00EA5D2A">
        <w:t xml:space="preserve"> and termination of pregnancy (TOP) as a result of being identified as a carrier.</w:t>
      </w:r>
    </w:p>
    <w:p w:rsidR="00954CB0" w:rsidRPr="00681126" w:rsidRDefault="00BC1364" w:rsidP="00954CB0">
      <w:pPr>
        <w:pStyle w:val="Heading1"/>
      </w:pPr>
      <w:r w:rsidRPr="00F715D1">
        <w:t>Comparative effectiveness</w:t>
      </w:r>
    </w:p>
    <w:p w:rsidR="002B0B81" w:rsidRPr="00273947" w:rsidRDefault="002B0B81" w:rsidP="00273947">
      <w:pPr>
        <w:spacing w:after="240"/>
        <w:jc w:val="both"/>
      </w:pPr>
      <w:r>
        <w:t xml:space="preserve">No studies were identified assessing </w:t>
      </w:r>
      <w:r>
        <w:rPr>
          <w:snapToGrid w:val="0"/>
        </w:rPr>
        <w:t>comparative diagnostic performance in the appropriate population.</w:t>
      </w:r>
    </w:p>
    <w:p w:rsidR="002B0B81" w:rsidRPr="00635005" w:rsidRDefault="002B0B81" w:rsidP="00635005">
      <w:pPr>
        <w:spacing w:after="240"/>
      </w:pPr>
      <w:r w:rsidRPr="00635005">
        <w:t>For therapeutic effectiveness (health benefit from change in management)</w:t>
      </w:r>
      <w:bookmarkStart w:id="3" w:name="_Toc395200751"/>
      <w:bookmarkStart w:id="4" w:name="_Toc379118059"/>
      <w:bookmarkStart w:id="5" w:name="_Toc379118251"/>
      <w:bookmarkStart w:id="6" w:name="_Toc381796435"/>
      <w:r w:rsidRPr="00635005">
        <w:t>, the largest study (n = 240) had consistently better PGD outcomes than the smaller studies, which increased the weighted average. The results showed that a live unaffected birth was the outcome in 36.6% of PGD cycles, and the average number of cycles per couple was between 1 and 2.15. Although no comparative studies were identified, it cannot be assumed that the comparator (no PGD) would be associated with CF births, as couples have other alternatives such as PND, not having children or adopting.</w:t>
      </w:r>
    </w:p>
    <w:p w:rsidR="00954CB0" w:rsidRPr="00273947" w:rsidRDefault="002B0B81" w:rsidP="00273947">
      <w:pPr>
        <w:spacing w:after="240"/>
      </w:pPr>
      <w:r>
        <w:t>Overall, carrier testing is likely to have an impact on future reproductive choices, and it is likely to result in fewer CF-affected children being born. However, given that the acceptability between reproductive options varies (</w:t>
      </w:r>
      <w:proofErr w:type="spellStart"/>
      <w:r>
        <w:t>ie</w:t>
      </w:r>
      <w:proofErr w:type="spellEnd"/>
      <w:r>
        <w:t>. PGD, termination) it cannot be assumed that every couple will make the same decision when armed with the same information.</w:t>
      </w:r>
      <w:bookmarkEnd w:id="3"/>
      <w:bookmarkEnd w:id="4"/>
      <w:bookmarkEnd w:id="5"/>
      <w:bookmarkEnd w:id="6"/>
    </w:p>
    <w:p w:rsidR="00EA5D2A" w:rsidRPr="00273947" w:rsidRDefault="00EA5D2A" w:rsidP="00954CB0">
      <w:pPr>
        <w:rPr>
          <w:szCs w:val="24"/>
          <w:u w:val="single"/>
        </w:rPr>
      </w:pPr>
      <w:r w:rsidRPr="00273947">
        <w:rPr>
          <w:szCs w:val="24"/>
          <w:u w:val="single"/>
        </w:rPr>
        <w:t xml:space="preserve">Clinical </w:t>
      </w:r>
      <w:r w:rsidR="0009178D" w:rsidRPr="00273947">
        <w:rPr>
          <w:szCs w:val="24"/>
          <w:u w:val="single"/>
        </w:rPr>
        <w:t>c</w:t>
      </w:r>
      <w:r w:rsidRPr="00273947">
        <w:rPr>
          <w:szCs w:val="24"/>
          <w:u w:val="single"/>
        </w:rPr>
        <w:t>laim</w:t>
      </w:r>
    </w:p>
    <w:p w:rsidR="00EA5D2A" w:rsidRPr="00545475" w:rsidRDefault="00EA5D2A" w:rsidP="00EA5D2A">
      <w:pPr>
        <w:spacing w:before="120"/>
        <w:rPr>
          <w:szCs w:val="24"/>
        </w:rPr>
      </w:pPr>
      <w:r>
        <w:t>Cascade carrier testing offers relatives of people with at least one known CFTR mutation the opportunity to determine their mutation status and make informed reproductive choices.</w:t>
      </w:r>
    </w:p>
    <w:p w:rsidR="00BC1364" w:rsidRPr="00F715D1" w:rsidRDefault="00BC1364" w:rsidP="00F715D1">
      <w:pPr>
        <w:pStyle w:val="Heading1"/>
      </w:pPr>
      <w:r w:rsidRPr="00F715D1">
        <w:t>Economic evaluation</w:t>
      </w:r>
    </w:p>
    <w:p w:rsidR="007C3438" w:rsidRPr="00545475" w:rsidRDefault="007C3438" w:rsidP="00273947">
      <w:pPr>
        <w:shd w:val="clear" w:color="auto" w:fill="FFFFFF" w:themeFill="background1"/>
        <w:rPr>
          <w:szCs w:val="24"/>
        </w:rPr>
      </w:pPr>
      <w:r w:rsidRPr="00545475">
        <w:rPr>
          <w:szCs w:val="24"/>
        </w:rPr>
        <w:t xml:space="preserve">For each of the proposed listings, two economic analyses </w:t>
      </w:r>
      <w:r w:rsidR="0009178D">
        <w:rPr>
          <w:szCs w:val="24"/>
        </w:rPr>
        <w:t>we</w:t>
      </w:r>
      <w:r w:rsidRPr="00545475">
        <w:rPr>
          <w:szCs w:val="24"/>
        </w:rPr>
        <w:t>re presented. The first set of analyses, in the main body of the report, compare the proposed MBS listings to a scenario where no CFTR testing is available, to identify the inherent value of CFTR tes</w:t>
      </w:r>
      <w:r w:rsidR="002B0B81">
        <w:rPr>
          <w:szCs w:val="24"/>
        </w:rPr>
        <w:t xml:space="preserve">ting. A second set of analyses </w:t>
      </w:r>
      <w:r w:rsidRPr="00545475">
        <w:rPr>
          <w:szCs w:val="24"/>
        </w:rPr>
        <w:t>compare the proposed MBS-funded listings to current CFTR testing practice in State government funded or private practice.</w:t>
      </w:r>
    </w:p>
    <w:p w:rsidR="007C3438" w:rsidRPr="00545475" w:rsidRDefault="007C3438" w:rsidP="007C3438">
      <w:r w:rsidRPr="00545475">
        <w:lastRenderedPageBreak/>
        <w:t xml:space="preserve">For the collective use of proposed listings 1, 4, 5 and 6, the ICER </w:t>
      </w:r>
      <w:r w:rsidR="0009178D">
        <w:t>wa</w:t>
      </w:r>
      <w:r w:rsidRPr="00545475">
        <w:t xml:space="preserve">s estimated as $194,941 per CF birth averted. For the concurrent use of the proposed listings 2 and 3, the ICER </w:t>
      </w:r>
      <w:r w:rsidR="0009178D">
        <w:t>wa</w:t>
      </w:r>
      <w:r w:rsidRPr="00545475">
        <w:t xml:space="preserve">s estimated as $85,323 per CF birth averted. </w:t>
      </w:r>
    </w:p>
    <w:p w:rsidR="00BC1364" w:rsidRPr="00F715D1" w:rsidRDefault="00BC1364" w:rsidP="007C3438">
      <w:pPr>
        <w:pStyle w:val="Heading1"/>
      </w:pPr>
      <w:r w:rsidRPr="00F715D1">
        <w:t>Financial/budgetary impacts</w:t>
      </w:r>
    </w:p>
    <w:p w:rsidR="00765E6A" w:rsidRDefault="00765E6A" w:rsidP="00273947">
      <w:pPr>
        <w:spacing w:after="240"/>
      </w:pPr>
      <w:r w:rsidRPr="00AB3B6E">
        <w:t>The estimated use of CFTR testing</w:t>
      </w:r>
      <w:r>
        <w:t xml:space="preserve"> and associated MBS expenditure of </w:t>
      </w:r>
      <w:r w:rsidRPr="00AB3B6E">
        <w:t xml:space="preserve">the proposed MBS listings is shown in </w:t>
      </w:r>
      <w:r w:rsidR="00E03AB7">
        <w:t>Table 2</w:t>
      </w:r>
      <w:r>
        <w:t>.</w:t>
      </w:r>
      <w:r w:rsidRPr="00AB3B6E">
        <w:t xml:space="preserve"> </w:t>
      </w:r>
    </w:p>
    <w:p w:rsidR="00765E6A" w:rsidRPr="00635005" w:rsidRDefault="00765E6A" w:rsidP="00635005">
      <w:pPr>
        <w:rPr>
          <w:rFonts w:ascii="Arial Narrow" w:hAnsi="Arial Narrow"/>
          <w:b/>
          <w:sz w:val="20"/>
        </w:rPr>
      </w:pPr>
      <w:bookmarkStart w:id="7" w:name="_Ref471293717"/>
      <w:bookmarkStart w:id="8" w:name="_Toc471398369"/>
      <w:r w:rsidRPr="00635005">
        <w:rPr>
          <w:rFonts w:ascii="Arial Narrow" w:hAnsi="Arial Narrow"/>
          <w:b/>
          <w:sz w:val="20"/>
        </w:rPr>
        <w:t xml:space="preserve">Table </w:t>
      </w:r>
      <w:bookmarkEnd w:id="7"/>
      <w:r w:rsidR="00E03AB7" w:rsidRPr="00635005">
        <w:rPr>
          <w:rFonts w:ascii="Arial Narrow" w:hAnsi="Arial Narrow"/>
          <w:b/>
          <w:sz w:val="20"/>
        </w:rPr>
        <w:t>2</w:t>
      </w:r>
      <w:r w:rsidRPr="00635005">
        <w:rPr>
          <w:rFonts w:ascii="Arial Narrow" w:hAnsi="Arial Narrow"/>
          <w:b/>
          <w:sz w:val="20"/>
        </w:rPr>
        <w:tab/>
        <w:t>Projected numbers of CFTR tests associated with each proposed listing, and associated MBS costs</w:t>
      </w:r>
      <w:bookmarkEnd w:id="8"/>
    </w:p>
    <w:tbl>
      <w:tblPr>
        <w:tblStyle w:val="TableGrid"/>
        <w:tblW w:w="4950" w:type="pct"/>
        <w:tblLayout w:type="fixed"/>
        <w:tblLook w:val="01E0" w:firstRow="1" w:lastRow="1" w:firstColumn="1" w:lastColumn="1" w:noHBand="0" w:noVBand="0"/>
        <w:tblDescription w:val="Estimates of the number of CFTR tests associated with each proposed MBS listing and the estimated total cost to the MBS over the period 2017 to 2021"/>
      </w:tblPr>
      <w:tblGrid>
        <w:gridCol w:w="3628"/>
        <w:gridCol w:w="1104"/>
        <w:gridCol w:w="1104"/>
        <w:gridCol w:w="1106"/>
        <w:gridCol w:w="1103"/>
        <w:gridCol w:w="1105"/>
      </w:tblGrid>
      <w:tr w:rsidR="00765E6A" w:rsidRPr="00C853A0" w:rsidTr="00635005">
        <w:trPr>
          <w:trHeight w:val="20"/>
          <w:tblHeader/>
        </w:trPr>
        <w:tc>
          <w:tcPr>
            <w:tcW w:w="1982" w:type="pct"/>
          </w:tcPr>
          <w:p w:rsidR="00765E6A" w:rsidRPr="00C853A0" w:rsidRDefault="00765E6A" w:rsidP="006B4421">
            <w:pPr>
              <w:keepNext/>
              <w:keepLines/>
              <w:spacing w:before="40" w:after="40"/>
              <w:rPr>
                <w:rFonts w:ascii="Arial Narrow" w:hAnsi="Arial Narrow"/>
                <w:b/>
                <w:sz w:val="20"/>
              </w:rPr>
            </w:pPr>
          </w:p>
        </w:tc>
        <w:tc>
          <w:tcPr>
            <w:tcW w:w="603" w:type="pct"/>
          </w:tcPr>
          <w:p w:rsidR="00765E6A" w:rsidRPr="00C853A0" w:rsidRDefault="00765E6A" w:rsidP="006B4421">
            <w:pPr>
              <w:keepNext/>
              <w:keepLines/>
              <w:spacing w:before="40" w:after="40"/>
              <w:jc w:val="center"/>
              <w:rPr>
                <w:rFonts w:ascii="Arial Narrow" w:hAnsi="Arial Narrow"/>
                <w:b/>
                <w:sz w:val="20"/>
              </w:rPr>
            </w:pPr>
            <w:r w:rsidRPr="00C853A0">
              <w:rPr>
                <w:rFonts w:ascii="Arial Narrow" w:hAnsi="Arial Narrow"/>
                <w:b/>
                <w:sz w:val="20"/>
              </w:rPr>
              <w:t>2017</w:t>
            </w:r>
          </w:p>
        </w:tc>
        <w:tc>
          <w:tcPr>
            <w:tcW w:w="603" w:type="pct"/>
          </w:tcPr>
          <w:p w:rsidR="00765E6A" w:rsidRPr="00C853A0" w:rsidRDefault="00765E6A" w:rsidP="006B4421">
            <w:pPr>
              <w:keepNext/>
              <w:keepLines/>
              <w:spacing w:before="40" w:after="40"/>
              <w:jc w:val="center"/>
              <w:rPr>
                <w:rFonts w:ascii="Arial Narrow" w:hAnsi="Arial Narrow"/>
                <w:b/>
                <w:sz w:val="20"/>
              </w:rPr>
            </w:pPr>
            <w:r w:rsidRPr="00C853A0">
              <w:rPr>
                <w:rFonts w:ascii="Arial Narrow" w:hAnsi="Arial Narrow"/>
                <w:b/>
                <w:sz w:val="20"/>
              </w:rPr>
              <w:t>2018</w:t>
            </w:r>
          </w:p>
        </w:tc>
        <w:tc>
          <w:tcPr>
            <w:tcW w:w="604" w:type="pct"/>
          </w:tcPr>
          <w:p w:rsidR="00765E6A" w:rsidRPr="00C853A0" w:rsidRDefault="00765E6A" w:rsidP="006B4421">
            <w:pPr>
              <w:keepNext/>
              <w:keepLines/>
              <w:spacing w:before="40" w:after="40"/>
              <w:jc w:val="center"/>
              <w:rPr>
                <w:rFonts w:ascii="Arial Narrow" w:hAnsi="Arial Narrow"/>
                <w:b/>
                <w:sz w:val="20"/>
              </w:rPr>
            </w:pPr>
            <w:r w:rsidRPr="00C853A0">
              <w:rPr>
                <w:rFonts w:ascii="Arial Narrow" w:hAnsi="Arial Narrow"/>
                <w:b/>
                <w:sz w:val="20"/>
              </w:rPr>
              <w:t>2019</w:t>
            </w:r>
          </w:p>
        </w:tc>
        <w:tc>
          <w:tcPr>
            <w:tcW w:w="603" w:type="pct"/>
          </w:tcPr>
          <w:p w:rsidR="00765E6A" w:rsidRPr="00C853A0" w:rsidRDefault="00765E6A" w:rsidP="006B4421">
            <w:pPr>
              <w:keepNext/>
              <w:keepLines/>
              <w:spacing w:before="40" w:after="40"/>
              <w:jc w:val="center"/>
              <w:rPr>
                <w:rFonts w:ascii="Arial Narrow" w:hAnsi="Arial Narrow"/>
                <w:b/>
                <w:sz w:val="20"/>
              </w:rPr>
            </w:pPr>
            <w:r w:rsidRPr="00C853A0">
              <w:rPr>
                <w:rFonts w:ascii="Arial Narrow" w:hAnsi="Arial Narrow"/>
                <w:b/>
                <w:sz w:val="20"/>
              </w:rPr>
              <w:t>2020</w:t>
            </w:r>
          </w:p>
        </w:tc>
        <w:tc>
          <w:tcPr>
            <w:tcW w:w="604" w:type="pct"/>
          </w:tcPr>
          <w:p w:rsidR="00765E6A" w:rsidRPr="00C853A0" w:rsidRDefault="00765E6A" w:rsidP="006B4421">
            <w:pPr>
              <w:keepNext/>
              <w:keepLines/>
              <w:spacing w:before="40" w:after="40"/>
              <w:jc w:val="center"/>
              <w:rPr>
                <w:rFonts w:ascii="Arial Narrow" w:hAnsi="Arial Narrow"/>
                <w:b/>
                <w:sz w:val="20"/>
              </w:rPr>
            </w:pPr>
            <w:r w:rsidRPr="00C853A0">
              <w:rPr>
                <w:rFonts w:ascii="Arial Narrow" w:hAnsi="Arial Narrow"/>
                <w:b/>
                <w:sz w:val="20"/>
              </w:rPr>
              <w:t>2021</w:t>
            </w:r>
          </w:p>
        </w:tc>
      </w:tr>
      <w:tr w:rsidR="00765E6A" w:rsidRPr="00C853A0" w:rsidTr="00635005">
        <w:trPr>
          <w:trHeight w:val="20"/>
        </w:trPr>
        <w:tc>
          <w:tcPr>
            <w:tcW w:w="1982" w:type="pct"/>
          </w:tcPr>
          <w:p w:rsidR="00765E6A" w:rsidRPr="00C853A0" w:rsidRDefault="00765E6A" w:rsidP="006B4421">
            <w:pPr>
              <w:keepNext/>
              <w:keepLines/>
              <w:tabs>
                <w:tab w:val="left" w:pos="3150"/>
              </w:tabs>
              <w:spacing w:before="40" w:after="40"/>
              <w:rPr>
                <w:rFonts w:ascii="Arial Narrow" w:hAnsi="Arial Narrow"/>
                <w:sz w:val="20"/>
              </w:rPr>
            </w:pPr>
            <w:r w:rsidRPr="000B61EB">
              <w:rPr>
                <w:rFonts w:ascii="Arial Narrow" w:hAnsi="Arial Narrow"/>
                <w:b/>
                <w:sz w:val="20"/>
                <w:u w:val="single"/>
              </w:rPr>
              <w:t>Listing 1</w:t>
            </w:r>
            <w:r w:rsidRPr="000B61EB">
              <w:rPr>
                <w:rFonts w:ascii="Arial Narrow" w:hAnsi="Arial Narrow"/>
                <w:b/>
                <w:sz w:val="20"/>
              </w:rPr>
              <w:t>:</w:t>
            </w:r>
            <w:r>
              <w:rPr>
                <w:rFonts w:ascii="Arial Narrow" w:hAnsi="Arial Narrow"/>
                <w:sz w:val="20"/>
              </w:rPr>
              <w:t xml:space="preserve"> for diagnosis of index cases</w:t>
            </w:r>
          </w:p>
        </w:tc>
        <w:tc>
          <w:tcPr>
            <w:tcW w:w="603" w:type="pct"/>
          </w:tcPr>
          <w:p w:rsidR="00765E6A" w:rsidRPr="0003152F" w:rsidRDefault="00765E6A" w:rsidP="006B4421">
            <w:pPr>
              <w:pStyle w:val="TableText0"/>
              <w:keepLines/>
              <w:jc w:val="right"/>
            </w:pPr>
            <w:r w:rsidRPr="0003152F">
              <w:t>1,105</w:t>
            </w:r>
          </w:p>
        </w:tc>
        <w:tc>
          <w:tcPr>
            <w:tcW w:w="603" w:type="pct"/>
          </w:tcPr>
          <w:p w:rsidR="00765E6A" w:rsidRPr="0003152F" w:rsidRDefault="00765E6A" w:rsidP="006B4421">
            <w:pPr>
              <w:pStyle w:val="TableText0"/>
              <w:keepLines/>
              <w:jc w:val="right"/>
            </w:pPr>
            <w:r w:rsidRPr="0003152F">
              <w:t>1,110</w:t>
            </w:r>
          </w:p>
        </w:tc>
        <w:tc>
          <w:tcPr>
            <w:tcW w:w="604" w:type="pct"/>
          </w:tcPr>
          <w:p w:rsidR="00765E6A" w:rsidRPr="0003152F" w:rsidRDefault="00765E6A" w:rsidP="006B4421">
            <w:pPr>
              <w:pStyle w:val="TableText0"/>
              <w:keepLines/>
              <w:jc w:val="right"/>
            </w:pPr>
            <w:r w:rsidRPr="0003152F">
              <w:t>1,114</w:t>
            </w:r>
          </w:p>
        </w:tc>
        <w:tc>
          <w:tcPr>
            <w:tcW w:w="603" w:type="pct"/>
          </w:tcPr>
          <w:p w:rsidR="00765E6A" w:rsidRPr="0003152F" w:rsidRDefault="00765E6A" w:rsidP="006B4421">
            <w:pPr>
              <w:pStyle w:val="TableText0"/>
              <w:keepLines/>
              <w:jc w:val="right"/>
            </w:pPr>
            <w:r w:rsidRPr="0003152F">
              <w:t>1,119</w:t>
            </w:r>
          </w:p>
        </w:tc>
        <w:tc>
          <w:tcPr>
            <w:tcW w:w="604" w:type="pct"/>
          </w:tcPr>
          <w:p w:rsidR="00765E6A" w:rsidRPr="0003152F" w:rsidRDefault="00765E6A" w:rsidP="006B4421">
            <w:pPr>
              <w:pStyle w:val="TableText0"/>
              <w:keepLines/>
              <w:jc w:val="right"/>
            </w:pPr>
            <w:r w:rsidRPr="0003152F">
              <w:t>1,123</w:t>
            </w:r>
          </w:p>
        </w:tc>
      </w:tr>
      <w:tr w:rsidR="00765E6A" w:rsidRPr="00C853A0" w:rsidTr="00635005">
        <w:trPr>
          <w:trHeight w:val="20"/>
        </w:trPr>
        <w:tc>
          <w:tcPr>
            <w:tcW w:w="1982" w:type="pct"/>
          </w:tcPr>
          <w:p w:rsidR="00765E6A" w:rsidRDefault="00765E6A" w:rsidP="006B4421">
            <w:pPr>
              <w:keepNext/>
              <w:keepLines/>
              <w:tabs>
                <w:tab w:val="left" w:pos="3150"/>
              </w:tabs>
              <w:spacing w:before="40" w:after="40"/>
              <w:rPr>
                <w:rFonts w:ascii="Arial Narrow" w:hAnsi="Arial Narrow"/>
                <w:sz w:val="20"/>
              </w:rPr>
            </w:pPr>
            <w:r>
              <w:rPr>
                <w:rFonts w:ascii="Arial Narrow" w:hAnsi="Arial Narrow"/>
                <w:sz w:val="20"/>
              </w:rPr>
              <w:t>MBS costs (85% of fee): $425/test</w:t>
            </w:r>
          </w:p>
        </w:tc>
        <w:tc>
          <w:tcPr>
            <w:tcW w:w="603" w:type="pct"/>
          </w:tcPr>
          <w:p w:rsidR="00765E6A" w:rsidRPr="0003152F" w:rsidRDefault="00765E6A" w:rsidP="006B4421">
            <w:pPr>
              <w:pStyle w:val="TableText0"/>
              <w:keepLines/>
              <w:jc w:val="right"/>
            </w:pPr>
            <w:r>
              <w:rPr>
                <w:color w:val="000000"/>
              </w:rPr>
              <w:t>$469,625</w:t>
            </w:r>
          </w:p>
        </w:tc>
        <w:tc>
          <w:tcPr>
            <w:tcW w:w="603" w:type="pct"/>
          </w:tcPr>
          <w:p w:rsidR="00765E6A" w:rsidRPr="0003152F" w:rsidRDefault="00765E6A" w:rsidP="006B4421">
            <w:pPr>
              <w:pStyle w:val="TableText0"/>
              <w:keepLines/>
              <w:jc w:val="right"/>
            </w:pPr>
            <w:r>
              <w:rPr>
                <w:color w:val="000000"/>
              </w:rPr>
              <w:t>$471,750</w:t>
            </w:r>
          </w:p>
        </w:tc>
        <w:tc>
          <w:tcPr>
            <w:tcW w:w="604" w:type="pct"/>
          </w:tcPr>
          <w:p w:rsidR="00765E6A" w:rsidRPr="0003152F" w:rsidRDefault="00765E6A" w:rsidP="006B4421">
            <w:pPr>
              <w:pStyle w:val="TableText0"/>
              <w:keepLines/>
              <w:jc w:val="right"/>
            </w:pPr>
            <w:r>
              <w:rPr>
                <w:color w:val="000000"/>
              </w:rPr>
              <w:t>$473,450</w:t>
            </w:r>
          </w:p>
        </w:tc>
        <w:tc>
          <w:tcPr>
            <w:tcW w:w="603" w:type="pct"/>
          </w:tcPr>
          <w:p w:rsidR="00765E6A" w:rsidRPr="0003152F" w:rsidRDefault="00765E6A" w:rsidP="006B4421">
            <w:pPr>
              <w:pStyle w:val="TableText0"/>
              <w:keepLines/>
              <w:jc w:val="right"/>
            </w:pPr>
            <w:r>
              <w:rPr>
                <w:color w:val="000000"/>
              </w:rPr>
              <w:t>$475,575</w:t>
            </w:r>
          </w:p>
        </w:tc>
        <w:tc>
          <w:tcPr>
            <w:tcW w:w="604" w:type="pct"/>
          </w:tcPr>
          <w:p w:rsidR="00765E6A" w:rsidRPr="0003152F" w:rsidRDefault="00765E6A" w:rsidP="006B4421">
            <w:pPr>
              <w:pStyle w:val="TableText0"/>
              <w:keepLines/>
              <w:jc w:val="right"/>
            </w:pPr>
            <w:r>
              <w:rPr>
                <w:color w:val="000000"/>
              </w:rPr>
              <w:t>$477,275</w:t>
            </w:r>
          </w:p>
        </w:tc>
      </w:tr>
      <w:tr w:rsidR="00765E6A" w:rsidRPr="00C853A0" w:rsidTr="00635005">
        <w:trPr>
          <w:trHeight w:val="20"/>
        </w:trPr>
        <w:tc>
          <w:tcPr>
            <w:tcW w:w="1982" w:type="pct"/>
          </w:tcPr>
          <w:p w:rsidR="00765E6A" w:rsidRPr="00C853A0" w:rsidRDefault="00765E6A" w:rsidP="006B4421">
            <w:pPr>
              <w:keepNext/>
              <w:keepLines/>
              <w:spacing w:before="40" w:after="40"/>
              <w:rPr>
                <w:rFonts w:ascii="Arial Narrow" w:hAnsi="Arial Narrow"/>
                <w:sz w:val="20"/>
              </w:rPr>
            </w:pPr>
            <w:r w:rsidRPr="000B61EB">
              <w:rPr>
                <w:rFonts w:ascii="Arial Narrow" w:hAnsi="Arial Narrow"/>
                <w:b/>
                <w:sz w:val="20"/>
                <w:u w:val="single"/>
              </w:rPr>
              <w:t>Listings 2 and 6</w:t>
            </w:r>
            <w:r>
              <w:rPr>
                <w:rFonts w:ascii="Arial Narrow" w:hAnsi="Arial Narrow"/>
                <w:sz w:val="20"/>
              </w:rPr>
              <w:t xml:space="preserve">: diagnosis of CF in a </w:t>
            </w:r>
            <w:proofErr w:type="spellStart"/>
            <w:r>
              <w:rPr>
                <w:rFonts w:ascii="Arial Narrow" w:hAnsi="Arial Narrow"/>
                <w:sz w:val="20"/>
              </w:rPr>
              <w:t>fetus</w:t>
            </w:r>
            <w:proofErr w:type="spellEnd"/>
            <w:r>
              <w:rPr>
                <w:rFonts w:ascii="Arial Narrow" w:hAnsi="Arial Narrow"/>
                <w:sz w:val="20"/>
              </w:rPr>
              <w:t xml:space="preserve"> with FEB or carrier parents</w:t>
            </w:r>
          </w:p>
        </w:tc>
        <w:tc>
          <w:tcPr>
            <w:tcW w:w="603" w:type="pct"/>
          </w:tcPr>
          <w:p w:rsidR="00765E6A" w:rsidRPr="0003152F" w:rsidRDefault="00765E6A" w:rsidP="006B4421">
            <w:pPr>
              <w:pStyle w:val="TableText0"/>
              <w:keepLines/>
              <w:jc w:val="right"/>
            </w:pPr>
            <w:r w:rsidRPr="0003152F">
              <w:t>224</w:t>
            </w:r>
          </w:p>
        </w:tc>
        <w:tc>
          <w:tcPr>
            <w:tcW w:w="603" w:type="pct"/>
          </w:tcPr>
          <w:p w:rsidR="00765E6A" w:rsidRPr="0003152F" w:rsidRDefault="00765E6A" w:rsidP="006B4421">
            <w:pPr>
              <w:pStyle w:val="TableText0"/>
              <w:keepLines/>
              <w:jc w:val="right"/>
            </w:pPr>
            <w:r w:rsidRPr="0003152F">
              <w:t>225</w:t>
            </w:r>
          </w:p>
        </w:tc>
        <w:tc>
          <w:tcPr>
            <w:tcW w:w="604" w:type="pct"/>
          </w:tcPr>
          <w:p w:rsidR="00765E6A" w:rsidRPr="0003152F" w:rsidRDefault="00765E6A" w:rsidP="006B4421">
            <w:pPr>
              <w:pStyle w:val="TableText0"/>
              <w:keepLines/>
              <w:jc w:val="right"/>
            </w:pPr>
            <w:r w:rsidRPr="0003152F">
              <w:t>226</w:t>
            </w:r>
          </w:p>
        </w:tc>
        <w:tc>
          <w:tcPr>
            <w:tcW w:w="603" w:type="pct"/>
          </w:tcPr>
          <w:p w:rsidR="00765E6A" w:rsidRPr="0003152F" w:rsidRDefault="00765E6A" w:rsidP="006B4421">
            <w:pPr>
              <w:pStyle w:val="TableText0"/>
              <w:keepLines/>
              <w:jc w:val="right"/>
            </w:pPr>
            <w:r w:rsidRPr="0003152F">
              <w:t>227</w:t>
            </w:r>
          </w:p>
        </w:tc>
        <w:tc>
          <w:tcPr>
            <w:tcW w:w="604" w:type="pct"/>
          </w:tcPr>
          <w:p w:rsidR="00765E6A" w:rsidRPr="0003152F" w:rsidRDefault="00765E6A" w:rsidP="006B4421">
            <w:pPr>
              <w:pStyle w:val="TableText0"/>
              <w:keepLines/>
              <w:jc w:val="right"/>
            </w:pPr>
            <w:r w:rsidRPr="0003152F">
              <w:t>228</w:t>
            </w:r>
          </w:p>
        </w:tc>
      </w:tr>
      <w:tr w:rsidR="00765E6A" w:rsidRPr="00C853A0" w:rsidTr="00635005">
        <w:trPr>
          <w:trHeight w:val="20"/>
        </w:trPr>
        <w:tc>
          <w:tcPr>
            <w:tcW w:w="1982" w:type="pct"/>
          </w:tcPr>
          <w:p w:rsidR="00765E6A" w:rsidRDefault="00765E6A" w:rsidP="006B4421">
            <w:pPr>
              <w:keepNext/>
              <w:keepLines/>
              <w:spacing w:before="40" w:after="40"/>
              <w:rPr>
                <w:rFonts w:ascii="Arial Narrow" w:hAnsi="Arial Narrow"/>
                <w:sz w:val="20"/>
              </w:rPr>
            </w:pPr>
            <w:r>
              <w:rPr>
                <w:rFonts w:ascii="Arial Narrow" w:hAnsi="Arial Narrow"/>
                <w:sz w:val="20"/>
              </w:rPr>
              <w:t>MBS costs (85% of fee): $425/test*</w:t>
            </w:r>
          </w:p>
        </w:tc>
        <w:tc>
          <w:tcPr>
            <w:tcW w:w="603" w:type="pct"/>
          </w:tcPr>
          <w:p w:rsidR="00765E6A" w:rsidRPr="0003152F" w:rsidRDefault="00765E6A" w:rsidP="006B4421">
            <w:pPr>
              <w:pStyle w:val="TableText0"/>
              <w:keepLines/>
              <w:jc w:val="right"/>
            </w:pPr>
            <w:r>
              <w:rPr>
                <w:color w:val="000000"/>
              </w:rPr>
              <w:t>$95,200</w:t>
            </w:r>
          </w:p>
        </w:tc>
        <w:tc>
          <w:tcPr>
            <w:tcW w:w="603" w:type="pct"/>
          </w:tcPr>
          <w:p w:rsidR="00765E6A" w:rsidRPr="0003152F" w:rsidRDefault="00765E6A" w:rsidP="006B4421">
            <w:pPr>
              <w:pStyle w:val="TableText0"/>
              <w:keepLines/>
              <w:jc w:val="right"/>
            </w:pPr>
            <w:r>
              <w:rPr>
                <w:color w:val="000000"/>
              </w:rPr>
              <w:t>$95,625</w:t>
            </w:r>
          </w:p>
        </w:tc>
        <w:tc>
          <w:tcPr>
            <w:tcW w:w="604" w:type="pct"/>
          </w:tcPr>
          <w:p w:rsidR="00765E6A" w:rsidRPr="0003152F" w:rsidRDefault="00765E6A" w:rsidP="006B4421">
            <w:pPr>
              <w:pStyle w:val="TableText0"/>
              <w:keepLines/>
              <w:jc w:val="right"/>
            </w:pPr>
            <w:r>
              <w:rPr>
                <w:color w:val="000000"/>
              </w:rPr>
              <w:t>$96,050</w:t>
            </w:r>
          </w:p>
        </w:tc>
        <w:tc>
          <w:tcPr>
            <w:tcW w:w="603" w:type="pct"/>
          </w:tcPr>
          <w:p w:rsidR="00765E6A" w:rsidRPr="0003152F" w:rsidRDefault="00765E6A" w:rsidP="006B4421">
            <w:pPr>
              <w:pStyle w:val="TableText0"/>
              <w:keepLines/>
              <w:jc w:val="right"/>
            </w:pPr>
            <w:r>
              <w:rPr>
                <w:color w:val="000000"/>
              </w:rPr>
              <w:t>$96,475</w:t>
            </w:r>
          </w:p>
        </w:tc>
        <w:tc>
          <w:tcPr>
            <w:tcW w:w="604" w:type="pct"/>
          </w:tcPr>
          <w:p w:rsidR="00765E6A" w:rsidRPr="0003152F" w:rsidRDefault="00765E6A" w:rsidP="006B4421">
            <w:pPr>
              <w:pStyle w:val="TableText0"/>
              <w:keepLines/>
              <w:jc w:val="right"/>
            </w:pPr>
            <w:r>
              <w:rPr>
                <w:color w:val="000000"/>
              </w:rPr>
              <w:t>$96,900</w:t>
            </w:r>
          </w:p>
        </w:tc>
      </w:tr>
      <w:tr w:rsidR="00765E6A" w:rsidRPr="00C853A0" w:rsidTr="00635005">
        <w:trPr>
          <w:trHeight w:val="20"/>
        </w:trPr>
        <w:tc>
          <w:tcPr>
            <w:tcW w:w="1982" w:type="pct"/>
          </w:tcPr>
          <w:p w:rsidR="00765E6A" w:rsidRPr="00C853A0" w:rsidRDefault="00765E6A" w:rsidP="006B4421">
            <w:pPr>
              <w:keepNext/>
              <w:keepLines/>
              <w:spacing w:before="40" w:after="40"/>
              <w:rPr>
                <w:rFonts w:ascii="Arial Narrow" w:hAnsi="Arial Narrow"/>
                <w:sz w:val="20"/>
              </w:rPr>
            </w:pPr>
            <w:r w:rsidRPr="000B61EB">
              <w:rPr>
                <w:rFonts w:ascii="Arial Narrow" w:hAnsi="Arial Narrow"/>
                <w:b/>
                <w:sz w:val="20"/>
              </w:rPr>
              <w:t>Listing 3</w:t>
            </w:r>
            <w:r>
              <w:rPr>
                <w:rFonts w:ascii="Arial Narrow" w:hAnsi="Arial Narrow"/>
                <w:sz w:val="20"/>
              </w:rPr>
              <w:t xml:space="preserve">: tests in parents of a </w:t>
            </w:r>
            <w:proofErr w:type="spellStart"/>
            <w:r>
              <w:rPr>
                <w:rFonts w:ascii="Arial Narrow" w:hAnsi="Arial Narrow"/>
                <w:sz w:val="20"/>
              </w:rPr>
              <w:t>fetus</w:t>
            </w:r>
            <w:proofErr w:type="spellEnd"/>
            <w:r>
              <w:rPr>
                <w:rFonts w:ascii="Arial Narrow" w:hAnsi="Arial Narrow"/>
                <w:sz w:val="20"/>
              </w:rPr>
              <w:t xml:space="preserve"> with FEB </w:t>
            </w:r>
          </w:p>
        </w:tc>
        <w:tc>
          <w:tcPr>
            <w:tcW w:w="603" w:type="pct"/>
          </w:tcPr>
          <w:p w:rsidR="00765E6A" w:rsidRPr="0003152F" w:rsidRDefault="00765E6A" w:rsidP="006B4421">
            <w:pPr>
              <w:pStyle w:val="TableText0"/>
              <w:keepLines/>
              <w:jc w:val="right"/>
            </w:pPr>
            <w:r w:rsidRPr="0003152F">
              <w:t>442</w:t>
            </w:r>
          </w:p>
        </w:tc>
        <w:tc>
          <w:tcPr>
            <w:tcW w:w="603" w:type="pct"/>
          </w:tcPr>
          <w:p w:rsidR="00765E6A" w:rsidRPr="0003152F" w:rsidRDefault="00765E6A" w:rsidP="006B4421">
            <w:pPr>
              <w:pStyle w:val="TableText0"/>
              <w:keepLines/>
              <w:jc w:val="right"/>
            </w:pPr>
            <w:r w:rsidRPr="0003152F">
              <w:t>444</w:t>
            </w:r>
          </w:p>
        </w:tc>
        <w:tc>
          <w:tcPr>
            <w:tcW w:w="604" w:type="pct"/>
          </w:tcPr>
          <w:p w:rsidR="00765E6A" w:rsidRPr="0003152F" w:rsidRDefault="00765E6A" w:rsidP="006B4421">
            <w:pPr>
              <w:pStyle w:val="TableText0"/>
              <w:keepLines/>
              <w:jc w:val="right"/>
            </w:pPr>
            <w:r w:rsidRPr="0003152F">
              <w:t>446</w:t>
            </w:r>
          </w:p>
        </w:tc>
        <w:tc>
          <w:tcPr>
            <w:tcW w:w="603" w:type="pct"/>
          </w:tcPr>
          <w:p w:rsidR="00765E6A" w:rsidRPr="0003152F" w:rsidRDefault="00765E6A" w:rsidP="006B4421">
            <w:pPr>
              <w:pStyle w:val="TableText0"/>
              <w:keepLines/>
              <w:jc w:val="right"/>
            </w:pPr>
            <w:r w:rsidRPr="0003152F">
              <w:t>447</w:t>
            </w:r>
          </w:p>
        </w:tc>
        <w:tc>
          <w:tcPr>
            <w:tcW w:w="604" w:type="pct"/>
          </w:tcPr>
          <w:p w:rsidR="00765E6A" w:rsidRPr="0003152F" w:rsidRDefault="00765E6A" w:rsidP="006B4421">
            <w:pPr>
              <w:pStyle w:val="TableText0"/>
              <w:keepLines/>
              <w:jc w:val="right"/>
            </w:pPr>
            <w:r w:rsidRPr="0003152F">
              <w:t>449</w:t>
            </w:r>
          </w:p>
        </w:tc>
      </w:tr>
      <w:tr w:rsidR="00765E6A" w:rsidRPr="00C853A0" w:rsidTr="00635005">
        <w:trPr>
          <w:trHeight w:val="20"/>
        </w:trPr>
        <w:tc>
          <w:tcPr>
            <w:tcW w:w="1982" w:type="pct"/>
          </w:tcPr>
          <w:p w:rsidR="00765E6A" w:rsidRDefault="00765E6A" w:rsidP="006B4421">
            <w:pPr>
              <w:keepNext/>
              <w:keepLines/>
              <w:spacing w:before="40" w:after="40"/>
              <w:rPr>
                <w:rFonts w:ascii="Arial Narrow" w:hAnsi="Arial Narrow"/>
                <w:sz w:val="20"/>
              </w:rPr>
            </w:pPr>
            <w:r>
              <w:rPr>
                <w:rFonts w:ascii="Arial Narrow" w:hAnsi="Arial Narrow"/>
                <w:sz w:val="20"/>
              </w:rPr>
              <w:t>MBS costs (85% of fee): $425/test</w:t>
            </w:r>
          </w:p>
        </w:tc>
        <w:tc>
          <w:tcPr>
            <w:tcW w:w="603" w:type="pct"/>
          </w:tcPr>
          <w:p w:rsidR="00765E6A" w:rsidRPr="0003152F" w:rsidRDefault="00765E6A" w:rsidP="006B4421">
            <w:pPr>
              <w:pStyle w:val="TableText0"/>
              <w:keepLines/>
              <w:jc w:val="right"/>
            </w:pPr>
            <w:r>
              <w:rPr>
                <w:color w:val="000000"/>
              </w:rPr>
              <w:t>$187,850</w:t>
            </w:r>
          </w:p>
        </w:tc>
        <w:tc>
          <w:tcPr>
            <w:tcW w:w="603" w:type="pct"/>
          </w:tcPr>
          <w:p w:rsidR="00765E6A" w:rsidRPr="0003152F" w:rsidRDefault="00765E6A" w:rsidP="006B4421">
            <w:pPr>
              <w:pStyle w:val="TableText0"/>
              <w:keepLines/>
              <w:jc w:val="right"/>
            </w:pPr>
            <w:r>
              <w:rPr>
                <w:color w:val="000000"/>
              </w:rPr>
              <w:t>$188,700</w:t>
            </w:r>
          </w:p>
        </w:tc>
        <w:tc>
          <w:tcPr>
            <w:tcW w:w="604" w:type="pct"/>
          </w:tcPr>
          <w:p w:rsidR="00765E6A" w:rsidRPr="0003152F" w:rsidRDefault="00765E6A" w:rsidP="006B4421">
            <w:pPr>
              <w:pStyle w:val="TableText0"/>
              <w:keepLines/>
              <w:jc w:val="right"/>
            </w:pPr>
            <w:r>
              <w:rPr>
                <w:color w:val="000000"/>
              </w:rPr>
              <w:t>$189,550</w:t>
            </w:r>
          </w:p>
        </w:tc>
        <w:tc>
          <w:tcPr>
            <w:tcW w:w="603" w:type="pct"/>
          </w:tcPr>
          <w:p w:rsidR="00765E6A" w:rsidRPr="0003152F" w:rsidRDefault="00765E6A" w:rsidP="006B4421">
            <w:pPr>
              <w:pStyle w:val="TableText0"/>
              <w:keepLines/>
              <w:jc w:val="right"/>
            </w:pPr>
            <w:r>
              <w:rPr>
                <w:color w:val="000000"/>
              </w:rPr>
              <w:t>$189,975</w:t>
            </w:r>
          </w:p>
        </w:tc>
        <w:tc>
          <w:tcPr>
            <w:tcW w:w="604" w:type="pct"/>
          </w:tcPr>
          <w:p w:rsidR="00765E6A" w:rsidRPr="0003152F" w:rsidRDefault="00765E6A" w:rsidP="006B4421">
            <w:pPr>
              <w:pStyle w:val="TableText0"/>
              <w:keepLines/>
              <w:jc w:val="right"/>
            </w:pPr>
            <w:r>
              <w:rPr>
                <w:color w:val="000000"/>
              </w:rPr>
              <w:t>$190,825</w:t>
            </w:r>
          </w:p>
        </w:tc>
      </w:tr>
      <w:tr w:rsidR="00765E6A" w:rsidRPr="00C853A0" w:rsidTr="00635005">
        <w:trPr>
          <w:trHeight w:val="20"/>
        </w:trPr>
        <w:tc>
          <w:tcPr>
            <w:tcW w:w="1982" w:type="pct"/>
          </w:tcPr>
          <w:p w:rsidR="00765E6A" w:rsidRPr="00C853A0" w:rsidRDefault="00765E6A" w:rsidP="006B4421">
            <w:pPr>
              <w:keepNext/>
              <w:keepLines/>
              <w:spacing w:before="40" w:after="40"/>
              <w:rPr>
                <w:rFonts w:ascii="Arial Narrow" w:hAnsi="Arial Narrow"/>
                <w:sz w:val="20"/>
              </w:rPr>
            </w:pPr>
            <w:r w:rsidRPr="000B61EB">
              <w:rPr>
                <w:rFonts w:ascii="Arial Narrow" w:hAnsi="Arial Narrow"/>
                <w:b/>
                <w:sz w:val="20"/>
              </w:rPr>
              <w:t>Listing 4</w:t>
            </w:r>
            <w:r>
              <w:rPr>
                <w:rFonts w:ascii="Arial Narrow" w:hAnsi="Arial Narrow"/>
                <w:sz w:val="20"/>
              </w:rPr>
              <w:t>:cascade testing of family members of index cases or carriers</w:t>
            </w:r>
          </w:p>
        </w:tc>
        <w:tc>
          <w:tcPr>
            <w:tcW w:w="603" w:type="pct"/>
          </w:tcPr>
          <w:p w:rsidR="00765E6A" w:rsidRPr="0003152F" w:rsidRDefault="00765E6A" w:rsidP="006B4421">
            <w:pPr>
              <w:pStyle w:val="TableText0"/>
              <w:keepLines/>
              <w:jc w:val="right"/>
            </w:pPr>
            <w:r w:rsidRPr="0003152F">
              <w:t>1</w:t>
            </w:r>
            <w:r>
              <w:t>,</w:t>
            </w:r>
            <w:r w:rsidRPr="0003152F">
              <w:t>276</w:t>
            </w:r>
          </w:p>
        </w:tc>
        <w:tc>
          <w:tcPr>
            <w:tcW w:w="603" w:type="pct"/>
          </w:tcPr>
          <w:p w:rsidR="00765E6A" w:rsidRPr="0003152F" w:rsidRDefault="00765E6A" w:rsidP="006B4421">
            <w:pPr>
              <w:pStyle w:val="TableText0"/>
              <w:keepLines/>
              <w:jc w:val="right"/>
            </w:pPr>
            <w:r w:rsidRPr="0003152F">
              <w:t>1</w:t>
            </w:r>
            <w:r>
              <w:t>,</w:t>
            </w:r>
            <w:r w:rsidRPr="0003152F">
              <w:t>282</w:t>
            </w:r>
          </w:p>
        </w:tc>
        <w:tc>
          <w:tcPr>
            <w:tcW w:w="604" w:type="pct"/>
          </w:tcPr>
          <w:p w:rsidR="00765E6A" w:rsidRPr="0003152F" w:rsidRDefault="00765E6A" w:rsidP="006B4421">
            <w:pPr>
              <w:pStyle w:val="TableText0"/>
              <w:keepLines/>
              <w:jc w:val="right"/>
            </w:pPr>
            <w:r w:rsidRPr="0003152F">
              <w:t>1</w:t>
            </w:r>
            <w:r>
              <w:t>,</w:t>
            </w:r>
            <w:r w:rsidRPr="0003152F">
              <w:t>287</w:t>
            </w:r>
          </w:p>
        </w:tc>
        <w:tc>
          <w:tcPr>
            <w:tcW w:w="603" w:type="pct"/>
          </w:tcPr>
          <w:p w:rsidR="00765E6A" w:rsidRPr="0003152F" w:rsidRDefault="00765E6A" w:rsidP="006B4421">
            <w:pPr>
              <w:pStyle w:val="TableText0"/>
              <w:keepLines/>
              <w:jc w:val="right"/>
            </w:pPr>
            <w:r w:rsidRPr="0003152F">
              <w:t>1</w:t>
            </w:r>
            <w:r>
              <w:t>,</w:t>
            </w:r>
            <w:r w:rsidRPr="0003152F">
              <w:t>292</w:t>
            </w:r>
          </w:p>
        </w:tc>
        <w:tc>
          <w:tcPr>
            <w:tcW w:w="604" w:type="pct"/>
          </w:tcPr>
          <w:p w:rsidR="00765E6A" w:rsidRPr="0003152F" w:rsidRDefault="00765E6A" w:rsidP="006B4421">
            <w:pPr>
              <w:pStyle w:val="TableText0"/>
              <w:keepLines/>
              <w:jc w:val="right"/>
            </w:pPr>
            <w:r w:rsidRPr="0003152F">
              <w:t>1</w:t>
            </w:r>
            <w:r>
              <w:t>,</w:t>
            </w:r>
            <w:r w:rsidRPr="0003152F">
              <w:t>297</w:t>
            </w:r>
          </w:p>
        </w:tc>
      </w:tr>
      <w:tr w:rsidR="00765E6A" w:rsidRPr="00C853A0" w:rsidTr="00635005">
        <w:trPr>
          <w:trHeight w:val="20"/>
        </w:trPr>
        <w:tc>
          <w:tcPr>
            <w:tcW w:w="1982" w:type="pct"/>
          </w:tcPr>
          <w:p w:rsidR="00765E6A" w:rsidRDefault="00765E6A" w:rsidP="006B4421">
            <w:pPr>
              <w:keepNext/>
              <w:keepLines/>
              <w:spacing w:before="40" w:after="40"/>
              <w:rPr>
                <w:rFonts w:ascii="Arial Narrow" w:hAnsi="Arial Narrow"/>
                <w:sz w:val="20"/>
              </w:rPr>
            </w:pPr>
            <w:r>
              <w:rPr>
                <w:rFonts w:ascii="Arial Narrow" w:hAnsi="Arial Narrow"/>
                <w:sz w:val="20"/>
              </w:rPr>
              <w:t>MBS costs (85% of fee): $212.50/test</w:t>
            </w:r>
          </w:p>
        </w:tc>
        <w:tc>
          <w:tcPr>
            <w:tcW w:w="603" w:type="pct"/>
          </w:tcPr>
          <w:p w:rsidR="00765E6A" w:rsidRPr="0003152F" w:rsidRDefault="00765E6A" w:rsidP="006B4421">
            <w:pPr>
              <w:pStyle w:val="TableText0"/>
              <w:keepLines/>
              <w:jc w:val="right"/>
            </w:pPr>
            <w:r>
              <w:rPr>
                <w:color w:val="000000"/>
              </w:rPr>
              <w:t>$271,150</w:t>
            </w:r>
          </w:p>
        </w:tc>
        <w:tc>
          <w:tcPr>
            <w:tcW w:w="603" w:type="pct"/>
          </w:tcPr>
          <w:p w:rsidR="00765E6A" w:rsidRPr="0003152F" w:rsidRDefault="00765E6A" w:rsidP="006B4421">
            <w:pPr>
              <w:pStyle w:val="TableText0"/>
              <w:keepLines/>
              <w:jc w:val="right"/>
            </w:pPr>
            <w:r>
              <w:rPr>
                <w:color w:val="000000"/>
              </w:rPr>
              <w:t>$272,425</w:t>
            </w:r>
          </w:p>
        </w:tc>
        <w:tc>
          <w:tcPr>
            <w:tcW w:w="604" w:type="pct"/>
          </w:tcPr>
          <w:p w:rsidR="00765E6A" w:rsidRPr="0003152F" w:rsidRDefault="00765E6A" w:rsidP="006B4421">
            <w:pPr>
              <w:pStyle w:val="TableText0"/>
              <w:keepLines/>
              <w:jc w:val="right"/>
            </w:pPr>
            <w:r>
              <w:rPr>
                <w:color w:val="000000"/>
              </w:rPr>
              <w:t>$273,488</w:t>
            </w:r>
          </w:p>
        </w:tc>
        <w:tc>
          <w:tcPr>
            <w:tcW w:w="603" w:type="pct"/>
          </w:tcPr>
          <w:p w:rsidR="00765E6A" w:rsidRPr="0003152F" w:rsidRDefault="00765E6A" w:rsidP="006B4421">
            <w:pPr>
              <w:pStyle w:val="TableText0"/>
              <w:keepLines/>
              <w:jc w:val="right"/>
            </w:pPr>
            <w:r>
              <w:rPr>
                <w:color w:val="000000"/>
              </w:rPr>
              <w:t>$274,550</w:t>
            </w:r>
          </w:p>
        </w:tc>
        <w:tc>
          <w:tcPr>
            <w:tcW w:w="604" w:type="pct"/>
          </w:tcPr>
          <w:p w:rsidR="00765E6A" w:rsidRPr="0003152F" w:rsidRDefault="00765E6A" w:rsidP="006B4421">
            <w:pPr>
              <w:pStyle w:val="TableText0"/>
              <w:keepLines/>
              <w:jc w:val="right"/>
            </w:pPr>
            <w:r>
              <w:rPr>
                <w:color w:val="000000"/>
              </w:rPr>
              <w:t>$275,613</w:t>
            </w:r>
          </w:p>
        </w:tc>
      </w:tr>
      <w:tr w:rsidR="00765E6A" w:rsidRPr="00C853A0" w:rsidTr="00635005">
        <w:trPr>
          <w:trHeight w:val="20"/>
        </w:trPr>
        <w:tc>
          <w:tcPr>
            <w:tcW w:w="1982" w:type="pct"/>
          </w:tcPr>
          <w:p w:rsidR="00765E6A" w:rsidRPr="00C853A0" w:rsidRDefault="00765E6A" w:rsidP="006B4421">
            <w:pPr>
              <w:keepNext/>
              <w:keepLines/>
              <w:spacing w:before="40" w:after="40"/>
              <w:rPr>
                <w:rFonts w:ascii="Arial Narrow" w:hAnsi="Arial Narrow"/>
                <w:sz w:val="20"/>
              </w:rPr>
            </w:pPr>
            <w:r w:rsidRPr="0099422E">
              <w:rPr>
                <w:rFonts w:ascii="Arial Narrow" w:hAnsi="Arial Narrow"/>
                <w:b/>
                <w:sz w:val="20"/>
              </w:rPr>
              <w:t>Listing 5</w:t>
            </w:r>
            <w:r>
              <w:rPr>
                <w:rFonts w:ascii="Arial Narrow" w:hAnsi="Arial Narrow"/>
                <w:sz w:val="20"/>
              </w:rPr>
              <w:t>:partner testing of index cases or carriers</w:t>
            </w:r>
          </w:p>
        </w:tc>
        <w:tc>
          <w:tcPr>
            <w:tcW w:w="603" w:type="pct"/>
          </w:tcPr>
          <w:p w:rsidR="00765E6A" w:rsidRPr="0003152F" w:rsidRDefault="00765E6A" w:rsidP="006B4421">
            <w:pPr>
              <w:pStyle w:val="TableText0"/>
              <w:keepLines/>
              <w:jc w:val="right"/>
            </w:pPr>
            <w:r w:rsidRPr="0003152F">
              <w:t>552</w:t>
            </w:r>
          </w:p>
        </w:tc>
        <w:tc>
          <w:tcPr>
            <w:tcW w:w="603" w:type="pct"/>
          </w:tcPr>
          <w:p w:rsidR="00765E6A" w:rsidRPr="0003152F" w:rsidRDefault="00765E6A" w:rsidP="006B4421">
            <w:pPr>
              <w:pStyle w:val="TableText0"/>
              <w:keepLines/>
              <w:jc w:val="right"/>
            </w:pPr>
            <w:r w:rsidRPr="0003152F">
              <w:t>555</w:t>
            </w:r>
          </w:p>
        </w:tc>
        <w:tc>
          <w:tcPr>
            <w:tcW w:w="604" w:type="pct"/>
          </w:tcPr>
          <w:p w:rsidR="00765E6A" w:rsidRPr="0003152F" w:rsidRDefault="00765E6A" w:rsidP="006B4421">
            <w:pPr>
              <w:pStyle w:val="TableText0"/>
              <w:keepLines/>
              <w:jc w:val="right"/>
            </w:pPr>
            <w:r w:rsidRPr="0003152F">
              <w:t>557</w:t>
            </w:r>
          </w:p>
        </w:tc>
        <w:tc>
          <w:tcPr>
            <w:tcW w:w="603" w:type="pct"/>
          </w:tcPr>
          <w:p w:rsidR="00765E6A" w:rsidRPr="0003152F" w:rsidRDefault="00765E6A" w:rsidP="006B4421">
            <w:pPr>
              <w:pStyle w:val="TableText0"/>
              <w:keepLines/>
              <w:jc w:val="right"/>
            </w:pPr>
            <w:r w:rsidRPr="0003152F">
              <w:t>559</w:t>
            </w:r>
          </w:p>
        </w:tc>
        <w:tc>
          <w:tcPr>
            <w:tcW w:w="604" w:type="pct"/>
          </w:tcPr>
          <w:p w:rsidR="00765E6A" w:rsidRPr="0003152F" w:rsidRDefault="00765E6A" w:rsidP="006B4421">
            <w:pPr>
              <w:pStyle w:val="TableText0"/>
              <w:keepLines/>
              <w:jc w:val="right"/>
            </w:pPr>
            <w:r w:rsidRPr="0003152F">
              <w:t>561</w:t>
            </w:r>
          </w:p>
        </w:tc>
      </w:tr>
      <w:tr w:rsidR="00765E6A" w:rsidRPr="00C853A0" w:rsidTr="00635005">
        <w:trPr>
          <w:trHeight w:val="20"/>
        </w:trPr>
        <w:tc>
          <w:tcPr>
            <w:tcW w:w="1982" w:type="pct"/>
          </w:tcPr>
          <w:p w:rsidR="00765E6A" w:rsidRPr="00C853A0" w:rsidRDefault="00765E6A" w:rsidP="006B4421">
            <w:pPr>
              <w:keepNext/>
              <w:keepLines/>
              <w:spacing w:before="40" w:after="40"/>
              <w:rPr>
                <w:rFonts w:ascii="Arial Narrow" w:hAnsi="Arial Narrow"/>
                <w:sz w:val="20"/>
              </w:rPr>
            </w:pPr>
            <w:r>
              <w:rPr>
                <w:rFonts w:ascii="Arial Narrow" w:hAnsi="Arial Narrow"/>
                <w:sz w:val="20"/>
              </w:rPr>
              <w:t>MBS costs (85% of fee): $425/test</w:t>
            </w:r>
          </w:p>
        </w:tc>
        <w:tc>
          <w:tcPr>
            <w:tcW w:w="603" w:type="pct"/>
          </w:tcPr>
          <w:p w:rsidR="00765E6A" w:rsidRPr="00C853A0" w:rsidRDefault="00765E6A" w:rsidP="006B4421">
            <w:pPr>
              <w:pStyle w:val="TableText0"/>
              <w:keepLines/>
              <w:jc w:val="right"/>
            </w:pPr>
            <w:r>
              <w:rPr>
                <w:color w:val="000000"/>
              </w:rPr>
              <w:t>$234,600</w:t>
            </w:r>
          </w:p>
        </w:tc>
        <w:tc>
          <w:tcPr>
            <w:tcW w:w="603" w:type="pct"/>
          </w:tcPr>
          <w:p w:rsidR="00765E6A" w:rsidRPr="00C853A0" w:rsidRDefault="00765E6A" w:rsidP="006B4421">
            <w:pPr>
              <w:pStyle w:val="TableText0"/>
              <w:keepLines/>
              <w:jc w:val="right"/>
            </w:pPr>
            <w:r>
              <w:rPr>
                <w:color w:val="000000"/>
              </w:rPr>
              <w:t>$235,875</w:t>
            </w:r>
          </w:p>
        </w:tc>
        <w:tc>
          <w:tcPr>
            <w:tcW w:w="604" w:type="pct"/>
          </w:tcPr>
          <w:p w:rsidR="00765E6A" w:rsidRPr="00C853A0" w:rsidRDefault="00765E6A" w:rsidP="006B4421">
            <w:pPr>
              <w:pStyle w:val="TableText0"/>
              <w:keepLines/>
              <w:jc w:val="right"/>
            </w:pPr>
            <w:r>
              <w:rPr>
                <w:color w:val="000000"/>
              </w:rPr>
              <w:t>$236,725</w:t>
            </w:r>
          </w:p>
        </w:tc>
        <w:tc>
          <w:tcPr>
            <w:tcW w:w="603" w:type="pct"/>
          </w:tcPr>
          <w:p w:rsidR="00765E6A" w:rsidRPr="00C853A0" w:rsidRDefault="00765E6A" w:rsidP="006B4421">
            <w:pPr>
              <w:pStyle w:val="TableText0"/>
              <w:keepLines/>
              <w:jc w:val="right"/>
            </w:pPr>
            <w:r>
              <w:rPr>
                <w:color w:val="000000"/>
              </w:rPr>
              <w:t>$237,575</w:t>
            </w:r>
          </w:p>
        </w:tc>
        <w:tc>
          <w:tcPr>
            <w:tcW w:w="604" w:type="pct"/>
          </w:tcPr>
          <w:p w:rsidR="00765E6A" w:rsidRPr="00C853A0" w:rsidRDefault="00765E6A" w:rsidP="006B4421">
            <w:pPr>
              <w:pStyle w:val="TableText0"/>
              <w:keepLines/>
              <w:jc w:val="right"/>
            </w:pPr>
            <w:r>
              <w:rPr>
                <w:color w:val="000000"/>
              </w:rPr>
              <w:t>$238,425</w:t>
            </w:r>
          </w:p>
        </w:tc>
      </w:tr>
      <w:tr w:rsidR="00765E6A" w:rsidRPr="0099422E" w:rsidTr="00635005">
        <w:trPr>
          <w:trHeight w:val="20"/>
        </w:trPr>
        <w:tc>
          <w:tcPr>
            <w:tcW w:w="1982" w:type="pct"/>
          </w:tcPr>
          <w:p w:rsidR="00765E6A" w:rsidRPr="0099422E" w:rsidRDefault="00765E6A" w:rsidP="006B4421">
            <w:pPr>
              <w:keepNext/>
              <w:keepLines/>
              <w:spacing w:before="40" w:after="40"/>
              <w:rPr>
                <w:rFonts w:ascii="Arial Narrow" w:hAnsi="Arial Narrow"/>
                <w:b/>
                <w:sz w:val="20"/>
              </w:rPr>
            </w:pPr>
            <w:r w:rsidRPr="0099422E">
              <w:rPr>
                <w:rFonts w:ascii="Arial Narrow" w:hAnsi="Arial Narrow"/>
                <w:b/>
                <w:sz w:val="20"/>
              </w:rPr>
              <w:t xml:space="preserve">Total </w:t>
            </w:r>
            <w:r>
              <w:rPr>
                <w:rFonts w:ascii="Arial Narrow" w:hAnsi="Arial Narrow"/>
                <w:b/>
                <w:sz w:val="20"/>
              </w:rPr>
              <w:t>number of tests</w:t>
            </w:r>
          </w:p>
        </w:tc>
        <w:tc>
          <w:tcPr>
            <w:tcW w:w="603" w:type="pct"/>
          </w:tcPr>
          <w:p w:rsidR="00765E6A" w:rsidRPr="002F4676" w:rsidRDefault="00765E6A" w:rsidP="006B4421">
            <w:pPr>
              <w:pStyle w:val="TableText0"/>
              <w:keepLines/>
              <w:jc w:val="right"/>
              <w:rPr>
                <w:b/>
                <w:color w:val="000000"/>
              </w:rPr>
            </w:pPr>
            <w:r w:rsidRPr="002F4676">
              <w:rPr>
                <w:b/>
                <w:color w:val="000000"/>
              </w:rPr>
              <w:t>3,599</w:t>
            </w:r>
          </w:p>
        </w:tc>
        <w:tc>
          <w:tcPr>
            <w:tcW w:w="603" w:type="pct"/>
          </w:tcPr>
          <w:p w:rsidR="00765E6A" w:rsidRPr="002F4676" w:rsidRDefault="00765E6A" w:rsidP="006B4421">
            <w:pPr>
              <w:pStyle w:val="TableText0"/>
              <w:keepLines/>
              <w:jc w:val="right"/>
              <w:rPr>
                <w:b/>
                <w:color w:val="000000"/>
              </w:rPr>
            </w:pPr>
            <w:r w:rsidRPr="002F4676">
              <w:rPr>
                <w:b/>
                <w:color w:val="000000"/>
              </w:rPr>
              <w:t xml:space="preserve">3,616 </w:t>
            </w:r>
          </w:p>
        </w:tc>
        <w:tc>
          <w:tcPr>
            <w:tcW w:w="604" w:type="pct"/>
          </w:tcPr>
          <w:p w:rsidR="00765E6A" w:rsidRPr="002F4676" w:rsidRDefault="00765E6A" w:rsidP="006B4421">
            <w:pPr>
              <w:pStyle w:val="TableText0"/>
              <w:keepLines/>
              <w:jc w:val="right"/>
              <w:rPr>
                <w:b/>
                <w:color w:val="000000"/>
              </w:rPr>
            </w:pPr>
            <w:r w:rsidRPr="002F4676">
              <w:rPr>
                <w:b/>
                <w:color w:val="000000"/>
              </w:rPr>
              <w:t>3,630</w:t>
            </w:r>
          </w:p>
        </w:tc>
        <w:tc>
          <w:tcPr>
            <w:tcW w:w="603" w:type="pct"/>
          </w:tcPr>
          <w:p w:rsidR="00765E6A" w:rsidRPr="002F4676" w:rsidRDefault="00765E6A" w:rsidP="006B4421">
            <w:pPr>
              <w:pStyle w:val="TableText0"/>
              <w:keepLines/>
              <w:jc w:val="right"/>
              <w:rPr>
                <w:b/>
                <w:color w:val="000000"/>
              </w:rPr>
            </w:pPr>
            <w:r w:rsidRPr="002F4676">
              <w:rPr>
                <w:b/>
                <w:color w:val="000000"/>
              </w:rPr>
              <w:t>3,644</w:t>
            </w:r>
          </w:p>
        </w:tc>
        <w:tc>
          <w:tcPr>
            <w:tcW w:w="604" w:type="pct"/>
          </w:tcPr>
          <w:p w:rsidR="00765E6A" w:rsidRPr="002F4676" w:rsidRDefault="00765E6A" w:rsidP="006B4421">
            <w:pPr>
              <w:pStyle w:val="TableText0"/>
              <w:keepLines/>
              <w:jc w:val="right"/>
              <w:rPr>
                <w:b/>
                <w:color w:val="000000"/>
              </w:rPr>
            </w:pPr>
            <w:r w:rsidRPr="002F4676">
              <w:rPr>
                <w:b/>
                <w:color w:val="000000"/>
              </w:rPr>
              <w:t>3,658</w:t>
            </w:r>
          </w:p>
        </w:tc>
      </w:tr>
      <w:tr w:rsidR="00765E6A" w:rsidRPr="0099422E" w:rsidTr="00635005">
        <w:trPr>
          <w:trHeight w:val="20"/>
        </w:trPr>
        <w:tc>
          <w:tcPr>
            <w:tcW w:w="1982" w:type="pct"/>
          </w:tcPr>
          <w:p w:rsidR="00765E6A" w:rsidRPr="0099422E" w:rsidRDefault="00765E6A" w:rsidP="006B4421">
            <w:pPr>
              <w:keepNext/>
              <w:keepLines/>
              <w:spacing w:before="40" w:after="40"/>
              <w:rPr>
                <w:rFonts w:ascii="Arial Narrow" w:hAnsi="Arial Narrow"/>
                <w:b/>
                <w:sz w:val="20"/>
              </w:rPr>
            </w:pPr>
            <w:r w:rsidRPr="0099422E">
              <w:rPr>
                <w:rFonts w:ascii="Arial Narrow" w:hAnsi="Arial Narrow"/>
                <w:b/>
                <w:sz w:val="20"/>
              </w:rPr>
              <w:t>Total MBS costs (85% of fee</w:t>
            </w:r>
            <w:r>
              <w:rPr>
                <w:rFonts w:ascii="Arial Narrow" w:hAnsi="Arial Narrow"/>
                <w:b/>
                <w:sz w:val="20"/>
              </w:rPr>
              <w:t>s</w:t>
            </w:r>
            <w:r w:rsidRPr="0099422E">
              <w:rPr>
                <w:rFonts w:ascii="Arial Narrow" w:hAnsi="Arial Narrow"/>
                <w:b/>
                <w:sz w:val="20"/>
              </w:rPr>
              <w:t>)</w:t>
            </w:r>
          </w:p>
        </w:tc>
        <w:tc>
          <w:tcPr>
            <w:tcW w:w="603" w:type="pct"/>
          </w:tcPr>
          <w:p w:rsidR="00765E6A" w:rsidRPr="002F4676" w:rsidRDefault="00765E6A" w:rsidP="006B4421">
            <w:pPr>
              <w:pStyle w:val="TableText0"/>
              <w:keepLines/>
              <w:jc w:val="right"/>
              <w:rPr>
                <w:b/>
                <w:color w:val="000000"/>
              </w:rPr>
            </w:pPr>
            <w:r w:rsidRPr="002F4676">
              <w:rPr>
                <w:b/>
                <w:color w:val="000000"/>
              </w:rPr>
              <w:t>$1,258,425</w:t>
            </w:r>
          </w:p>
        </w:tc>
        <w:tc>
          <w:tcPr>
            <w:tcW w:w="603" w:type="pct"/>
          </w:tcPr>
          <w:p w:rsidR="00765E6A" w:rsidRPr="002F4676" w:rsidRDefault="00765E6A" w:rsidP="006B4421">
            <w:pPr>
              <w:pStyle w:val="TableText0"/>
              <w:keepLines/>
              <w:jc w:val="right"/>
              <w:rPr>
                <w:b/>
                <w:color w:val="000000"/>
              </w:rPr>
            </w:pPr>
            <w:r w:rsidRPr="002F4676">
              <w:rPr>
                <w:b/>
                <w:color w:val="000000"/>
              </w:rPr>
              <w:t>$1,264,375</w:t>
            </w:r>
          </w:p>
        </w:tc>
        <w:tc>
          <w:tcPr>
            <w:tcW w:w="604" w:type="pct"/>
          </w:tcPr>
          <w:p w:rsidR="00765E6A" w:rsidRPr="002F4676" w:rsidRDefault="00765E6A" w:rsidP="006B4421">
            <w:pPr>
              <w:pStyle w:val="TableText0"/>
              <w:keepLines/>
              <w:jc w:val="right"/>
              <w:rPr>
                <w:b/>
                <w:color w:val="000000"/>
              </w:rPr>
            </w:pPr>
            <w:r w:rsidRPr="002F4676">
              <w:rPr>
                <w:b/>
                <w:color w:val="000000"/>
              </w:rPr>
              <w:t>$1,269,263</w:t>
            </w:r>
          </w:p>
        </w:tc>
        <w:tc>
          <w:tcPr>
            <w:tcW w:w="603" w:type="pct"/>
          </w:tcPr>
          <w:p w:rsidR="00765E6A" w:rsidRPr="002F4676" w:rsidRDefault="00765E6A" w:rsidP="006B4421">
            <w:pPr>
              <w:pStyle w:val="TableText0"/>
              <w:keepLines/>
              <w:jc w:val="right"/>
              <w:rPr>
                <w:b/>
                <w:color w:val="000000"/>
              </w:rPr>
            </w:pPr>
            <w:r w:rsidRPr="002F4676">
              <w:rPr>
                <w:b/>
                <w:color w:val="000000"/>
              </w:rPr>
              <w:t>$1,274,150</w:t>
            </w:r>
          </w:p>
        </w:tc>
        <w:tc>
          <w:tcPr>
            <w:tcW w:w="604" w:type="pct"/>
          </w:tcPr>
          <w:p w:rsidR="00765E6A" w:rsidRPr="002F4676" w:rsidRDefault="00765E6A" w:rsidP="006B4421">
            <w:pPr>
              <w:pStyle w:val="TableText0"/>
              <w:keepLines/>
              <w:jc w:val="right"/>
              <w:rPr>
                <w:b/>
                <w:color w:val="000000"/>
              </w:rPr>
            </w:pPr>
            <w:r w:rsidRPr="002F4676">
              <w:rPr>
                <w:b/>
                <w:color w:val="000000"/>
              </w:rPr>
              <w:t>$1,279,038</w:t>
            </w:r>
          </w:p>
        </w:tc>
      </w:tr>
    </w:tbl>
    <w:p w:rsidR="00765E6A" w:rsidRPr="00BB7B86" w:rsidRDefault="00765E6A" w:rsidP="00765E6A">
      <w:pPr>
        <w:pStyle w:val="Tablenotes"/>
        <w:keepNext/>
        <w:keepLines/>
      </w:pPr>
      <w:r w:rsidRPr="001B1E32">
        <w:t>CF = cystic fibrosis</w:t>
      </w:r>
      <w:r>
        <w:t>,</w:t>
      </w:r>
      <w:r w:rsidRPr="001B1E32">
        <w:t xml:space="preserve"> CFTR = cystic fibrosis </w:t>
      </w:r>
      <w:proofErr w:type="spellStart"/>
      <w:r w:rsidRPr="001B1E32">
        <w:t>transmembrane</w:t>
      </w:r>
      <w:proofErr w:type="spellEnd"/>
      <w:r w:rsidRPr="001B1E32">
        <w:t xml:space="preserve"> conductance regulator; </w:t>
      </w:r>
      <w:proofErr w:type="spellStart"/>
      <w:r>
        <w:t>epi</w:t>
      </w:r>
      <w:proofErr w:type="spellEnd"/>
      <w:r>
        <w:t xml:space="preserve"> = epidemi</w:t>
      </w:r>
      <w:r w:rsidR="001B4E8D">
        <w:t>ological approach, MBS = Medicare</w:t>
      </w:r>
      <w:r>
        <w:t xml:space="preserve"> Benefits Scheme, FEB = </w:t>
      </w:r>
      <w:proofErr w:type="spellStart"/>
      <w:r>
        <w:t>fetal</w:t>
      </w:r>
      <w:proofErr w:type="spellEnd"/>
      <w:r>
        <w:t xml:space="preserve"> echogenic bowel</w:t>
      </w:r>
    </w:p>
    <w:p w:rsidR="007C3438" w:rsidRPr="00545475" w:rsidRDefault="00765E6A" w:rsidP="00765E6A">
      <w:pPr>
        <w:rPr>
          <w:szCs w:val="24"/>
        </w:rPr>
      </w:pPr>
      <w:r>
        <w:t>These estimates were derived using a combination of epidemiological estimates and data from Western Australia on CFTR tests conducted in 2015, and represent testing specifically associated with the proposed listings. These estimates are significantly lower than the overall CFTR test use that was identified in the RCPA Survey conducted in 2011. If the number of tests estimated to be undertaken is based on the RCPA data (excluding those identified as screening tests, primarily for newborn screening) then usage and expenditure would be approximately twice the estimates above.</w:t>
      </w:r>
    </w:p>
    <w:p w:rsidR="00FF338E" w:rsidRPr="00123B95" w:rsidRDefault="006A0D97" w:rsidP="00123B95">
      <w:pPr>
        <w:pStyle w:val="Heading1"/>
      </w:pPr>
      <w:r w:rsidRPr="00F715D1">
        <w:t>Key issues from ESC for MSAC</w:t>
      </w:r>
    </w:p>
    <w:p w:rsidR="00273947" w:rsidRDefault="00FF338E" w:rsidP="00FF338E">
      <w:pPr>
        <w:rPr>
          <w:szCs w:val="24"/>
        </w:rPr>
      </w:pPr>
      <w:r w:rsidRPr="00DC7CF1">
        <w:rPr>
          <w:szCs w:val="24"/>
        </w:rPr>
        <w:t xml:space="preserve">An application requesting MBS listing of diagnostic testing for hereditary mutations in the cystic fibrosis </w:t>
      </w:r>
      <w:proofErr w:type="spellStart"/>
      <w:r w:rsidRPr="00DC7CF1">
        <w:rPr>
          <w:szCs w:val="24"/>
        </w:rPr>
        <w:t>transmembrane</w:t>
      </w:r>
      <w:proofErr w:type="spellEnd"/>
      <w:r w:rsidRPr="00DC7CF1">
        <w:rPr>
          <w:szCs w:val="24"/>
        </w:rPr>
        <w:t xml:space="preserve"> conductance regulator (CFTR) gene was originally considered by MSAC in July 2015. MSAC deferred the application to seek better definitions and prevalence estimates of the intended populations and re-evaluation of the clinical and cost effectiveness in the intended populations to be tested. The table below outlines how the issues raised by MSAC have been addressed in the resubmission.</w:t>
      </w:r>
    </w:p>
    <w:p w:rsidR="00273947" w:rsidRDefault="00273947">
      <w:pPr>
        <w:rPr>
          <w:szCs w:val="24"/>
        </w:rPr>
      </w:pPr>
      <w:r>
        <w:rPr>
          <w:szCs w:val="24"/>
        </w:rPr>
        <w:br w:type="page"/>
      </w:r>
    </w:p>
    <w:tbl>
      <w:tblPr>
        <w:tblStyle w:val="TableGrid"/>
        <w:tblW w:w="0" w:type="auto"/>
        <w:tblLayout w:type="fixed"/>
        <w:tblLook w:val="04A0" w:firstRow="1" w:lastRow="0" w:firstColumn="1" w:lastColumn="0" w:noHBand="0" w:noVBand="1"/>
        <w:tblDescription w:val="Summary of the issues raised by MSAC in the previous submission PSD and how the applicant has addressed them in the resubmission"/>
      </w:tblPr>
      <w:tblGrid>
        <w:gridCol w:w="3256"/>
        <w:gridCol w:w="1417"/>
        <w:gridCol w:w="4343"/>
      </w:tblGrid>
      <w:tr w:rsidR="00FF338E" w:rsidRPr="00DC7CF1" w:rsidTr="00635005">
        <w:trPr>
          <w:tblHeader/>
        </w:trPr>
        <w:tc>
          <w:tcPr>
            <w:tcW w:w="3256" w:type="dxa"/>
          </w:tcPr>
          <w:p w:rsidR="00FF338E" w:rsidRPr="00DC7CF1" w:rsidRDefault="00FF338E" w:rsidP="00FE546B">
            <w:pPr>
              <w:pStyle w:val="NormalWeb"/>
              <w:spacing w:before="0" w:beforeAutospacing="0" w:after="0" w:afterAutospacing="0"/>
              <w:rPr>
                <w:rFonts w:ascii="Times New Roman" w:hAnsi="Times New Roman"/>
                <w:b/>
              </w:rPr>
            </w:pPr>
            <w:r w:rsidRPr="00DC7CF1">
              <w:rPr>
                <w:rFonts w:ascii="Times New Roman" w:hAnsi="Times New Roman"/>
                <w:b/>
                <w:kern w:val="24"/>
              </w:rPr>
              <w:lastRenderedPageBreak/>
              <w:t>Issues raised by MSAC</w:t>
            </w:r>
          </w:p>
        </w:tc>
        <w:tc>
          <w:tcPr>
            <w:tcW w:w="1417" w:type="dxa"/>
          </w:tcPr>
          <w:p w:rsidR="00FF338E" w:rsidRPr="00DC7CF1" w:rsidRDefault="00FF338E" w:rsidP="00FE546B">
            <w:pPr>
              <w:pStyle w:val="NormalWeb"/>
              <w:spacing w:before="0" w:beforeAutospacing="0" w:after="0" w:afterAutospacing="0"/>
              <w:rPr>
                <w:rFonts w:ascii="Times New Roman" w:hAnsi="Times New Roman"/>
                <w:b/>
              </w:rPr>
            </w:pPr>
            <w:r w:rsidRPr="00DC7CF1">
              <w:rPr>
                <w:rFonts w:ascii="Times New Roman" w:hAnsi="Times New Roman"/>
                <w:b/>
                <w:kern w:val="24"/>
              </w:rPr>
              <w:t>Addressed?</w:t>
            </w:r>
          </w:p>
        </w:tc>
        <w:tc>
          <w:tcPr>
            <w:tcW w:w="4343" w:type="dxa"/>
          </w:tcPr>
          <w:p w:rsidR="00FF338E" w:rsidRPr="00DC7CF1" w:rsidRDefault="00FF338E" w:rsidP="00FE546B">
            <w:pPr>
              <w:pStyle w:val="NormalWeb"/>
              <w:spacing w:before="0" w:beforeAutospacing="0" w:after="0" w:afterAutospacing="0"/>
              <w:rPr>
                <w:rFonts w:ascii="Times New Roman" w:hAnsi="Times New Roman"/>
                <w:b/>
              </w:rPr>
            </w:pPr>
            <w:r w:rsidRPr="00DC7CF1">
              <w:rPr>
                <w:rFonts w:ascii="Times New Roman" w:hAnsi="Times New Roman"/>
                <w:b/>
                <w:kern w:val="24"/>
              </w:rPr>
              <w:t>How has it been addressed? (Or why not)</w:t>
            </w:r>
          </w:p>
        </w:tc>
      </w:tr>
      <w:tr w:rsidR="00FF338E" w:rsidRPr="00DC7CF1" w:rsidTr="00FE546B">
        <w:tc>
          <w:tcPr>
            <w:tcW w:w="3256" w:type="dxa"/>
          </w:tcPr>
          <w:p w:rsidR="00FF338E" w:rsidRPr="00C94372" w:rsidRDefault="00FF338E" w:rsidP="00FE546B">
            <w:pPr>
              <w:pStyle w:val="NormalWeb"/>
              <w:spacing w:before="0" w:beforeAutospacing="0" w:after="0" w:afterAutospacing="0"/>
              <w:rPr>
                <w:rFonts w:ascii="Times New Roman" w:hAnsi="Times New Roman"/>
              </w:rPr>
            </w:pPr>
            <w:r w:rsidRPr="00C94372">
              <w:rPr>
                <w:rFonts w:ascii="Times New Roman" w:hAnsi="Times New Roman"/>
                <w:kern w:val="24"/>
              </w:rPr>
              <w:t xml:space="preserve">Seek </w:t>
            </w:r>
            <w:r w:rsidRPr="00C94372">
              <w:rPr>
                <w:rFonts w:ascii="Times New Roman" w:hAnsi="Times New Roman"/>
                <w:bCs/>
                <w:kern w:val="24"/>
              </w:rPr>
              <w:t xml:space="preserve">better definitions </w:t>
            </w:r>
            <w:r w:rsidRPr="00C94372">
              <w:rPr>
                <w:rFonts w:ascii="Times New Roman" w:hAnsi="Times New Roman"/>
                <w:kern w:val="24"/>
              </w:rPr>
              <w:t>of intended populations</w:t>
            </w:r>
          </w:p>
        </w:tc>
        <w:tc>
          <w:tcPr>
            <w:tcW w:w="1417" w:type="dxa"/>
          </w:tcPr>
          <w:p w:rsidR="00FF338E" w:rsidRPr="00DC7CF1" w:rsidRDefault="00FF338E" w:rsidP="00FE546B">
            <w:pPr>
              <w:pStyle w:val="NormalWeb"/>
              <w:spacing w:before="0" w:beforeAutospacing="0" w:after="0" w:afterAutospacing="0"/>
              <w:rPr>
                <w:rFonts w:ascii="Times New Roman" w:hAnsi="Times New Roman"/>
              </w:rPr>
            </w:pPr>
            <w:r w:rsidRPr="00DC7CF1">
              <w:rPr>
                <w:rFonts w:ascii="Times New Roman" w:hAnsi="Times New Roman"/>
                <w:kern w:val="24"/>
              </w:rPr>
              <w:t>Yes</w:t>
            </w:r>
          </w:p>
        </w:tc>
        <w:tc>
          <w:tcPr>
            <w:tcW w:w="4343" w:type="dxa"/>
          </w:tcPr>
          <w:p w:rsidR="00FF338E" w:rsidRPr="00DC7CF1" w:rsidRDefault="00FF338E" w:rsidP="0009178D">
            <w:pPr>
              <w:pStyle w:val="NormalWeb"/>
              <w:spacing w:before="0" w:beforeAutospacing="0" w:after="0" w:afterAutospacing="0"/>
              <w:rPr>
                <w:rFonts w:ascii="Times New Roman" w:hAnsi="Times New Roman"/>
              </w:rPr>
            </w:pPr>
            <w:r w:rsidRPr="00DC7CF1">
              <w:rPr>
                <w:rFonts w:ascii="Times New Roman" w:hAnsi="Times New Roman"/>
                <w:kern w:val="24"/>
              </w:rPr>
              <w:t>MBS item descriptors provided by RCPA, to provide basis for population groups.</w:t>
            </w:r>
          </w:p>
        </w:tc>
      </w:tr>
      <w:tr w:rsidR="00FF338E" w:rsidRPr="00DC7CF1" w:rsidTr="00FE546B">
        <w:tc>
          <w:tcPr>
            <w:tcW w:w="3256" w:type="dxa"/>
          </w:tcPr>
          <w:p w:rsidR="00FF338E" w:rsidRPr="00C94372" w:rsidRDefault="00FF338E" w:rsidP="00FE546B">
            <w:pPr>
              <w:pStyle w:val="NormalWeb"/>
              <w:spacing w:before="0" w:beforeAutospacing="0" w:after="0" w:afterAutospacing="0"/>
              <w:rPr>
                <w:rFonts w:ascii="Times New Roman" w:hAnsi="Times New Roman"/>
              </w:rPr>
            </w:pPr>
            <w:r w:rsidRPr="00C94372">
              <w:rPr>
                <w:rFonts w:ascii="Times New Roman" w:hAnsi="Times New Roman"/>
                <w:kern w:val="24"/>
              </w:rPr>
              <w:t xml:space="preserve">Seek </w:t>
            </w:r>
            <w:r w:rsidRPr="00C94372">
              <w:rPr>
                <w:rFonts w:ascii="Times New Roman" w:hAnsi="Times New Roman"/>
                <w:bCs/>
                <w:kern w:val="24"/>
              </w:rPr>
              <w:t xml:space="preserve">better prevalence estimates </w:t>
            </w:r>
            <w:r w:rsidRPr="00C94372">
              <w:rPr>
                <w:rFonts w:ascii="Times New Roman" w:hAnsi="Times New Roman"/>
                <w:kern w:val="24"/>
              </w:rPr>
              <w:t>of the intended populations</w:t>
            </w:r>
          </w:p>
        </w:tc>
        <w:tc>
          <w:tcPr>
            <w:tcW w:w="1417" w:type="dxa"/>
          </w:tcPr>
          <w:p w:rsidR="00FF338E" w:rsidRPr="00DC7CF1" w:rsidRDefault="00FF338E" w:rsidP="00FE546B">
            <w:pPr>
              <w:pStyle w:val="NormalWeb"/>
              <w:spacing w:before="0" w:beforeAutospacing="0" w:after="0" w:afterAutospacing="0"/>
              <w:rPr>
                <w:rFonts w:ascii="Times New Roman" w:hAnsi="Times New Roman"/>
              </w:rPr>
            </w:pPr>
            <w:r w:rsidRPr="00DC7CF1">
              <w:rPr>
                <w:rFonts w:ascii="Times New Roman" w:hAnsi="Times New Roman"/>
                <w:kern w:val="24"/>
              </w:rPr>
              <w:t>Yes</w:t>
            </w:r>
          </w:p>
        </w:tc>
        <w:tc>
          <w:tcPr>
            <w:tcW w:w="4343" w:type="dxa"/>
          </w:tcPr>
          <w:p w:rsidR="00FF338E" w:rsidRPr="00DC7CF1" w:rsidRDefault="00FF338E" w:rsidP="0009178D">
            <w:pPr>
              <w:pStyle w:val="NormalWeb"/>
              <w:spacing w:before="0" w:beforeAutospacing="0" w:after="0" w:afterAutospacing="0"/>
              <w:rPr>
                <w:rFonts w:ascii="Times New Roman" w:hAnsi="Times New Roman"/>
              </w:rPr>
            </w:pPr>
            <w:r w:rsidRPr="00DC7CF1">
              <w:rPr>
                <w:rFonts w:ascii="Times New Roman" w:hAnsi="Times New Roman"/>
                <w:kern w:val="24"/>
              </w:rPr>
              <w:t>Tables with prevalence of each of the populations w</w:t>
            </w:r>
            <w:r w:rsidR="005F4040">
              <w:rPr>
                <w:rFonts w:ascii="Times New Roman" w:hAnsi="Times New Roman"/>
                <w:kern w:val="24"/>
              </w:rPr>
              <w:t>ere</w:t>
            </w:r>
            <w:r w:rsidRPr="00DC7CF1">
              <w:rPr>
                <w:rFonts w:ascii="Times New Roman" w:hAnsi="Times New Roman"/>
                <w:kern w:val="24"/>
              </w:rPr>
              <w:t xml:space="preserve"> included, where available.</w:t>
            </w:r>
          </w:p>
        </w:tc>
      </w:tr>
      <w:tr w:rsidR="00FF338E" w:rsidRPr="00DC7CF1" w:rsidTr="00FE546B">
        <w:tc>
          <w:tcPr>
            <w:tcW w:w="3256" w:type="dxa"/>
          </w:tcPr>
          <w:p w:rsidR="00FF338E" w:rsidRPr="00C94372" w:rsidRDefault="00FF338E" w:rsidP="00FE546B">
            <w:pPr>
              <w:pStyle w:val="NormalWeb"/>
              <w:spacing w:before="0" w:beforeAutospacing="0" w:after="0" w:afterAutospacing="0"/>
              <w:rPr>
                <w:rFonts w:ascii="Times New Roman" w:hAnsi="Times New Roman"/>
              </w:rPr>
            </w:pPr>
            <w:r w:rsidRPr="00C94372">
              <w:rPr>
                <w:rFonts w:ascii="Times New Roman" w:hAnsi="Times New Roman"/>
                <w:kern w:val="24"/>
              </w:rPr>
              <w:t xml:space="preserve">Seek more accurate data relating to the </w:t>
            </w:r>
            <w:r w:rsidRPr="00C94372">
              <w:rPr>
                <w:rFonts w:ascii="Times New Roman" w:hAnsi="Times New Roman"/>
                <w:bCs/>
                <w:kern w:val="24"/>
              </w:rPr>
              <w:t xml:space="preserve">expected number </w:t>
            </w:r>
            <w:r w:rsidRPr="00C94372">
              <w:rPr>
                <w:rFonts w:ascii="Times New Roman" w:hAnsi="Times New Roman"/>
                <w:kern w:val="24"/>
              </w:rPr>
              <w:t>of patients tested for each purpose</w:t>
            </w:r>
          </w:p>
        </w:tc>
        <w:tc>
          <w:tcPr>
            <w:tcW w:w="1417" w:type="dxa"/>
          </w:tcPr>
          <w:p w:rsidR="00FF338E" w:rsidRPr="00DC7CF1" w:rsidRDefault="00FF338E" w:rsidP="00FE546B">
            <w:pPr>
              <w:pStyle w:val="NormalWeb"/>
              <w:spacing w:before="0" w:beforeAutospacing="0" w:after="0" w:afterAutospacing="0"/>
              <w:rPr>
                <w:rFonts w:ascii="Times New Roman" w:hAnsi="Times New Roman"/>
              </w:rPr>
            </w:pPr>
            <w:r w:rsidRPr="00DC7CF1">
              <w:rPr>
                <w:rFonts w:ascii="Times New Roman" w:hAnsi="Times New Roman"/>
                <w:kern w:val="24"/>
              </w:rPr>
              <w:t>Yes</w:t>
            </w:r>
          </w:p>
        </w:tc>
        <w:tc>
          <w:tcPr>
            <w:tcW w:w="4343" w:type="dxa"/>
          </w:tcPr>
          <w:p w:rsidR="00FF338E" w:rsidRPr="00DC7CF1" w:rsidRDefault="00A9207A" w:rsidP="00A9207A">
            <w:pPr>
              <w:pStyle w:val="NormalWeb"/>
              <w:spacing w:before="0" w:beforeAutospacing="0" w:after="0" w:afterAutospacing="0"/>
              <w:rPr>
                <w:rFonts w:ascii="Times New Roman" w:hAnsi="Times New Roman"/>
              </w:rPr>
            </w:pPr>
            <w:r w:rsidRPr="00A9207A">
              <w:rPr>
                <w:rFonts w:ascii="Times New Roman" w:hAnsi="Times New Roman"/>
                <w:kern w:val="24"/>
              </w:rPr>
              <w:t xml:space="preserve">Clinical data were sought for populations 1, 2, 3, 5 and 6 in MSAC </w:t>
            </w:r>
            <w:r>
              <w:rPr>
                <w:rFonts w:ascii="Times New Roman" w:hAnsi="Times New Roman"/>
                <w:kern w:val="24"/>
              </w:rPr>
              <w:t xml:space="preserve">Application </w:t>
            </w:r>
            <w:proofErr w:type="gramStart"/>
            <w:r>
              <w:rPr>
                <w:rFonts w:ascii="Times New Roman" w:hAnsi="Times New Roman"/>
                <w:kern w:val="24"/>
              </w:rPr>
              <w:t>1216,</w:t>
            </w:r>
            <w:proofErr w:type="gramEnd"/>
            <w:r>
              <w:rPr>
                <w:rFonts w:ascii="Times New Roman" w:hAnsi="Times New Roman"/>
                <w:kern w:val="24"/>
              </w:rPr>
              <w:t xml:space="preserve"> these populations we</w:t>
            </w:r>
            <w:r w:rsidRPr="00A9207A">
              <w:rPr>
                <w:rFonts w:ascii="Times New Roman" w:hAnsi="Times New Roman"/>
                <w:kern w:val="24"/>
              </w:rPr>
              <w:t xml:space="preserve">re addressed in a fit-for-purpose manner. A full assessment of population </w:t>
            </w:r>
            <w:r>
              <w:rPr>
                <w:rFonts w:ascii="Times New Roman" w:hAnsi="Times New Roman"/>
                <w:kern w:val="24"/>
              </w:rPr>
              <w:t xml:space="preserve">4 was </w:t>
            </w:r>
            <w:r w:rsidRPr="00A9207A">
              <w:rPr>
                <w:rFonts w:ascii="Times New Roman" w:hAnsi="Times New Roman"/>
                <w:kern w:val="24"/>
              </w:rPr>
              <w:t>provided.</w:t>
            </w:r>
            <w:r w:rsidRPr="00DC7CF1" w:rsidDel="00A9207A">
              <w:rPr>
                <w:rFonts w:ascii="Times New Roman" w:hAnsi="Times New Roman"/>
                <w:kern w:val="24"/>
              </w:rPr>
              <w:t xml:space="preserve"> </w:t>
            </w:r>
          </w:p>
        </w:tc>
      </w:tr>
      <w:tr w:rsidR="00FF338E" w:rsidRPr="00DC7CF1" w:rsidTr="00FE546B">
        <w:tc>
          <w:tcPr>
            <w:tcW w:w="3256" w:type="dxa"/>
          </w:tcPr>
          <w:p w:rsidR="00FF338E" w:rsidRPr="00C94372" w:rsidRDefault="00FF338E" w:rsidP="00FE546B">
            <w:pPr>
              <w:pStyle w:val="NormalWeb"/>
              <w:spacing w:before="0" w:beforeAutospacing="0" w:after="0" w:afterAutospacing="0"/>
              <w:rPr>
                <w:rFonts w:ascii="Times New Roman" w:hAnsi="Times New Roman"/>
              </w:rPr>
            </w:pPr>
            <w:r w:rsidRPr="00C94372">
              <w:rPr>
                <w:rFonts w:ascii="Times New Roman" w:hAnsi="Times New Roman"/>
                <w:kern w:val="24"/>
              </w:rPr>
              <w:t xml:space="preserve">More accurate data relating to </w:t>
            </w:r>
            <w:r w:rsidRPr="00C94372">
              <w:rPr>
                <w:rFonts w:ascii="Times New Roman" w:hAnsi="Times New Roman"/>
                <w:bCs/>
                <w:kern w:val="24"/>
              </w:rPr>
              <w:t xml:space="preserve">diagnostic yield </w:t>
            </w:r>
            <w:r w:rsidRPr="00C94372">
              <w:rPr>
                <w:rFonts w:ascii="Times New Roman" w:hAnsi="Times New Roman"/>
                <w:kern w:val="24"/>
              </w:rPr>
              <w:t>for each class of test in each intended population</w:t>
            </w:r>
          </w:p>
        </w:tc>
        <w:tc>
          <w:tcPr>
            <w:tcW w:w="1417" w:type="dxa"/>
          </w:tcPr>
          <w:p w:rsidR="00FF338E" w:rsidRPr="00DC7CF1" w:rsidRDefault="00FF338E" w:rsidP="00FE546B">
            <w:pPr>
              <w:pStyle w:val="NormalWeb"/>
              <w:spacing w:before="0" w:beforeAutospacing="0" w:after="0" w:afterAutospacing="0"/>
              <w:rPr>
                <w:rFonts w:ascii="Times New Roman" w:hAnsi="Times New Roman"/>
              </w:rPr>
            </w:pPr>
            <w:r w:rsidRPr="00DC7CF1">
              <w:rPr>
                <w:rFonts w:ascii="Times New Roman" w:hAnsi="Times New Roman"/>
                <w:kern w:val="24"/>
              </w:rPr>
              <w:t>Yes</w:t>
            </w:r>
          </w:p>
        </w:tc>
        <w:tc>
          <w:tcPr>
            <w:tcW w:w="4343" w:type="dxa"/>
          </w:tcPr>
          <w:p w:rsidR="00FF338E" w:rsidRPr="00DC7CF1" w:rsidRDefault="00A9207A" w:rsidP="00A9207A">
            <w:pPr>
              <w:pStyle w:val="NormalWeb"/>
              <w:spacing w:before="0" w:beforeAutospacing="0" w:after="0" w:afterAutospacing="0"/>
              <w:rPr>
                <w:rFonts w:ascii="Times New Roman" w:hAnsi="Times New Roman"/>
              </w:rPr>
            </w:pPr>
            <w:r w:rsidRPr="00A9207A">
              <w:rPr>
                <w:rFonts w:ascii="Times New Roman" w:hAnsi="Times New Roman"/>
                <w:kern w:val="24"/>
              </w:rPr>
              <w:t>A rapid review was performed to assess the diagnostic yield of CFTR testing in the different populations</w:t>
            </w:r>
            <w:r>
              <w:rPr>
                <w:rFonts w:ascii="Times New Roman" w:hAnsi="Times New Roman"/>
                <w:kern w:val="24"/>
              </w:rPr>
              <w:t>.</w:t>
            </w:r>
            <w:r w:rsidRPr="00A9207A">
              <w:rPr>
                <w:rFonts w:ascii="Times New Roman" w:hAnsi="Times New Roman"/>
                <w:kern w:val="24"/>
              </w:rPr>
              <w:t xml:space="preserve"> </w:t>
            </w:r>
          </w:p>
        </w:tc>
      </w:tr>
      <w:tr w:rsidR="00FF338E" w:rsidRPr="00DC7CF1" w:rsidTr="00FE546B">
        <w:tc>
          <w:tcPr>
            <w:tcW w:w="3256" w:type="dxa"/>
          </w:tcPr>
          <w:p w:rsidR="00FF338E" w:rsidRPr="00C94372" w:rsidRDefault="00FF338E" w:rsidP="00FE546B">
            <w:pPr>
              <w:pStyle w:val="NormalWeb"/>
              <w:spacing w:before="0" w:beforeAutospacing="0" w:after="0" w:afterAutospacing="0"/>
              <w:rPr>
                <w:rFonts w:ascii="Times New Roman" w:hAnsi="Times New Roman"/>
              </w:rPr>
            </w:pPr>
            <w:r w:rsidRPr="00C94372">
              <w:rPr>
                <w:rFonts w:ascii="Times New Roman" w:hAnsi="Times New Roman"/>
                <w:bCs/>
                <w:kern w:val="24"/>
              </w:rPr>
              <w:t>Cost-effectiveness</w:t>
            </w:r>
            <w:r w:rsidRPr="00C94372">
              <w:rPr>
                <w:rFonts w:ascii="Times New Roman" w:hAnsi="Times New Roman"/>
                <w:kern w:val="24"/>
              </w:rPr>
              <w:t xml:space="preserve"> analysis for each of the intended populations</w:t>
            </w:r>
          </w:p>
        </w:tc>
        <w:tc>
          <w:tcPr>
            <w:tcW w:w="1417" w:type="dxa"/>
          </w:tcPr>
          <w:p w:rsidR="00FF338E" w:rsidRPr="00DC7CF1" w:rsidRDefault="00FF338E" w:rsidP="00FE546B">
            <w:pPr>
              <w:pStyle w:val="NormalWeb"/>
              <w:spacing w:before="0" w:beforeAutospacing="0" w:after="0" w:afterAutospacing="0"/>
              <w:rPr>
                <w:rFonts w:ascii="Times New Roman" w:hAnsi="Times New Roman"/>
              </w:rPr>
            </w:pPr>
            <w:r w:rsidRPr="00DC7CF1">
              <w:rPr>
                <w:rFonts w:ascii="Times New Roman" w:hAnsi="Times New Roman"/>
                <w:kern w:val="24"/>
              </w:rPr>
              <w:t>Yes</w:t>
            </w:r>
          </w:p>
        </w:tc>
        <w:tc>
          <w:tcPr>
            <w:tcW w:w="4343" w:type="dxa"/>
          </w:tcPr>
          <w:p w:rsidR="00FF338E" w:rsidRPr="00DC7CF1" w:rsidRDefault="00FF338E" w:rsidP="009156DD">
            <w:pPr>
              <w:pStyle w:val="NormalWeb"/>
              <w:spacing w:before="0" w:beforeAutospacing="0" w:after="0" w:afterAutospacing="0"/>
              <w:rPr>
                <w:rFonts w:ascii="Times New Roman" w:hAnsi="Times New Roman"/>
              </w:rPr>
            </w:pPr>
            <w:r w:rsidRPr="00DC7CF1">
              <w:rPr>
                <w:rFonts w:ascii="Times New Roman" w:hAnsi="Times New Roman"/>
                <w:kern w:val="24"/>
              </w:rPr>
              <w:t xml:space="preserve">Individual models for each population </w:t>
            </w:r>
            <w:r w:rsidR="009156DD">
              <w:rPr>
                <w:rFonts w:ascii="Times New Roman" w:hAnsi="Times New Roman"/>
                <w:kern w:val="24"/>
              </w:rPr>
              <w:t>were</w:t>
            </w:r>
            <w:r w:rsidRPr="00DC7CF1">
              <w:rPr>
                <w:rFonts w:ascii="Times New Roman" w:hAnsi="Times New Roman"/>
                <w:kern w:val="24"/>
              </w:rPr>
              <w:t xml:space="preserve"> included, as well as an integrated model.</w:t>
            </w:r>
          </w:p>
        </w:tc>
      </w:tr>
      <w:tr w:rsidR="00FF338E" w:rsidRPr="00DC7CF1" w:rsidTr="00FE546B">
        <w:tc>
          <w:tcPr>
            <w:tcW w:w="3256" w:type="dxa"/>
          </w:tcPr>
          <w:p w:rsidR="00FF338E" w:rsidRPr="00C94372" w:rsidRDefault="00FF338E" w:rsidP="00FE546B">
            <w:pPr>
              <w:pStyle w:val="NormalWeb"/>
              <w:spacing w:before="0" w:beforeAutospacing="0" w:after="0" w:afterAutospacing="0"/>
              <w:rPr>
                <w:rFonts w:ascii="Times New Roman" w:hAnsi="Times New Roman"/>
              </w:rPr>
            </w:pPr>
            <w:r w:rsidRPr="00C94372">
              <w:rPr>
                <w:rFonts w:ascii="Times New Roman" w:hAnsi="Times New Roman"/>
                <w:kern w:val="24"/>
              </w:rPr>
              <w:t xml:space="preserve">Clearer MBS </w:t>
            </w:r>
            <w:r w:rsidRPr="00C94372">
              <w:rPr>
                <w:rFonts w:ascii="Times New Roman" w:hAnsi="Times New Roman"/>
                <w:bCs/>
                <w:kern w:val="24"/>
              </w:rPr>
              <w:t xml:space="preserve">item descriptors </w:t>
            </w:r>
            <w:r w:rsidRPr="00C94372">
              <w:rPr>
                <w:rFonts w:ascii="Times New Roman" w:hAnsi="Times New Roman"/>
                <w:kern w:val="24"/>
              </w:rPr>
              <w:t>including restrictions on eligibility and genetic counselling requirements</w:t>
            </w:r>
          </w:p>
        </w:tc>
        <w:tc>
          <w:tcPr>
            <w:tcW w:w="1417" w:type="dxa"/>
          </w:tcPr>
          <w:p w:rsidR="00FF338E" w:rsidRPr="00DC7CF1" w:rsidRDefault="00FF338E" w:rsidP="00FE546B">
            <w:pPr>
              <w:pStyle w:val="NormalWeb"/>
              <w:spacing w:before="0" w:beforeAutospacing="0" w:after="0" w:afterAutospacing="0"/>
              <w:rPr>
                <w:rFonts w:ascii="Times New Roman" w:hAnsi="Times New Roman"/>
              </w:rPr>
            </w:pPr>
            <w:r w:rsidRPr="00DC7CF1">
              <w:rPr>
                <w:rFonts w:ascii="Times New Roman" w:hAnsi="Times New Roman"/>
                <w:kern w:val="24"/>
              </w:rPr>
              <w:t>Yes</w:t>
            </w:r>
          </w:p>
        </w:tc>
        <w:tc>
          <w:tcPr>
            <w:tcW w:w="4343" w:type="dxa"/>
          </w:tcPr>
          <w:p w:rsidR="00FF338E" w:rsidRPr="00DC7CF1" w:rsidRDefault="00FF338E" w:rsidP="009156DD">
            <w:pPr>
              <w:pStyle w:val="NormalWeb"/>
              <w:spacing w:before="0" w:beforeAutospacing="0" w:after="0" w:afterAutospacing="0"/>
              <w:rPr>
                <w:rFonts w:ascii="Times New Roman" w:hAnsi="Times New Roman"/>
              </w:rPr>
            </w:pPr>
            <w:r w:rsidRPr="00DC7CF1">
              <w:rPr>
                <w:rFonts w:ascii="Times New Roman" w:hAnsi="Times New Roman"/>
                <w:kern w:val="24"/>
              </w:rPr>
              <w:t xml:space="preserve">Clearer MBS item descriptors </w:t>
            </w:r>
            <w:r w:rsidR="009156DD">
              <w:rPr>
                <w:rFonts w:ascii="Times New Roman" w:hAnsi="Times New Roman"/>
                <w:kern w:val="24"/>
              </w:rPr>
              <w:t xml:space="preserve">were </w:t>
            </w:r>
            <w:r w:rsidRPr="00DC7CF1">
              <w:rPr>
                <w:rFonts w:ascii="Times New Roman" w:hAnsi="Times New Roman"/>
                <w:kern w:val="24"/>
              </w:rPr>
              <w:t xml:space="preserve">developed in consultation with the RCPA CFTR </w:t>
            </w:r>
            <w:r w:rsidR="00007E77">
              <w:rPr>
                <w:rFonts w:ascii="Times New Roman" w:hAnsi="Times New Roman"/>
                <w:kern w:val="24"/>
              </w:rPr>
              <w:t>W</w:t>
            </w:r>
            <w:r w:rsidRPr="00DC7CF1">
              <w:rPr>
                <w:rFonts w:ascii="Times New Roman" w:hAnsi="Times New Roman"/>
                <w:kern w:val="24"/>
              </w:rPr>
              <w:t xml:space="preserve">orking </w:t>
            </w:r>
            <w:r w:rsidR="00007E77">
              <w:rPr>
                <w:rFonts w:ascii="Times New Roman" w:hAnsi="Times New Roman"/>
                <w:kern w:val="24"/>
              </w:rPr>
              <w:t>G</w:t>
            </w:r>
            <w:r w:rsidRPr="00DC7CF1">
              <w:rPr>
                <w:rFonts w:ascii="Times New Roman" w:hAnsi="Times New Roman"/>
                <w:kern w:val="24"/>
              </w:rPr>
              <w:t>roup.</w:t>
            </w:r>
          </w:p>
        </w:tc>
      </w:tr>
      <w:tr w:rsidR="00FF338E" w:rsidRPr="00DC7CF1" w:rsidTr="00FE546B">
        <w:tc>
          <w:tcPr>
            <w:tcW w:w="3256" w:type="dxa"/>
          </w:tcPr>
          <w:p w:rsidR="00FF338E" w:rsidRPr="00C94372" w:rsidRDefault="00FF338E" w:rsidP="00FE546B">
            <w:pPr>
              <w:pStyle w:val="NormalWeb"/>
              <w:spacing w:before="0" w:beforeAutospacing="0" w:after="0" w:afterAutospacing="0"/>
              <w:rPr>
                <w:rFonts w:ascii="Times New Roman" w:hAnsi="Times New Roman"/>
              </w:rPr>
            </w:pPr>
            <w:r w:rsidRPr="00C94372">
              <w:rPr>
                <w:rFonts w:ascii="Times New Roman" w:hAnsi="Times New Roman"/>
                <w:kern w:val="24"/>
              </w:rPr>
              <w:t xml:space="preserve">Consider including </w:t>
            </w:r>
            <w:r w:rsidRPr="00C94372">
              <w:rPr>
                <w:rFonts w:ascii="Times New Roman" w:hAnsi="Times New Roman"/>
                <w:bCs/>
                <w:kern w:val="24"/>
              </w:rPr>
              <w:t xml:space="preserve">cascade testing </w:t>
            </w:r>
            <w:r w:rsidRPr="00C94372">
              <w:rPr>
                <w:rFonts w:ascii="Times New Roman" w:hAnsi="Times New Roman"/>
                <w:kern w:val="24"/>
              </w:rPr>
              <w:t>for reproductive planning</w:t>
            </w:r>
          </w:p>
        </w:tc>
        <w:tc>
          <w:tcPr>
            <w:tcW w:w="1417" w:type="dxa"/>
          </w:tcPr>
          <w:p w:rsidR="00FF338E" w:rsidRPr="00DC7CF1" w:rsidRDefault="00FF338E" w:rsidP="00FE546B">
            <w:pPr>
              <w:pStyle w:val="NormalWeb"/>
              <w:spacing w:before="0" w:beforeAutospacing="0" w:after="0" w:afterAutospacing="0"/>
              <w:rPr>
                <w:rFonts w:ascii="Times New Roman" w:hAnsi="Times New Roman"/>
              </w:rPr>
            </w:pPr>
            <w:r w:rsidRPr="00DC7CF1">
              <w:rPr>
                <w:rFonts w:ascii="Times New Roman" w:hAnsi="Times New Roman"/>
                <w:kern w:val="24"/>
              </w:rPr>
              <w:t>Yes</w:t>
            </w:r>
          </w:p>
        </w:tc>
        <w:tc>
          <w:tcPr>
            <w:tcW w:w="4343" w:type="dxa"/>
          </w:tcPr>
          <w:p w:rsidR="00FF338E" w:rsidRPr="00DC7CF1" w:rsidRDefault="00FF338E" w:rsidP="009156DD">
            <w:pPr>
              <w:pStyle w:val="NormalWeb"/>
              <w:spacing w:before="0" w:beforeAutospacing="0" w:after="0" w:afterAutospacing="0"/>
              <w:rPr>
                <w:rFonts w:ascii="Times New Roman" w:hAnsi="Times New Roman"/>
              </w:rPr>
            </w:pPr>
            <w:r w:rsidRPr="00DC7CF1">
              <w:rPr>
                <w:rFonts w:ascii="Times New Roman" w:hAnsi="Times New Roman"/>
                <w:kern w:val="24"/>
              </w:rPr>
              <w:t xml:space="preserve">Safety, effectiveness and cost-effectiveness of this population </w:t>
            </w:r>
            <w:r w:rsidR="009156DD">
              <w:rPr>
                <w:rFonts w:ascii="Times New Roman" w:hAnsi="Times New Roman"/>
                <w:kern w:val="24"/>
              </w:rPr>
              <w:t>we</w:t>
            </w:r>
            <w:r w:rsidRPr="00DC7CF1">
              <w:rPr>
                <w:rFonts w:ascii="Times New Roman" w:hAnsi="Times New Roman"/>
                <w:kern w:val="24"/>
              </w:rPr>
              <w:t>re assessed.</w:t>
            </w:r>
          </w:p>
        </w:tc>
      </w:tr>
      <w:tr w:rsidR="00FF338E" w:rsidRPr="00DC7CF1" w:rsidTr="00FE546B">
        <w:tc>
          <w:tcPr>
            <w:tcW w:w="3256" w:type="dxa"/>
          </w:tcPr>
          <w:p w:rsidR="00FF338E" w:rsidRPr="00C94372" w:rsidRDefault="00FF338E" w:rsidP="00FE546B">
            <w:pPr>
              <w:pStyle w:val="NormalWeb"/>
              <w:spacing w:before="0" w:beforeAutospacing="0" w:after="0" w:afterAutospacing="0"/>
              <w:rPr>
                <w:rFonts w:ascii="Times New Roman" w:hAnsi="Times New Roman"/>
              </w:rPr>
            </w:pPr>
            <w:r w:rsidRPr="00C94372">
              <w:rPr>
                <w:rFonts w:ascii="Times New Roman" w:hAnsi="Times New Roman"/>
                <w:kern w:val="24"/>
              </w:rPr>
              <w:t xml:space="preserve">Consider including </w:t>
            </w:r>
            <w:r w:rsidRPr="00C94372">
              <w:rPr>
                <w:rFonts w:ascii="Times New Roman" w:hAnsi="Times New Roman"/>
                <w:bCs/>
                <w:kern w:val="24"/>
              </w:rPr>
              <w:t xml:space="preserve">routine antenatal screening </w:t>
            </w:r>
            <w:r w:rsidRPr="00C94372">
              <w:rPr>
                <w:rFonts w:ascii="Times New Roman" w:hAnsi="Times New Roman"/>
                <w:kern w:val="24"/>
              </w:rPr>
              <w:t>for reproductive planning purposes</w:t>
            </w:r>
          </w:p>
        </w:tc>
        <w:tc>
          <w:tcPr>
            <w:tcW w:w="1417" w:type="dxa"/>
          </w:tcPr>
          <w:p w:rsidR="00FF338E" w:rsidRPr="00DC7CF1" w:rsidRDefault="00FF338E" w:rsidP="00FE546B">
            <w:pPr>
              <w:pStyle w:val="NormalWeb"/>
              <w:spacing w:before="0" w:beforeAutospacing="0" w:after="0" w:afterAutospacing="0"/>
              <w:rPr>
                <w:rFonts w:ascii="Times New Roman" w:hAnsi="Times New Roman"/>
              </w:rPr>
            </w:pPr>
            <w:r w:rsidRPr="00DC7CF1">
              <w:rPr>
                <w:rFonts w:ascii="Times New Roman" w:hAnsi="Times New Roman"/>
                <w:kern w:val="24"/>
              </w:rPr>
              <w:t>No</w:t>
            </w:r>
          </w:p>
        </w:tc>
        <w:tc>
          <w:tcPr>
            <w:tcW w:w="4343" w:type="dxa"/>
          </w:tcPr>
          <w:p w:rsidR="00FF338E" w:rsidRPr="00DC7CF1" w:rsidRDefault="00FF338E" w:rsidP="009156DD">
            <w:pPr>
              <w:pStyle w:val="NormalWeb"/>
              <w:spacing w:before="0" w:beforeAutospacing="0" w:after="0" w:afterAutospacing="0"/>
              <w:rPr>
                <w:rFonts w:ascii="Times New Roman" w:hAnsi="Times New Roman"/>
              </w:rPr>
            </w:pPr>
            <w:r w:rsidRPr="00DC7CF1">
              <w:rPr>
                <w:rFonts w:ascii="Times New Roman" w:hAnsi="Times New Roman"/>
                <w:kern w:val="24"/>
              </w:rPr>
              <w:t xml:space="preserve">The RCPA </w:t>
            </w:r>
            <w:r w:rsidR="009156DD">
              <w:rPr>
                <w:rFonts w:ascii="Times New Roman" w:hAnsi="Times New Roman"/>
                <w:kern w:val="24"/>
              </w:rPr>
              <w:t xml:space="preserve">did </w:t>
            </w:r>
            <w:r w:rsidRPr="00DC7CF1">
              <w:rPr>
                <w:rFonts w:ascii="Times New Roman" w:hAnsi="Times New Roman"/>
                <w:kern w:val="24"/>
              </w:rPr>
              <w:t>not request MBS items for people with less than 6% risk of being a CFTR carrier.</w:t>
            </w:r>
          </w:p>
        </w:tc>
      </w:tr>
      <w:tr w:rsidR="00FF338E" w:rsidRPr="00DC7CF1" w:rsidTr="00FE546B">
        <w:tc>
          <w:tcPr>
            <w:tcW w:w="3256" w:type="dxa"/>
          </w:tcPr>
          <w:p w:rsidR="00FF338E" w:rsidRPr="00C94372" w:rsidRDefault="00FF338E" w:rsidP="00FE546B">
            <w:pPr>
              <w:pStyle w:val="NormalWeb"/>
              <w:spacing w:before="0" w:beforeAutospacing="0" w:after="0" w:afterAutospacing="0"/>
              <w:rPr>
                <w:rFonts w:ascii="Times New Roman" w:hAnsi="Times New Roman"/>
              </w:rPr>
            </w:pPr>
            <w:r w:rsidRPr="00C94372">
              <w:rPr>
                <w:rFonts w:ascii="Times New Roman" w:hAnsi="Times New Roman"/>
                <w:kern w:val="24"/>
              </w:rPr>
              <w:t xml:space="preserve">Consider impact of </w:t>
            </w:r>
            <w:r w:rsidRPr="00C94372">
              <w:rPr>
                <w:rFonts w:ascii="Times New Roman" w:hAnsi="Times New Roman"/>
                <w:bCs/>
                <w:kern w:val="24"/>
              </w:rPr>
              <w:t>next-generation sequencing</w:t>
            </w:r>
          </w:p>
        </w:tc>
        <w:tc>
          <w:tcPr>
            <w:tcW w:w="1417" w:type="dxa"/>
          </w:tcPr>
          <w:p w:rsidR="00FF338E" w:rsidRPr="00DC7CF1" w:rsidRDefault="00FF338E" w:rsidP="00FE546B">
            <w:pPr>
              <w:pStyle w:val="NormalWeb"/>
              <w:spacing w:before="0" w:beforeAutospacing="0" w:after="0" w:afterAutospacing="0"/>
              <w:rPr>
                <w:rFonts w:ascii="Times New Roman" w:hAnsi="Times New Roman"/>
              </w:rPr>
            </w:pPr>
            <w:r w:rsidRPr="00DC7CF1">
              <w:rPr>
                <w:rFonts w:ascii="Times New Roman" w:hAnsi="Times New Roman"/>
                <w:kern w:val="24"/>
              </w:rPr>
              <w:t>Partially</w:t>
            </w:r>
          </w:p>
        </w:tc>
        <w:tc>
          <w:tcPr>
            <w:tcW w:w="4343" w:type="dxa"/>
          </w:tcPr>
          <w:p w:rsidR="00FF338E" w:rsidRPr="00DC7CF1" w:rsidRDefault="009156DD" w:rsidP="009156DD">
            <w:pPr>
              <w:pStyle w:val="NormalWeb"/>
              <w:spacing w:before="0" w:beforeAutospacing="0" w:after="0" w:afterAutospacing="0"/>
              <w:rPr>
                <w:rFonts w:ascii="Times New Roman" w:hAnsi="Times New Roman"/>
              </w:rPr>
            </w:pPr>
            <w:r>
              <w:rPr>
                <w:rFonts w:ascii="Times New Roman" w:hAnsi="Times New Roman"/>
                <w:kern w:val="24"/>
              </w:rPr>
              <w:t xml:space="preserve">The </w:t>
            </w:r>
            <w:r w:rsidR="00FF338E" w:rsidRPr="00DC7CF1">
              <w:rPr>
                <w:rFonts w:ascii="Times New Roman" w:hAnsi="Times New Roman"/>
                <w:kern w:val="24"/>
              </w:rPr>
              <w:t xml:space="preserve">RCPA suggested </w:t>
            </w:r>
            <w:r w:rsidR="00007E77">
              <w:rPr>
                <w:rFonts w:ascii="Times New Roman" w:hAnsi="Times New Roman"/>
                <w:kern w:val="24"/>
              </w:rPr>
              <w:t>a complete</w:t>
            </w:r>
            <w:r w:rsidR="00FF338E" w:rsidRPr="00DC7CF1">
              <w:rPr>
                <w:rFonts w:ascii="Times New Roman" w:hAnsi="Times New Roman"/>
                <w:kern w:val="24"/>
              </w:rPr>
              <w:t xml:space="preserve"> review of NGS, as the implications will be much broader than just CFTR. However, if one</w:t>
            </w:r>
            <w:r w:rsidR="00007E77">
              <w:rPr>
                <w:rFonts w:ascii="Times New Roman" w:hAnsi="Times New Roman"/>
                <w:kern w:val="24"/>
              </w:rPr>
              <w:t xml:space="preserve"> mutation</w:t>
            </w:r>
            <w:r w:rsidR="00FF338E" w:rsidRPr="00DC7CF1">
              <w:rPr>
                <w:rFonts w:ascii="Times New Roman" w:hAnsi="Times New Roman"/>
                <w:kern w:val="24"/>
              </w:rPr>
              <w:t>, rather than two mutation</w:t>
            </w:r>
            <w:r w:rsidR="00007E77">
              <w:rPr>
                <w:rFonts w:ascii="Times New Roman" w:hAnsi="Times New Roman"/>
                <w:kern w:val="24"/>
              </w:rPr>
              <w:t>s, is</w:t>
            </w:r>
            <w:r w:rsidR="00FF338E" w:rsidRPr="00DC7CF1">
              <w:rPr>
                <w:rFonts w:ascii="Times New Roman" w:hAnsi="Times New Roman"/>
                <w:kern w:val="24"/>
              </w:rPr>
              <w:t xml:space="preserve"> found after a test with 95% sensitivity, the expectation </w:t>
            </w:r>
            <w:r>
              <w:rPr>
                <w:rFonts w:ascii="Times New Roman" w:hAnsi="Times New Roman"/>
                <w:kern w:val="24"/>
              </w:rPr>
              <w:t>wa</w:t>
            </w:r>
            <w:r w:rsidR="00FF338E" w:rsidRPr="00DC7CF1">
              <w:rPr>
                <w:rFonts w:ascii="Times New Roman" w:hAnsi="Times New Roman"/>
                <w:kern w:val="24"/>
              </w:rPr>
              <w:t xml:space="preserve">s that NGS may be used to test for very rare mutations. </w:t>
            </w:r>
            <w:r>
              <w:rPr>
                <w:rFonts w:ascii="Times New Roman" w:hAnsi="Times New Roman"/>
                <w:kern w:val="24"/>
              </w:rPr>
              <w:t>The a</w:t>
            </w:r>
            <w:r w:rsidR="00FF338E" w:rsidRPr="00DC7CF1">
              <w:rPr>
                <w:rFonts w:ascii="Times New Roman" w:hAnsi="Times New Roman"/>
                <w:kern w:val="24"/>
              </w:rPr>
              <w:t xml:space="preserve">ccuracy of using NGS </w:t>
            </w:r>
            <w:r>
              <w:rPr>
                <w:rFonts w:ascii="Times New Roman" w:hAnsi="Times New Roman"/>
                <w:kern w:val="24"/>
              </w:rPr>
              <w:t>wa</w:t>
            </w:r>
            <w:r w:rsidR="00FF338E" w:rsidRPr="00DC7CF1">
              <w:rPr>
                <w:rFonts w:ascii="Times New Roman" w:hAnsi="Times New Roman"/>
                <w:kern w:val="24"/>
              </w:rPr>
              <w:t xml:space="preserve">s </w:t>
            </w:r>
            <w:r>
              <w:rPr>
                <w:rFonts w:ascii="Times New Roman" w:hAnsi="Times New Roman"/>
                <w:kern w:val="24"/>
              </w:rPr>
              <w:t xml:space="preserve">also </w:t>
            </w:r>
            <w:r w:rsidR="00FF338E" w:rsidRPr="00DC7CF1">
              <w:rPr>
                <w:rFonts w:ascii="Times New Roman" w:hAnsi="Times New Roman"/>
                <w:kern w:val="24"/>
              </w:rPr>
              <w:t>considered.</w:t>
            </w:r>
          </w:p>
        </w:tc>
      </w:tr>
      <w:tr w:rsidR="00FF338E" w:rsidRPr="00DC7CF1" w:rsidTr="00FE546B">
        <w:tc>
          <w:tcPr>
            <w:tcW w:w="3256" w:type="dxa"/>
          </w:tcPr>
          <w:p w:rsidR="00FF338E" w:rsidRPr="00C94372" w:rsidRDefault="00FF338E" w:rsidP="00FE546B">
            <w:pPr>
              <w:pStyle w:val="NormalWeb"/>
              <w:spacing w:before="0" w:beforeAutospacing="0" w:after="0" w:afterAutospacing="0"/>
              <w:rPr>
                <w:rFonts w:ascii="Times New Roman" w:hAnsi="Times New Roman"/>
              </w:rPr>
            </w:pPr>
            <w:r w:rsidRPr="00C94372">
              <w:rPr>
                <w:rFonts w:ascii="Times New Roman" w:hAnsi="Times New Roman"/>
                <w:kern w:val="24"/>
              </w:rPr>
              <w:t xml:space="preserve">Consider impact of </w:t>
            </w:r>
            <w:r w:rsidRPr="00C94372">
              <w:rPr>
                <w:rFonts w:ascii="Times New Roman" w:hAnsi="Times New Roman"/>
                <w:bCs/>
                <w:kern w:val="24"/>
              </w:rPr>
              <w:t>non-invasive prenatal testing</w:t>
            </w:r>
          </w:p>
        </w:tc>
        <w:tc>
          <w:tcPr>
            <w:tcW w:w="1417" w:type="dxa"/>
          </w:tcPr>
          <w:p w:rsidR="00FF338E" w:rsidRPr="00DC7CF1" w:rsidRDefault="00FF338E" w:rsidP="00FE546B">
            <w:pPr>
              <w:pStyle w:val="NormalWeb"/>
              <w:spacing w:before="0" w:beforeAutospacing="0" w:after="0" w:afterAutospacing="0"/>
              <w:rPr>
                <w:rFonts w:ascii="Times New Roman" w:hAnsi="Times New Roman"/>
              </w:rPr>
            </w:pPr>
            <w:r w:rsidRPr="00DC7CF1">
              <w:rPr>
                <w:rFonts w:ascii="Times New Roman" w:hAnsi="Times New Roman"/>
                <w:kern w:val="24"/>
              </w:rPr>
              <w:t>No</w:t>
            </w:r>
          </w:p>
        </w:tc>
        <w:tc>
          <w:tcPr>
            <w:tcW w:w="4343" w:type="dxa"/>
          </w:tcPr>
          <w:p w:rsidR="00FF338E" w:rsidRPr="00DC7CF1" w:rsidRDefault="009156DD" w:rsidP="00FE546B">
            <w:pPr>
              <w:pStyle w:val="NormalWeb"/>
              <w:spacing w:before="0" w:beforeAutospacing="0" w:after="0" w:afterAutospacing="0"/>
              <w:rPr>
                <w:rFonts w:ascii="Times New Roman" w:hAnsi="Times New Roman"/>
              </w:rPr>
            </w:pPr>
            <w:r>
              <w:rPr>
                <w:rFonts w:ascii="Times New Roman" w:hAnsi="Times New Roman"/>
                <w:kern w:val="24"/>
              </w:rPr>
              <w:t xml:space="preserve">The </w:t>
            </w:r>
            <w:r w:rsidR="00FF338E" w:rsidRPr="00DC7CF1">
              <w:rPr>
                <w:rFonts w:ascii="Times New Roman" w:hAnsi="Times New Roman"/>
                <w:kern w:val="24"/>
              </w:rPr>
              <w:t xml:space="preserve">RCPA suggested </w:t>
            </w:r>
            <w:r>
              <w:rPr>
                <w:rFonts w:ascii="Times New Roman" w:hAnsi="Times New Roman"/>
                <w:kern w:val="24"/>
              </w:rPr>
              <w:t xml:space="preserve">that </w:t>
            </w:r>
            <w:r w:rsidR="00FF338E" w:rsidRPr="00DC7CF1">
              <w:rPr>
                <w:rFonts w:ascii="Times New Roman" w:hAnsi="Times New Roman"/>
                <w:kern w:val="24"/>
              </w:rPr>
              <w:t xml:space="preserve">there is unlikely to be any evidence </w:t>
            </w:r>
            <w:r w:rsidR="00007E77">
              <w:rPr>
                <w:rFonts w:ascii="Times New Roman" w:hAnsi="Times New Roman"/>
                <w:kern w:val="24"/>
              </w:rPr>
              <w:t>for</w:t>
            </w:r>
            <w:r w:rsidR="00007E77" w:rsidRPr="00DC7CF1">
              <w:rPr>
                <w:rFonts w:ascii="Times New Roman" w:hAnsi="Times New Roman"/>
                <w:kern w:val="24"/>
              </w:rPr>
              <w:t xml:space="preserve"> </w:t>
            </w:r>
            <w:r w:rsidR="00FF338E" w:rsidRPr="00DC7CF1">
              <w:rPr>
                <w:rFonts w:ascii="Times New Roman" w:hAnsi="Times New Roman"/>
                <w:kern w:val="24"/>
              </w:rPr>
              <w:t>NIPT in the near future for CF</w:t>
            </w:r>
            <w:r>
              <w:rPr>
                <w:rFonts w:ascii="Times New Roman" w:hAnsi="Times New Roman"/>
                <w:kern w:val="24"/>
              </w:rPr>
              <w:t>.</w:t>
            </w:r>
          </w:p>
          <w:p w:rsidR="00FF338E" w:rsidRPr="00DC7CF1" w:rsidRDefault="00FF338E" w:rsidP="009156DD">
            <w:pPr>
              <w:pStyle w:val="NormalWeb"/>
              <w:spacing w:before="0" w:beforeAutospacing="0" w:after="0" w:afterAutospacing="0"/>
              <w:rPr>
                <w:rFonts w:ascii="Times New Roman" w:hAnsi="Times New Roman"/>
              </w:rPr>
            </w:pPr>
            <w:r w:rsidRPr="00DC7CF1">
              <w:rPr>
                <w:rFonts w:ascii="Times New Roman" w:hAnsi="Times New Roman"/>
                <w:kern w:val="24"/>
              </w:rPr>
              <w:t xml:space="preserve">NIPT emerging technology and costs </w:t>
            </w:r>
            <w:r w:rsidR="009156DD">
              <w:rPr>
                <w:rFonts w:ascii="Times New Roman" w:hAnsi="Times New Roman"/>
                <w:kern w:val="24"/>
              </w:rPr>
              <w:t>we</w:t>
            </w:r>
            <w:r w:rsidRPr="00DC7CF1">
              <w:rPr>
                <w:rFonts w:ascii="Times New Roman" w:hAnsi="Times New Roman"/>
                <w:kern w:val="24"/>
              </w:rPr>
              <w:t>re estimated to be significantly higher than MBS rebates requested.</w:t>
            </w:r>
          </w:p>
        </w:tc>
      </w:tr>
      <w:tr w:rsidR="00FF338E" w:rsidRPr="00DC7CF1" w:rsidTr="00FE546B">
        <w:tc>
          <w:tcPr>
            <w:tcW w:w="3256" w:type="dxa"/>
          </w:tcPr>
          <w:p w:rsidR="00FF338E" w:rsidRPr="00DC7CF1" w:rsidRDefault="00FF338E" w:rsidP="00FE546B">
            <w:pPr>
              <w:pStyle w:val="NormalWeb"/>
              <w:spacing w:before="0" w:beforeAutospacing="0" w:after="0" w:afterAutospacing="0"/>
              <w:rPr>
                <w:rFonts w:ascii="Times New Roman" w:hAnsi="Times New Roman"/>
              </w:rPr>
            </w:pPr>
            <w:r w:rsidRPr="00DC7CF1">
              <w:rPr>
                <w:rFonts w:ascii="Times New Roman" w:hAnsi="Times New Roman"/>
                <w:kern w:val="24"/>
              </w:rPr>
              <w:t xml:space="preserve">Consider impact </w:t>
            </w:r>
            <w:r>
              <w:rPr>
                <w:rFonts w:ascii="Times New Roman" w:hAnsi="Times New Roman"/>
                <w:kern w:val="24"/>
              </w:rPr>
              <w:t xml:space="preserve">of </w:t>
            </w:r>
            <w:proofErr w:type="spellStart"/>
            <w:r w:rsidRPr="00DC7CF1">
              <w:rPr>
                <w:rFonts w:ascii="Times New Roman" w:hAnsi="Times New Roman"/>
                <w:kern w:val="24"/>
              </w:rPr>
              <w:t>preimplantation</w:t>
            </w:r>
            <w:proofErr w:type="spellEnd"/>
            <w:r w:rsidRPr="00DC7CF1">
              <w:rPr>
                <w:rFonts w:ascii="Times New Roman" w:hAnsi="Times New Roman"/>
                <w:kern w:val="24"/>
              </w:rPr>
              <w:t xml:space="preserve"> genetic diagnosis</w:t>
            </w:r>
          </w:p>
        </w:tc>
        <w:tc>
          <w:tcPr>
            <w:tcW w:w="1417" w:type="dxa"/>
          </w:tcPr>
          <w:p w:rsidR="00FF338E" w:rsidRPr="00DC7CF1" w:rsidRDefault="00FF338E" w:rsidP="00FE546B">
            <w:pPr>
              <w:pStyle w:val="NormalWeb"/>
              <w:spacing w:before="0" w:beforeAutospacing="0" w:after="0" w:afterAutospacing="0"/>
              <w:rPr>
                <w:rFonts w:ascii="Times New Roman" w:hAnsi="Times New Roman"/>
              </w:rPr>
            </w:pPr>
            <w:r w:rsidRPr="00DC7CF1">
              <w:rPr>
                <w:rFonts w:ascii="Times New Roman" w:hAnsi="Times New Roman"/>
                <w:kern w:val="24"/>
              </w:rPr>
              <w:t>Yes</w:t>
            </w:r>
          </w:p>
        </w:tc>
        <w:tc>
          <w:tcPr>
            <w:tcW w:w="4343" w:type="dxa"/>
          </w:tcPr>
          <w:p w:rsidR="00FF338E" w:rsidRPr="00DC7CF1" w:rsidRDefault="00FF338E" w:rsidP="009156DD">
            <w:pPr>
              <w:pStyle w:val="NormalWeb"/>
              <w:spacing w:before="0" w:beforeAutospacing="0" w:after="0" w:afterAutospacing="0"/>
              <w:rPr>
                <w:rFonts w:ascii="Times New Roman" w:hAnsi="Times New Roman"/>
              </w:rPr>
            </w:pPr>
            <w:r w:rsidRPr="00DC7CF1">
              <w:rPr>
                <w:rFonts w:ascii="Times New Roman" w:hAnsi="Times New Roman"/>
                <w:kern w:val="24"/>
              </w:rPr>
              <w:t>The re-assessment include</w:t>
            </w:r>
            <w:r w:rsidR="009156DD">
              <w:rPr>
                <w:rFonts w:ascii="Times New Roman" w:hAnsi="Times New Roman"/>
                <w:kern w:val="24"/>
              </w:rPr>
              <w:t>d</w:t>
            </w:r>
            <w:r w:rsidRPr="00DC7CF1">
              <w:rPr>
                <w:rFonts w:ascii="Times New Roman" w:hAnsi="Times New Roman"/>
                <w:kern w:val="24"/>
              </w:rPr>
              <w:t xml:space="preserve"> data on the clinical and cost-effectiveness of PGD, in collaboration with assessment 1165.1.</w:t>
            </w:r>
          </w:p>
        </w:tc>
      </w:tr>
    </w:tbl>
    <w:p w:rsidR="00FF338E" w:rsidRPr="00273947" w:rsidRDefault="00FF338E" w:rsidP="00273947">
      <w:pPr>
        <w:autoSpaceDE w:val="0"/>
        <w:autoSpaceDN w:val="0"/>
        <w:adjustRightInd w:val="0"/>
        <w:spacing w:after="240"/>
        <w:rPr>
          <w:sz w:val="20"/>
        </w:rPr>
      </w:pPr>
      <w:r w:rsidRPr="00995603">
        <w:rPr>
          <w:sz w:val="20"/>
        </w:rPr>
        <w:t xml:space="preserve">Abbreviations:   CFTR = cystic fibrosis </w:t>
      </w:r>
      <w:proofErr w:type="spellStart"/>
      <w:r w:rsidRPr="00995603">
        <w:rPr>
          <w:sz w:val="20"/>
        </w:rPr>
        <w:t>transmembrane</w:t>
      </w:r>
      <w:proofErr w:type="spellEnd"/>
      <w:r w:rsidRPr="00995603">
        <w:rPr>
          <w:sz w:val="20"/>
        </w:rPr>
        <w:t xml:space="preserve"> conductance regulator; RCPA = Royal College of Pathologists of Australasia; MBS = Medicare Benefits Schedule; MSAC = Medical Services Advisory Committee; NGS = next-generation sequencing; NIPT = non-invasive prenatal testing</w:t>
      </w:r>
    </w:p>
    <w:p w:rsidR="00FF338E" w:rsidRPr="00DC7CF1" w:rsidRDefault="00FF338E" w:rsidP="00FF338E">
      <w:pPr>
        <w:rPr>
          <w:szCs w:val="24"/>
        </w:rPr>
      </w:pPr>
      <w:r w:rsidRPr="00DC7CF1">
        <w:rPr>
          <w:szCs w:val="24"/>
        </w:rPr>
        <w:t>The proposed service would be used in three key patient populations:</w:t>
      </w:r>
    </w:p>
    <w:p w:rsidR="00FF338E" w:rsidRPr="00DC7CF1" w:rsidRDefault="002E6780" w:rsidP="00FF338E">
      <w:pPr>
        <w:pStyle w:val="ListParagraph"/>
        <w:numPr>
          <w:ilvl w:val="0"/>
          <w:numId w:val="27"/>
        </w:numPr>
        <w:spacing w:after="160" w:line="259" w:lineRule="auto"/>
        <w:ind w:left="714" w:hanging="357"/>
        <w:rPr>
          <w:szCs w:val="24"/>
        </w:rPr>
      </w:pPr>
      <w:r>
        <w:rPr>
          <w:szCs w:val="24"/>
        </w:rPr>
        <w:t>prenatal CF</w:t>
      </w:r>
      <w:r w:rsidR="00FF338E" w:rsidRPr="00DC7CF1">
        <w:rPr>
          <w:szCs w:val="24"/>
        </w:rPr>
        <w:t xml:space="preserve"> testing;</w:t>
      </w:r>
    </w:p>
    <w:p w:rsidR="00FF338E" w:rsidRPr="00DC7CF1" w:rsidRDefault="00FF338E" w:rsidP="00FF338E">
      <w:pPr>
        <w:pStyle w:val="ListParagraph"/>
        <w:numPr>
          <w:ilvl w:val="0"/>
          <w:numId w:val="27"/>
        </w:numPr>
        <w:spacing w:after="160" w:line="259" w:lineRule="auto"/>
        <w:rPr>
          <w:szCs w:val="24"/>
        </w:rPr>
      </w:pPr>
      <w:r w:rsidRPr="00DC7CF1">
        <w:rPr>
          <w:szCs w:val="24"/>
        </w:rPr>
        <w:lastRenderedPageBreak/>
        <w:t>people suspected to have CF or CFTR-related disorders; and</w:t>
      </w:r>
    </w:p>
    <w:p w:rsidR="00FF338E" w:rsidRPr="00DC7CF1" w:rsidRDefault="00FF338E" w:rsidP="00FF338E">
      <w:pPr>
        <w:pStyle w:val="ListParagraph"/>
        <w:numPr>
          <w:ilvl w:val="0"/>
          <w:numId w:val="27"/>
        </w:numPr>
        <w:spacing w:after="160" w:line="259" w:lineRule="auto"/>
        <w:rPr>
          <w:szCs w:val="24"/>
        </w:rPr>
      </w:pPr>
      <w:proofErr w:type="gramStart"/>
      <w:r w:rsidRPr="00DC7CF1">
        <w:rPr>
          <w:szCs w:val="24"/>
        </w:rPr>
        <w:t>partners</w:t>
      </w:r>
      <w:proofErr w:type="gramEnd"/>
      <w:r w:rsidRPr="00DC7CF1">
        <w:rPr>
          <w:szCs w:val="24"/>
        </w:rPr>
        <w:t xml:space="preserve"> and family members of people with at least one known CFTR mutation, tested for the purpose of reproductive planning.</w:t>
      </w:r>
    </w:p>
    <w:p w:rsidR="00FF338E" w:rsidRPr="00DC7CF1" w:rsidRDefault="00FF338E" w:rsidP="00273947">
      <w:pPr>
        <w:spacing w:after="240"/>
        <w:rPr>
          <w:szCs w:val="24"/>
        </w:rPr>
      </w:pPr>
      <w:r w:rsidRPr="00DC7CF1">
        <w:rPr>
          <w:szCs w:val="24"/>
        </w:rPr>
        <w:t xml:space="preserve">ESC noted that under the current legislation (Health Insurance Act 1973) the </w:t>
      </w:r>
      <w:proofErr w:type="spellStart"/>
      <w:r w:rsidRPr="00DC7CF1">
        <w:rPr>
          <w:szCs w:val="24"/>
        </w:rPr>
        <w:t>fetus</w:t>
      </w:r>
      <w:proofErr w:type="spellEnd"/>
      <w:r w:rsidRPr="00DC7CF1">
        <w:rPr>
          <w:szCs w:val="24"/>
        </w:rPr>
        <w:t xml:space="preserve"> is not a patient but the mother is a patient and </w:t>
      </w:r>
      <w:proofErr w:type="spellStart"/>
      <w:r w:rsidRPr="00DC7CF1">
        <w:rPr>
          <w:szCs w:val="24"/>
        </w:rPr>
        <w:t>fetal</w:t>
      </w:r>
      <w:proofErr w:type="spellEnd"/>
      <w:r w:rsidRPr="00DC7CF1">
        <w:rPr>
          <w:szCs w:val="24"/>
        </w:rPr>
        <w:t xml:space="preserve"> testing required collection of a sample from the mother.</w:t>
      </w:r>
    </w:p>
    <w:p w:rsidR="00FF338E" w:rsidRPr="00DC7CF1" w:rsidRDefault="00FF338E" w:rsidP="00FF338E">
      <w:pPr>
        <w:rPr>
          <w:szCs w:val="24"/>
        </w:rPr>
      </w:pPr>
      <w:r w:rsidRPr="00DC7CF1">
        <w:rPr>
          <w:szCs w:val="24"/>
        </w:rPr>
        <w:t xml:space="preserve">ESC </w:t>
      </w:r>
      <w:r>
        <w:rPr>
          <w:szCs w:val="24"/>
        </w:rPr>
        <w:t>noted</w:t>
      </w:r>
      <w:r w:rsidRPr="00DC7CF1">
        <w:rPr>
          <w:szCs w:val="24"/>
        </w:rPr>
        <w:t xml:space="preserve"> that six items are proposed, one for each specific population to prevent leakage and/or de facto screening:</w:t>
      </w:r>
    </w:p>
    <w:p w:rsidR="00FF338E" w:rsidRPr="00DC7CF1" w:rsidRDefault="00FF338E" w:rsidP="00FF338E">
      <w:pPr>
        <w:pStyle w:val="ListParagraph"/>
        <w:numPr>
          <w:ilvl w:val="0"/>
          <w:numId w:val="26"/>
        </w:numPr>
        <w:spacing w:after="160" w:line="259" w:lineRule="auto"/>
        <w:rPr>
          <w:szCs w:val="24"/>
        </w:rPr>
      </w:pPr>
      <w:r w:rsidRPr="00DC7CF1">
        <w:rPr>
          <w:szCs w:val="24"/>
        </w:rPr>
        <w:t>Diagnosis of (new) case of cystic fibrosis, including:</w:t>
      </w:r>
    </w:p>
    <w:p w:rsidR="00FF338E" w:rsidRPr="00DC7CF1" w:rsidRDefault="00FF338E" w:rsidP="00FF338E">
      <w:pPr>
        <w:pStyle w:val="ListParagraph"/>
        <w:numPr>
          <w:ilvl w:val="1"/>
          <w:numId w:val="26"/>
        </w:numPr>
        <w:spacing w:after="160" w:line="259" w:lineRule="auto"/>
        <w:rPr>
          <w:szCs w:val="24"/>
        </w:rPr>
      </w:pPr>
      <w:r w:rsidRPr="00DC7CF1">
        <w:rPr>
          <w:szCs w:val="24"/>
        </w:rPr>
        <w:t>Patients with classic CF symptoms</w:t>
      </w:r>
    </w:p>
    <w:p w:rsidR="00FF338E" w:rsidRPr="00DC7CF1" w:rsidRDefault="00FF338E" w:rsidP="00FF338E">
      <w:pPr>
        <w:pStyle w:val="ListParagraph"/>
        <w:numPr>
          <w:ilvl w:val="1"/>
          <w:numId w:val="26"/>
        </w:numPr>
        <w:spacing w:after="160" w:line="259" w:lineRule="auto"/>
        <w:rPr>
          <w:szCs w:val="24"/>
        </w:rPr>
      </w:pPr>
      <w:r w:rsidRPr="00DC7CF1">
        <w:rPr>
          <w:szCs w:val="24"/>
        </w:rPr>
        <w:t>Patients with non-classic symptoms</w:t>
      </w:r>
    </w:p>
    <w:p w:rsidR="00FF338E" w:rsidRPr="00DC7CF1" w:rsidRDefault="00FF338E" w:rsidP="00FF338E">
      <w:pPr>
        <w:pStyle w:val="ListParagraph"/>
        <w:numPr>
          <w:ilvl w:val="1"/>
          <w:numId w:val="26"/>
        </w:numPr>
        <w:spacing w:after="160" w:line="259" w:lineRule="auto"/>
        <w:rPr>
          <w:szCs w:val="24"/>
        </w:rPr>
      </w:pPr>
      <w:r w:rsidRPr="00DC7CF1">
        <w:rPr>
          <w:szCs w:val="24"/>
        </w:rPr>
        <w:t>Men with congenital bilateral absence of the vas deferens (CBAVD)</w:t>
      </w:r>
    </w:p>
    <w:p w:rsidR="00FF338E" w:rsidRPr="00DC7CF1" w:rsidRDefault="00FF338E" w:rsidP="00FF338E">
      <w:pPr>
        <w:pStyle w:val="ListParagraph"/>
        <w:numPr>
          <w:ilvl w:val="0"/>
          <w:numId w:val="26"/>
        </w:numPr>
        <w:spacing w:after="160" w:line="259" w:lineRule="auto"/>
        <w:rPr>
          <w:szCs w:val="24"/>
        </w:rPr>
      </w:pPr>
      <w:r w:rsidRPr="00DC7CF1">
        <w:rPr>
          <w:szCs w:val="24"/>
        </w:rPr>
        <w:t xml:space="preserve">In a </w:t>
      </w:r>
      <w:proofErr w:type="spellStart"/>
      <w:r w:rsidRPr="00DC7CF1">
        <w:rPr>
          <w:szCs w:val="24"/>
        </w:rPr>
        <w:t>fetus</w:t>
      </w:r>
      <w:proofErr w:type="spellEnd"/>
      <w:r w:rsidRPr="00DC7CF1">
        <w:rPr>
          <w:szCs w:val="24"/>
        </w:rPr>
        <w:t xml:space="preserve"> with ultrasonic evidence of echogenic gut, where CFTR variants have not been identified in the parents</w:t>
      </w:r>
    </w:p>
    <w:p w:rsidR="00FF338E" w:rsidRPr="00DC7CF1" w:rsidRDefault="00FF338E" w:rsidP="00FF338E">
      <w:pPr>
        <w:pStyle w:val="ListParagraph"/>
        <w:numPr>
          <w:ilvl w:val="0"/>
          <w:numId w:val="26"/>
        </w:numPr>
        <w:spacing w:after="160" w:line="259" w:lineRule="auto"/>
        <w:rPr>
          <w:szCs w:val="24"/>
        </w:rPr>
      </w:pPr>
      <w:r w:rsidRPr="00DC7CF1">
        <w:rPr>
          <w:szCs w:val="24"/>
        </w:rPr>
        <w:t xml:space="preserve">Parents of a </w:t>
      </w:r>
      <w:proofErr w:type="spellStart"/>
      <w:r w:rsidRPr="00DC7CF1">
        <w:rPr>
          <w:szCs w:val="24"/>
        </w:rPr>
        <w:t>fetus</w:t>
      </w:r>
      <w:proofErr w:type="spellEnd"/>
      <w:r w:rsidRPr="00DC7CF1">
        <w:rPr>
          <w:szCs w:val="24"/>
        </w:rPr>
        <w:t xml:space="preserve"> with ultrasonic evidence of echogenic gut</w:t>
      </w:r>
    </w:p>
    <w:p w:rsidR="00FF338E" w:rsidRPr="00DC7CF1" w:rsidRDefault="00FF338E" w:rsidP="00FF338E">
      <w:pPr>
        <w:pStyle w:val="ListParagraph"/>
        <w:numPr>
          <w:ilvl w:val="0"/>
          <w:numId w:val="26"/>
        </w:numPr>
        <w:spacing w:after="160" w:line="259" w:lineRule="auto"/>
        <w:rPr>
          <w:szCs w:val="24"/>
        </w:rPr>
      </w:pPr>
      <w:r w:rsidRPr="00DC7CF1">
        <w:rPr>
          <w:szCs w:val="24"/>
        </w:rPr>
        <w:t>Cascade testing of family members, following diagnosis of a case of cystic fibrosis or CFTR carrier</w:t>
      </w:r>
    </w:p>
    <w:p w:rsidR="00FF338E" w:rsidRPr="00DC7CF1" w:rsidRDefault="00FF338E" w:rsidP="00FF338E">
      <w:pPr>
        <w:pStyle w:val="ListParagraph"/>
        <w:numPr>
          <w:ilvl w:val="0"/>
          <w:numId w:val="26"/>
        </w:numPr>
        <w:spacing w:after="160" w:line="259" w:lineRule="auto"/>
        <w:rPr>
          <w:szCs w:val="24"/>
        </w:rPr>
      </w:pPr>
      <w:r w:rsidRPr="00DC7CF1">
        <w:rPr>
          <w:szCs w:val="24"/>
        </w:rPr>
        <w:t>Partner of a CFTR patient or carrier to assess risk to potential offspring</w:t>
      </w:r>
    </w:p>
    <w:p w:rsidR="00FF338E" w:rsidRPr="00DC7CF1" w:rsidRDefault="00FF338E" w:rsidP="00FF338E">
      <w:pPr>
        <w:pStyle w:val="ListParagraph"/>
        <w:numPr>
          <w:ilvl w:val="0"/>
          <w:numId w:val="26"/>
        </w:numPr>
        <w:spacing w:after="160" w:line="259" w:lineRule="auto"/>
        <w:rPr>
          <w:szCs w:val="24"/>
        </w:rPr>
      </w:pPr>
      <w:r w:rsidRPr="00DC7CF1">
        <w:rPr>
          <w:szCs w:val="24"/>
        </w:rPr>
        <w:t xml:space="preserve">Prenatal testing of a </w:t>
      </w:r>
      <w:proofErr w:type="spellStart"/>
      <w:r w:rsidRPr="00DC7CF1">
        <w:rPr>
          <w:szCs w:val="24"/>
        </w:rPr>
        <w:t>fetus</w:t>
      </w:r>
      <w:proofErr w:type="spellEnd"/>
      <w:r w:rsidRPr="00DC7CF1">
        <w:rPr>
          <w:szCs w:val="24"/>
        </w:rPr>
        <w:t xml:space="preserve">, where the parents are known to have one or more pathogenic CFTR variants. This would include </w:t>
      </w:r>
      <w:proofErr w:type="spellStart"/>
      <w:r w:rsidRPr="00DC7CF1">
        <w:rPr>
          <w:szCs w:val="24"/>
        </w:rPr>
        <w:t>fetuses</w:t>
      </w:r>
      <w:proofErr w:type="spellEnd"/>
      <w:r w:rsidRPr="00DC7CF1">
        <w:rPr>
          <w:szCs w:val="24"/>
        </w:rPr>
        <w:t xml:space="preserve"> with echogenic gut, where at least one mutation is identified in a parent.</w:t>
      </w:r>
    </w:p>
    <w:p w:rsidR="00FF338E" w:rsidRPr="00DC7CF1" w:rsidRDefault="00FF338E" w:rsidP="00273947">
      <w:pPr>
        <w:spacing w:after="240"/>
        <w:rPr>
          <w:szCs w:val="24"/>
        </w:rPr>
      </w:pPr>
      <w:r w:rsidRPr="00DC7CF1">
        <w:rPr>
          <w:szCs w:val="24"/>
        </w:rPr>
        <w:t>ESC noted that cascade testing (item 4) was a new population that had not been included in the previous application. ESC noted that the requested fee is lower in this population. The clinical evidence for all other populations was provided in application 1216.</w:t>
      </w:r>
    </w:p>
    <w:p w:rsidR="00FF338E" w:rsidRPr="00DC7CF1" w:rsidRDefault="00FF338E" w:rsidP="00273947">
      <w:pPr>
        <w:spacing w:after="240"/>
        <w:rPr>
          <w:szCs w:val="24"/>
        </w:rPr>
      </w:pPr>
      <w:proofErr w:type="spellStart"/>
      <w:r w:rsidRPr="00DC7CF1">
        <w:rPr>
          <w:szCs w:val="24"/>
        </w:rPr>
        <w:t>Ivacaftor</w:t>
      </w:r>
      <w:proofErr w:type="spellEnd"/>
      <w:r w:rsidRPr="00DC7CF1">
        <w:rPr>
          <w:szCs w:val="24"/>
        </w:rPr>
        <w:t xml:space="preserve"> is currently listed on the P</w:t>
      </w:r>
      <w:r w:rsidR="009725FE">
        <w:rPr>
          <w:szCs w:val="24"/>
        </w:rPr>
        <w:t xml:space="preserve">harmaceutical </w:t>
      </w:r>
      <w:r w:rsidRPr="00DC7CF1">
        <w:rPr>
          <w:szCs w:val="24"/>
        </w:rPr>
        <w:t>B</w:t>
      </w:r>
      <w:r w:rsidR="009725FE">
        <w:rPr>
          <w:szCs w:val="24"/>
        </w:rPr>
        <w:t xml:space="preserve">enefits </w:t>
      </w:r>
      <w:r w:rsidRPr="00DC7CF1">
        <w:rPr>
          <w:szCs w:val="24"/>
        </w:rPr>
        <w:t>S</w:t>
      </w:r>
      <w:r w:rsidR="009725FE">
        <w:rPr>
          <w:szCs w:val="24"/>
        </w:rPr>
        <w:t>cheme (PBS)</w:t>
      </w:r>
      <w:r w:rsidRPr="00DC7CF1">
        <w:rPr>
          <w:szCs w:val="24"/>
        </w:rPr>
        <w:t xml:space="preserve"> for patients with G551D mutation in the CFTR gene on at least one allele. Testing for this CFTR mutation is not currently reimbursed under the MBS. ESC advised that CFTR testing under item 1 can be used to qualify patients for access </w:t>
      </w:r>
      <w:r>
        <w:rPr>
          <w:szCs w:val="24"/>
        </w:rPr>
        <w:t xml:space="preserve">to </w:t>
      </w:r>
      <w:proofErr w:type="spellStart"/>
      <w:r w:rsidRPr="00DC7CF1">
        <w:rPr>
          <w:szCs w:val="24"/>
        </w:rPr>
        <w:t>ivacaftor</w:t>
      </w:r>
      <w:proofErr w:type="spellEnd"/>
      <w:r w:rsidRPr="00DC7CF1">
        <w:rPr>
          <w:szCs w:val="24"/>
        </w:rPr>
        <w:t xml:space="preserve"> under the PBS.</w:t>
      </w:r>
    </w:p>
    <w:p w:rsidR="00FF338E" w:rsidRPr="00DC7CF1" w:rsidRDefault="00FF338E" w:rsidP="00273947">
      <w:pPr>
        <w:spacing w:after="240"/>
        <w:rPr>
          <w:szCs w:val="24"/>
        </w:rPr>
      </w:pPr>
      <w:r w:rsidRPr="00DC7CF1">
        <w:rPr>
          <w:szCs w:val="24"/>
        </w:rPr>
        <w:t xml:space="preserve">ESC noted that the item descriptor specifies that the testing laboratory uses a testing method that can detect at least 95% of pathogenic CFTR variants prevalent in the Australian population. ESC noted that is equivalent to </w:t>
      </w:r>
      <w:proofErr w:type="gramStart"/>
      <w:r w:rsidRPr="00DC7CF1">
        <w:rPr>
          <w:szCs w:val="24"/>
        </w:rPr>
        <w:t>a</w:t>
      </w:r>
      <w:proofErr w:type="gramEnd"/>
      <w:r w:rsidRPr="00DC7CF1">
        <w:rPr>
          <w:szCs w:val="24"/>
        </w:rPr>
        <w:t xml:space="preserve"> 18 panel test. ESC questioned whether this wording </w:t>
      </w:r>
      <w:r>
        <w:rPr>
          <w:szCs w:val="24"/>
        </w:rPr>
        <w:t xml:space="preserve">(at least 95% sensitivity) </w:t>
      </w:r>
      <w:r w:rsidRPr="00DC7CF1">
        <w:rPr>
          <w:szCs w:val="24"/>
        </w:rPr>
        <w:t xml:space="preserve">may leave the item open to interpretation by diagnostic laboratories. ESC also noted that there was no limit </w:t>
      </w:r>
      <w:r>
        <w:rPr>
          <w:szCs w:val="24"/>
        </w:rPr>
        <w:t>proposed for</w:t>
      </w:r>
      <w:r w:rsidRPr="00DC7CF1">
        <w:rPr>
          <w:szCs w:val="24"/>
        </w:rPr>
        <w:t xml:space="preserve"> repeat testing for false negatives and that the frequency of repeat testing using an expanded panel would be difficult to identify as it would be claimed under the same item numbers.</w:t>
      </w:r>
    </w:p>
    <w:p w:rsidR="00FF338E" w:rsidRPr="00DC7CF1" w:rsidRDefault="00FF338E" w:rsidP="00FF338E">
      <w:pPr>
        <w:rPr>
          <w:szCs w:val="24"/>
        </w:rPr>
      </w:pPr>
      <w:r w:rsidRPr="00DC7CF1">
        <w:rPr>
          <w:szCs w:val="24"/>
        </w:rPr>
        <w:t>ESC noted that there is limited evidence on the safety of CFTR cascade testing and none of it is comparative. In considering the safety issues associated with cascade testing, ESC noted the importance of psychological and social impacts on carriers and their families.</w:t>
      </w:r>
    </w:p>
    <w:p w:rsidR="00FF338E" w:rsidRDefault="00FF338E" w:rsidP="00273947">
      <w:pPr>
        <w:spacing w:after="240"/>
        <w:rPr>
          <w:szCs w:val="24"/>
        </w:rPr>
      </w:pPr>
      <w:r w:rsidRPr="00DC7CF1">
        <w:rPr>
          <w:szCs w:val="24"/>
        </w:rPr>
        <w:t>ESC noted that insufficient direct evidence is available to assess CFTR carrier testing. The linked evidence approach taken in the assessment found no evidence for diagnostic performance (accuracy or clinical validity) in the appropriate population (cascade carrier testing) so no conclusions could be drawn about diagnostic accuracy. ESC noted the heterogeneity of the identified direct evidence on clinical decision making and that the linked evidence on clinical decision making was in a population who had already been diagnosed as CF carrier</w:t>
      </w:r>
      <w:r>
        <w:rPr>
          <w:szCs w:val="24"/>
        </w:rPr>
        <w:t>s</w:t>
      </w:r>
      <w:r w:rsidRPr="00DC7CF1">
        <w:rPr>
          <w:szCs w:val="24"/>
        </w:rPr>
        <w:t xml:space="preserve">. ESC acknowledged that carrier testing is likely to have some impact on future reproductive choices and may result in fewer children with CF being born, but that </w:t>
      </w:r>
      <w:r w:rsidRPr="00DC7CF1">
        <w:rPr>
          <w:szCs w:val="24"/>
        </w:rPr>
        <w:lastRenderedPageBreak/>
        <w:t>uncertainty remains regarding this claim. ESC noted that CFTR testing may not be acceptable to all and not every couple will make the same decision when provided with the same information.</w:t>
      </w:r>
    </w:p>
    <w:p w:rsidR="00FF338E" w:rsidRPr="00213BE7" w:rsidRDefault="00FF338E" w:rsidP="00273947">
      <w:pPr>
        <w:spacing w:after="240"/>
        <w:rPr>
          <w:szCs w:val="24"/>
        </w:rPr>
      </w:pPr>
      <w:r w:rsidRPr="00DC7CF1">
        <w:rPr>
          <w:szCs w:val="24"/>
        </w:rPr>
        <w:t xml:space="preserve">ESC noted that four scenarios are tested </w:t>
      </w:r>
      <w:r>
        <w:rPr>
          <w:szCs w:val="24"/>
        </w:rPr>
        <w:t xml:space="preserve">in the economic evaluation </w:t>
      </w:r>
      <w:r w:rsidRPr="00DC7CF1">
        <w:rPr>
          <w:szCs w:val="24"/>
        </w:rPr>
        <w:t xml:space="preserve">using different mutation panels and that cost-effectiveness was sensitive to the sensitivity of the mutation panel. ESC noted that the economic evaluation assesses the proposed listings versus a scenario where no CFTR testing is </w:t>
      </w:r>
      <w:r w:rsidRPr="00213BE7">
        <w:rPr>
          <w:szCs w:val="24"/>
        </w:rPr>
        <w:t xml:space="preserve">available. </w:t>
      </w:r>
      <w:r w:rsidRPr="00D168A6">
        <w:rPr>
          <w:szCs w:val="24"/>
        </w:rPr>
        <w:t>However, ESC considered that the incremental outcomes generated from such analyses would not be realised if the service is MBS listed, as CFTR testing already occurs in practic</w:t>
      </w:r>
      <w:r w:rsidRPr="00213BE7">
        <w:rPr>
          <w:szCs w:val="24"/>
        </w:rPr>
        <w:t>e (with mixed availability and funding arrangements). ESC noted that an additional scenario accounting for the cost-shifting from states and private expenditure to the MBS was provided in Appendix I of the assessment report.</w:t>
      </w:r>
    </w:p>
    <w:p w:rsidR="00322550" w:rsidRPr="00DC7CF1" w:rsidRDefault="00FF338E" w:rsidP="00273947">
      <w:pPr>
        <w:spacing w:after="240"/>
        <w:rPr>
          <w:szCs w:val="24"/>
        </w:rPr>
      </w:pPr>
      <w:r w:rsidRPr="00213BE7">
        <w:rPr>
          <w:szCs w:val="24"/>
        </w:rPr>
        <w:t>Economic models for each of the six populations were</w:t>
      </w:r>
      <w:r w:rsidRPr="00DC7CF1">
        <w:rPr>
          <w:szCs w:val="24"/>
        </w:rPr>
        <w:t xml:space="preserve"> provided, as well as an aggregated model combining costs and outcomes across populations 1, 4, 5 and 6. ESC noted that there were advantages to having a combined model for all populations, however, ESC considered that a</w:t>
      </w:r>
      <w:r>
        <w:rPr>
          <w:szCs w:val="24"/>
        </w:rPr>
        <w:t>n integrated</w:t>
      </w:r>
      <w:r w:rsidRPr="00DC7CF1">
        <w:rPr>
          <w:szCs w:val="24"/>
        </w:rPr>
        <w:t xml:space="preserve"> model showing the step by step incremental benefit of funding </w:t>
      </w:r>
      <w:r>
        <w:rPr>
          <w:szCs w:val="24"/>
        </w:rPr>
        <w:t xml:space="preserve">for proband/index populations with cascade testing subsequently added </w:t>
      </w:r>
      <w:r w:rsidRPr="00DC7CF1">
        <w:rPr>
          <w:szCs w:val="24"/>
        </w:rPr>
        <w:t xml:space="preserve">would be more informative </w:t>
      </w:r>
      <w:r>
        <w:rPr>
          <w:szCs w:val="24"/>
        </w:rPr>
        <w:t>and would be consistent with the approach preferred in MSAC’s Clinical Utility Card</w:t>
      </w:r>
      <w:r w:rsidRPr="00DC7CF1">
        <w:rPr>
          <w:szCs w:val="24"/>
        </w:rPr>
        <w:t xml:space="preserve">. ESC noted the models were variously sensitive to a number of factors including the time horizon, the incidence of CF in the </w:t>
      </w:r>
      <w:proofErr w:type="spellStart"/>
      <w:r w:rsidRPr="00DC7CF1">
        <w:rPr>
          <w:szCs w:val="24"/>
        </w:rPr>
        <w:t>fetal</w:t>
      </w:r>
      <w:proofErr w:type="spellEnd"/>
      <w:r w:rsidRPr="00DC7CF1">
        <w:rPr>
          <w:szCs w:val="24"/>
        </w:rPr>
        <w:t xml:space="preserve"> echogenic bowel population, termination of pregnancy rates and carrier rates.</w:t>
      </w:r>
    </w:p>
    <w:p w:rsidR="00FF338E" w:rsidRDefault="00FF338E" w:rsidP="00273947">
      <w:pPr>
        <w:spacing w:after="240"/>
        <w:rPr>
          <w:szCs w:val="24"/>
        </w:rPr>
      </w:pPr>
      <w:r w:rsidRPr="00DC7CF1">
        <w:rPr>
          <w:szCs w:val="24"/>
        </w:rPr>
        <w:t>ESC noted that the models were all short term with no cost savings from future costs related to treating children with CF. ESC noted that this was a conservative approach. ESC noted</w:t>
      </w:r>
      <w:r w:rsidR="002F00E9">
        <w:rPr>
          <w:szCs w:val="24"/>
        </w:rPr>
        <w:t xml:space="preserve"> that the economic model does not</w:t>
      </w:r>
      <w:r w:rsidRPr="00DC7CF1">
        <w:rPr>
          <w:szCs w:val="24"/>
        </w:rPr>
        <w:t xml:space="preserve"> quantify the costs and outcomes associated with identifying gated mutations and facilitation treatment with </w:t>
      </w:r>
      <w:proofErr w:type="spellStart"/>
      <w:r w:rsidRPr="00DC7CF1">
        <w:rPr>
          <w:szCs w:val="24"/>
        </w:rPr>
        <w:t>ivacaftor</w:t>
      </w:r>
      <w:proofErr w:type="spellEnd"/>
      <w:r w:rsidRPr="00DC7CF1">
        <w:rPr>
          <w:szCs w:val="24"/>
        </w:rPr>
        <w:t>.</w:t>
      </w:r>
    </w:p>
    <w:p w:rsidR="00FF338E" w:rsidRDefault="00FF338E" w:rsidP="00273947">
      <w:pPr>
        <w:spacing w:after="240"/>
        <w:rPr>
          <w:szCs w:val="24"/>
        </w:rPr>
      </w:pPr>
      <w:r w:rsidRPr="00DC7CF1">
        <w:rPr>
          <w:szCs w:val="24"/>
        </w:rPr>
        <w:t xml:space="preserve">ESC noted that the aggregated economic model suggested that were CTFR testing listed for populations 1, 4, 5 and 6, the ICER would be approximately $194,941 per CF birth averted. If CTFR testing were listed for populations </w:t>
      </w:r>
      <w:r>
        <w:rPr>
          <w:szCs w:val="24"/>
        </w:rPr>
        <w:t>2</w:t>
      </w:r>
      <w:r w:rsidRPr="00DC7CF1">
        <w:rPr>
          <w:szCs w:val="24"/>
        </w:rPr>
        <w:t xml:space="preserve"> and </w:t>
      </w:r>
      <w:r>
        <w:rPr>
          <w:szCs w:val="24"/>
        </w:rPr>
        <w:t>3</w:t>
      </w:r>
      <w:r w:rsidRPr="00DC7CF1">
        <w:rPr>
          <w:szCs w:val="24"/>
        </w:rPr>
        <w:t>, the approximate ICER is $85,323 per CF birth averted.</w:t>
      </w:r>
    </w:p>
    <w:p w:rsidR="00FF338E" w:rsidRPr="00DC7CF1" w:rsidRDefault="00FF338E" w:rsidP="00FF338E">
      <w:pPr>
        <w:rPr>
          <w:szCs w:val="24"/>
        </w:rPr>
      </w:pPr>
      <w:r w:rsidRPr="00DC7CF1">
        <w:rPr>
          <w:szCs w:val="24"/>
        </w:rPr>
        <w:t>If listed, MBS expenditure on CFTR testing is estimated at around $1.5 million per year. ESC noted that CFTR testing as in the proposed listings is usual practice, currently funded by state governments and private expenditure and most of the downstream benefits are already being realised, therefore the decision to fund testing on the MBS concerns access and equity.</w:t>
      </w:r>
    </w:p>
    <w:p w:rsidR="00FF338E" w:rsidRPr="00DC7CF1" w:rsidRDefault="00FF338E" w:rsidP="00273947">
      <w:pPr>
        <w:spacing w:after="240"/>
        <w:rPr>
          <w:szCs w:val="24"/>
        </w:rPr>
      </w:pPr>
      <w:r w:rsidRPr="00DC7CF1">
        <w:rPr>
          <w:szCs w:val="24"/>
        </w:rPr>
        <w:t>ESC questioned whether the numbers of patients in the budget estimates were reasonable. In particular, ESC noted that the cascade testing population was a relatively small fraction of the overall population, with relatively small budget implications. However, ESC considered that the actual population for cascade testing could be much larger. ESC questioned whether cascade testing should be specifically linked to use for reproductive planning to prevent usage beyond the intent of the listing.</w:t>
      </w:r>
    </w:p>
    <w:p w:rsidR="00FF338E" w:rsidRDefault="00FF338E" w:rsidP="00273947">
      <w:pPr>
        <w:spacing w:after="240"/>
        <w:rPr>
          <w:szCs w:val="24"/>
        </w:rPr>
      </w:pPr>
      <w:r w:rsidRPr="00DC7CF1">
        <w:rPr>
          <w:szCs w:val="24"/>
        </w:rPr>
        <w:t>ESC advised that patients would require genetic counselling, which is not currently reimbursed on the MBS. ESC questioned whether this would be funded by the states and territories and noted that the economic evaluation used MBS items 132 and 133 for initial and subsequent visits.</w:t>
      </w:r>
    </w:p>
    <w:p w:rsidR="00FF338E" w:rsidRPr="00DC7CF1" w:rsidRDefault="00FF338E" w:rsidP="00FF338E">
      <w:pPr>
        <w:rPr>
          <w:szCs w:val="24"/>
        </w:rPr>
      </w:pPr>
      <w:r w:rsidRPr="00DC7CF1">
        <w:rPr>
          <w:szCs w:val="24"/>
        </w:rPr>
        <w:t>ESC noted that the main issues for consumers are the current inequitable access</w:t>
      </w:r>
      <w:r>
        <w:rPr>
          <w:szCs w:val="24"/>
        </w:rPr>
        <w:t xml:space="preserve"> across states and territories,</w:t>
      </w:r>
      <w:r w:rsidRPr="00DC7CF1">
        <w:rPr>
          <w:szCs w:val="24"/>
        </w:rPr>
        <w:t xml:space="preserve"> out of pocket costs for patients</w:t>
      </w:r>
      <w:r>
        <w:rPr>
          <w:szCs w:val="24"/>
        </w:rPr>
        <w:t>,</w:t>
      </w:r>
      <w:r w:rsidRPr="00DC7CF1">
        <w:rPr>
          <w:szCs w:val="24"/>
        </w:rPr>
        <w:t xml:space="preserve"> and the psychosocial cost of decision-making for parents. ESC noted that it is unclear how funding for this service is currently managed by the states and considered that this was a policy issue.</w:t>
      </w:r>
    </w:p>
    <w:p w:rsidR="00D90A38" w:rsidRPr="00F715D1" w:rsidRDefault="00BC1364" w:rsidP="00F715D1">
      <w:pPr>
        <w:pStyle w:val="Heading1"/>
      </w:pPr>
      <w:r w:rsidRPr="00F715D1">
        <w:lastRenderedPageBreak/>
        <w:t>Other significant factors</w:t>
      </w:r>
    </w:p>
    <w:p w:rsidR="00BC1364" w:rsidRPr="00086AF6" w:rsidRDefault="00086AF6" w:rsidP="00F715D1">
      <w:pPr>
        <w:spacing w:after="240"/>
        <w:rPr>
          <w:szCs w:val="24"/>
        </w:rPr>
      </w:pPr>
      <w:proofErr w:type="gramStart"/>
      <w:r>
        <w:rPr>
          <w:szCs w:val="24"/>
        </w:rPr>
        <w:t>Nil.</w:t>
      </w:r>
      <w:proofErr w:type="gramEnd"/>
    </w:p>
    <w:p w:rsidR="00BC1364" w:rsidRPr="00F715D1" w:rsidRDefault="00BC1364" w:rsidP="00F715D1">
      <w:pPr>
        <w:pStyle w:val="Heading1"/>
      </w:pPr>
      <w:r w:rsidRPr="00F715D1">
        <w:t xml:space="preserve">Applicant’s comments on MSAC’s </w:t>
      </w:r>
      <w:r w:rsidR="00DA56AA" w:rsidRPr="00F715D1">
        <w:t>Public Summary Document</w:t>
      </w:r>
    </w:p>
    <w:p w:rsidR="00BC1364" w:rsidRPr="00C94372" w:rsidRDefault="00C94372" w:rsidP="00F715D1">
      <w:pPr>
        <w:spacing w:after="240"/>
        <w:rPr>
          <w:szCs w:val="24"/>
        </w:rPr>
      </w:pPr>
      <w:r w:rsidRPr="00C94372">
        <w:rPr>
          <w:szCs w:val="24"/>
        </w:rPr>
        <w:t>The applicant had no comment.</w:t>
      </w:r>
    </w:p>
    <w:p w:rsidR="00BC1364" w:rsidRPr="00F715D1" w:rsidRDefault="00271F18" w:rsidP="00F715D1">
      <w:pPr>
        <w:pStyle w:val="Heading1"/>
      </w:pPr>
      <w:r w:rsidRPr="00F715D1">
        <w:t>Further information on MSAC</w:t>
      </w:r>
    </w:p>
    <w:p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1" w:tooltip="Link to the MSAC website" w:history="1">
        <w:r w:rsidR="00BC2667" w:rsidRPr="00F715D1">
          <w:rPr>
            <w:rStyle w:val="Hyperlink"/>
            <w:szCs w:val="24"/>
          </w:rPr>
          <w:t>visit the MSAC website</w:t>
        </w:r>
      </w:hyperlink>
    </w:p>
    <w:sectPr w:rsidR="00BC1364" w:rsidRPr="00F715D1" w:rsidSect="00271F18">
      <w:footerReference w:type="default" r:id="rId12"/>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868" w:rsidRDefault="00696868" w:rsidP="00065623">
      <w:r>
        <w:separator/>
      </w:r>
    </w:p>
  </w:endnote>
  <w:endnote w:type="continuationSeparator" w:id="0">
    <w:p w:rsidR="00696868" w:rsidRDefault="0069686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352224" w:rsidRDefault="00352224">
        <w:pPr>
          <w:pStyle w:val="Footer"/>
          <w:jc w:val="right"/>
        </w:pPr>
        <w:r>
          <w:fldChar w:fldCharType="begin"/>
        </w:r>
        <w:r>
          <w:instrText xml:space="preserve"> PAGE   \* MERGEFORMAT </w:instrText>
        </w:r>
        <w:r>
          <w:fldChar w:fldCharType="separate"/>
        </w:r>
        <w:r w:rsidR="00957CBC">
          <w:rPr>
            <w:noProof/>
          </w:rPr>
          <w:t>1</w:t>
        </w:r>
        <w:r>
          <w:rPr>
            <w:noProof/>
          </w:rPr>
          <w:fldChar w:fldCharType="end"/>
        </w:r>
      </w:p>
    </w:sdtContent>
  </w:sdt>
  <w:p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868" w:rsidRDefault="00696868" w:rsidP="00065623">
      <w:r>
        <w:separator/>
      </w:r>
    </w:p>
  </w:footnote>
  <w:footnote w:type="continuationSeparator" w:id="0">
    <w:p w:rsidR="00696868" w:rsidRDefault="00696868"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7430932"/>
    <w:multiLevelType w:val="hybridMultilevel"/>
    <w:tmpl w:val="482E62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7E6141"/>
    <w:multiLevelType w:val="hybridMultilevel"/>
    <w:tmpl w:val="91AE2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5814FF5"/>
    <w:multiLevelType w:val="hybridMultilevel"/>
    <w:tmpl w:val="47A63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DAA05E9"/>
    <w:multiLevelType w:val="hybridMultilevel"/>
    <w:tmpl w:val="3D8ED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1B94ADD"/>
    <w:multiLevelType w:val="multilevel"/>
    <w:tmpl w:val="6BF4F088"/>
    <w:lvl w:ilvl="0">
      <w:start w:val="1"/>
      <w:numFmt w:val="decimal"/>
      <w:lvlText w:val="%1."/>
      <w:lvlJc w:val="left"/>
      <w:pPr>
        <w:ind w:left="720" w:hanging="360"/>
      </w:pPr>
      <w:rPr>
        <w:rFonts w:hint="default"/>
      </w:rPr>
    </w:lvl>
    <w:lvl w:ilvl="1">
      <w:start w:val="1"/>
      <w:numFmt w:val="lowerRoman"/>
      <w:lvlText w:val="(%2)"/>
      <w:lvlJc w:val="left"/>
      <w:pPr>
        <w:ind w:left="1440" w:hanging="360"/>
      </w:pPr>
      <w:rPr>
        <w:rFonts w:asciiTheme="minorHAnsi" w:hAnsiTheme="minorHAns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37B20D1"/>
    <w:multiLevelType w:val="hybridMultilevel"/>
    <w:tmpl w:val="C37A996A"/>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
  </w:num>
  <w:num w:numId="4">
    <w:abstractNumId w:val="18"/>
  </w:num>
  <w:num w:numId="5">
    <w:abstractNumId w:val="12"/>
  </w:num>
  <w:num w:numId="6">
    <w:abstractNumId w:val="17"/>
  </w:num>
  <w:num w:numId="7">
    <w:abstractNumId w:val="24"/>
  </w:num>
  <w:num w:numId="8">
    <w:abstractNumId w:val="13"/>
  </w:num>
  <w:num w:numId="9">
    <w:abstractNumId w:val="30"/>
  </w:num>
  <w:num w:numId="10">
    <w:abstractNumId w:val="0"/>
  </w:num>
  <w:num w:numId="11">
    <w:abstractNumId w:val="21"/>
  </w:num>
  <w:num w:numId="12">
    <w:abstractNumId w:val="25"/>
  </w:num>
  <w:num w:numId="13">
    <w:abstractNumId w:val="5"/>
  </w:num>
  <w:num w:numId="14">
    <w:abstractNumId w:val="29"/>
  </w:num>
  <w:num w:numId="15">
    <w:abstractNumId w:val="19"/>
  </w:num>
  <w:num w:numId="16">
    <w:abstractNumId w:val="26"/>
  </w:num>
  <w:num w:numId="17">
    <w:abstractNumId w:val="14"/>
  </w:num>
  <w:num w:numId="18">
    <w:abstractNumId w:val="15"/>
  </w:num>
  <w:num w:numId="19">
    <w:abstractNumId w:val="28"/>
  </w:num>
  <w:num w:numId="20">
    <w:abstractNumId w:val="27"/>
  </w:num>
  <w:num w:numId="21">
    <w:abstractNumId w:val="3"/>
  </w:num>
  <w:num w:numId="22">
    <w:abstractNumId w:val="11"/>
  </w:num>
  <w:num w:numId="23">
    <w:abstractNumId w:val="2"/>
  </w:num>
  <w:num w:numId="24">
    <w:abstractNumId w:val="9"/>
  </w:num>
  <w:num w:numId="25">
    <w:abstractNumId w:val="6"/>
  </w:num>
  <w:num w:numId="26">
    <w:abstractNumId w:val="22"/>
  </w:num>
  <w:num w:numId="27">
    <w:abstractNumId w:val="7"/>
  </w:num>
  <w:num w:numId="28">
    <w:abstractNumId w:val="10"/>
  </w:num>
  <w:num w:numId="29">
    <w:abstractNumId w:val="20"/>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07E77"/>
    <w:rsid w:val="00011A36"/>
    <w:rsid w:val="00046646"/>
    <w:rsid w:val="00047606"/>
    <w:rsid w:val="0005675C"/>
    <w:rsid w:val="00065623"/>
    <w:rsid w:val="000756B9"/>
    <w:rsid w:val="00086AF6"/>
    <w:rsid w:val="0009178D"/>
    <w:rsid w:val="00096B67"/>
    <w:rsid w:val="00096DAF"/>
    <w:rsid w:val="000C2F47"/>
    <w:rsid w:val="000C32DF"/>
    <w:rsid w:val="000D6C00"/>
    <w:rsid w:val="000E4E04"/>
    <w:rsid w:val="000F14B4"/>
    <w:rsid w:val="000F75DF"/>
    <w:rsid w:val="00106C51"/>
    <w:rsid w:val="001109F0"/>
    <w:rsid w:val="0011635A"/>
    <w:rsid w:val="00123B95"/>
    <w:rsid w:val="001328FA"/>
    <w:rsid w:val="00147AAF"/>
    <w:rsid w:val="001552C0"/>
    <w:rsid w:val="001640B1"/>
    <w:rsid w:val="00172B2B"/>
    <w:rsid w:val="00172FC2"/>
    <w:rsid w:val="0018435E"/>
    <w:rsid w:val="00185B65"/>
    <w:rsid w:val="001A751B"/>
    <w:rsid w:val="001A7E68"/>
    <w:rsid w:val="001B4E8D"/>
    <w:rsid w:val="002041A1"/>
    <w:rsid w:val="002054F0"/>
    <w:rsid w:val="00230D6B"/>
    <w:rsid w:val="00232068"/>
    <w:rsid w:val="002330F2"/>
    <w:rsid w:val="00243D9E"/>
    <w:rsid w:val="00253B66"/>
    <w:rsid w:val="00261DF1"/>
    <w:rsid w:val="00271F18"/>
    <w:rsid w:val="00273947"/>
    <w:rsid w:val="00282779"/>
    <w:rsid w:val="0028334D"/>
    <w:rsid w:val="002A47AD"/>
    <w:rsid w:val="002B0B81"/>
    <w:rsid w:val="002B7FFA"/>
    <w:rsid w:val="002C2BCF"/>
    <w:rsid w:val="002E6780"/>
    <w:rsid w:val="002E6B5C"/>
    <w:rsid w:val="002F00E9"/>
    <w:rsid w:val="002F279D"/>
    <w:rsid w:val="002F43B8"/>
    <w:rsid w:val="00322550"/>
    <w:rsid w:val="00336856"/>
    <w:rsid w:val="0034554D"/>
    <w:rsid w:val="00352224"/>
    <w:rsid w:val="003671E6"/>
    <w:rsid w:val="00384272"/>
    <w:rsid w:val="00386D67"/>
    <w:rsid w:val="003945B8"/>
    <w:rsid w:val="003B39DD"/>
    <w:rsid w:val="003C382B"/>
    <w:rsid w:val="003D40A0"/>
    <w:rsid w:val="003D7F29"/>
    <w:rsid w:val="00405A6B"/>
    <w:rsid w:val="00407B1F"/>
    <w:rsid w:val="0041184F"/>
    <w:rsid w:val="00414C57"/>
    <w:rsid w:val="0041758C"/>
    <w:rsid w:val="00436336"/>
    <w:rsid w:val="004539DE"/>
    <w:rsid w:val="00490A7B"/>
    <w:rsid w:val="004A2CF1"/>
    <w:rsid w:val="004C3035"/>
    <w:rsid w:val="004C307F"/>
    <w:rsid w:val="004C6AFA"/>
    <w:rsid w:val="004E1F2C"/>
    <w:rsid w:val="004E4BA8"/>
    <w:rsid w:val="004E755F"/>
    <w:rsid w:val="004F340F"/>
    <w:rsid w:val="004F7B7C"/>
    <w:rsid w:val="0052243D"/>
    <w:rsid w:val="00532435"/>
    <w:rsid w:val="0054339A"/>
    <w:rsid w:val="00546E1F"/>
    <w:rsid w:val="00550354"/>
    <w:rsid w:val="005610F5"/>
    <w:rsid w:val="00571236"/>
    <w:rsid w:val="005953A1"/>
    <w:rsid w:val="005A4362"/>
    <w:rsid w:val="005D0332"/>
    <w:rsid w:val="005D0D8C"/>
    <w:rsid w:val="005F4040"/>
    <w:rsid w:val="00605D61"/>
    <w:rsid w:val="00635005"/>
    <w:rsid w:val="006776AE"/>
    <w:rsid w:val="00681126"/>
    <w:rsid w:val="00687BE4"/>
    <w:rsid w:val="00696868"/>
    <w:rsid w:val="006A0D97"/>
    <w:rsid w:val="006B1F86"/>
    <w:rsid w:val="006C0A91"/>
    <w:rsid w:val="006F17F0"/>
    <w:rsid w:val="007054BB"/>
    <w:rsid w:val="00707064"/>
    <w:rsid w:val="00730683"/>
    <w:rsid w:val="0075261F"/>
    <w:rsid w:val="0075468E"/>
    <w:rsid w:val="00765E6A"/>
    <w:rsid w:val="007665D8"/>
    <w:rsid w:val="00766E36"/>
    <w:rsid w:val="007765F4"/>
    <w:rsid w:val="00776633"/>
    <w:rsid w:val="00784D53"/>
    <w:rsid w:val="00797797"/>
    <w:rsid w:val="007A63C9"/>
    <w:rsid w:val="007B32D1"/>
    <w:rsid w:val="007B7095"/>
    <w:rsid w:val="007C3438"/>
    <w:rsid w:val="007D24E1"/>
    <w:rsid w:val="007D6288"/>
    <w:rsid w:val="007F4CE9"/>
    <w:rsid w:val="007F4E20"/>
    <w:rsid w:val="007F7796"/>
    <w:rsid w:val="00822C7E"/>
    <w:rsid w:val="00847060"/>
    <w:rsid w:val="00847A36"/>
    <w:rsid w:val="00856A33"/>
    <w:rsid w:val="008675EB"/>
    <w:rsid w:val="00892620"/>
    <w:rsid w:val="008C7D37"/>
    <w:rsid w:val="008D5885"/>
    <w:rsid w:val="00914611"/>
    <w:rsid w:val="009156DD"/>
    <w:rsid w:val="00923FA2"/>
    <w:rsid w:val="009327DF"/>
    <w:rsid w:val="00954CB0"/>
    <w:rsid w:val="00957CBC"/>
    <w:rsid w:val="0096060D"/>
    <w:rsid w:val="009725FE"/>
    <w:rsid w:val="00974A50"/>
    <w:rsid w:val="0097585A"/>
    <w:rsid w:val="00977C92"/>
    <w:rsid w:val="00982AC2"/>
    <w:rsid w:val="009924B0"/>
    <w:rsid w:val="009942C9"/>
    <w:rsid w:val="009B35C4"/>
    <w:rsid w:val="009C630A"/>
    <w:rsid w:val="009D6871"/>
    <w:rsid w:val="009E0D98"/>
    <w:rsid w:val="00A068A1"/>
    <w:rsid w:val="00A1207D"/>
    <w:rsid w:val="00A12DB5"/>
    <w:rsid w:val="00A12FD8"/>
    <w:rsid w:val="00A24CA6"/>
    <w:rsid w:val="00A346FC"/>
    <w:rsid w:val="00A503F1"/>
    <w:rsid w:val="00A846F2"/>
    <w:rsid w:val="00A84F93"/>
    <w:rsid w:val="00A9207A"/>
    <w:rsid w:val="00AB1AC5"/>
    <w:rsid w:val="00AB3BFC"/>
    <w:rsid w:val="00AC4F2E"/>
    <w:rsid w:val="00AC7A26"/>
    <w:rsid w:val="00AD0C37"/>
    <w:rsid w:val="00AD385F"/>
    <w:rsid w:val="00AE6E2A"/>
    <w:rsid w:val="00B31E9C"/>
    <w:rsid w:val="00B35595"/>
    <w:rsid w:val="00B51C6D"/>
    <w:rsid w:val="00B86D64"/>
    <w:rsid w:val="00BA4AC5"/>
    <w:rsid w:val="00BC1364"/>
    <w:rsid w:val="00BC2667"/>
    <w:rsid w:val="00BC7DE9"/>
    <w:rsid w:val="00BF479B"/>
    <w:rsid w:val="00C02577"/>
    <w:rsid w:val="00C204FB"/>
    <w:rsid w:val="00C20BEE"/>
    <w:rsid w:val="00C2158D"/>
    <w:rsid w:val="00C51AF8"/>
    <w:rsid w:val="00C67DD2"/>
    <w:rsid w:val="00C725CB"/>
    <w:rsid w:val="00C76F5C"/>
    <w:rsid w:val="00C94372"/>
    <w:rsid w:val="00C96BAD"/>
    <w:rsid w:val="00CA6944"/>
    <w:rsid w:val="00CB0F8E"/>
    <w:rsid w:val="00CB7E7D"/>
    <w:rsid w:val="00CC2911"/>
    <w:rsid w:val="00CF0C6D"/>
    <w:rsid w:val="00CF7307"/>
    <w:rsid w:val="00CF7C68"/>
    <w:rsid w:val="00D0266F"/>
    <w:rsid w:val="00D124FA"/>
    <w:rsid w:val="00D13036"/>
    <w:rsid w:val="00D23636"/>
    <w:rsid w:val="00D340DE"/>
    <w:rsid w:val="00D55723"/>
    <w:rsid w:val="00D62FAD"/>
    <w:rsid w:val="00D64355"/>
    <w:rsid w:val="00D70450"/>
    <w:rsid w:val="00D73213"/>
    <w:rsid w:val="00D83BFD"/>
    <w:rsid w:val="00D90A38"/>
    <w:rsid w:val="00DA0515"/>
    <w:rsid w:val="00DA171E"/>
    <w:rsid w:val="00DA56AA"/>
    <w:rsid w:val="00DB5833"/>
    <w:rsid w:val="00DD04DA"/>
    <w:rsid w:val="00DD2858"/>
    <w:rsid w:val="00E03AB7"/>
    <w:rsid w:val="00E03E33"/>
    <w:rsid w:val="00E059E0"/>
    <w:rsid w:val="00E124F7"/>
    <w:rsid w:val="00E22F6D"/>
    <w:rsid w:val="00E3642A"/>
    <w:rsid w:val="00E415C4"/>
    <w:rsid w:val="00E50016"/>
    <w:rsid w:val="00E50EAA"/>
    <w:rsid w:val="00E60DAD"/>
    <w:rsid w:val="00E656D6"/>
    <w:rsid w:val="00E977EE"/>
    <w:rsid w:val="00EA2F24"/>
    <w:rsid w:val="00EA5D2A"/>
    <w:rsid w:val="00EA67A2"/>
    <w:rsid w:val="00EB630F"/>
    <w:rsid w:val="00EB6B6F"/>
    <w:rsid w:val="00EC4F98"/>
    <w:rsid w:val="00F12F02"/>
    <w:rsid w:val="00F16A28"/>
    <w:rsid w:val="00F27696"/>
    <w:rsid w:val="00F32E0D"/>
    <w:rsid w:val="00F3380C"/>
    <w:rsid w:val="00F35134"/>
    <w:rsid w:val="00F41812"/>
    <w:rsid w:val="00F44E48"/>
    <w:rsid w:val="00F715D1"/>
    <w:rsid w:val="00F72715"/>
    <w:rsid w:val="00F73333"/>
    <w:rsid w:val="00F90369"/>
    <w:rsid w:val="00F92168"/>
    <w:rsid w:val="00F95D8F"/>
    <w:rsid w:val="00FB350A"/>
    <w:rsid w:val="00FB4C5D"/>
    <w:rsid w:val="00FC37E7"/>
    <w:rsid w:val="00FE1C3F"/>
    <w:rsid w:val="00FE731D"/>
    <w:rsid w:val="00FF338E"/>
    <w:rsid w:val="00FF44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locked/>
    <w:rsid w:val="002B0B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39"/>
    <w:locked/>
    <w:rsid w:val="00FF338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338E"/>
    <w:pPr>
      <w:spacing w:before="100" w:beforeAutospacing="1" w:after="100" w:afterAutospacing="1"/>
    </w:pPr>
    <w:rPr>
      <w:szCs w:val="24"/>
    </w:rPr>
  </w:style>
  <w:style w:type="paragraph" w:customStyle="1" w:styleId="Tabletext">
    <w:name w:val="Table text"/>
    <w:basedOn w:val="Normal"/>
    <w:link w:val="TabletextChar"/>
    <w:qFormat/>
    <w:rsid w:val="00490A7B"/>
    <w:rPr>
      <w:rFonts w:ascii="Arial Narrow" w:hAnsi="Arial Narrow"/>
      <w:sz w:val="20"/>
      <w:szCs w:val="24"/>
      <w:lang w:eastAsia="en-US"/>
    </w:rPr>
  </w:style>
  <w:style w:type="character" w:customStyle="1" w:styleId="TabletextChar">
    <w:name w:val="Table text Char"/>
    <w:basedOn w:val="DefaultParagraphFont"/>
    <w:link w:val="Tabletext"/>
    <w:rsid w:val="00490A7B"/>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490A7B"/>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490A7B"/>
    <w:rPr>
      <w:rFonts w:ascii="Arial Narrow" w:eastAsia="Times New Roman" w:hAnsi="Arial Narrow" w:cs="Arial"/>
      <w:b/>
      <w:bCs/>
      <w:iCs/>
      <w:sz w:val="20"/>
      <w:szCs w:val="20"/>
      <w:lang w:eastAsia="en-US"/>
    </w:rPr>
  </w:style>
  <w:style w:type="paragraph" w:customStyle="1" w:styleId="TableHeading">
    <w:name w:val="TableHeading"/>
    <w:basedOn w:val="Normal"/>
    <w:link w:val="TableHeadingChar"/>
    <w:qFormat/>
    <w:rsid w:val="00F90369"/>
    <w:pPr>
      <w:keepNext/>
      <w:spacing w:before="40" w:after="40"/>
    </w:pPr>
    <w:rPr>
      <w:rFonts w:ascii="Arial Narrow" w:hAnsi="Arial Narrow" w:cs="Tahoma"/>
      <w:b/>
      <w:sz w:val="20"/>
    </w:rPr>
  </w:style>
  <w:style w:type="character" w:customStyle="1" w:styleId="TableHeadingChar">
    <w:name w:val="TableHeading Char"/>
    <w:link w:val="TableHeading"/>
    <w:rsid w:val="00F90369"/>
    <w:rPr>
      <w:rFonts w:ascii="Arial Narrow" w:eastAsia="Times New Roman" w:hAnsi="Arial Narrow" w:cs="Tahoma"/>
      <w:b/>
      <w:sz w:val="20"/>
      <w:szCs w:val="20"/>
    </w:rPr>
  </w:style>
  <w:style w:type="character" w:customStyle="1" w:styleId="ListParagraphChar">
    <w:name w:val="List Paragraph Char"/>
    <w:basedOn w:val="DefaultParagraphFont"/>
    <w:link w:val="ListParagraph"/>
    <w:uiPriority w:val="34"/>
    <w:rsid w:val="00F90369"/>
    <w:rPr>
      <w:rFonts w:eastAsia="Times New Roman"/>
      <w:sz w:val="24"/>
      <w:szCs w:val="20"/>
    </w:rPr>
  </w:style>
  <w:style w:type="paragraph" w:styleId="BodyText">
    <w:name w:val="Body Text"/>
    <w:basedOn w:val="Normal"/>
    <w:link w:val="BodyTextChar"/>
    <w:uiPriority w:val="1"/>
    <w:qFormat/>
    <w:rsid w:val="00914611"/>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914611"/>
    <w:rPr>
      <w:rFonts w:asciiTheme="minorHAnsi" w:eastAsia="Times New Roman" w:hAnsiTheme="minorHAnsi"/>
      <w:sz w:val="20"/>
      <w:szCs w:val="24"/>
    </w:rPr>
  </w:style>
  <w:style w:type="character" w:customStyle="1" w:styleId="Heading6Char">
    <w:name w:val="Heading 6 Char"/>
    <w:basedOn w:val="DefaultParagraphFont"/>
    <w:link w:val="Heading6"/>
    <w:rsid w:val="002B0B81"/>
    <w:rPr>
      <w:rFonts w:asciiTheme="majorHAnsi" w:eastAsiaTheme="majorEastAsia" w:hAnsiTheme="majorHAnsi" w:cstheme="majorBidi"/>
      <w:i/>
      <w:iCs/>
      <w:color w:val="243F60" w:themeColor="accent1" w:themeShade="7F"/>
      <w:sz w:val="24"/>
      <w:szCs w:val="20"/>
    </w:rPr>
  </w:style>
  <w:style w:type="paragraph" w:customStyle="1" w:styleId="TableText0">
    <w:name w:val="Table Text"/>
    <w:basedOn w:val="Normal"/>
    <w:link w:val="TableTextChar0"/>
    <w:qFormat/>
    <w:rsid w:val="00765E6A"/>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765E6A"/>
    <w:rPr>
      <w:rFonts w:ascii="Arial Narrow" w:eastAsia="Times New Roman" w:hAnsi="Arial Narrow" w:cs="Tahoma"/>
      <w:sz w:val="20"/>
      <w:lang w:eastAsia="en-US"/>
    </w:rPr>
  </w:style>
  <w:style w:type="paragraph" w:customStyle="1" w:styleId="Tablenotes">
    <w:name w:val="Tablenotes"/>
    <w:basedOn w:val="Normal"/>
    <w:link w:val="TablenotesChar"/>
    <w:qFormat/>
    <w:rsid w:val="00765E6A"/>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765E6A"/>
    <w:rPr>
      <w:rFonts w:ascii="Arial Narrow" w:eastAsia="Times New Roman" w:hAnsi="Arial Narrow" w:cs="Arial"/>
      <w:snapToGrid w:val="0"/>
      <w:sz w:val="1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locked/>
    <w:rsid w:val="002B0B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39"/>
    <w:locked/>
    <w:rsid w:val="00FF338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338E"/>
    <w:pPr>
      <w:spacing w:before="100" w:beforeAutospacing="1" w:after="100" w:afterAutospacing="1"/>
    </w:pPr>
    <w:rPr>
      <w:szCs w:val="24"/>
    </w:rPr>
  </w:style>
  <w:style w:type="paragraph" w:customStyle="1" w:styleId="Tabletext">
    <w:name w:val="Table text"/>
    <w:basedOn w:val="Normal"/>
    <w:link w:val="TabletextChar"/>
    <w:qFormat/>
    <w:rsid w:val="00490A7B"/>
    <w:rPr>
      <w:rFonts w:ascii="Arial Narrow" w:hAnsi="Arial Narrow"/>
      <w:sz w:val="20"/>
      <w:szCs w:val="24"/>
      <w:lang w:eastAsia="en-US"/>
    </w:rPr>
  </w:style>
  <w:style w:type="character" w:customStyle="1" w:styleId="TabletextChar">
    <w:name w:val="Table text Char"/>
    <w:basedOn w:val="DefaultParagraphFont"/>
    <w:link w:val="Tabletext"/>
    <w:rsid w:val="00490A7B"/>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490A7B"/>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490A7B"/>
    <w:rPr>
      <w:rFonts w:ascii="Arial Narrow" w:eastAsia="Times New Roman" w:hAnsi="Arial Narrow" w:cs="Arial"/>
      <w:b/>
      <w:bCs/>
      <w:iCs/>
      <w:sz w:val="20"/>
      <w:szCs w:val="20"/>
      <w:lang w:eastAsia="en-US"/>
    </w:rPr>
  </w:style>
  <w:style w:type="paragraph" w:customStyle="1" w:styleId="TableHeading">
    <w:name w:val="TableHeading"/>
    <w:basedOn w:val="Normal"/>
    <w:link w:val="TableHeadingChar"/>
    <w:qFormat/>
    <w:rsid w:val="00F90369"/>
    <w:pPr>
      <w:keepNext/>
      <w:spacing w:before="40" w:after="40"/>
    </w:pPr>
    <w:rPr>
      <w:rFonts w:ascii="Arial Narrow" w:hAnsi="Arial Narrow" w:cs="Tahoma"/>
      <w:b/>
      <w:sz w:val="20"/>
    </w:rPr>
  </w:style>
  <w:style w:type="character" w:customStyle="1" w:styleId="TableHeadingChar">
    <w:name w:val="TableHeading Char"/>
    <w:link w:val="TableHeading"/>
    <w:rsid w:val="00F90369"/>
    <w:rPr>
      <w:rFonts w:ascii="Arial Narrow" w:eastAsia="Times New Roman" w:hAnsi="Arial Narrow" w:cs="Tahoma"/>
      <w:b/>
      <w:sz w:val="20"/>
      <w:szCs w:val="20"/>
    </w:rPr>
  </w:style>
  <w:style w:type="character" w:customStyle="1" w:styleId="ListParagraphChar">
    <w:name w:val="List Paragraph Char"/>
    <w:basedOn w:val="DefaultParagraphFont"/>
    <w:link w:val="ListParagraph"/>
    <w:uiPriority w:val="34"/>
    <w:rsid w:val="00F90369"/>
    <w:rPr>
      <w:rFonts w:eastAsia="Times New Roman"/>
      <w:sz w:val="24"/>
      <w:szCs w:val="20"/>
    </w:rPr>
  </w:style>
  <w:style w:type="paragraph" w:styleId="BodyText">
    <w:name w:val="Body Text"/>
    <w:basedOn w:val="Normal"/>
    <w:link w:val="BodyTextChar"/>
    <w:uiPriority w:val="1"/>
    <w:qFormat/>
    <w:rsid w:val="00914611"/>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914611"/>
    <w:rPr>
      <w:rFonts w:asciiTheme="minorHAnsi" w:eastAsia="Times New Roman" w:hAnsiTheme="minorHAnsi"/>
      <w:sz w:val="20"/>
      <w:szCs w:val="24"/>
    </w:rPr>
  </w:style>
  <w:style w:type="character" w:customStyle="1" w:styleId="Heading6Char">
    <w:name w:val="Heading 6 Char"/>
    <w:basedOn w:val="DefaultParagraphFont"/>
    <w:link w:val="Heading6"/>
    <w:rsid w:val="002B0B81"/>
    <w:rPr>
      <w:rFonts w:asciiTheme="majorHAnsi" w:eastAsiaTheme="majorEastAsia" w:hAnsiTheme="majorHAnsi" w:cstheme="majorBidi"/>
      <w:i/>
      <w:iCs/>
      <w:color w:val="243F60" w:themeColor="accent1" w:themeShade="7F"/>
      <w:sz w:val="24"/>
      <w:szCs w:val="20"/>
    </w:rPr>
  </w:style>
  <w:style w:type="paragraph" w:customStyle="1" w:styleId="TableText0">
    <w:name w:val="Table Text"/>
    <w:basedOn w:val="Normal"/>
    <w:link w:val="TableTextChar0"/>
    <w:qFormat/>
    <w:rsid w:val="00765E6A"/>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765E6A"/>
    <w:rPr>
      <w:rFonts w:ascii="Arial Narrow" w:eastAsia="Times New Roman" w:hAnsi="Arial Narrow" w:cs="Tahoma"/>
      <w:sz w:val="20"/>
      <w:lang w:eastAsia="en-US"/>
    </w:rPr>
  </w:style>
  <w:style w:type="paragraph" w:customStyle="1" w:styleId="Tablenotes">
    <w:name w:val="Tablenotes"/>
    <w:basedOn w:val="Normal"/>
    <w:link w:val="TablenotesChar"/>
    <w:qFormat/>
    <w:rsid w:val="00765E6A"/>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765E6A"/>
    <w:rPr>
      <w:rFonts w:ascii="Arial Narrow" w:eastAsia="Times New Roman" w:hAnsi="Arial Narrow" w:cs="Arial"/>
      <w:snapToGrid w:val="0"/>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0" Type="http://schemas.openxmlformats.org/officeDocument/2006/relationships/hyperlink" Target="http://www.msac.gov.au/internet/msac/publishing.nsf/Content/1216-public"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4269</Words>
  <Characters>23545</Characters>
  <Application>Microsoft Office Word</Application>
  <DocSecurity>0</DocSecurity>
  <Lines>511</Lines>
  <Paragraphs>280</Paragraphs>
  <ScaleCrop>false</ScaleCrop>
  <Company/>
  <LinksUpToDate>false</LinksUpToDate>
  <CharactersWithSpaces>27534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1216.1-FinalPSD-accessible</dc:title>
  <dc:creator/>
  <cp:lastModifiedBy/>
  <cp:revision>1</cp:revision>
  <dcterms:created xsi:type="dcterms:W3CDTF">2017-07-14T04:36:00Z</dcterms:created>
  <dcterms:modified xsi:type="dcterms:W3CDTF">2017-07-14T04:37:00Z</dcterms:modified>
</cp:coreProperties>
</file>