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33AF8" w14:textId="77777777" w:rsidR="00D702DC" w:rsidRPr="002926CF" w:rsidRDefault="00D702DC" w:rsidP="00122A2F">
      <w:pPr>
        <w:keepNext/>
        <w:widowControl w:val="0"/>
        <w:spacing w:after="0" w:line="240" w:lineRule="auto"/>
        <w:jc w:val="center"/>
        <w:rPr>
          <w:rFonts w:eastAsia="Times New Roman" w:cs="Times New Roman"/>
          <w:b/>
          <w:bCs/>
          <w:snapToGrid w:val="0"/>
          <w:szCs w:val="24"/>
          <w:lang w:val="en-US"/>
        </w:rPr>
      </w:pPr>
      <w:r w:rsidRPr="00CD0571">
        <w:rPr>
          <w:rFonts w:eastAsia="Times New Roman" w:cs="Times New Roman"/>
          <w:b/>
          <w:bCs/>
          <w:noProof/>
          <w:color w:val="800000"/>
          <w:szCs w:val="24"/>
          <w:lang w:eastAsia="en-AU"/>
        </w:rPr>
        <w:drawing>
          <wp:inline distT="0" distB="0" distL="0" distR="0" wp14:anchorId="169B2435" wp14:editId="58C8CE4F">
            <wp:extent cx="1838325" cy="742950"/>
            <wp:effectExtent l="0" t="0" r="9525" b="0"/>
            <wp:docPr id="1" name="Picture 1" descr="MSAC logo stacke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AC logo stacked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0" cy="744233"/>
                    </a:xfrm>
                    <a:prstGeom prst="rect">
                      <a:avLst/>
                    </a:prstGeom>
                    <a:noFill/>
                    <a:ln>
                      <a:noFill/>
                    </a:ln>
                  </pic:spPr>
                </pic:pic>
              </a:graphicData>
            </a:graphic>
          </wp:inline>
        </w:drawing>
      </w:r>
    </w:p>
    <w:p w14:paraId="21EA011B" w14:textId="77777777" w:rsidR="00D702DC" w:rsidRPr="007D23D2" w:rsidRDefault="00D702DC" w:rsidP="00122A2F">
      <w:pPr>
        <w:keepNext/>
        <w:widowControl w:val="0"/>
        <w:spacing w:after="0" w:line="240" w:lineRule="auto"/>
        <w:rPr>
          <w:rFonts w:eastAsia="Times New Roman" w:cs="Times New Roman"/>
          <w:bCs/>
          <w:snapToGrid w:val="0"/>
          <w:szCs w:val="24"/>
          <w:lang w:val="en-US"/>
        </w:rPr>
      </w:pPr>
    </w:p>
    <w:p w14:paraId="23040290" w14:textId="6510A541" w:rsidR="00122A2F" w:rsidRPr="00122A2F" w:rsidRDefault="00AF1E89" w:rsidP="00C36529">
      <w:pPr>
        <w:pStyle w:val="Heading1"/>
        <w:spacing w:after="240"/>
        <w:jc w:val="center"/>
        <w:rPr>
          <w:snapToGrid w:val="0"/>
          <w:lang w:val="en-US"/>
        </w:rPr>
      </w:pPr>
      <w:r>
        <w:rPr>
          <w:snapToGrid w:val="0"/>
          <w:lang w:val="en-US"/>
        </w:rPr>
        <w:t>STAKEHOLDER MEETING MINUTES</w:t>
      </w:r>
      <w:r w:rsidR="00C2177A">
        <w:rPr>
          <w:snapToGrid w:val="0"/>
          <w:lang w:val="en-US"/>
        </w:rPr>
        <w:t xml:space="preserve"> - FINAL</w:t>
      </w:r>
      <w:bookmarkStart w:id="0" w:name="_GoBack"/>
      <w:bookmarkEnd w:id="0"/>
    </w:p>
    <w:p w14:paraId="581CA073" w14:textId="6F6E791C" w:rsidR="00122A2F" w:rsidRPr="00AF1E89" w:rsidRDefault="000E6FC8" w:rsidP="00AF1E89">
      <w:pPr>
        <w:keepNext/>
        <w:widowControl w:val="0"/>
        <w:spacing w:line="240" w:lineRule="auto"/>
        <w:jc w:val="center"/>
        <w:rPr>
          <w:rFonts w:eastAsia="Times New Roman" w:cs="Times New Roman"/>
          <w:b/>
          <w:bCs/>
          <w:snapToGrid w:val="0"/>
          <w:sz w:val="28"/>
          <w:szCs w:val="28"/>
          <w:lang w:val="en-US"/>
        </w:rPr>
      </w:pPr>
      <w:r w:rsidRPr="00122A2F">
        <w:rPr>
          <w:rFonts w:eastAsia="Times New Roman" w:cs="Times New Roman"/>
          <w:b/>
          <w:bCs/>
          <w:snapToGrid w:val="0"/>
          <w:sz w:val="28"/>
          <w:szCs w:val="28"/>
          <w:lang w:val="en-US"/>
        </w:rPr>
        <w:t>SENTINEL LYMPH NODE BIOPSY FOR INTERMEDIATE THICKNESS AND THICK MELANOMA</w:t>
      </w:r>
    </w:p>
    <w:p w14:paraId="140048E7" w14:textId="6240141D" w:rsidR="008913C3" w:rsidRDefault="000E6FC8" w:rsidP="00122A2F">
      <w:pPr>
        <w:keepNext/>
        <w:widowControl w:val="0"/>
        <w:spacing w:after="240" w:line="240" w:lineRule="auto"/>
        <w:jc w:val="center"/>
        <w:rPr>
          <w:rFonts w:eastAsia="Times New Roman" w:cs="Times New Roman"/>
          <w:b/>
          <w:bCs/>
          <w:snapToGrid w:val="0"/>
          <w:szCs w:val="24"/>
          <w:lang w:val="en-US"/>
        </w:rPr>
      </w:pPr>
      <w:r>
        <w:rPr>
          <w:rFonts w:eastAsia="Times New Roman" w:cs="Times New Roman"/>
          <w:b/>
          <w:bCs/>
          <w:snapToGrid w:val="0"/>
          <w:szCs w:val="24"/>
          <w:lang w:val="en-US"/>
        </w:rPr>
        <w:t>Wednesday 7</w:t>
      </w:r>
      <w:r w:rsidR="008913C3">
        <w:rPr>
          <w:rFonts w:eastAsia="Times New Roman" w:cs="Times New Roman"/>
          <w:b/>
          <w:bCs/>
          <w:snapToGrid w:val="0"/>
          <w:szCs w:val="24"/>
          <w:lang w:val="en-US"/>
        </w:rPr>
        <w:t xml:space="preserve"> November 2018</w:t>
      </w:r>
    </w:p>
    <w:p w14:paraId="23931F47" w14:textId="77777777" w:rsidR="008913C3" w:rsidRPr="00CB5F9E" w:rsidRDefault="008913C3" w:rsidP="00C36529">
      <w:pPr>
        <w:pStyle w:val="Heading2"/>
        <w:spacing w:after="200"/>
      </w:pPr>
      <w:r w:rsidRPr="00CB5F9E">
        <w:t>Attendees</w:t>
      </w:r>
    </w:p>
    <w:p w14:paraId="5E23B1A5" w14:textId="77777777" w:rsidR="008913C3" w:rsidRDefault="00CB5F9E" w:rsidP="00122A2F">
      <w:pPr>
        <w:spacing w:line="240" w:lineRule="auto"/>
      </w:pPr>
      <w:r w:rsidRPr="00CB5F9E">
        <w:t xml:space="preserve">Meeting attendees </w:t>
      </w:r>
      <w:r w:rsidR="00DB7F7E">
        <w:t>included</w:t>
      </w:r>
      <w:r w:rsidR="00DB7F7E" w:rsidRPr="00CB5F9E">
        <w:t xml:space="preserve"> </w:t>
      </w:r>
      <w:r w:rsidRPr="00CB5F9E">
        <w:t xml:space="preserve">members of the Medical Services Advisory Committee (MSAC); clinicians with experience and expertise in </w:t>
      </w:r>
      <w:r w:rsidR="00C31EA1">
        <w:t>clinical oncology, pathology, dermatology and clinical genetics</w:t>
      </w:r>
      <w:r w:rsidRPr="00CB5F9E">
        <w:t>; representatives of the applicant; representatives from consumer organisations; and representatives from the Department of Health.</w:t>
      </w:r>
    </w:p>
    <w:p w14:paraId="1A62F264" w14:textId="202DA079" w:rsidR="008913C3" w:rsidRPr="00122A2F" w:rsidRDefault="00122A2F" w:rsidP="00C36529">
      <w:pPr>
        <w:pStyle w:val="Heading1"/>
      </w:pPr>
      <w:r w:rsidRPr="00122A2F">
        <w:t>1.</w:t>
      </w:r>
      <w:r>
        <w:tab/>
      </w:r>
      <w:r w:rsidRPr="00C36529">
        <w:t>M</w:t>
      </w:r>
      <w:r w:rsidR="008913C3" w:rsidRPr="00C36529">
        <w:t>eeting</w:t>
      </w:r>
      <w:r w:rsidR="008913C3" w:rsidRPr="00122A2F">
        <w:t xml:space="preserve"> open</w:t>
      </w:r>
      <w:r w:rsidR="00510361">
        <w:t xml:space="preserve"> – welcome and introduction</w:t>
      </w:r>
    </w:p>
    <w:p w14:paraId="60F9ABEF" w14:textId="77777777" w:rsidR="008913C3" w:rsidRDefault="008913C3" w:rsidP="00122A2F">
      <w:pPr>
        <w:spacing w:line="240" w:lineRule="auto"/>
      </w:pPr>
      <w:r>
        <w:t xml:space="preserve">The MSAC Chair opened the meeting at </w:t>
      </w:r>
      <w:r w:rsidR="00D702DC">
        <w:t>9:</w:t>
      </w:r>
      <w:r w:rsidR="00F36E2D">
        <w:t>10</w:t>
      </w:r>
      <w:r w:rsidR="00E91D26">
        <w:t> </w:t>
      </w:r>
      <w:r w:rsidR="00F36E2D">
        <w:t>am</w:t>
      </w:r>
      <w:r>
        <w:t>.</w:t>
      </w:r>
    </w:p>
    <w:p w14:paraId="6545E635" w14:textId="77777777" w:rsidR="00050AFD" w:rsidRDefault="00CB5F9E" w:rsidP="00122A2F">
      <w:pPr>
        <w:spacing w:after="240" w:line="240" w:lineRule="auto"/>
        <w:rPr>
          <w:szCs w:val="24"/>
        </w:rPr>
      </w:pPr>
      <w:r w:rsidRPr="00CB5F9E">
        <w:t xml:space="preserve">The Chair thanked participants for attending and clarified that the stakeholder meeting was not an MSAC decision-making forum, but would inform </w:t>
      </w:r>
      <w:r w:rsidR="00050AFD">
        <w:t xml:space="preserve">MSAC’s reconsideration of </w:t>
      </w:r>
      <w:r w:rsidRPr="00CB5F9E">
        <w:t xml:space="preserve">the issues </w:t>
      </w:r>
      <w:r w:rsidR="00050AFD">
        <w:t xml:space="preserve">raised </w:t>
      </w:r>
      <w:r w:rsidRPr="00CB5F9E">
        <w:t xml:space="preserve">by MSAC </w:t>
      </w:r>
      <w:r w:rsidR="00050AFD">
        <w:t xml:space="preserve">at </w:t>
      </w:r>
      <w:r w:rsidRPr="00CB5F9E">
        <w:t xml:space="preserve">its July 2018 consideration of </w:t>
      </w:r>
      <w:r>
        <w:t>A</w:t>
      </w:r>
      <w:r w:rsidRPr="00CB5F9E">
        <w:t>pplication 14</w:t>
      </w:r>
      <w:r>
        <w:t>85</w:t>
      </w:r>
      <w:r w:rsidRPr="00CB5F9E">
        <w:t xml:space="preserve">: </w:t>
      </w:r>
      <w:r>
        <w:t>sentinel lymph node biopsy (SLNB) for intermediate thickness and thick melanoma</w:t>
      </w:r>
      <w:r w:rsidRPr="00CB5F9E">
        <w:t xml:space="preserve">. </w:t>
      </w:r>
      <w:proofErr w:type="gramStart"/>
      <w:r w:rsidR="00050AFD" w:rsidRPr="00CD04EE">
        <w:rPr>
          <w:szCs w:val="24"/>
        </w:rPr>
        <w:t>MSAC’s advice would then be considered by the Government</w:t>
      </w:r>
      <w:proofErr w:type="gramEnd"/>
      <w:r w:rsidR="00050AFD" w:rsidRPr="00CD04EE">
        <w:rPr>
          <w:szCs w:val="24"/>
        </w:rPr>
        <w:t>.</w:t>
      </w:r>
    </w:p>
    <w:p w14:paraId="459D7F28" w14:textId="77777777" w:rsidR="00CB5F9E" w:rsidRDefault="00CB5F9E" w:rsidP="00122A2F">
      <w:pPr>
        <w:pStyle w:val="NormalBeforeBullet"/>
        <w:spacing w:line="240" w:lineRule="auto"/>
      </w:pPr>
      <w:r w:rsidRPr="00CB5F9E">
        <w:t xml:space="preserve">The key objective of the meeting was to seek input from </w:t>
      </w:r>
      <w:r>
        <w:t xml:space="preserve">clinicians on whether it would be possible </w:t>
      </w:r>
      <w:proofErr w:type="gramStart"/>
      <w:r>
        <w:t>to</w:t>
      </w:r>
      <w:proofErr w:type="gramEnd"/>
      <w:r>
        <w:t xml:space="preserve">: </w:t>
      </w:r>
    </w:p>
    <w:p w14:paraId="4623FDB1" w14:textId="77777777" w:rsidR="00CB5F9E" w:rsidRDefault="00CB5F9E" w:rsidP="00122A2F">
      <w:pPr>
        <w:pStyle w:val="Bullet"/>
        <w:spacing w:line="240" w:lineRule="auto"/>
      </w:pPr>
      <w:r>
        <w:t>establish risk equivalence criteria (i.e. the SLNB result that equates to the same melanoma risk as for the patients in the recent trials of newly emerging adjuvant therapies) that would qualify a patient for access to adjuvant therapies</w:t>
      </w:r>
    </w:p>
    <w:p w14:paraId="6DC8592C" w14:textId="77777777" w:rsidR="00CB5F9E" w:rsidRPr="00CB5F9E" w:rsidRDefault="00CB5F9E" w:rsidP="00122A2F">
      <w:pPr>
        <w:pStyle w:val="BulletLast"/>
        <w:spacing w:line="240" w:lineRule="auto"/>
      </w:pPr>
      <w:proofErr w:type="gramStart"/>
      <w:r>
        <w:t>be</w:t>
      </w:r>
      <w:proofErr w:type="gramEnd"/>
      <w:r>
        <w:t xml:space="preserve"> confident that this would form a reasonable basis for extrapolated evidence of predictive effect.</w:t>
      </w:r>
    </w:p>
    <w:p w14:paraId="3A11E013" w14:textId="77777777" w:rsidR="00CB5F9E" w:rsidRPr="00CB5F9E" w:rsidRDefault="00CB5F9E" w:rsidP="00122A2F">
      <w:pPr>
        <w:spacing w:after="240" w:line="240" w:lineRule="auto"/>
      </w:pPr>
      <w:r w:rsidRPr="00CB5F9E">
        <w:t xml:space="preserve">The Chair </w:t>
      </w:r>
      <w:r w:rsidR="00050AFD">
        <w:t>reminded</w:t>
      </w:r>
      <w:r w:rsidRPr="00CB5F9E">
        <w:t xml:space="preserve"> participants that </w:t>
      </w:r>
      <w:r w:rsidR="00050AFD" w:rsidRPr="00CD04EE">
        <w:rPr>
          <w:szCs w:val="24"/>
        </w:rPr>
        <w:t>this was a confidential discussion</w:t>
      </w:r>
      <w:r w:rsidR="00050AFD">
        <w:rPr>
          <w:szCs w:val="24"/>
        </w:rPr>
        <w:t>.</w:t>
      </w:r>
      <w:r w:rsidR="00050AFD" w:rsidRPr="002438EB">
        <w:t xml:space="preserve"> </w:t>
      </w:r>
      <w:r w:rsidR="00050AFD">
        <w:t>T</w:t>
      </w:r>
      <w:r w:rsidRPr="00CB5F9E">
        <w:t xml:space="preserve">he </w:t>
      </w:r>
      <w:r w:rsidR="00050AFD">
        <w:t>outcomes</w:t>
      </w:r>
      <w:r w:rsidRPr="00CB5F9E">
        <w:t xml:space="preserve"> of the meeting </w:t>
      </w:r>
      <w:proofErr w:type="gramStart"/>
      <w:r w:rsidRPr="00CB5F9E">
        <w:t>would be provided</w:t>
      </w:r>
      <w:proofErr w:type="gramEnd"/>
      <w:r w:rsidRPr="00CB5F9E">
        <w:t xml:space="preserve"> to all attendees for input before being published on the MSAC website. The Chair indicated that these minutes would not attribute any of the discussion to any identified individual.</w:t>
      </w:r>
    </w:p>
    <w:p w14:paraId="5ACE12BD" w14:textId="77777777" w:rsidR="008913C3" w:rsidRPr="00122A2F" w:rsidRDefault="008913C3" w:rsidP="00C36529">
      <w:pPr>
        <w:pStyle w:val="Heading2"/>
      </w:pPr>
      <w:r w:rsidRPr="00C36529">
        <w:t>Conflicts</w:t>
      </w:r>
      <w:r w:rsidRPr="00122A2F">
        <w:t xml:space="preserve"> of interest</w:t>
      </w:r>
    </w:p>
    <w:p w14:paraId="2EB1D4B2" w14:textId="77777777" w:rsidR="008913C3" w:rsidRDefault="008913C3" w:rsidP="00122A2F">
      <w:pPr>
        <w:spacing w:after="240" w:line="240" w:lineRule="auto"/>
      </w:pPr>
      <w:r>
        <w:t>The Chair noted the conflicts of interest declared.</w:t>
      </w:r>
    </w:p>
    <w:p w14:paraId="77398A0D" w14:textId="0CB06379" w:rsidR="008913C3" w:rsidRPr="00122A2F" w:rsidRDefault="00122A2F" w:rsidP="00C36529">
      <w:pPr>
        <w:pStyle w:val="Heading1"/>
      </w:pPr>
      <w:r>
        <w:t>2.</w:t>
      </w:r>
      <w:r>
        <w:tab/>
      </w:r>
      <w:r w:rsidR="008913C3" w:rsidRPr="00122A2F">
        <w:t>Background</w:t>
      </w:r>
      <w:r w:rsidR="00510361">
        <w:t xml:space="preserve"> – recent MSAC consideration and key discussion points</w:t>
      </w:r>
    </w:p>
    <w:p w14:paraId="7572094F" w14:textId="77777777" w:rsidR="00CB5F9E" w:rsidRDefault="00CB5F9E" w:rsidP="00982B5A">
      <w:pPr>
        <w:spacing w:after="240" w:line="240" w:lineRule="auto"/>
      </w:pPr>
      <w:proofErr w:type="gramStart"/>
      <w:r>
        <w:t>At its July 2018 meeting, MSAC did not accept the rationale to have a fee increase for a</w:t>
      </w:r>
      <w:r w:rsidR="00F21707">
        <w:t>n</w:t>
      </w:r>
      <w:r>
        <w:t xml:space="preserve"> SLNB-specific MBS item, compared to the current non-specific MBS items that this service is currently being claimed under, when there was insufficient basis </w:t>
      </w:r>
      <w:r w:rsidR="00050AFD">
        <w:t xml:space="preserve">provided </w:t>
      </w:r>
      <w:r>
        <w:t xml:space="preserve">to discern any </w:t>
      </w:r>
      <w:r>
        <w:lastRenderedPageBreak/>
        <w:t>difference in patient health outcomes or clinical management as a consequence of using SLNB compared to not using it.</w:t>
      </w:r>
      <w:proofErr w:type="gramEnd"/>
    </w:p>
    <w:p w14:paraId="32DC0DD1" w14:textId="77777777" w:rsidR="00CB5F9E" w:rsidRDefault="00CB5F9E" w:rsidP="00122A2F">
      <w:pPr>
        <w:pStyle w:val="NormalBeforeBullet"/>
        <w:spacing w:line="240" w:lineRule="auto"/>
      </w:pPr>
      <w:r>
        <w:t>MSAC deferred its advice to request further clarification of the patient selection criteria for</w:t>
      </w:r>
      <w:r w:rsidR="00050AFD">
        <w:t xml:space="preserve"> the emerging role of</w:t>
      </w:r>
      <w:r>
        <w:t xml:space="preserve"> adjuvant treatment of melanoma and the role of SLNB in selecting patients for such treatment. MSAC considered that it would be helpful to:</w:t>
      </w:r>
    </w:p>
    <w:p w14:paraId="3F0AD6FA" w14:textId="77777777" w:rsidR="00CB5F9E" w:rsidRDefault="00CB5F9E" w:rsidP="00122A2F">
      <w:pPr>
        <w:pStyle w:val="Bullet"/>
        <w:spacing w:line="240" w:lineRule="auto"/>
      </w:pPr>
      <w:r>
        <w:t>further discuss this application with the Oncology Clinical Committee from the MBS Review Taskforce</w:t>
      </w:r>
    </w:p>
    <w:p w14:paraId="1DE61CAC" w14:textId="77777777" w:rsidR="00CB5F9E" w:rsidRDefault="00CB5F9E" w:rsidP="00982B5A">
      <w:pPr>
        <w:pStyle w:val="BulletLast"/>
        <w:spacing w:line="240" w:lineRule="auto"/>
        <w:ind w:left="714" w:hanging="357"/>
      </w:pPr>
      <w:proofErr w:type="gramStart"/>
      <w:r>
        <w:t>seek</w:t>
      </w:r>
      <w:proofErr w:type="gramEnd"/>
      <w:r>
        <w:t xml:space="preserve"> input from the Medical Oncology Group of Australia (MOGA), the Royal College of Pathologists of Australasia (RCPA) and melanoma surgeons.</w:t>
      </w:r>
    </w:p>
    <w:p w14:paraId="1FE6C2E2" w14:textId="77777777" w:rsidR="00CB5F9E" w:rsidRPr="00CB5F9E" w:rsidRDefault="00CB5F9E" w:rsidP="00982B5A">
      <w:pPr>
        <w:spacing w:after="240" w:line="240" w:lineRule="auto"/>
      </w:pPr>
      <w:r>
        <w:t xml:space="preserve">The Chair noted that SLNB </w:t>
      </w:r>
      <w:proofErr w:type="gramStart"/>
      <w:r>
        <w:t xml:space="preserve">is </w:t>
      </w:r>
      <w:r w:rsidR="00050AFD">
        <w:t>now being seen</w:t>
      </w:r>
      <w:proofErr w:type="gramEnd"/>
      <w:r w:rsidR="00050AFD">
        <w:t xml:space="preserve"> as </w:t>
      </w:r>
      <w:r>
        <w:t xml:space="preserve">a prerequisite for determining access </w:t>
      </w:r>
      <w:r w:rsidR="00BE4C37">
        <w:t xml:space="preserve">by some patients </w:t>
      </w:r>
      <w:r>
        <w:t xml:space="preserve">to adjuvant therapies for melanoma. MSAC’s decision on this issue has flow-on effects for the </w:t>
      </w:r>
      <w:r w:rsidR="00F21707">
        <w:t>Pharmaceutical Benefits Advisory Committee</w:t>
      </w:r>
      <w:r w:rsidR="00BE4C37">
        <w:t xml:space="preserve"> consideration of these adjuvant therapies</w:t>
      </w:r>
      <w:r>
        <w:t xml:space="preserve">, making a </w:t>
      </w:r>
      <w:r w:rsidR="00050AFD">
        <w:t>coordinated</w:t>
      </w:r>
      <w:r>
        <w:t xml:space="preserve"> approach essential.</w:t>
      </w:r>
    </w:p>
    <w:p w14:paraId="72CF2E1E" w14:textId="44813430" w:rsidR="008913C3" w:rsidRPr="00122A2F" w:rsidRDefault="00122A2F" w:rsidP="00C36529">
      <w:pPr>
        <w:pStyle w:val="Heading1"/>
      </w:pPr>
      <w:r>
        <w:t>3.</w:t>
      </w:r>
      <w:r>
        <w:tab/>
      </w:r>
      <w:r w:rsidR="008913C3" w:rsidRPr="00122A2F">
        <w:t>Summary of discussion</w:t>
      </w:r>
    </w:p>
    <w:p w14:paraId="112922D2" w14:textId="77777777" w:rsidR="008913C3" w:rsidRPr="00122A2F" w:rsidRDefault="00A22E19" w:rsidP="00C36529">
      <w:pPr>
        <w:pStyle w:val="Heading2"/>
      </w:pPr>
      <w:r w:rsidRPr="00122A2F">
        <w:t>Guideline recommendations for SLNB</w:t>
      </w:r>
    </w:p>
    <w:p w14:paraId="722997BF" w14:textId="77777777" w:rsidR="00CB5F9E" w:rsidRDefault="00C31EA1" w:rsidP="00122A2F">
      <w:pPr>
        <w:pStyle w:val="NormalBeforeBullet"/>
        <w:spacing w:line="240" w:lineRule="auto"/>
      </w:pPr>
      <w:r>
        <w:t>Participants noted that</w:t>
      </w:r>
      <w:r w:rsidR="00CB4008">
        <w:t xml:space="preserve"> the latest Cancer Council </w:t>
      </w:r>
      <w:r w:rsidR="00CB4008" w:rsidRPr="00AB431D">
        <w:rPr>
          <w:i/>
        </w:rPr>
        <w:t>Clinical practice guidelines for the diagnosis and management of melanoma</w:t>
      </w:r>
      <w:r w:rsidR="00CB4008">
        <w:t xml:space="preserve"> state that:</w:t>
      </w:r>
    </w:p>
    <w:p w14:paraId="40AF62D6" w14:textId="77777777" w:rsidR="00CB4008" w:rsidRDefault="00CB4008" w:rsidP="00982B5A">
      <w:pPr>
        <w:pStyle w:val="Quote"/>
        <w:spacing w:after="240" w:line="240" w:lineRule="auto"/>
      </w:pPr>
      <w:r w:rsidRPr="00CB4008">
        <w:t xml:space="preserve">Sentinel lymph node biopsy should be considered for all patients with melanoma greater than 1 mm in thickness and for patients with melanoma greater than 0.75 mm with other </w:t>
      </w:r>
      <w:proofErr w:type="gramStart"/>
      <w:r w:rsidRPr="00CB4008">
        <w:t>high risk</w:t>
      </w:r>
      <w:proofErr w:type="gramEnd"/>
      <w:r w:rsidRPr="00CB4008">
        <w:t xml:space="preserve"> pathological features to provide optimal staging and prognostic information and to maximise management options for patients who are node positive.</w:t>
      </w:r>
    </w:p>
    <w:p w14:paraId="236F8DAD" w14:textId="77777777" w:rsidR="00CB5F9E" w:rsidRDefault="00AB431D" w:rsidP="00982B5A">
      <w:pPr>
        <w:spacing w:after="240" w:line="240" w:lineRule="auto"/>
      </w:pPr>
      <w:r>
        <w:t xml:space="preserve">Therefore, the indication for this application </w:t>
      </w:r>
      <w:proofErr w:type="gramStart"/>
      <w:r w:rsidR="00050AFD">
        <w:t xml:space="preserve">should be </w:t>
      </w:r>
      <w:r>
        <w:t>broadened</w:t>
      </w:r>
      <w:proofErr w:type="gramEnd"/>
      <w:r>
        <w:t xml:space="preserve"> to all melanoma greater than 1 mm thick, and melanoma at least 0.8 mm thick </w:t>
      </w:r>
      <w:r w:rsidR="00050AFD">
        <w:t xml:space="preserve">in the presence of </w:t>
      </w:r>
      <w:r>
        <w:t>ulceration. Participants noted this was also consistent with international guidelines.</w:t>
      </w:r>
    </w:p>
    <w:p w14:paraId="099AE8D6" w14:textId="77777777" w:rsidR="00AB431D" w:rsidRDefault="00AB431D" w:rsidP="00982B5A">
      <w:pPr>
        <w:spacing w:after="240" w:line="240" w:lineRule="auto"/>
      </w:pPr>
      <w:r>
        <w:t xml:space="preserve">Participants noted that the AJCC staging system </w:t>
      </w:r>
      <w:proofErr w:type="gramStart"/>
      <w:r>
        <w:t>had also been updated</w:t>
      </w:r>
      <w:proofErr w:type="gramEnd"/>
      <w:r>
        <w:t xml:space="preserve"> in 2017 to state that, for a patient with this indication to be staged appropriately, they must have SLNB. Participants noted that the AJCC system is evidence based and draws on a database of more than 40,000 melanoma patients, around 20% of whom are Australian.</w:t>
      </w:r>
    </w:p>
    <w:p w14:paraId="16E31C0E" w14:textId="41150B26" w:rsidR="003E42DA" w:rsidRDefault="003E42DA" w:rsidP="00982B5A">
      <w:pPr>
        <w:spacing w:after="240" w:line="240" w:lineRule="auto"/>
      </w:pPr>
      <w:r>
        <w:t xml:space="preserve">In relation to the definition of </w:t>
      </w:r>
      <w:r w:rsidR="00F21707">
        <w:t xml:space="preserve">SLNB </w:t>
      </w:r>
      <w:r>
        <w:t xml:space="preserve">positivity and how samples </w:t>
      </w:r>
      <w:proofErr w:type="gramStart"/>
      <w:r>
        <w:t>are handled</w:t>
      </w:r>
      <w:proofErr w:type="gramEnd"/>
      <w:r>
        <w:t>, participants noted that the Cancer Council guidelines provide detai</w:t>
      </w:r>
      <w:r w:rsidR="00F21707">
        <w:t>led guidance on handling sentine</w:t>
      </w:r>
      <w:r>
        <w:t>l lymph nodes and provide commentary on how the pathologist should assess a</w:t>
      </w:r>
      <w:r w:rsidR="00F21707">
        <w:t>n</w:t>
      </w:r>
      <w:r>
        <w:t xml:space="preserve"> SLNB</w:t>
      </w:r>
      <w:r w:rsidR="005D7490">
        <w:t xml:space="preserve"> and report its results</w:t>
      </w:r>
      <w:r>
        <w:t xml:space="preserve">. </w:t>
      </w:r>
      <w:r w:rsidR="008B6DD2">
        <w:t xml:space="preserve">These guidelines refer to detection of involved lymph nodes using immunohistochemistry </w:t>
      </w:r>
      <w:proofErr w:type="gramStart"/>
      <w:r w:rsidR="008B6DD2">
        <w:t>however</w:t>
      </w:r>
      <w:proofErr w:type="gramEnd"/>
      <w:r w:rsidR="008B6DD2">
        <w:t xml:space="preserve"> some subjects (11%) in the MSLT-II trial were identified as SLNB positive using PCR (more sensitive). </w:t>
      </w:r>
      <w:r>
        <w:t>Participants noted there were no pathologists present</w:t>
      </w:r>
      <w:r w:rsidR="00F21707">
        <w:t xml:space="preserve"> at this stakeholder meeting</w:t>
      </w:r>
      <w:r>
        <w:t>, and the Department agreed to connect with this group to seek their input.</w:t>
      </w:r>
      <w:r w:rsidR="008B6DD2">
        <w:t xml:space="preserve"> In </w:t>
      </w:r>
      <w:proofErr w:type="gramStart"/>
      <w:r w:rsidR="008B6DD2">
        <w:t>particular</w:t>
      </w:r>
      <w:proofErr w:type="gramEnd"/>
      <w:r w:rsidR="008B6DD2">
        <w:t xml:space="preserve"> MSAC will need advice on the method (immunohistochemistry or PCR based) of assessment of lymph nodes and the definition of positive (for each method). </w:t>
      </w:r>
    </w:p>
    <w:p w14:paraId="21B81569" w14:textId="77777777" w:rsidR="00A22E19" w:rsidRPr="00122A2F" w:rsidRDefault="00A22E19" w:rsidP="00C36529">
      <w:pPr>
        <w:pStyle w:val="Heading2"/>
      </w:pPr>
      <w:r w:rsidRPr="00122A2F">
        <w:t>Access, equity and education issues</w:t>
      </w:r>
    </w:p>
    <w:p w14:paraId="2E1A2C32" w14:textId="77777777" w:rsidR="00AB431D" w:rsidRDefault="0049794F" w:rsidP="00982B5A">
      <w:pPr>
        <w:spacing w:after="240" w:line="240" w:lineRule="auto"/>
      </w:pPr>
      <w:r>
        <w:t xml:space="preserve">Participants noted </w:t>
      </w:r>
      <w:r w:rsidR="00640366">
        <w:t xml:space="preserve">the wide variation in access to SLNB across </w:t>
      </w:r>
      <w:r w:rsidR="00F21707">
        <w:t xml:space="preserve">Australia. It </w:t>
      </w:r>
      <w:proofErr w:type="gramStart"/>
      <w:r w:rsidR="00F21707">
        <w:t>was reported</w:t>
      </w:r>
      <w:proofErr w:type="gramEnd"/>
      <w:r w:rsidR="00F21707">
        <w:t xml:space="preserve"> that </w:t>
      </w:r>
      <w:r w:rsidR="00640366">
        <w:t xml:space="preserve">around 45% of patients </w:t>
      </w:r>
      <w:r w:rsidR="00F21707">
        <w:t xml:space="preserve">in New South Wales </w:t>
      </w:r>
      <w:r w:rsidR="00640366">
        <w:t xml:space="preserve">who are indicated for SLNB actually receive it, and only 18% of patients in Queensland. Access to appropriate surgeons and quality </w:t>
      </w:r>
      <w:r w:rsidR="00640366">
        <w:lastRenderedPageBreak/>
        <w:t xml:space="preserve">lymphoscintigraphy are particularly difficult in rural and remote areas, although it </w:t>
      </w:r>
      <w:proofErr w:type="gramStart"/>
      <w:r w:rsidR="00640366">
        <w:t>was noted</w:t>
      </w:r>
      <w:proofErr w:type="gramEnd"/>
      <w:r w:rsidR="00640366">
        <w:t xml:space="preserve"> that an education program is being developed to upskill providers in lymphoscintigraphy. Participants considered that an education program was highly appropriate to ensure availability of relevant expertise, particularly if there is increased uptake of SLNB after </w:t>
      </w:r>
      <w:r w:rsidR="00050AFD">
        <w:t xml:space="preserve">the creation of a specific </w:t>
      </w:r>
      <w:r w:rsidR="00640366">
        <w:t xml:space="preserve">MBS </w:t>
      </w:r>
      <w:r w:rsidR="00050AFD">
        <w:t>item in the context of melanoma</w:t>
      </w:r>
      <w:r w:rsidR="00640366">
        <w:t>.</w:t>
      </w:r>
    </w:p>
    <w:p w14:paraId="3D1E45D8" w14:textId="7E1C2A8C" w:rsidR="00640366" w:rsidRDefault="00640366" w:rsidP="00982B5A">
      <w:pPr>
        <w:spacing w:after="240" w:line="240" w:lineRule="auto"/>
      </w:pPr>
      <w:r>
        <w:t>Participants noted that a previous barrier to access was that SLNB did not affect survival outcomes</w:t>
      </w:r>
      <w:r w:rsidR="000A13BA">
        <w:t xml:space="preserve">. The relevance of SLNB in clinical management has </w:t>
      </w:r>
      <w:r>
        <w:t xml:space="preserve">changed </w:t>
      </w:r>
      <w:r w:rsidR="000A13BA">
        <w:t>because a positive SLNB will</w:t>
      </w:r>
      <w:r w:rsidR="00C632A7">
        <w:t xml:space="preserve"> </w:t>
      </w:r>
      <w:r w:rsidR="000A13BA">
        <w:t xml:space="preserve">now inform suitability for </w:t>
      </w:r>
      <w:r>
        <w:t>adjuvant therapy</w:t>
      </w:r>
      <w:r w:rsidR="00C632A7">
        <w:t xml:space="preserve"> for some patients</w:t>
      </w:r>
      <w:r>
        <w:t xml:space="preserve">, which significantly increases </w:t>
      </w:r>
      <w:r w:rsidR="00C632A7">
        <w:t xml:space="preserve">overall </w:t>
      </w:r>
      <w:r>
        <w:t>survival</w:t>
      </w:r>
      <w:r w:rsidR="00BE4C37">
        <w:t xml:space="preserve">. However, it </w:t>
      </w:r>
      <w:proofErr w:type="gramStart"/>
      <w:r w:rsidR="00BE4C37">
        <w:t>was noted</w:t>
      </w:r>
      <w:proofErr w:type="gramEnd"/>
      <w:r w:rsidR="00BE4C37">
        <w:t xml:space="preserve"> that the relevant </w:t>
      </w:r>
      <w:r w:rsidR="000A13BA">
        <w:t xml:space="preserve">adjuvant </w:t>
      </w:r>
      <w:r w:rsidR="00BE4C37">
        <w:t xml:space="preserve">trials </w:t>
      </w:r>
      <w:r w:rsidR="00C632A7">
        <w:t xml:space="preserve">mostly enrolled patients with </w:t>
      </w:r>
      <w:proofErr w:type="spellStart"/>
      <w:r w:rsidR="00C069F6">
        <w:t>macrometastatic</w:t>
      </w:r>
      <w:proofErr w:type="spellEnd"/>
      <w:r w:rsidR="00C069F6">
        <w:t xml:space="preserve"> disease </w:t>
      </w:r>
      <w:r w:rsidR="000A13BA">
        <w:t xml:space="preserve">(who have a poor prognosis). The impact of adjuvant treatment on individuals with SLNB positivity </w:t>
      </w:r>
      <w:proofErr w:type="gramStart"/>
      <w:r w:rsidR="000A13BA">
        <w:t>has not been comprehensively addressed</w:t>
      </w:r>
      <w:proofErr w:type="gramEnd"/>
      <w:r w:rsidR="000A13BA">
        <w:t xml:space="preserve">. </w:t>
      </w:r>
      <w:proofErr w:type="gramStart"/>
      <w:r w:rsidR="000A13BA">
        <w:t>Hence</w:t>
      </w:r>
      <w:proofErr w:type="gramEnd"/>
      <w:r w:rsidR="000A13BA">
        <w:t xml:space="preserve"> a </w:t>
      </w:r>
      <w:r w:rsidR="00BE4C37">
        <w:t xml:space="preserve">key point for discussion at the meeting was to explore the risk equivalence </w:t>
      </w:r>
      <w:r w:rsidR="000A13BA">
        <w:t xml:space="preserve">of the SLNB positive group with the group with higher risk disease </w:t>
      </w:r>
      <w:r w:rsidR="00BE4C37">
        <w:t>(see below)</w:t>
      </w:r>
      <w:r>
        <w:t>.</w:t>
      </w:r>
    </w:p>
    <w:p w14:paraId="4D6A347A" w14:textId="77777777" w:rsidR="00A22E19" w:rsidRPr="00982B5A" w:rsidRDefault="00A22E19" w:rsidP="00C36529">
      <w:pPr>
        <w:pStyle w:val="Heading2"/>
      </w:pPr>
      <w:r w:rsidRPr="00982B5A">
        <w:t>MBS item descriptor and proposed fee</w:t>
      </w:r>
    </w:p>
    <w:p w14:paraId="7E6C1152" w14:textId="77777777" w:rsidR="007C2F11" w:rsidRDefault="007C2F11" w:rsidP="00982B5A">
      <w:pPr>
        <w:spacing w:after="240" w:line="240" w:lineRule="auto"/>
      </w:pPr>
      <w:r>
        <w:t xml:space="preserve">The applicant </w:t>
      </w:r>
      <w:r w:rsidR="00C632A7">
        <w:t>proposed</w:t>
      </w:r>
      <w:r>
        <w:t xml:space="preserve"> that a single </w:t>
      </w:r>
      <w:r w:rsidR="00C632A7">
        <w:t xml:space="preserve">MBS </w:t>
      </w:r>
      <w:r>
        <w:t xml:space="preserve">item would be appropriate. The item descriptor would specify all melanoma greater than 1 mm </w:t>
      </w:r>
      <w:proofErr w:type="gramStart"/>
      <w:r>
        <w:t>thick,</w:t>
      </w:r>
      <w:proofErr w:type="gramEnd"/>
      <w:r>
        <w:t xml:space="preserve"> and melanoma at least 0.8 mm thick </w:t>
      </w:r>
      <w:r w:rsidR="00C632A7">
        <w:t xml:space="preserve">in the presence of </w:t>
      </w:r>
      <w:r w:rsidR="00A95429">
        <w:t>ulceration.</w:t>
      </w:r>
    </w:p>
    <w:p w14:paraId="12E1714D" w14:textId="77777777" w:rsidR="007C2F11" w:rsidRDefault="003E42DA" w:rsidP="00982B5A">
      <w:pPr>
        <w:spacing w:after="240" w:line="240" w:lineRule="auto"/>
      </w:pPr>
      <w:r>
        <w:t xml:space="preserve">Regarding the proposed fee, participants noted that SLNB for melanoma can be complex (particularly for head and neck melanoma), but this varies case by case. The applicant </w:t>
      </w:r>
      <w:r w:rsidR="00C632A7">
        <w:t xml:space="preserve">proposed </w:t>
      </w:r>
      <w:r>
        <w:t xml:space="preserve">that a single fee would be appropriate, equivalent to the fee for </w:t>
      </w:r>
      <w:r w:rsidR="00C632A7">
        <w:t xml:space="preserve">MBS </w:t>
      </w:r>
      <w:r>
        <w:t>item 30299 (</w:t>
      </w:r>
      <w:r w:rsidR="00E91D26">
        <w:t>SLNB</w:t>
      </w:r>
      <w:r w:rsidR="00F21707">
        <w:t xml:space="preserve"> for breast cancer). Howe</w:t>
      </w:r>
      <w:r>
        <w:t xml:space="preserve">ver, it </w:t>
      </w:r>
      <w:proofErr w:type="gramStart"/>
      <w:r>
        <w:t>was requested</w:t>
      </w:r>
      <w:proofErr w:type="gramEnd"/>
      <w:r>
        <w:t xml:space="preserve"> that multiple items could be claimed if SLNB was required a</w:t>
      </w:r>
      <w:r w:rsidR="00F21707">
        <w:t>t multiple different sites (e.g.</w:t>
      </w:r>
      <w:r>
        <w:t> axilla</w:t>
      </w:r>
      <w:r w:rsidR="00F21707">
        <w:t xml:space="preserve">, and head </w:t>
      </w:r>
      <w:r>
        <w:t>and</w:t>
      </w:r>
      <w:r w:rsidR="00F21707">
        <w:t xml:space="preserve"> </w:t>
      </w:r>
      <w:r>
        <w:t>neck).</w:t>
      </w:r>
    </w:p>
    <w:p w14:paraId="6DC449D9" w14:textId="77777777" w:rsidR="00A22E19" w:rsidRPr="00982B5A" w:rsidRDefault="00A22E19" w:rsidP="00C36529">
      <w:pPr>
        <w:pStyle w:val="Heading2"/>
      </w:pPr>
      <w:r w:rsidRPr="00982B5A">
        <w:t>Risk equivalence</w:t>
      </w:r>
    </w:p>
    <w:p w14:paraId="1E51F07C" w14:textId="19993E7D" w:rsidR="003E42DA" w:rsidRDefault="00B5086C" w:rsidP="00982B5A">
      <w:pPr>
        <w:spacing w:after="240" w:line="240" w:lineRule="auto"/>
      </w:pPr>
      <w:r>
        <w:t xml:space="preserve">Participants noted that the clinical trials </w:t>
      </w:r>
      <w:r w:rsidR="00F21707">
        <w:t>o</w:t>
      </w:r>
      <w:r w:rsidR="00BE4C37">
        <w:t>f</w:t>
      </w:r>
      <w:r w:rsidR="00F21707">
        <w:t xml:space="preserve"> adjuvant therapy</w:t>
      </w:r>
      <w:r>
        <w:t xml:space="preserve"> </w:t>
      </w:r>
      <w:r w:rsidR="00685EB0">
        <w:t xml:space="preserve">enrolled few </w:t>
      </w:r>
      <w:r>
        <w:t xml:space="preserve">patients </w:t>
      </w:r>
      <w:r w:rsidR="00775C76">
        <w:t xml:space="preserve">who </w:t>
      </w:r>
      <w:proofErr w:type="gramStart"/>
      <w:r w:rsidR="00BE4C37">
        <w:t>would be identified</w:t>
      </w:r>
      <w:proofErr w:type="gramEnd"/>
      <w:r w:rsidR="00BE4C37">
        <w:t xml:space="preserve"> by </w:t>
      </w:r>
      <w:r>
        <w:t>the</w:t>
      </w:r>
      <w:r w:rsidR="00F21707">
        <w:t xml:space="preserve"> proposed SLNB</w:t>
      </w:r>
      <w:r>
        <w:t xml:space="preserve"> listing</w:t>
      </w:r>
      <w:r w:rsidR="00BE4C37">
        <w:t>. Rather,</w:t>
      </w:r>
      <w:r w:rsidR="00DF76B0">
        <w:t xml:space="preserve"> most</w:t>
      </w:r>
      <w:r w:rsidR="00F21707">
        <w:t xml:space="preserve"> patients in the trials had higher-risk disease</w:t>
      </w:r>
      <w:r>
        <w:t>.</w:t>
      </w:r>
      <w:r w:rsidR="00F21707">
        <w:t xml:space="preserve"> This </w:t>
      </w:r>
      <w:proofErr w:type="gramStart"/>
      <w:r w:rsidR="00F21707">
        <w:t>is additionally complicated</w:t>
      </w:r>
      <w:proofErr w:type="gramEnd"/>
      <w:r w:rsidR="00F21707">
        <w:t xml:space="preserve"> by the changes in the staging system</w:t>
      </w:r>
      <w:r w:rsidR="00793349">
        <w:t xml:space="preserve"> (from Version 7 to Version 8)</w:t>
      </w:r>
      <w:r w:rsidR="00F21707">
        <w:t>, so that</w:t>
      </w:r>
      <w:r w:rsidR="00685EB0">
        <w:t xml:space="preserve">, </w:t>
      </w:r>
      <w:r w:rsidR="00DF76B0">
        <w:t>in particular</w:t>
      </w:r>
      <w:r w:rsidR="00685EB0">
        <w:t>,</w:t>
      </w:r>
      <w:r w:rsidR="00F21707">
        <w:t xml:space="preserve"> a patient who was </w:t>
      </w:r>
      <w:r w:rsidR="00271A79">
        <w:t>S</w:t>
      </w:r>
      <w:r w:rsidR="00F21707">
        <w:t xml:space="preserve">tage </w:t>
      </w:r>
      <w:r w:rsidR="00C632A7">
        <w:t>III</w:t>
      </w:r>
      <w:r w:rsidR="00271A79">
        <w:t>A</w:t>
      </w:r>
      <w:r w:rsidR="00F21707">
        <w:t xml:space="preserve"> in the trials would </w:t>
      </w:r>
      <w:r w:rsidR="00E91D26">
        <w:t xml:space="preserve">not </w:t>
      </w:r>
      <w:r w:rsidR="00F21707">
        <w:t xml:space="preserve">necessarily be </w:t>
      </w:r>
      <w:r w:rsidR="00C632A7">
        <w:t xml:space="preserve">representative of </w:t>
      </w:r>
      <w:r w:rsidR="00271A79">
        <w:t>S</w:t>
      </w:r>
      <w:r w:rsidR="00F21707">
        <w:t xml:space="preserve">tage </w:t>
      </w:r>
      <w:r w:rsidR="00C632A7">
        <w:t>III</w:t>
      </w:r>
      <w:r w:rsidR="00271A79">
        <w:t>A</w:t>
      </w:r>
      <w:r w:rsidR="00F21707">
        <w:t xml:space="preserve"> </w:t>
      </w:r>
      <w:r w:rsidR="00C632A7">
        <w:t xml:space="preserve">patients </w:t>
      </w:r>
      <w:r w:rsidR="00F21707">
        <w:t xml:space="preserve">using the current system (with SLNB). Participants considered that it was likely that the hazard ratios for </w:t>
      </w:r>
      <w:r w:rsidR="00271A79">
        <w:t>adjuvant therapy outcomes</w:t>
      </w:r>
      <w:r w:rsidR="00F21707">
        <w:t xml:space="preserve"> were similar </w:t>
      </w:r>
      <w:r w:rsidR="00271A79">
        <w:t>across</w:t>
      </w:r>
      <w:r w:rsidR="00F21707">
        <w:t xml:space="preserve"> those who had </w:t>
      </w:r>
      <w:proofErr w:type="spellStart"/>
      <w:r w:rsidR="00F21707">
        <w:t>macrometastatic</w:t>
      </w:r>
      <w:proofErr w:type="spellEnd"/>
      <w:r w:rsidR="00F21707">
        <w:t xml:space="preserve"> disease and those who had </w:t>
      </w:r>
      <w:proofErr w:type="spellStart"/>
      <w:r w:rsidR="00F21707">
        <w:t>micrometastatic</w:t>
      </w:r>
      <w:proofErr w:type="spellEnd"/>
      <w:r w:rsidR="00F21707">
        <w:t xml:space="preserve"> disease.</w:t>
      </w:r>
    </w:p>
    <w:p w14:paraId="48839931" w14:textId="1F642A5C" w:rsidR="00F21707" w:rsidRDefault="00F21707" w:rsidP="00982B5A">
      <w:pPr>
        <w:spacing w:after="240" w:line="240" w:lineRule="auto"/>
      </w:pPr>
      <w:r>
        <w:t xml:space="preserve">Participants considered that the </w:t>
      </w:r>
      <w:r w:rsidR="00793349">
        <w:t xml:space="preserve">current system identifies more patients as being SLNB–positive for </w:t>
      </w:r>
      <w:r w:rsidR="00271A79">
        <w:t>S</w:t>
      </w:r>
      <w:r w:rsidR="00793349">
        <w:t>tage III</w:t>
      </w:r>
      <w:r w:rsidR="00271A79">
        <w:t>A</w:t>
      </w:r>
      <w:r w:rsidR="00793349">
        <w:t xml:space="preserve"> than would have been enrolled in the </w:t>
      </w:r>
      <w:proofErr w:type="gramStart"/>
      <w:r w:rsidR="00793349">
        <w:t>trials,</w:t>
      </w:r>
      <w:proofErr w:type="gramEnd"/>
      <w:r w:rsidR="00793349">
        <w:t xml:space="preserve"> and this improves their prognosis by reducing their </w:t>
      </w:r>
      <w:r w:rsidR="00271A79">
        <w:t xml:space="preserve">baseline </w:t>
      </w:r>
      <w:r w:rsidR="00793349">
        <w:t xml:space="preserve">risk of </w:t>
      </w:r>
      <w:r w:rsidR="00271A79">
        <w:t xml:space="preserve">disease </w:t>
      </w:r>
      <w:r w:rsidR="00793349">
        <w:t>recurrence</w:t>
      </w:r>
      <w:r w:rsidR="00271A79">
        <w:t xml:space="preserve"> and survival</w:t>
      </w:r>
      <w:r w:rsidR="00793349">
        <w:t xml:space="preserve">. If constant hazard ratios across </w:t>
      </w:r>
      <w:r w:rsidR="00271A79">
        <w:t xml:space="preserve">reduced </w:t>
      </w:r>
      <w:r w:rsidR="00793349">
        <w:t xml:space="preserve">baseline risks </w:t>
      </w:r>
      <w:proofErr w:type="gramStart"/>
      <w:r w:rsidR="00793349">
        <w:t>can be assumed</w:t>
      </w:r>
      <w:proofErr w:type="gramEnd"/>
      <w:r w:rsidR="00793349">
        <w:t xml:space="preserve">, then this reduces their expected absolute </w:t>
      </w:r>
      <w:r w:rsidR="00271A79">
        <w:t xml:space="preserve">improvements </w:t>
      </w:r>
      <w:r w:rsidR="00793349">
        <w:t xml:space="preserve">in </w:t>
      </w:r>
      <w:r w:rsidR="000A13BA">
        <w:t xml:space="preserve">the recurrence and survival </w:t>
      </w:r>
      <w:r w:rsidR="00271A79">
        <w:t>outcomes</w:t>
      </w:r>
      <w:r>
        <w:t xml:space="preserve">. Participants </w:t>
      </w:r>
      <w:r w:rsidR="00793349">
        <w:t xml:space="preserve">therefore </w:t>
      </w:r>
      <w:r>
        <w:t xml:space="preserve">agreed that not every person with a positive SLNB would require or be suitable for adjuvant therapy. Participants noted that, although immunotherapy </w:t>
      </w:r>
      <w:r w:rsidR="000A13BA">
        <w:t xml:space="preserve">(and targeted therapy) </w:t>
      </w:r>
      <w:r>
        <w:t xml:space="preserve">has substantial survival benefits, it is also associated with substantial adverse </w:t>
      </w:r>
      <w:r w:rsidR="000A13BA">
        <w:t>events</w:t>
      </w:r>
      <w:r>
        <w:t xml:space="preserve">. For this reason, participants agreed that it would be undesirable to expose a large number of people to a course of </w:t>
      </w:r>
      <w:r w:rsidR="000A13BA">
        <w:t xml:space="preserve">adjuvant </w:t>
      </w:r>
      <w:r>
        <w:t>immunotherapy</w:t>
      </w:r>
      <w:r w:rsidR="000A13BA">
        <w:t>/targeted therapy</w:t>
      </w:r>
      <w:r>
        <w:t xml:space="preserve"> when their risk of </w:t>
      </w:r>
      <w:r w:rsidR="00793349">
        <w:t>recurrence</w:t>
      </w:r>
      <w:r>
        <w:t xml:space="preserve"> is small.</w:t>
      </w:r>
    </w:p>
    <w:p w14:paraId="7B98C5F6" w14:textId="77777777" w:rsidR="00B62257" w:rsidRPr="00982B5A" w:rsidRDefault="00B62257" w:rsidP="00C36529">
      <w:pPr>
        <w:pStyle w:val="Heading2"/>
      </w:pPr>
      <w:r w:rsidRPr="00982B5A">
        <w:t>Trigger for access to adjuvant therapy</w:t>
      </w:r>
    </w:p>
    <w:p w14:paraId="2EEF746A" w14:textId="77777777" w:rsidR="00F21707" w:rsidRDefault="00F21707" w:rsidP="00982B5A">
      <w:pPr>
        <w:spacing w:after="240" w:line="240" w:lineRule="auto"/>
      </w:pPr>
      <w:r>
        <w:t xml:space="preserve">Participants acknowledged the difficulty in determining a threshold for access to adjuvant therapy when the evidence </w:t>
      </w:r>
      <w:r w:rsidR="00E17981">
        <w:t xml:space="preserve">is uncertain and still </w:t>
      </w:r>
      <w:proofErr w:type="gramStart"/>
      <w:r w:rsidR="00E17981">
        <w:t xml:space="preserve">being </w:t>
      </w:r>
      <w:r w:rsidR="00793349">
        <w:t>generated</w:t>
      </w:r>
      <w:proofErr w:type="gramEnd"/>
      <w:r>
        <w:t xml:space="preserve">. However, it </w:t>
      </w:r>
      <w:proofErr w:type="gramStart"/>
      <w:r>
        <w:t>was noted</w:t>
      </w:r>
      <w:proofErr w:type="gramEnd"/>
      <w:r>
        <w:t xml:space="preserve"> that </w:t>
      </w:r>
      <w:r>
        <w:lastRenderedPageBreak/>
        <w:t xml:space="preserve">data show a clear separation in survival curves between </w:t>
      </w:r>
      <w:r w:rsidR="00271A79">
        <w:t>S</w:t>
      </w:r>
      <w:r>
        <w:t xml:space="preserve">tage </w:t>
      </w:r>
      <w:r w:rsidR="00793349">
        <w:t>III</w:t>
      </w:r>
      <w:r w:rsidR="00271A79">
        <w:t>A</w:t>
      </w:r>
      <w:r>
        <w:t xml:space="preserve"> and higher stages, so </w:t>
      </w:r>
      <w:r w:rsidR="00271A79">
        <w:t>S</w:t>
      </w:r>
      <w:r>
        <w:t>tage</w:t>
      </w:r>
      <w:r w:rsidR="00E91D26">
        <w:t> </w:t>
      </w:r>
      <w:r w:rsidR="00793349">
        <w:t>III</w:t>
      </w:r>
      <w:r w:rsidR="00271A79">
        <w:t>A</w:t>
      </w:r>
      <w:r>
        <w:t xml:space="preserve"> may be a natural threshold for access to adjuvant therapy. It was </w:t>
      </w:r>
      <w:r w:rsidR="00467E7F">
        <w:t xml:space="preserve">advised </w:t>
      </w:r>
      <w:r>
        <w:t xml:space="preserve">that </w:t>
      </w:r>
      <w:r w:rsidR="00793349">
        <w:t xml:space="preserve">all patients diagnosed </w:t>
      </w:r>
      <w:r w:rsidR="00467E7F">
        <w:t xml:space="preserve">via </w:t>
      </w:r>
      <w:proofErr w:type="gramStart"/>
      <w:r w:rsidR="00467E7F">
        <w:t>SLNB</w:t>
      </w:r>
      <w:proofErr w:type="gramEnd"/>
      <w:r w:rsidR="00467E7F">
        <w:t xml:space="preserve"> </w:t>
      </w:r>
      <w:r w:rsidR="00793349">
        <w:t xml:space="preserve">as being </w:t>
      </w:r>
      <w:r w:rsidR="00271A79">
        <w:t>S</w:t>
      </w:r>
      <w:r w:rsidR="00793349">
        <w:t>tage III</w:t>
      </w:r>
      <w:r w:rsidR="00271A79">
        <w:t>A</w:t>
      </w:r>
      <w:r w:rsidR="00793349">
        <w:t xml:space="preserve"> </w:t>
      </w:r>
      <w:r w:rsidR="00DF76B0">
        <w:t xml:space="preserve">or more </w:t>
      </w:r>
      <w:r w:rsidR="00793349">
        <w:t xml:space="preserve">with the current system </w:t>
      </w:r>
      <w:r w:rsidR="00467E7F">
        <w:t xml:space="preserve">would be referred to a </w:t>
      </w:r>
      <w:r>
        <w:t>medical oncologist.</w:t>
      </w:r>
    </w:p>
    <w:p w14:paraId="3351DEB3" w14:textId="77777777" w:rsidR="00F21707" w:rsidRDefault="00F21707" w:rsidP="00982B5A">
      <w:pPr>
        <w:spacing w:after="240" w:line="240" w:lineRule="auto"/>
      </w:pPr>
      <w:r>
        <w:t xml:space="preserve">Participants also </w:t>
      </w:r>
      <w:r w:rsidR="00467E7F">
        <w:t xml:space="preserve">advised </w:t>
      </w:r>
      <w:r>
        <w:t xml:space="preserve">that </w:t>
      </w:r>
      <w:r w:rsidR="00E17981">
        <w:t xml:space="preserve">all treatment decisions must be made by the patient in consultation with their medical oncologist to weigh up the potential benefits and harms for that patient. Participants noted that </w:t>
      </w:r>
      <w:r w:rsidR="005D7490">
        <w:t xml:space="preserve">eligibility criteria in </w:t>
      </w:r>
      <w:r w:rsidR="00E17981">
        <w:t xml:space="preserve">MBS </w:t>
      </w:r>
      <w:r w:rsidR="00467E7F">
        <w:t xml:space="preserve">and PBS </w:t>
      </w:r>
      <w:r w:rsidR="00E17981">
        <w:t>listing</w:t>
      </w:r>
      <w:r w:rsidR="00467E7F">
        <w:t>s</w:t>
      </w:r>
      <w:r w:rsidR="00E17981">
        <w:t xml:space="preserve"> would apply to the entire population, but that decisions </w:t>
      </w:r>
      <w:r w:rsidR="00793349">
        <w:t xml:space="preserve">to undertake biopsy and initiate treatment </w:t>
      </w:r>
      <w:r w:rsidR="00E17981">
        <w:t xml:space="preserve">would still need to </w:t>
      </w:r>
      <w:proofErr w:type="gramStart"/>
      <w:r w:rsidR="00E17981">
        <w:t>be made</w:t>
      </w:r>
      <w:proofErr w:type="gramEnd"/>
      <w:r w:rsidR="00E17981">
        <w:t xml:space="preserve"> at the individual level. </w:t>
      </w:r>
    </w:p>
    <w:p w14:paraId="66D94AD9" w14:textId="77777777" w:rsidR="00D5072F" w:rsidRPr="00982B5A" w:rsidRDefault="00D5072F" w:rsidP="00C36529">
      <w:pPr>
        <w:pStyle w:val="Heading2"/>
      </w:pPr>
      <w:r w:rsidRPr="00982B5A">
        <w:t>Patient preferences</w:t>
      </w:r>
    </w:p>
    <w:p w14:paraId="39194E29" w14:textId="494141BE" w:rsidR="00E17981" w:rsidRDefault="00E17981" w:rsidP="00982B5A">
      <w:pPr>
        <w:spacing w:after="240" w:line="240" w:lineRule="auto"/>
      </w:pPr>
      <w:r>
        <w:t xml:space="preserve">Participants noted that patients understand that sentinel lymph node status is an important prognostic indicator, and knowledge of an SLNB result can help them plan their lives. The psychological benefits to the patient of a negative SLNB should not be underestimated; similarly, a positive SLNB that </w:t>
      </w:r>
      <w:r w:rsidR="00AE243B">
        <w:t xml:space="preserve">might </w:t>
      </w:r>
      <w:r>
        <w:t xml:space="preserve">provide access to a clinical trial can also provide psychological benefits. Participants </w:t>
      </w:r>
      <w:r w:rsidR="00AE243B">
        <w:t xml:space="preserve">also </w:t>
      </w:r>
      <w:r>
        <w:t xml:space="preserve">noted that patients often have a very strong fear of recurrence and are frequently willing to accept serious adverse effects from adjuvant therapy for only a small benefit. </w:t>
      </w:r>
    </w:p>
    <w:p w14:paraId="1AD840E1" w14:textId="77777777" w:rsidR="00E17981" w:rsidRDefault="00E17981" w:rsidP="00982B5A">
      <w:pPr>
        <w:spacing w:after="240" w:line="240" w:lineRule="auto"/>
      </w:pPr>
      <w:r>
        <w:t xml:space="preserve">Participants </w:t>
      </w:r>
      <w:r w:rsidR="00AE243B">
        <w:t xml:space="preserve">also </w:t>
      </w:r>
      <w:r>
        <w:t xml:space="preserve">noted the importance of balancing the need to treat patients with effective therapies, but not to </w:t>
      </w:r>
      <w:proofErr w:type="spellStart"/>
      <w:r>
        <w:t>overtreat</w:t>
      </w:r>
      <w:proofErr w:type="spellEnd"/>
      <w:r w:rsidR="00AE243B">
        <w:t>, as is now being debated in the con</w:t>
      </w:r>
      <w:r w:rsidR="005D7490">
        <w:t>t</w:t>
      </w:r>
      <w:r w:rsidR="00AE243B">
        <w:t xml:space="preserve">ext of </w:t>
      </w:r>
      <w:r w:rsidR="005D7490">
        <w:t xml:space="preserve">adjuvant chemotherapy of </w:t>
      </w:r>
      <w:r w:rsidR="00AE243B">
        <w:t>breast cancer</w:t>
      </w:r>
      <w:r>
        <w:t xml:space="preserve">. Participants </w:t>
      </w:r>
      <w:proofErr w:type="gramStart"/>
      <w:r>
        <w:t>agreed</w:t>
      </w:r>
      <w:proofErr w:type="gramEnd"/>
      <w:r>
        <w:t xml:space="preserve"> </w:t>
      </w:r>
      <w:proofErr w:type="gramStart"/>
      <w:r>
        <w:t>that patients need</w:t>
      </w:r>
      <w:proofErr w:type="gramEnd"/>
      <w:r>
        <w:t xml:space="preserve"> to be fully informed of the risks and benefits of any </w:t>
      </w:r>
      <w:r w:rsidR="00AE243B">
        <w:t>intervention</w:t>
      </w:r>
      <w:r w:rsidR="00E96620">
        <w:t>, whether further investigation or</w:t>
      </w:r>
      <w:r w:rsidR="00AE243B">
        <w:t xml:space="preserve"> </w:t>
      </w:r>
      <w:r>
        <w:t>treatment.</w:t>
      </w:r>
    </w:p>
    <w:p w14:paraId="753DC43D" w14:textId="77777777" w:rsidR="00D5072F" w:rsidRPr="00982B5A" w:rsidRDefault="00E17981" w:rsidP="00C36529">
      <w:pPr>
        <w:pStyle w:val="Heading2"/>
      </w:pPr>
      <w:r w:rsidRPr="00982B5A">
        <w:t>Other comments</w:t>
      </w:r>
    </w:p>
    <w:p w14:paraId="1B8EBD8B" w14:textId="77777777" w:rsidR="00E17981" w:rsidRPr="00E17981" w:rsidRDefault="00E17981" w:rsidP="00982B5A">
      <w:pPr>
        <w:spacing w:after="240" w:line="240" w:lineRule="auto"/>
      </w:pPr>
      <w:r>
        <w:t xml:space="preserve">Participants considered that utilisation data would be important to understand how SLNB </w:t>
      </w:r>
      <w:proofErr w:type="gramStart"/>
      <w:r>
        <w:t>is used</w:t>
      </w:r>
      <w:proofErr w:type="gramEnd"/>
      <w:r>
        <w:t xml:space="preserve"> in the Australian population, but that this may be difficult to obtain given the non-specific MBS item</w:t>
      </w:r>
      <w:r w:rsidR="007E5A9F">
        <w:t>s</w:t>
      </w:r>
      <w:r>
        <w:t xml:space="preserve"> that are currently use</w:t>
      </w:r>
      <w:r w:rsidR="007E5A9F">
        <w:t>d for billing purposes</w:t>
      </w:r>
      <w:r>
        <w:t xml:space="preserve">. It was noted that the lack of a specific </w:t>
      </w:r>
      <w:r w:rsidR="007E5A9F">
        <w:t xml:space="preserve">MBS </w:t>
      </w:r>
      <w:r>
        <w:t xml:space="preserve">item </w:t>
      </w:r>
      <w:proofErr w:type="gramStart"/>
      <w:r>
        <w:t>may</w:t>
      </w:r>
      <w:proofErr w:type="gramEnd"/>
      <w:r>
        <w:t xml:space="preserve"> send a message to the community that SLNB is not needed. As a result, patients may not present until a later stage. The lack of a specific </w:t>
      </w:r>
      <w:r w:rsidR="007E5A9F">
        <w:t xml:space="preserve">MBS </w:t>
      </w:r>
      <w:r>
        <w:t>item also fuels misinformation about SLNB and melanoma.</w:t>
      </w:r>
    </w:p>
    <w:p w14:paraId="4E0A2F66" w14:textId="68732C40" w:rsidR="008913C3" w:rsidRPr="00982B5A" w:rsidRDefault="00982B5A" w:rsidP="00C36529">
      <w:pPr>
        <w:pStyle w:val="Heading1"/>
      </w:pPr>
      <w:r>
        <w:t>4.</w:t>
      </w:r>
      <w:r>
        <w:tab/>
      </w:r>
      <w:r w:rsidR="008913C3" w:rsidRPr="00982B5A">
        <w:t>Meeting close</w:t>
      </w:r>
    </w:p>
    <w:p w14:paraId="77C934D7" w14:textId="77777777" w:rsidR="008913C3" w:rsidRPr="008913C3" w:rsidRDefault="007E5A9F" w:rsidP="00982B5A">
      <w:pPr>
        <w:spacing w:after="240" w:line="240" w:lineRule="auto"/>
      </w:pPr>
      <w:r w:rsidRPr="00CD04EE">
        <w:rPr>
          <w:szCs w:val="24"/>
        </w:rPr>
        <w:t xml:space="preserve">The Chair invited each attendee to make any further comment. </w:t>
      </w:r>
      <w:r w:rsidR="008913C3" w:rsidRPr="008913C3">
        <w:t xml:space="preserve">Participants </w:t>
      </w:r>
      <w:proofErr w:type="gramStart"/>
      <w:r w:rsidR="008913C3" w:rsidRPr="008913C3">
        <w:t xml:space="preserve">were </w:t>
      </w:r>
      <w:r>
        <w:t xml:space="preserve">then </w:t>
      </w:r>
      <w:r w:rsidR="008913C3" w:rsidRPr="008913C3">
        <w:t>thanked</w:t>
      </w:r>
      <w:proofErr w:type="gramEnd"/>
      <w:r w:rsidR="008913C3" w:rsidRPr="008913C3">
        <w:t xml:space="preserve"> for their valuable insights and it was hoped that they found the meeting informative.</w:t>
      </w:r>
    </w:p>
    <w:p w14:paraId="7CFD25AC" w14:textId="77777777" w:rsidR="008913C3" w:rsidRPr="008913C3" w:rsidRDefault="008913C3" w:rsidP="00122A2F">
      <w:pPr>
        <w:spacing w:line="240" w:lineRule="auto"/>
      </w:pPr>
      <w:r w:rsidRPr="008913C3">
        <w:t xml:space="preserve">The meeting closed at </w:t>
      </w:r>
      <w:r w:rsidR="00D702DC">
        <w:t>10:</w:t>
      </w:r>
      <w:r w:rsidR="00841915">
        <w:t>20</w:t>
      </w:r>
      <w:r w:rsidR="00E91D26">
        <w:t> </w:t>
      </w:r>
      <w:r w:rsidR="00841915">
        <w:t>am.</w:t>
      </w:r>
    </w:p>
    <w:sectPr w:rsidR="008913C3" w:rsidRPr="008913C3" w:rsidSect="003C37F4">
      <w:footerReference w:type="even" r:id="rId9"/>
      <w:footerReference w:type="default" r:id="rId10"/>
      <w:footerReference w:type="first" r:id="rId11"/>
      <w:footnotePr>
        <w:numRestart w:val="eachSect"/>
      </w:footnotePr>
      <w:type w:val="oddPage"/>
      <w:pgSz w:w="11906" w:h="16838" w:code="9"/>
      <w:pgMar w:top="1440" w:right="1440" w:bottom="1440" w:left="1440" w:header="576" w:footer="576"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A0D67D" w16cid:durableId="1FAABFBC"/>
  <w16cid:commentId w16cid:paraId="1AA502CC" w16cid:durableId="1FAAB5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D148C" w14:textId="77777777" w:rsidR="00A13F71" w:rsidRDefault="00A13F71">
      <w:pPr>
        <w:spacing w:after="0"/>
      </w:pPr>
      <w:r>
        <w:separator/>
      </w:r>
    </w:p>
  </w:endnote>
  <w:endnote w:type="continuationSeparator" w:id="0">
    <w:p w14:paraId="6CD27DCE" w14:textId="77777777" w:rsidR="00A13F71" w:rsidRDefault="00A13F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1937512"/>
      <w:docPartObj>
        <w:docPartGallery w:val="Page Numbers (Bottom of Page)"/>
        <w:docPartUnique/>
      </w:docPartObj>
    </w:sdtPr>
    <w:sdtEndPr>
      <w:rPr>
        <w:rStyle w:val="PageNumber"/>
      </w:rPr>
    </w:sdtEndPr>
    <w:sdtContent>
      <w:p w14:paraId="6B66C04A" w14:textId="77777777" w:rsidR="00DB69EC" w:rsidRDefault="00DB69EC" w:rsidP="00517C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FEBBDFC" w14:textId="77777777" w:rsidR="00DB69EC" w:rsidRDefault="00DB69EC" w:rsidP="003C37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b w:val="0"/>
      </w:rPr>
      <w:id w:val="-192617208"/>
      <w:docPartObj>
        <w:docPartGallery w:val="Page Numbers (Bottom of Page)"/>
        <w:docPartUnique/>
      </w:docPartObj>
    </w:sdtPr>
    <w:sdtEndPr>
      <w:rPr>
        <w:rStyle w:val="PageNumber"/>
      </w:rPr>
    </w:sdtEndPr>
    <w:sdtContent>
      <w:p w14:paraId="5D1119C6" w14:textId="048F6442" w:rsidR="00DB69EC" w:rsidRPr="003C37F4" w:rsidRDefault="00DB69EC" w:rsidP="00517C71">
        <w:pPr>
          <w:pStyle w:val="Footer"/>
          <w:framePr w:wrap="none" w:vAnchor="text" w:hAnchor="margin" w:xAlign="right" w:y="1"/>
          <w:rPr>
            <w:rStyle w:val="PageNumber"/>
            <w:b w:val="0"/>
          </w:rPr>
        </w:pPr>
        <w:r w:rsidRPr="003C37F4">
          <w:rPr>
            <w:rStyle w:val="PageNumber"/>
            <w:b w:val="0"/>
          </w:rPr>
          <w:fldChar w:fldCharType="begin"/>
        </w:r>
        <w:r w:rsidRPr="003C37F4">
          <w:rPr>
            <w:rStyle w:val="PageNumber"/>
            <w:b w:val="0"/>
          </w:rPr>
          <w:instrText xml:space="preserve"> PAGE </w:instrText>
        </w:r>
        <w:r w:rsidRPr="003C37F4">
          <w:rPr>
            <w:rStyle w:val="PageNumber"/>
            <w:b w:val="0"/>
          </w:rPr>
          <w:fldChar w:fldCharType="separate"/>
        </w:r>
        <w:r w:rsidR="00C2177A">
          <w:rPr>
            <w:rStyle w:val="PageNumber"/>
            <w:b w:val="0"/>
            <w:noProof/>
          </w:rPr>
          <w:t>4</w:t>
        </w:r>
        <w:r w:rsidRPr="003C37F4">
          <w:rPr>
            <w:rStyle w:val="PageNumber"/>
            <w:b w:val="0"/>
          </w:rPr>
          <w:fldChar w:fldCharType="end"/>
        </w:r>
      </w:p>
    </w:sdtContent>
  </w:sdt>
  <w:p w14:paraId="7416AB40" w14:textId="58367CC9" w:rsidR="00DB69EC" w:rsidRDefault="00450E9A" w:rsidP="00C520DA">
    <w:pPr>
      <w:pStyle w:val="Footer"/>
      <w:ind w:right="360"/>
      <w:jc w:val="center"/>
    </w:pPr>
    <w:r>
      <w:rPr>
        <w:rStyle w:val="PageNumber"/>
      </w:rPr>
      <w:t xml:space="preserve">MSAC Stakeholder </w:t>
    </w:r>
    <w:r w:rsidRPr="002B5B49">
      <w:rPr>
        <w:rStyle w:val="PageNumber"/>
      </w:rPr>
      <w:t>meeting</w:t>
    </w:r>
    <w:r>
      <w:rPr>
        <w:rStyle w:val="PageNumber"/>
      </w:rPr>
      <w:t xml:space="preserve"> – Sentinel Lymph Node Biopsy for Intermediate Thickness </w:t>
    </w:r>
    <w:r w:rsidR="00C520DA">
      <w:rPr>
        <w:rStyle w:val="PageNumber"/>
      </w:rPr>
      <w:br/>
    </w:r>
    <w:r>
      <w:rPr>
        <w:rStyle w:val="PageNumber"/>
      </w:rPr>
      <w:t xml:space="preserve">and Thick Melanoma – 7 November </w:t>
    </w:r>
    <w:r w:rsidRPr="002B5B49">
      <w:rPr>
        <w:rStyle w:val="PageNumber"/>
      </w:rPr>
      <w:t>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217680"/>
      <w:docPartObj>
        <w:docPartGallery w:val="Page Numbers (Bottom of Page)"/>
        <w:docPartUnique/>
      </w:docPartObj>
    </w:sdtPr>
    <w:sdtEndPr>
      <w:rPr>
        <w:noProof/>
      </w:rPr>
    </w:sdtEndPr>
    <w:sdtContent>
      <w:p w14:paraId="425582A5" w14:textId="77777777" w:rsidR="00DB69EC" w:rsidRDefault="00CC28CF" w:rsidP="005A72C4">
        <w:pPr>
          <w:pStyle w:val="Footer"/>
          <w:jc w:val="right"/>
        </w:pPr>
        <w:r>
          <w:rPr>
            <w:noProof/>
          </w:rPr>
          <w:fldChar w:fldCharType="begin"/>
        </w:r>
        <w:r>
          <w:rPr>
            <w:noProof/>
          </w:rPr>
          <w:instrText xml:space="preserve"> PAGE   \* MERGEFORMAT </w:instrText>
        </w:r>
        <w:r>
          <w:rPr>
            <w:noProof/>
          </w:rPr>
          <w:fldChar w:fldCharType="separate"/>
        </w:r>
        <w:r w:rsidR="00DB69EC">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E91C7" w14:textId="77777777" w:rsidR="00A13F71" w:rsidRDefault="00A13F71">
      <w:pPr>
        <w:spacing w:after="0"/>
      </w:pPr>
      <w:r>
        <w:separator/>
      </w:r>
    </w:p>
  </w:footnote>
  <w:footnote w:type="continuationSeparator" w:id="0">
    <w:p w14:paraId="17BBE0A7" w14:textId="77777777" w:rsidR="00A13F71" w:rsidRDefault="00A13F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CA4E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66BE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EAC1C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9C713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15641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2324B8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05C91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BBEB0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F0026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A863B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80461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7756E9"/>
    <w:multiLevelType w:val="hybridMultilevel"/>
    <w:tmpl w:val="BDBEBE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BFD4DC7"/>
    <w:multiLevelType w:val="hybridMultilevel"/>
    <w:tmpl w:val="035E74BC"/>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C372F4"/>
    <w:multiLevelType w:val="multilevel"/>
    <w:tmpl w:val="49886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13210C"/>
    <w:multiLevelType w:val="hybridMultilevel"/>
    <w:tmpl w:val="E0A81C54"/>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D47304"/>
    <w:multiLevelType w:val="multilevel"/>
    <w:tmpl w:val="C7546528"/>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087D42"/>
    <w:multiLevelType w:val="hybridMultilevel"/>
    <w:tmpl w:val="48C87A36"/>
    <w:lvl w:ilvl="0" w:tplc="E1F647D4">
      <w:start w:val="1"/>
      <w:numFmt w:val="decimal"/>
      <w:pStyle w:val="Table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651309"/>
    <w:multiLevelType w:val="hybridMultilevel"/>
    <w:tmpl w:val="DB4C7F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A96687"/>
    <w:multiLevelType w:val="multilevel"/>
    <w:tmpl w:val="F8DE0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A14859"/>
    <w:multiLevelType w:val="hybridMultilevel"/>
    <w:tmpl w:val="9796D414"/>
    <w:lvl w:ilvl="0" w:tplc="F30EF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3"/>
  </w:num>
  <w:num w:numId="3">
    <w:abstractNumId w:val="27"/>
  </w:num>
  <w:num w:numId="4">
    <w:abstractNumId w:val="12"/>
  </w:num>
  <w:num w:numId="5">
    <w:abstractNumId w:val="11"/>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5"/>
  </w:num>
  <w:num w:numId="17">
    <w:abstractNumId w:val="0"/>
  </w:num>
  <w:num w:numId="18">
    <w:abstractNumId w:val="15"/>
  </w:num>
  <w:num w:numId="19">
    <w:abstractNumId w:val="26"/>
  </w:num>
  <w:num w:numId="20">
    <w:abstractNumId w:val="16"/>
  </w:num>
  <w:num w:numId="21">
    <w:abstractNumId w:val="26"/>
  </w:num>
  <w:num w:numId="22">
    <w:abstractNumId w:val="18"/>
  </w:num>
  <w:num w:numId="23">
    <w:abstractNumId w:val="19"/>
  </w:num>
  <w:num w:numId="24">
    <w:abstractNumId w:val="13"/>
  </w:num>
  <w:num w:numId="25">
    <w:abstractNumId w:val="17"/>
  </w:num>
  <w:num w:numId="26">
    <w:abstractNumId w:val="24"/>
  </w:num>
  <w:num w:numId="27">
    <w:abstractNumId w:val="22"/>
  </w:num>
  <w:num w:numId="28">
    <w:abstractNumId w:val="2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3C3"/>
    <w:rsid w:val="00013A29"/>
    <w:rsid w:val="00016FFA"/>
    <w:rsid w:val="00025496"/>
    <w:rsid w:val="00050AFD"/>
    <w:rsid w:val="00061657"/>
    <w:rsid w:val="0007619D"/>
    <w:rsid w:val="00080EA9"/>
    <w:rsid w:val="000A13BA"/>
    <w:rsid w:val="000B4E31"/>
    <w:rsid w:val="000C10BA"/>
    <w:rsid w:val="000C7228"/>
    <w:rsid w:val="000E6FC8"/>
    <w:rsid w:val="000F0CC5"/>
    <w:rsid w:val="000F1020"/>
    <w:rsid w:val="00100909"/>
    <w:rsid w:val="00104E39"/>
    <w:rsid w:val="00112310"/>
    <w:rsid w:val="00114BAC"/>
    <w:rsid w:val="00122A2F"/>
    <w:rsid w:val="00151CBA"/>
    <w:rsid w:val="00174E8B"/>
    <w:rsid w:val="001D4D1F"/>
    <w:rsid w:val="0020319C"/>
    <w:rsid w:val="00223521"/>
    <w:rsid w:val="00230F3C"/>
    <w:rsid w:val="00271A79"/>
    <w:rsid w:val="00271B40"/>
    <w:rsid w:val="00284611"/>
    <w:rsid w:val="0029345F"/>
    <w:rsid w:val="002C19BF"/>
    <w:rsid w:val="002C3F92"/>
    <w:rsid w:val="002C61F5"/>
    <w:rsid w:val="002D0313"/>
    <w:rsid w:val="002D6AFB"/>
    <w:rsid w:val="002E6060"/>
    <w:rsid w:val="002F6A4B"/>
    <w:rsid w:val="002F7E45"/>
    <w:rsid w:val="00307EBE"/>
    <w:rsid w:val="00312F7A"/>
    <w:rsid w:val="00326BC2"/>
    <w:rsid w:val="0033188B"/>
    <w:rsid w:val="003375F1"/>
    <w:rsid w:val="00362AA6"/>
    <w:rsid w:val="0039361E"/>
    <w:rsid w:val="003A04A0"/>
    <w:rsid w:val="003C37F4"/>
    <w:rsid w:val="003D0620"/>
    <w:rsid w:val="003E42DA"/>
    <w:rsid w:val="003F6FF6"/>
    <w:rsid w:val="00403B31"/>
    <w:rsid w:val="00422EF0"/>
    <w:rsid w:val="00436920"/>
    <w:rsid w:val="0044143B"/>
    <w:rsid w:val="00450E9A"/>
    <w:rsid w:val="00467E7F"/>
    <w:rsid w:val="00471911"/>
    <w:rsid w:val="004822BC"/>
    <w:rsid w:val="0048295D"/>
    <w:rsid w:val="0048716B"/>
    <w:rsid w:val="004900B9"/>
    <w:rsid w:val="004908C0"/>
    <w:rsid w:val="004957C3"/>
    <w:rsid w:val="0049794F"/>
    <w:rsid w:val="00497D20"/>
    <w:rsid w:val="004D4B62"/>
    <w:rsid w:val="004D79BE"/>
    <w:rsid w:val="00510361"/>
    <w:rsid w:val="00517C71"/>
    <w:rsid w:val="00526DED"/>
    <w:rsid w:val="005529A9"/>
    <w:rsid w:val="00591471"/>
    <w:rsid w:val="00591765"/>
    <w:rsid w:val="005A2B8C"/>
    <w:rsid w:val="005A3244"/>
    <w:rsid w:val="005A72C4"/>
    <w:rsid w:val="005D7490"/>
    <w:rsid w:val="005E04DB"/>
    <w:rsid w:val="005F1827"/>
    <w:rsid w:val="00600D70"/>
    <w:rsid w:val="00604D8B"/>
    <w:rsid w:val="00612D20"/>
    <w:rsid w:val="00640366"/>
    <w:rsid w:val="006503BB"/>
    <w:rsid w:val="0065780B"/>
    <w:rsid w:val="00685EB0"/>
    <w:rsid w:val="006928ED"/>
    <w:rsid w:val="00692B58"/>
    <w:rsid w:val="006A3A42"/>
    <w:rsid w:val="006B4086"/>
    <w:rsid w:val="006C0FAA"/>
    <w:rsid w:val="006C62B2"/>
    <w:rsid w:val="006F3E72"/>
    <w:rsid w:val="006F5743"/>
    <w:rsid w:val="00704FE3"/>
    <w:rsid w:val="00721310"/>
    <w:rsid w:val="007216E7"/>
    <w:rsid w:val="007532F6"/>
    <w:rsid w:val="00770969"/>
    <w:rsid w:val="00772D67"/>
    <w:rsid w:val="00773806"/>
    <w:rsid w:val="007754ED"/>
    <w:rsid w:val="00775C76"/>
    <w:rsid w:val="00793349"/>
    <w:rsid w:val="00793655"/>
    <w:rsid w:val="00793721"/>
    <w:rsid w:val="007B4E8B"/>
    <w:rsid w:val="007B6376"/>
    <w:rsid w:val="007C1D1B"/>
    <w:rsid w:val="007C2F11"/>
    <w:rsid w:val="007C3B62"/>
    <w:rsid w:val="007E5A9F"/>
    <w:rsid w:val="008103F3"/>
    <w:rsid w:val="00841915"/>
    <w:rsid w:val="008759E1"/>
    <w:rsid w:val="0088030E"/>
    <w:rsid w:val="008913C3"/>
    <w:rsid w:val="008B6DD2"/>
    <w:rsid w:val="008B7077"/>
    <w:rsid w:val="008D09FB"/>
    <w:rsid w:val="008D32BA"/>
    <w:rsid w:val="008D5825"/>
    <w:rsid w:val="008F3AA8"/>
    <w:rsid w:val="00932C6D"/>
    <w:rsid w:val="00945E3D"/>
    <w:rsid w:val="0096081E"/>
    <w:rsid w:val="00961243"/>
    <w:rsid w:val="00976D59"/>
    <w:rsid w:val="00982B5A"/>
    <w:rsid w:val="009C7BA5"/>
    <w:rsid w:val="009E3B68"/>
    <w:rsid w:val="009F502F"/>
    <w:rsid w:val="00A13F71"/>
    <w:rsid w:val="00A22E19"/>
    <w:rsid w:val="00A233D7"/>
    <w:rsid w:val="00A40FA6"/>
    <w:rsid w:val="00A564A7"/>
    <w:rsid w:val="00A8289E"/>
    <w:rsid w:val="00A90324"/>
    <w:rsid w:val="00A9331B"/>
    <w:rsid w:val="00A95429"/>
    <w:rsid w:val="00AB431D"/>
    <w:rsid w:val="00AD0CD0"/>
    <w:rsid w:val="00AE243B"/>
    <w:rsid w:val="00AF1E89"/>
    <w:rsid w:val="00B1647E"/>
    <w:rsid w:val="00B20F81"/>
    <w:rsid w:val="00B5086C"/>
    <w:rsid w:val="00B50D30"/>
    <w:rsid w:val="00B55F41"/>
    <w:rsid w:val="00B62257"/>
    <w:rsid w:val="00B64994"/>
    <w:rsid w:val="00B7037D"/>
    <w:rsid w:val="00B743B7"/>
    <w:rsid w:val="00B859E2"/>
    <w:rsid w:val="00BA7CAC"/>
    <w:rsid w:val="00BB1574"/>
    <w:rsid w:val="00BB1C75"/>
    <w:rsid w:val="00BB5800"/>
    <w:rsid w:val="00BD346C"/>
    <w:rsid w:val="00BE1A54"/>
    <w:rsid w:val="00BE4C37"/>
    <w:rsid w:val="00BF2155"/>
    <w:rsid w:val="00BF3F5E"/>
    <w:rsid w:val="00C02977"/>
    <w:rsid w:val="00C049B6"/>
    <w:rsid w:val="00C069F6"/>
    <w:rsid w:val="00C2177A"/>
    <w:rsid w:val="00C31EA1"/>
    <w:rsid w:val="00C36529"/>
    <w:rsid w:val="00C4133C"/>
    <w:rsid w:val="00C45C28"/>
    <w:rsid w:val="00C520DA"/>
    <w:rsid w:val="00C57F65"/>
    <w:rsid w:val="00C632A7"/>
    <w:rsid w:val="00C6368E"/>
    <w:rsid w:val="00C71910"/>
    <w:rsid w:val="00C75DE5"/>
    <w:rsid w:val="00C831DF"/>
    <w:rsid w:val="00C92341"/>
    <w:rsid w:val="00C9562E"/>
    <w:rsid w:val="00CA15C8"/>
    <w:rsid w:val="00CB2308"/>
    <w:rsid w:val="00CB4008"/>
    <w:rsid w:val="00CB5F9E"/>
    <w:rsid w:val="00CC28CF"/>
    <w:rsid w:val="00CD4E02"/>
    <w:rsid w:val="00CF4C32"/>
    <w:rsid w:val="00CF6C64"/>
    <w:rsid w:val="00D04C05"/>
    <w:rsid w:val="00D20FD9"/>
    <w:rsid w:val="00D42A48"/>
    <w:rsid w:val="00D5072F"/>
    <w:rsid w:val="00D702DC"/>
    <w:rsid w:val="00D849E2"/>
    <w:rsid w:val="00D85147"/>
    <w:rsid w:val="00D96F7C"/>
    <w:rsid w:val="00DA3F1A"/>
    <w:rsid w:val="00DB69EC"/>
    <w:rsid w:val="00DB7F7E"/>
    <w:rsid w:val="00DC122C"/>
    <w:rsid w:val="00DE3FBF"/>
    <w:rsid w:val="00DF56DD"/>
    <w:rsid w:val="00DF76B0"/>
    <w:rsid w:val="00E02652"/>
    <w:rsid w:val="00E17981"/>
    <w:rsid w:val="00E31DDC"/>
    <w:rsid w:val="00E35DF1"/>
    <w:rsid w:val="00E437BF"/>
    <w:rsid w:val="00E50CBE"/>
    <w:rsid w:val="00E61CC5"/>
    <w:rsid w:val="00E914CA"/>
    <w:rsid w:val="00E91D26"/>
    <w:rsid w:val="00E96620"/>
    <w:rsid w:val="00EE7B06"/>
    <w:rsid w:val="00F21707"/>
    <w:rsid w:val="00F36E2D"/>
    <w:rsid w:val="00F75DCD"/>
    <w:rsid w:val="00F9550C"/>
    <w:rsid w:val="00FA5DE1"/>
    <w:rsid w:val="00FB2918"/>
    <w:rsid w:val="00FB798A"/>
    <w:rsid w:val="00FD2FAD"/>
    <w:rsid w:val="00FE4F90"/>
    <w:rsid w:val="00FF0E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7380635"/>
  <w15:docId w15:val="{FC5943A2-E5E0-45CA-BA8E-366E1365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3C3"/>
    <w:pPr>
      <w:spacing w:after="200" w:line="276" w:lineRule="auto"/>
    </w:pPr>
    <w:rPr>
      <w:rFonts w:eastAsiaTheme="minorHAnsi" w:cstheme="minorBidi"/>
      <w:sz w:val="24"/>
      <w:szCs w:val="22"/>
      <w:lang w:eastAsia="en-US"/>
    </w:rPr>
  </w:style>
  <w:style w:type="paragraph" w:styleId="Heading1">
    <w:name w:val="heading 1"/>
    <w:basedOn w:val="Normal"/>
    <w:next w:val="Normal"/>
    <w:qFormat/>
    <w:rsid w:val="00C36529"/>
    <w:pPr>
      <w:keepNext/>
      <w:spacing w:line="240" w:lineRule="auto"/>
      <w:outlineLvl w:val="0"/>
    </w:pPr>
    <w:rPr>
      <w:b/>
      <w:sz w:val="28"/>
    </w:rPr>
  </w:style>
  <w:style w:type="paragraph" w:styleId="Heading2">
    <w:name w:val="heading 2"/>
    <w:basedOn w:val="Normal"/>
    <w:next w:val="Normal"/>
    <w:qFormat/>
    <w:rsid w:val="00C36529"/>
    <w:pPr>
      <w:keepNext/>
      <w:spacing w:after="120" w:line="240" w:lineRule="auto"/>
      <w:outlineLvl w:val="1"/>
    </w:pPr>
    <w:rPr>
      <w:b/>
    </w:rPr>
  </w:style>
  <w:style w:type="paragraph" w:styleId="Heading3">
    <w:name w:val="heading 3"/>
    <w:basedOn w:val="Normal"/>
    <w:next w:val="Normal"/>
    <w:qFormat/>
    <w:rsid w:val="00D20FD9"/>
    <w:pPr>
      <w:keepNext/>
      <w:spacing w:before="240"/>
      <w:ind w:left="720" w:hanging="720"/>
      <w:outlineLvl w:val="2"/>
    </w:pPr>
    <w:rPr>
      <w:rFonts w:cs="Arial"/>
      <w:b/>
      <w:bCs/>
      <w:szCs w:val="26"/>
    </w:rPr>
  </w:style>
  <w:style w:type="paragraph" w:styleId="Heading4">
    <w:name w:val="heading 4"/>
    <w:basedOn w:val="Normal"/>
    <w:next w:val="Normal"/>
    <w:rsid w:val="00D20FD9"/>
    <w:pPr>
      <w:keepNext/>
      <w:spacing w:before="120" w:after="120"/>
      <w:outlineLvl w:val="3"/>
    </w:pPr>
    <w:rPr>
      <w:b/>
      <w:bCs/>
      <w:i/>
      <w:szCs w:val="28"/>
    </w:rPr>
  </w:style>
  <w:style w:type="paragraph" w:styleId="Heading5">
    <w:name w:val="heading 5"/>
    <w:basedOn w:val="Normal"/>
    <w:next w:val="Normal"/>
    <w:rsid w:val="00D20FD9"/>
    <w:pPr>
      <w:keepNext/>
      <w:spacing w:before="60" w:after="60"/>
      <w:outlineLvl w:val="4"/>
    </w:pPr>
    <w:rPr>
      <w:bCs/>
      <w:i/>
      <w:i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rsid w:val="000C10BA"/>
    <w:pPr>
      <w:numPr>
        <w:ilvl w:val="1"/>
      </w:numPr>
      <w:jc w:val="center"/>
    </w:pPr>
    <w:rPr>
      <w:rFonts w:ascii="Times New Roman Bold" w:eastAsiaTheme="majorEastAsia" w:hAnsi="Times New Roman Bold" w:cstheme="majorBidi"/>
      <w:b/>
      <w:iCs/>
      <w:sz w:val="40"/>
      <w:szCs w:val="24"/>
    </w:rPr>
  </w:style>
  <w:style w:type="paragraph" w:customStyle="1" w:styleId="PullQuote">
    <w:name w:val="PullQuote"/>
    <w:basedOn w:val="Normal"/>
    <w:next w:val="Normal"/>
    <w:rsid w:val="000C10BA"/>
    <w:rPr>
      <w:rFonts w:ascii="Times New Roman Bold" w:hAnsi="Times New Roman Bold"/>
      <w:b/>
      <w:color w:val="76923C" w:themeColor="accent3" w:themeShade="BF"/>
    </w:rPr>
  </w:style>
  <w:style w:type="paragraph" w:customStyle="1" w:styleId="ReportDate">
    <w:name w:val="ReportDate"/>
    <w:basedOn w:val="Normal"/>
    <w:rsid w:val="00D20FD9"/>
    <w:pPr>
      <w:jc w:val="center"/>
    </w:pPr>
    <w:rPr>
      <w:sz w:val="40"/>
    </w:rPr>
  </w:style>
  <w:style w:type="paragraph" w:customStyle="1" w:styleId="Heading1a">
    <w:name w:val="Heading 1a"/>
    <w:basedOn w:val="Heading1"/>
    <w:next w:val="Normal"/>
    <w:rsid w:val="00D20FD9"/>
    <w:pPr>
      <w:outlineLvl w:val="9"/>
    </w:pPr>
  </w:style>
  <w:style w:type="paragraph" w:customStyle="1" w:styleId="Heading2a">
    <w:name w:val="Heading 2a"/>
    <w:basedOn w:val="Heading2"/>
    <w:next w:val="Normal"/>
    <w:rsid w:val="00D20FD9"/>
    <w:pPr>
      <w:outlineLvl w:val="9"/>
    </w:pPr>
  </w:style>
  <w:style w:type="paragraph" w:customStyle="1" w:styleId="Heading3a">
    <w:name w:val="Heading 3a"/>
    <w:basedOn w:val="Heading3"/>
    <w:next w:val="Normal"/>
    <w:rsid w:val="00D20FD9"/>
    <w:pPr>
      <w:ind w:left="0" w:firstLine="0"/>
      <w:outlineLvl w:val="9"/>
    </w:pPr>
  </w:style>
  <w:style w:type="paragraph" w:styleId="Header">
    <w:name w:val="header"/>
    <w:basedOn w:val="Normal"/>
    <w:semiHidden/>
    <w:rsid w:val="00D20FD9"/>
    <w:pPr>
      <w:tabs>
        <w:tab w:val="right" w:pos="9000"/>
      </w:tabs>
      <w:spacing w:after="0"/>
    </w:pPr>
    <w:rPr>
      <w:sz w:val="18"/>
    </w:rPr>
  </w:style>
  <w:style w:type="paragraph" w:styleId="Footer">
    <w:name w:val="footer"/>
    <w:basedOn w:val="Normal"/>
    <w:link w:val="FooterChar"/>
    <w:uiPriority w:val="99"/>
    <w:rsid w:val="00D20FD9"/>
    <w:pPr>
      <w:tabs>
        <w:tab w:val="right" w:pos="9000"/>
      </w:tabs>
      <w:spacing w:after="0"/>
    </w:pPr>
    <w:rPr>
      <w:sz w:val="20"/>
    </w:rPr>
  </w:style>
  <w:style w:type="character" w:styleId="PageNumber">
    <w:name w:val="page number"/>
    <w:basedOn w:val="DefaultParagraphFont"/>
    <w:rsid w:val="00D20FD9"/>
    <w:rPr>
      <w:rFonts w:ascii="Times New Roman" w:hAnsi="Times New Roman"/>
      <w:b/>
      <w:sz w:val="20"/>
    </w:rPr>
  </w:style>
  <w:style w:type="paragraph" w:customStyle="1" w:styleId="TableText">
    <w:name w:val="TableText"/>
    <w:basedOn w:val="Normal"/>
    <w:rsid w:val="00D20FD9"/>
    <w:pPr>
      <w:keepNext/>
      <w:spacing w:before="60" w:after="60"/>
    </w:pPr>
    <w:rPr>
      <w:sz w:val="21"/>
      <w:szCs w:val="21"/>
    </w:rPr>
  </w:style>
  <w:style w:type="paragraph" w:customStyle="1" w:styleId="TFListNotesSpace">
    <w:name w:val="TFListNotes+Space"/>
    <w:basedOn w:val="TableText"/>
    <w:next w:val="Normal"/>
    <w:rsid w:val="00591471"/>
    <w:pPr>
      <w:keepNext w:val="0"/>
      <w:keepLines/>
      <w:spacing w:before="0" w:after="360"/>
    </w:pPr>
    <w:rPr>
      <w:sz w:val="18"/>
      <w:szCs w:val="18"/>
    </w:rPr>
  </w:style>
  <w:style w:type="paragraph" w:customStyle="1" w:styleId="TFListNotes">
    <w:name w:val="TFListNotes"/>
    <w:basedOn w:val="TFListNotesSpace"/>
    <w:rsid w:val="00591471"/>
    <w:pPr>
      <w:keepNext/>
      <w:spacing w:after="0"/>
      <w:ind w:left="170" w:hanging="170"/>
    </w:pPr>
  </w:style>
  <w:style w:type="paragraph" w:customStyle="1" w:styleId="TableName">
    <w:name w:val="TableName"/>
    <w:basedOn w:val="TableText"/>
    <w:rsid w:val="00D20FD9"/>
    <w:pPr>
      <w:tabs>
        <w:tab w:val="left" w:pos="1080"/>
      </w:tabs>
      <w:spacing w:before="120" w:after="120"/>
      <w:ind w:left="1080" w:hanging="1080"/>
    </w:pPr>
    <w:rPr>
      <w:rFonts w:ascii="Times New Roman Bold" w:hAnsi="Times New Roman Bold"/>
      <w:b/>
      <w:bCs/>
      <w:sz w:val="22"/>
    </w:rPr>
  </w:style>
  <w:style w:type="paragraph" w:customStyle="1" w:styleId="TableHeading">
    <w:name w:val="TableHeading"/>
    <w:basedOn w:val="TableText"/>
    <w:rsid w:val="00D20FD9"/>
    <w:rPr>
      <w:b/>
      <w:bCs/>
    </w:rPr>
  </w:style>
  <w:style w:type="paragraph" w:customStyle="1" w:styleId="TableBullet">
    <w:name w:val="TableBullet"/>
    <w:basedOn w:val="TableText"/>
    <w:rsid w:val="00D20FD9"/>
    <w:pPr>
      <w:numPr>
        <w:numId w:val="1"/>
      </w:numPr>
      <w:tabs>
        <w:tab w:val="clear" w:pos="360"/>
        <w:tab w:val="left" w:pos="216"/>
      </w:tabs>
      <w:ind w:left="216" w:hanging="216"/>
    </w:pPr>
  </w:style>
  <w:style w:type="paragraph" w:customStyle="1" w:styleId="TableDash">
    <w:name w:val="TableDash"/>
    <w:basedOn w:val="TableText"/>
    <w:rsid w:val="00D20FD9"/>
    <w:pPr>
      <w:numPr>
        <w:numId w:val="2"/>
      </w:numPr>
      <w:tabs>
        <w:tab w:val="clear" w:pos="216"/>
        <w:tab w:val="num" w:pos="432"/>
      </w:tabs>
    </w:pPr>
  </w:style>
  <w:style w:type="paragraph" w:styleId="Quote">
    <w:name w:val="Quote"/>
    <w:basedOn w:val="Normal"/>
    <w:rsid w:val="00CB4008"/>
    <w:pPr>
      <w:ind w:left="720" w:right="720"/>
    </w:pPr>
    <w:rPr>
      <w:sz w:val="22"/>
    </w:rPr>
  </w:style>
  <w:style w:type="paragraph" w:customStyle="1" w:styleId="References">
    <w:name w:val="References"/>
    <w:basedOn w:val="Normal"/>
    <w:rsid w:val="00BD346C"/>
    <w:pPr>
      <w:keepLines/>
      <w:ind w:left="720" w:hanging="720"/>
    </w:pPr>
  </w:style>
  <w:style w:type="character" w:customStyle="1" w:styleId="FooterChar">
    <w:name w:val="Footer Char"/>
    <w:basedOn w:val="DefaultParagraphFont"/>
    <w:link w:val="Footer"/>
    <w:uiPriority w:val="99"/>
    <w:rsid w:val="005A72C4"/>
    <w:rPr>
      <w:color w:val="000000"/>
    </w:rPr>
  </w:style>
  <w:style w:type="paragraph" w:styleId="FootnoteText">
    <w:name w:val="footnote text"/>
    <w:basedOn w:val="Normal"/>
    <w:semiHidden/>
    <w:rsid w:val="00D20FD9"/>
    <w:pPr>
      <w:spacing w:after="0"/>
      <w:ind w:left="360" w:hanging="360"/>
    </w:pPr>
    <w:rPr>
      <w:sz w:val="20"/>
    </w:rPr>
  </w:style>
  <w:style w:type="character" w:styleId="FootnoteReference">
    <w:name w:val="footnote reference"/>
    <w:basedOn w:val="DefaultParagraphFont"/>
    <w:semiHidden/>
    <w:rsid w:val="00D20FD9"/>
    <w:rPr>
      <w:vertAlign w:val="superscript"/>
    </w:rPr>
  </w:style>
  <w:style w:type="paragraph" w:customStyle="1" w:styleId="FigTabPara">
    <w:name w:val="FigTabPara"/>
    <w:basedOn w:val="Normal"/>
    <w:next w:val="TFIHolder"/>
    <w:rsid w:val="00BD346C"/>
    <w:pPr>
      <w:keepNext/>
      <w:spacing w:after="120"/>
      <w:ind w:left="1077"/>
    </w:pPr>
  </w:style>
  <w:style w:type="paragraph" w:customStyle="1" w:styleId="TFIHolder">
    <w:name w:val="TFIHolder"/>
    <w:basedOn w:val="TFAbbrevs"/>
    <w:qFormat/>
    <w:rsid w:val="00932C6D"/>
    <w:rPr>
      <w:sz w:val="12"/>
    </w:rPr>
  </w:style>
  <w:style w:type="paragraph" w:customStyle="1" w:styleId="TFAbbrevs">
    <w:name w:val="TFAbbrevs"/>
    <w:basedOn w:val="TFListNotes"/>
    <w:rsid w:val="003D0620"/>
  </w:style>
  <w:style w:type="paragraph" w:customStyle="1" w:styleId="FigureNameSpace">
    <w:name w:val="FigureName+Space"/>
    <w:basedOn w:val="Normal"/>
    <w:next w:val="Normal"/>
    <w:rsid w:val="00C9562E"/>
    <w:pPr>
      <w:keepLines/>
      <w:tabs>
        <w:tab w:val="left" w:pos="1080"/>
      </w:tabs>
      <w:spacing w:before="120" w:after="360"/>
      <w:ind w:left="1080" w:hanging="1080"/>
    </w:pPr>
    <w:rPr>
      <w:b/>
      <w:bCs/>
      <w:sz w:val="22"/>
    </w:rPr>
  </w:style>
  <w:style w:type="paragraph" w:styleId="TOC1">
    <w:name w:val="toc 1"/>
    <w:basedOn w:val="Normal"/>
    <w:next w:val="Normal"/>
    <w:autoRedefine/>
    <w:uiPriority w:val="39"/>
    <w:rsid w:val="00BD346C"/>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D20FD9"/>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D20FD9"/>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7754ED"/>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D20FD9"/>
    <w:pPr>
      <w:numPr>
        <w:numId w:val="3"/>
      </w:numPr>
      <w:spacing w:after="0"/>
    </w:pPr>
  </w:style>
  <w:style w:type="paragraph" w:customStyle="1" w:styleId="Bullet">
    <w:name w:val="Bullet"/>
    <w:basedOn w:val="BulletBeforeDash"/>
    <w:qFormat/>
    <w:rsid w:val="008913C3"/>
    <w:pPr>
      <w:spacing w:after="120"/>
      <w:ind w:left="720"/>
    </w:pPr>
  </w:style>
  <w:style w:type="paragraph" w:customStyle="1" w:styleId="BulletLast">
    <w:name w:val="BulletLast"/>
    <w:basedOn w:val="Bullet"/>
    <w:qFormat/>
    <w:rsid w:val="00D20FD9"/>
    <w:pPr>
      <w:spacing w:after="240"/>
    </w:pPr>
  </w:style>
  <w:style w:type="paragraph" w:customStyle="1" w:styleId="Dash">
    <w:name w:val="Dash"/>
    <w:basedOn w:val="Normal"/>
    <w:rsid w:val="00D20FD9"/>
    <w:pPr>
      <w:numPr>
        <w:numId w:val="4"/>
      </w:numPr>
      <w:tabs>
        <w:tab w:val="clear" w:pos="216"/>
        <w:tab w:val="left" w:pos="720"/>
      </w:tabs>
      <w:spacing w:after="0"/>
      <w:ind w:left="720" w:hanging="360"/>
    </w:pPr>
  </w:style>
  <w:style w:type="paragraph" w:customStyle="1" w:styleId="DashLast">
    <w:name w:val="DashLast"/>
    <w:basedOn w:val="Dash"/>
    <w:rsid w:val="00D20FD9"/>
    <w:pPr>
      <w:spacing w:after="120"/>
    </w:pPr>
  </w:style>
  <w:style w:type="paragraph" w:customStyle="1" w:styleId="DashLastSpace">
    <w:name w:val="DashLast+Space"/>
    <w:basedOn w:val="DashLast"/>
    <w:rsid w:val="00D20FD9"/>
    <w:pPr>
      <w:spacing w:after="240"/>
    </w:pPr>
  </w:style>
  <w:style w:type="paragraph" w:customStyle="1" w:styleId="NormalBeforeBullet">
    <w:name w:val="NormalBeforeBullet"/>
    <w:basedOn w:val="Normal"/>
    <w:qFormat/>
    <w:rsid w:val="00D20FD9"/>
    <w:pPr>
      <w:keepNext/>
      <w:spacing w:after="120"/>
    </w:pPr>
  </w:style>
  <w:style w:type="paragraph" w:customStyle="1" w:styleId="BoxText">
    <w:name w:val="BoxText"/>
    <w:basedOn w:val="Normal"/>
    <w:qFormat/>
    <w:rsid w:val="00D20FD9"/>
    <w:pPr>
      <w:pBdr>
        <w:top w:val="single" w:sz="4" w:space="4" w:color="000000"/>
        <w:left w:val="single" w:sz="4" w:space="4" w:color="000000"/>
        <w:bottom w:val="single" w:sz="4" w:space="4" w:color="000000"/>
        <w:right w:val="single" w:sz="4" w:space="4" w:color="000000"/>
      </w:pBdr>
      <w:spacing w:after="120"/>
    </w:pPr>
    <w:rPr>
      <w:sz w:val="22"/>
    </w:rPr>
  </w:style>
  <w:style w:type="paragraph" w:customStyle="1" w:styleId="BoxNotes">
    <w:name w:val="BoxNotes"/>
    <w:basedOn w:val="BoxText"/>
    <w:rsid w:val="00D20FD9"/>
    <w:pPr>
      <w:spacing w:before="120" w:after="60"/>
    </w:pPr>
    <w:rPr>
      <w:sz w:val="18"/>
    </w:rPr>
  </w:style>
  <w:style w:type="paragraph" w:customStyle="1" w:styleId="BoxName">
    <w:name w:val="BoxName"/>
    <w:basedOn w:val="BoxText"/>
    <w:rsid w:val="00D20FD9"/>
    <w:pPr>
      <w:keepNext/>
      <w:spacing w:before="180"/>
      <w:ind w:left="1080" w:hanging="1080"/>
    </w:pPr>
    <w:rPr>
      <w:b/>
      <w:bCs/>
      <w:sz w:val="24"/>
    </w:rPr>
  </w:style>
  <w:style w:type="paragraph" w:customStyle="1" w:styleId="BoxHeading">
    <w:name w:val="BoxHeading"/>
    <w:basedOn w:val="BoxText"/>
    <w:rsid w:val="00D20FD9"/>
    <w:pPr>
      <w:keepNext/>
      <w:spacing w:before="120" w:after="60"/>
    </w:pPr>
    <w:rPr>
      <w:b/>
      <w:bCs/>
    </w:rPr>
  </w:style>
  <w:style w:type="paragraph" w:customStyle="1" w:styleId="BoxBullet">
    <w:name w:val="BoxBullet"/>
    <w:basedOn w:val="BoxText"/>
    <w:rsid w:val="00A9331B"/>
    <w:pPr>
      <w:numPr>
        <w:numId w:val="24"/>
      </w:numPr>
    </w:pPr>
  </w:style>
  <w:style w:type="paragraph" w:customStyle="1" w:styleId="BoxDashManual">
    <w:name w:val="BoxDashManual"/>
    <w:basedOn w:val="BoxText"/>
    <w:rsid w:val="00D20FD9"/>
    <w:pPr>
      <w:tabs>
        <w:tab w:val="left" w:pos="360"/>
        <w:tab w:val="left" w:pos="720"/>
      </w:tabs>
      <w:ind w:left="720" w:hanging="720"/>
    </w:pPr>
  </w:style>
  <w:style w:type="paragraph" w:customStyle="1" w:styleId="FigureName">
    <w:name w:val="FigureName"/>
    <w:basedOn w:val="FigureNameSpace"/>
    <w:next w:val="Normal"/>
    <w:rsid w:val="00FD2FAD"/>
    <w:pPr>
      <w:keepNext/>
      <w:spacing w:after="120"/>
      <w:ind w:left="1077" w:hanging="1077"/>
    </w:pPr>
  </w:style>
  <w:style w:type="paragraph" w:styleId="Index1">
    <w:name w:val="index 1"/>
    <w:basedOn w:val="Normal"/>
    <w:next w:val="Normal"/>
    <w:rsid w:val="005F1827"/>
    <w:pPr>
      <w:spacing w:after="0"/>
      <w:ind w:left="518" w:hanging="518"/>
    </w:pPr>
    <w:rPr>
      <w:noProof/>
      <w:sz w:val="22"/>
    </w:rPr>
  </w:style>
  <w:style w:type="paragraph" w:styleId="Index2">
    <w:name w:val="index 2"/>
    <w:basedOn w:val="Index1"/>
    <w:next w:val="Normal"/>
    <w:rsid w:val="005F1827"/>
    <w:pPr>
      <w:ind w:left="816" w:hanging="476"/>
    </w:pPr>
  </w:style>
  <w:style w:type="paragraph" w:styleId="TOC4">
    <w:name w:val="toc 4"/>
    <w:basedOn w:val="Normal"/>
    <w:next w:val="Normal"/>
    <w:autoRedefine/>
    <w:semiHidden/>
    <w:rsid w:val="00D20FD9"/>
    <w:pPr>
      <w:tabs>
        <w:tab w:val="right" w:leader="dot" w:pos="9016"/>
      </w:tabs>
      <w:spacing w:after="0"/>
      <w:ind w:left="2160" w:right="720"/>
    </w:pPr>
    <w:rPr>
      <w:noProof/>
      <w:szCs w:val="24"/>
    </w:rPr>
  </w:style>
  <w:style w:type="paragraph" w:customStyle="1" w:styleId="NumberList">
    <w:name w:val="NumberList"/>
    <w:basedOn w:val="Normal"/>
    <w:rsid w:val="00D20FD9"/>
    <w:pPr>
      <w:tabs>
        <w:tab w:val="left" w:pos="360"/>
      </w:tabs>
      <w:ind w:left="360" w:hanging="360"/>
    </w:pPr>
  </w:style>
  <w:style w:type="paragraph" w:customStyle="1" w:styleId="TFNoteSourceSpace">
    <w:name w:val="TFNoteSource+Space"/>
    <w:basedOn w:val="TFListNotesSpace"/>
    <w:next w:val="Normal"/>
    <w:rsid w:val="00403B31"/>
  </w:style>
  <w:style w:type="paragraph" w:customStyle="1" w:styleId="TFNoteSource">
    <w:name w:val="TFNoteSource"/>
    <w:basedOn w:val="TFNoteSourceSpace"/>
    <w:rsid w:val="00403B31"/>
    <w:pPr>
      <w:spacing w:after="0"/>
    </w:pPr>
  </w:style>
  <w:style w:type="character" w:customStyle="1" w:styleId="DesignerNotesChar">
    <w:name w:val="DesignerNotesChar"/>
    <w:basedOn w:val="DefaultParagraphFont"/>
    <w:rsid w:val="00B50D30"/>
    <w:rPr>
      <w:rFonts w:ascii="Arial" w:hAnsi="Arial"/>
      <w:b/>
      <w:color w:val="3366FF"/>
      <w:sz w:val="20"/>
    </w:rPr>
  </w:style>
  <w:style w:type="paragraph" w:customStyle="1" w:styleId="TFAbbrevsSpace">
    <w:name w:val="TFAbbrevs+Space"/>
    <w:basedOn w:val="TFAbbrevs"/>
    <w:next w:val="Normal"/>
    <w:rsid w:val="00EE7B06"/>
    <w:pPr>
      <w:spacing w:after="360"/>
    </w:pPr>
  </w:style>
  <w:style w:type="character" w:styleId="Strong">
    <w:name w:val="Strong"/>
    <w:basedOn w:val="DefaultParagraphFont"/>
    <w:uiPriority w:val="22"/>
    <w:qFormat/>
    <w:rsid w:val="00692B58"/>
    <w:rPr>
      <w:b/>
      <w:bCs/>
    </w:rPr>
  </w:style>
  <w:style w:type="character" w:styleId="Emphasis">
    <w:name w:val="Emphasis"/>
    <w:basedOn w:val="DefaultParagraphFont"/>
    <w:uiPriority w:val="20"/>
    <w:qFormat/>
    <w:rsid w:val="00692B58"/>
    <w:rPr>
      <w:i/>
      <w:iCs/>
    </w:rPr>
  </w:style>
  <w:style w:type="character" w:customStyle="1" w:styleId="Roman">
    <w:name w:val="Roman"/>
    <w:uiPriority w:val="1"/>
    <w:rsid w:val="00114BAC"/>
    <w:rPr>
      <w:b w:val="0"/>
      <w:i/>
    </w:rPr>
  </w:style>
  <w:style w:type="character" w:customStyle="1" w:styleId="PullQuoteOrigin">
    <w:name w:val="PullQuoteOrigin"/>
    <w:basedOn w:val="DefaultParagraphFont"/>
    <w:uiPriority w:val="1"/>
    <w:rsid w:val="00114BAC"/>
    <w:rPr>
      <w:b/>
      <w:noProof/>
      <w:color w:val="76923C" w:themeColor="accent3" w:themeShade="BF"/>
    </w:rPr>
  </w:style>
  <w:style w:type="table" w:styleId="TableGrid">
    <w:name w:val="Table Grid"/>
    <w:basedOn w:val="TableNormal"/>
    <w:uiPriority w:val="59"/>
    <w:rsid w:val="00BB1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IHolderSpace">
    <w:name w:val="TFIHolder+Space"/>
    <w:basedOn w:val="TFIHolder"/>
    <w:qFormat/>
    <w:rsid w:val="00932C6D"/>
    <w:pPr>
      <w:spacing w:after="240"/>
    </w:pPr>
  </w:style>
  <w:style w:type="paragraph" w:customStyle="1" w:styleId="DesignerNotes">
    <w:name w:val="DesignerNotes"/>
    <w:basedOn w:val="Normal"/>
    <w:rsid w:val="00B50D30"/>
    <w:rPr>
      <w:rFonts w:ascii="Arial" w:hAnsi="Arial"/>
      <w:b/>
      <w:color w:val="3366FF"/>
      <w:sz w:val="20"/>
    </w:rPr>
  </w:style>
  <w:style w:type="character" w:customStyle="1" w:styleId="Subscript">
    <w:name w:val="Subscript"/>
    <w:basedOn w:val="DefaultParagraphFont"/>
    <w:uiPriority w:val="1"/>
    <w:rsid w:val="00C92341"/>
    <w:rPr>
      <w:noProof/>
      <w:vertAlign w:val="subscript"/>
    </w:rPr>
  </w:style>
  <w:style w:type="character" w:customStyle="1" w:styleId="Superscript">
    <w:name w:val="Superscript"/>
    <w:basedOn w:val="DefaultParagraphFont"/>
    <w:uiPriority w:val="1"/>
    <w:rsid w:val="00C92341"/>
    <w:rPr>
      <w:noProof/>
      <w:vertAlign w:val="superscript"/>
    </w:rPr>
  </w:style>
  <w:style w:type="character" w:customStyle="1" w:styleId="Symbol">
    <w:name w:val="Symbol"/>
    <w:basedOn w:val="DefaultParagraphFont"/>
    <w:uiPriority w:val="1"/>
    <w:rsid w:val="00C92341"/>
    <w:rPr>
      <w:noProof/>
    </w:rPr>
  </w:style>
  <w:style w:type="character" w:customStyle="1" w:styleId="NoBreak">
    <w:name w:val="NoBreak"/>
    <w:basedOn w:val="DefaultParagraphFont"/>
    <w:uiPriority w:val="1"/>
    <w:rsid w:val="00E35DF1"/>
    <w:rPr>
      <w:noProof/>
    </w:rPr>
  </w:style>
  <w:style w:type="paragraph" w:customStyle="1" w:styleId="MathEquation">
    <w:name w:val="MathEquation"/>
    <w:basedOn w:val="Normal"/>
    <w:rsid w:val="00FA5DE1"/>
    <w:rPr>
      <w:rFonts w:ascii="Cambria Math" w:hAnsi="Cambria Math"/>
      <w:i/>
      <w:noProof/>
    </w:rPr>
  </w:style>
  <w:style w:type="paragraph" w:customStyle="1" w:styleId="ComputerCode">
    <w:name w:val="ComputerCode"/>
    <w:basedOn w:val="Normal"/>
    <w:rsid w:val="00773806"/>
    <w:pPr>
      <w:ind w:left="567"/>
      <w:contextualSpacing/>
    </w:pPr>
    <w:rPr>
      <w:rFonts w:ascii="Courier New" w:hAnsi="Courier New"/>
      <w:sz w:val="20"/>
      <w:szCs w:val="24"/>
    </w:rPr>
  </w:style>
  <w:style w:type="paragraph" w:customStyle="1" w:styleId="BulletChecklist">
    <w:name w:val="BulletChecklist"/>
    <w:basedOn w:val="Bullet"/>
    <w:rsid w:val="0020319C"/>
    <w:pPr>
      <w:numPr>
        <w:numId w:val="16"/>
      </w:numPr>
    </w:pPr>
    <w:rPr>
      <w:noProof/>
    </w:rPr>
  </w:style>
  <w:style w:type="paragraph" w:customStyle="1" w:styleId="ImprintText">
    <w:name w:val="ImprintText"/>
    <w:basedOn w:val="Normal"/>
    <w:rsid w:val="001D4D1F"/>
    <w:pPr>
      <w:spacing w:after="120"/>
    </w:pPr>
    <w:rPr>
      <w:sz w:val="20"/>
    </w:rPr>
  </w:style>
  <w:style w:type="paragraph" w:customStyle="1" w:styleId="AltText">
    <w:name w:val="AltText"/>
    <w:basedOn w:val="Normal"/>
    <w:rsid w:val="00CF4C32"/>
    <w:rPr>
      <w:rFonts w:ascii="Arial" w:hAnsi="Arial"/>
      <w:color w:val="E36C0A" w:themeColor="accent6" w:themeShade="BF"/>
      <w:sz w:val="20"/>
    </w:rPr>
  </w:style>
  <w:style w:type="paragraph" w:styleId="Caption">
    <w:name w:val="caption"/>
    <w:basedOn w:val="Normal"/>
    <w:next w:val="Credit"/>
    <w:uiPriority w:val="35"/>
    <w:unhideWhenUsed/>
    <w:rsid w:val="008B7077"/>
    <w:pPr>
      <w:spacing w:after="0"/>
    </w:pPr>
    <w:rPr>
      <w:b/>
      <w:bCs/>
      <w:sz w:val="18"/>
      <w:szCs w:val="18"/>
    </w:rPr>
  </w:style>
  <w:style w:type="paragraph" w:customStyle="1" w:styleId="Credit">
    <w:name w:val="Credit"/>
    <w:basedOn w:val="Caption"/>
    <w:next w:val="Normal"/>
    <w:rsid w:val="008B7077"/>
    <w:pPr>
      <w:spacing w:after="240"/>
    </w:pPr>
    <w:rPr>
      <w:b w:val="0"/>
      <w:noProof/>
    </w:rPr>
  </w:style>
  <w:style w:type="paragraph" w:customStyle="1" w:styleId="NormalFirstPara">
    <w:name w:val="NormalFirstPara"/>
    <w:basedOn w:val="Normal"/>
    <w:rsid w:val="00B1647E"/>
    <w:rPr>
      <w:noProof/>
      <w:color w:val="9BBB59" w:themeColor="accent3"/>
    </w:rPr>
  </w:style>
  <w:style w:type="paragraph" w:customStyle="1" w:styleId="TableHeadingCA">
    <w:name w:val="TableHeadingCA"/>
    <w:basedOn w:val="TableHeading"/>
    <w:rsid w:val="00C45C28"/>
    <w:pPr>
      <w:jc w:val="center"/>
    </w:pPr>
  </w:style>
  <w:style w:type="paragraph" w:customStyle="1" w:styleId="TableTextCA">
    <w:name w:val="TableTextCA"/>
    <w:basedOn w:val="TableText"/>
    <w:rsid w:val="00C45C28"/>
    <w:pPr>
      <w:jc w:val="center"/>
    </w:pPr>
  </w:style>
  <w:style w:type="paragraph" w:customStyle="1" w:styleId="TableTextDecimalAlign">
    <w:name w:val="TableTextDecimalAlign"/>
    <w:basedOn w:val="TableText"/>
    <w:rsid w:val="009C7BA5"/>
    <w:pPr>
      <w:tabs>
        <w:tab w:val="decimal" w:pos="1119"/>
      </w:tabs>
    </w:pPr>
  </w:style>
  <w:style w:type="paragraph" w:customStyle="1" w:styleId="NormalIndent">
    <w:name w:val="NormalIndent"/>
    <w:basedOn w:val="Normal"/>
    <w:rsid w:val="008D32BA"/>
    <w:pPr>
      <w:ind w:left="357"/>
    </w:pPr>
  </w:style>
  <w:style w:type="paragraph" w:styleId="BalloonText">
    <w:name w:val="Balloon Text"/>
    <w:basedOn w:val="Normal"/>
    <w:link w:val="BalloonTextChar"/>
    <w:uiPriority w:val="99"/>
    <w:semiHidden/>
    <w:unhideWhenUsed/>
    <w:rsid w:val="00704F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E3"/>
    <w:rPr>
      <w:rFonts w:ascii="Tahoma" w:hAnsi="Tahoma" w:cs="Tahoma"/>
      <w:color w:val="000000"/>
      <w:sz w:val="16"/>
      <w:szCs w:val="16"/>
    </w:rPr>
  </w:style>
  <w:style w:type="paragraph" w:styleId="Title">
    <w:name w:val="Title"/>
    <w:basedOn w:val="Normal"/>
    <w:next w:val="Normal"/>
    <w:link w:val="TitleChar"/>
    <w:uiPriority w:val="10"/>
    <w:rsid w:val="000C10BA"/>
    <w:pPr>
      <w:spacing w:after="300"/>
      <w:contextualSpacing/>
      <w:jc w:val="center"/>
    </w:pPr>
    <w:rPr>
      <w:rFonts w:ascii="Times New Roman Bold" w:eastAsiaTheme="majorEastAsia" w:hAnsi="Times New Roman Bold" w:cstheme="majorBidi"/>
      <w:b/>
      <w:spacing w:val="5"/>
      <w:kern w:val="28"/>
      <w:sz w:val="48"/>
      <w:szCs w:val="52"/>
    </w:rPr>
  </w:style>
  <w:style w:type="character" w:customStyle="1" w:styleId="TitleChar">
    <w:name w:val="Title Char"/>
    <w:basedOn w:val="DefaultParagraphFont"/>
    <w:link w:val="Title"/>
    <w:uiPriority w:val="10"/>
    <w:rsid w:val="000C10BA"/>
    <w:rPr>
      <w:rFonts w:ascii="Times New Roman Bold" w:eastAsiaTheme="majorEastAsia" w:hAnsi="Times New Roman Bold" w:cstheme="majorBidi"/>
      <w:b/>
      <w:spacing w:val="5"/>
      <w:kern w:val="28"/>
      <w:sz w:val="48"/>
      <w:szCs w:val="52"/>
    </w:rPr>
  </w:style>
  <w:style w:type="character" w:customStyle="1" w:styleId="SubtitleChar">
    <w:name w:val="Subtitle Char"/>
    <w:basedOn w:val="DefaultParagraphFont"/>
    <w:link w:val="Subtitle"/>
    <w:uiPriority w:val="11"/>
    <w:rsid w:val="000C10BA"/>
    <w:rPr>
      <w:rFonts w:ascii="Times New Roman Bold" w:eastAsiaTheme="majorEastAsia" w:hAnsi="Times New Roman Bold" w:cstheme="majorBidi"/>
      <w:b/>
      <w:iCs/>
      <w:sz w:val="40"/>
      <w:szCs w:val="24"/>
    </w:rPr>
  </w:style>
  <w:style w:type="paragraph" w:customStyle="1" w:styleId="SectionTitle">
    <w:name w:val="SectionTitle"/>
    <w:basedOn w:val="Normal"/>
    <w:next w:val="Normal"/>
    <w:rsid w:val="006F5743"/>
    <w:pPr>
      <w:jc w:val="center"/>
    </w:pPr>
    <w:rPr>
      <w:b/>
      <w:sz w:val="40"/>
    </w:rPr>
  </w:style>
  <w:style w:type="paragraph" w:customStyle="1" w:styleId="SectionSubtitle">
    <w:name w:val="SectionSubtitle"/>
    <w:basedOn w:val="Normal"/>
    <w:rsid w:val="006F5743"/>
    <w:pPr>
      <w:spacing w:after="0"/>
      <w:jc w:val="center"/>
    </w:pPr>
    <w:rPr>
      <w:sz w:val="32"/>
    </w:rPr>
  </w:style>
  <w:style w:type="paragraph" w:customStyle="1" w:styleId="QuoteNumberList">
    <w:name w:val="QuoteNumberList"/>
    <w:basedOn w:val="Quote"/>
    <w:rsid w:val="00BD346C"/>
    <w:pPr>
      <w:ind w:left="1117" w:hanging="397"/>
    </w:pPr>
    <w:rPr>
      <w:noProof/>
    </w:rPr>
  </w:style>
  <w:style w:type="paragraph" w:customStyle="1" w:styleId="QuoteBullet">
    <w:name w:val="QuoteBullet"/>
    <w:basedOn w:val="Quote"/>
    <w:rsid w:val="00BD346C"/>
    <w:pPr>
      <w:numPr>
        <w:numId w:val="18"/>
      </w:numPr>
      <w:ind w:left="1117" w:hanging="397"/>
    </w:pPr>
    <w:rPr>
      <w:noProof/>
    </w:rPr>
  </w:style>
  <w:style w:type="paragraph" w:customStyle="1" w:styleId="BoxDash">
    <w:name w:val="BoxDash"/>
    <w:basedOn w:val="BoxBullet"/>
    <w:rsid w:val="00A9331B"/>
    <w:pPr>
      <w:numPr>
        <w:numId w:val="5"/>
      </w:numPr>
    </w:pPr>
  </w:style>
  <w:style w:type="character" w:customStyle="1" w:styleId="CrossRef">
    <w:name w:val="CrossRef"/>
    <w:basedOn w:val="DefaultParagraphFont"/>
    <w:uiPriority w:val="1"/>
    <w:rsid w:val="004822BC"/>
    <w:rPr>
      <w:rFonts w:ascii="Times New Roman" w:hAnsi="Times New Roman"/>
      <w:b/>
      <w:noProof/>
      <w:color w:val="C0504D" w:themeColor="accent2"/>
      <w:sz w:val="24"/>
    </w:rPr>
  </w:style>
  <w:style w:type="paragraph" w:customStyle="1" w:styleId="TableNumberedList">
    <w:name w:val="TableNumberedList"/>
    <w:basedOn w:val="TableText"/>
    <w:autoRedefine/>
    <w:qFormat/>
    <w:rsid w:val="00312F7A"/>
    <w:pPr>
      <w:numPr>
        <w:numId w:val="28"/>
      </w:numPr>
      <w:ind w:left="357" w:hanging="357"/>
    </w:pPr>
  </w:style>
  <w:style w:type="character" w:customStyle="1" w:styleId="StrongEmphasis">
    <w:name w:val="StrongEmphasis"/>
    <w:basedOn w:val="DefaultParagraphFont"/>
    <w:rsid w:val="005E04DB"/>
    <w:rPr>
      <w:b/>
      <w:bCs/>
      <w:i/>
      <w:iCs/>
    </w:rPr>
  </w:style>
  <w:style w:type="character" w:customStyle="1" w:styleId="MathEquationChar">
    <w:name w:val="MathEquationChar"/>
    <w:basedOn w:val="DefaultParagraphFont"/>
    <w:uiPriority w:val="1"/>
    <w:rsid w:val="006C0FAA"/>
    <w:rPr>
      <w:rFonts w:ascii="Cambria Math" w:hAnsi="Cambria Math"/>
      <w:noProof/>
    </w:rPr>
  </w:style>
  <w:style w:type="character" w:customStyle="1" w:styleId="SubscriptEmphasis">
    <w:name w:val="SubscriptEmphasis"/>
    <w:basedOn w:val="DefaultParagraphFont"/>
    <w:uiPriority w:val="1"/>
    <w:rsid w:val="006C0FAA"/>
    <w:rPr>
      <w:i/>
      <w:noProof/>
      <w:vertAlign w:val="subscript"/>
    </w:rPr>
  </w:style>
  <w:style w:type="character" w:styleId="CommentReference">
    <w:name w:val="annotation reference"/>
    <w:basedOn w:val="DefaultParagraphFont"/>
    <w:uiPriority w:val="99"/>
    <w:semiHidden/>
    <w:unhideWhenUsed/>
    <w:rsid w:val="00061657"/>
    <w:rPr>
      <w:sz w:val="16"/>
      <w:szCs w:val="16"/>
    </w:rPr>
  </w:style>
  <w:style w:type="paragraph" w:styleId="CommentText">
    <w:name w:val="annotation text"/>
    <w:basedOn w:val="Normal"/>
    <w:link w:val="CommentTextChar"/>
    <w:uiPriority w:val="99"/>
    <w:semiHidden/>
    <w:unhideWhenUsed/>
    <w:rsid w:val="00061657"/>
    <w:pPr>
      <w:spacing w:line="240" w:lineRule="auto"/>
    </w:pPr>
    <w:rPr>
      <w:sz w:val="20"/>
      <w:szCs w:val="20"/>
    </w:rPr>
  </w:style>
  <w:style w:type="character" w:customStyle="1" w:styleId="CommentTextChar">
    <w:name w:val="Comment Text Char"/>
    <w:basedOn w:val="DefaultParagraphFont"/>
    <w:link w:val="CommentText"/>
    <w:uiPriority w:val="99"/>
    <w:semiHidden/>
    <w:rsid w:val="00061657"/>
    <w:rPr>
      <w:rFonts w:eastAsiaTheme="minorHAnsi" w:cstheme="minorBidi"/>
      <w:lang w:eastAsia="en-US"/>
    </w:rPr>
  </w:style>
  <w:style w:type="paragraph" w:styleId="CommentSubject">
    <w:name w:val="annotation subject"/>
    <w:basedOn w:val="CommentText"/>
    <w:next w:val="CommentText"/>
    <w:link w:val="CommentSubjectChar"/>
    <w:uiPriority w:val="99"/>
    <w:semiHidden/>
    <w:unhideWhenUsed/>
    <w:rsid w:val="00061657"/>
    <w:rPr>
      <w:b/>
      <w:bCs/>
    </w:rPr>
  </w:style>
  <w:style w:type="character" w:customStyle="1" w:styleId="CommentSubjectChar">
    <w:name w:val="Comment Subject Char"/>
    <w:basedOn w:val="CommentTextChar"/>
    <w:link w:val="CommentSubject"/>
    <w:uiPriority w:val="99"/>
    <w:semiHidden/>
    <w:rsid w:val="00061657"/>
    <w:rPr>
      <w:rFonts w:eastAsiaTheme="minorHAnsi" w:cstheme="minorBidi"/>
      <w:b/>
      <w:bCs/>
      <w:lang w:eastAsia="en-US"/>
    </w:rPr>
  </w:style>
  <w:style w:type="paragraph" w:styleId="Revision">
    <w:name w:val="Revision"/>
    <w:hidden/>
    <w:uiPriority w:val="99"/>
    <w:semiHidden/>
    <w:rsid w:val="00061657"/>
    <w:rPr>
      <w:rFonts w:eastAsiaTheme="minorHAnsi" w:cstheme="minorBidi"/>
      <w:sz w:val="24"/>
      <w:szCs w:val="22"/>
      <w:lang w:eastAsia="en-US"/>
    </w:rPr>
  </w:style>
  <w:style w:type="character" w:styleId="Hyperlink">
    <w:name w:val="Hyperlink"/>
    <w:basedOn w:val="DefaultParagraphFont"/>
    <w:uiPriority w:val="99"/>
    <w:unhideWhenUsed/>
    <w:rsid w:val="00A233D7"/>
    <w:rPr>
      <w:color w:val="0000FF" w:themeColor="hyperlink"/>
      <w:u w:val="single"/>
    </w:rPr>
  </w:style>
  <w:style w:type="character" w:customStyle="1" w:styleId="UnresolvedMention">
    <w:name w:val="Unresolved Mention"/>
    <w:basedOn w:val="DefaultParagraphFont"/>
    <w:uiPriority w:val="99"/>
    <w:semiHidden/>
    <w:unhideWhenUsed/>
    <w:rsid w:val="00A233D7"/>
    <w:rPr>
      <w:color w:val="605E5C"/>
      <w:shd w:val="clear" w:color="auto" w:fill="E1DFDD"/>
    </w:rPr>
  </w:style>
  <w:style w:type="paragraph" w:styleId="ListParagraph">
    <w:name w:val="List Paragraph"/>
    <w:basedOn w:val="Normal"/>
    <w:uiPriority w:val="34"/>
    <w:rsid w:val="00122A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2090">
      <w:bodyDiv w:val="1"/>
      <w:marLeft w:val="0"/>
      <w:marRight w:val="0"/>
      <w:marTop w:val="0"/>
      <w:marBottom w:val="0"/>
      <w:divBdr>
        <w:top w:val="none" w:sz="0" w:space="0" w:color="auto"/>
        <w:left w:val="none" w:sz="0" w:space="0" w:color="auto"/>
        <w:bottom w:val="none" w:sz="0" w:space="0" w:color="auto"/>
        <w:right w:val="none" w:sz="0" w:space="0" w:color="auto"/>
      </w:divBdr>
    </w:div>
    <w:div w:id="57823790">
      <w:bodyDiv w:val="1"/>
      <w:marLeft w:val="0"/>
      <w:marRight w:val="0"/>
      <w:marTop w:val="0"/>
      <w:marBottom w:val="0"/>
      <w:divBdr>
        <w:top w:val="none" w:sz="0" w:space="0" w:color="auto"/>
        <w:left w:val="none" w:sz="0" w:space="0" w:color="auto"/>
        <w:bottom w:val="none" w:sz="0" w:space="0" w:color="auto"/>
        <w:right w:val="none" w:sz="0" w:space="0" w:color="auto"/>
      </w:divBdr>
      <w:divsChild>
        <w:div w:id="1989245410">
          <w:marLeft w:val="0"/>
          <w:marRight w:val="0"/>
          <w:marTop w:val="0"/>
          <w:marBottom w:val="0"/>
          <w:divBdr>
            <w:top w:val="none" w:sz="0" w:space="0" w:color="auto"/>
            <w:left w:val="none" w:sz="0" w:space="0" w:color="auto"/>
            <w:bottom w:val="none" w:sz="0" w:space="0" w:color="auto"/>
            <w:right w:val="none" w:sz="0" w:space="0" w:color="auto"/>
          </w:divBdr>
          <w:divsChild>
            <w:div w:id="1470516729">
              <w:marLeft w:val="0"/>
              <w:marRight w:val="0"/>
              <w:marTop w:val="0"/>
              <w:marBottom w:val="0"/>
              <w:divBdr>
                <w:top w:val="none" w:sz="0" w:space="0" w:color="auto"/>
                <w:left w:val="none" w:sz="0" w:space="0" w:color="auto"/>
                <w:bottom w:val="none" w:sz="0" w:space="0" w:color="auto"/>
                <w:right w:val="none" w:sz="0" w:space="0" w:color="auto"/>
              </w:divBdr>
              <w:divsChild>
                <w:div w:id="2537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230777">
      <w:bodyDiv w:val="1"/>
      <w:marLeft w:val="0"/>
      <w:marRight w:val="0"/>
      <w:marTop w:val="0"/>
      <w:marBottom w:val="0"/>
      <w:divBdr>
        <w:top w:val="none" w:sz="0" w:space="0" w:color="auto"/>
        <w:left w:val="none" w:sz="0" w:space="0" w:color="auto"/>
        <w:bottom w:val="none" w:sz="0" w:space="0" w:color="auto"/>
        <w:right w:val="none" w:sz="0" w:space="0" w:color="auto"/>
      </w:divBdr>
      <w:divsChild>
        <w:div w:id="2022732846">
          <w:marLeft w:val="0"/>
          <w:marRight w:val="0"/>
          <w:marTop w:val="0"/>
          <w:marBottom w:val="0"/>
          <w:divBdr>
            <w:top w:val="none" w:sz="0" w:space="0" w:color="auto"/>
            <w:left w:val="none" w:sz="0" w:space="0" w:color="auto"/>
            <w:bottom w:val="none" w:sz="0" w:space="0" w:color="auto"/>
            <w:right w:val="none" w:sz="0" w:space="0" w:color="auto"/>
          </w:divBdr>
          <w:divsChild>
            <w:div w:id="1400128153">
              <w:marLeft w:val="0"/>
              <w:marRight w:val="0"/>
              <w:marTop w:val="0"/>
              <w:marBottom w:val="0"/>
              <w:divBdr>
                <w:top w:val="none" w:sz="0" w:space="0" w:color="auto"/>
                <w:left w:val="none" w:sz="0" w:space="0" w:color="auto"/>
                <w:bottom w:val="none" w:sz="0" w:space="0" w:color="auto"/>
                <w:right w:val="none" w:sz="0" w:space="0" w:color="auto"/>
              </w:divBdr>
              <w:divsChild>
                <w:div w:id="14394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21557">
      <w:bodyDiv w:val="1"/>
      <w:marLeft w:val="0"/>
      <w:marRight w:val="0"/>
      <w:marTop w:val="0"/>
      <w:marBottom w:val="0"/>
      <w:divBdr>
        <w:top w:val="none" w:sz="0" w:space="0" w:color="auto"/>
        <w:left w:val="none" w:sz="0" w:space="0" w:color="auto"/>
        <w:bottom w:val="none" w:sz="0" w:space="0" w:color="auto"/>
        <w:right w:val="none" w:sz="0" w:space="0" w:color="auto"/>
      </w:divBdr>
    </w:div>
    <w:div w:id="1437363237">
      <w:bodyDiv w:val="1"/>
      <w:marLeft w:val="0"/>
      <w:marRight w:val="0"/>
      <w:marTop w:val="0"/>
      <w:marBottom w:val="0"/>
      <w:divBdr>
        <w:top w:val="none" w:sz="0" w:space="0" w:color="auto"/>
        <w:left w:val="none" w:sz="0" w:space="0" w:color="auto"/>
        <w:bottom w:val="none" w:sz="0" w:space="0" w:color="auto"/>
        <w:right w:val="none" w:sz="0" w:space="0" w:color="auto"/>
      </w:divBdr>
    </w:div>
    <w:div w:id="1753234040">
      <w:bodyDiv w:val="1"/>
      <w:marLeft w:val="0"/>
      <w:marRight w:val="0"/>
      <w:marTop w:val="0"/>
      <w:marBottom w:val="0"/>
      <w:divBdr>
        <w:top w:val="none" w:sz="0" w:space="0" w:color="auto"/>
        <w:left w:val="none" w:sz="0" w:space="0" w:color="auto"/>
        <w:bottom w:val="none" w:sz="0" w:space="0" w:color="auto"/>
        <w:right w:val="none" w:sz="0" w:space="0" w:color="auto"/>
      </w:divBdr>
    </w:div>
    <w:div w:id="18199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2B3AB-9DA3-42E6-BC6E-F950AD2C7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1739</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Report Title</vt:lpstr>
    </vt:vector>
  </TitlesOfParts>
  <Company>dpplus</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creator>Biotext</dc:creator>
  <cp:lastModifiedBy>HAMBLEY, Carolyn</cp:lastModifiedBy>
  <cp:revision>7</cp:revision>
  <cp:lastPrinted>2018-11-10T01:03:00Z</cp:lastPrinted>
  <dcterms:created xsi:type="dcterms:W3CDTF">2019-01-10T22:41:00Z</dcterms:created>
  <dcterms:modified xsi:type="dcterms:W3CDTF">2019-02-13T01:08:00Z</dcterms:modified>
</cp:coreProperties>
</file>