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245CF" w14:textId="5270EAEA" w:rsidR="00A33062" w:rsidRPr="00F226F7" w:rsidRDefault="00F226F7" w:rsidP="00F226F7">
      <w:pPr>
        <w:pStyle w:val="Heading1"/>
        <w:numPr>
          <w:ilvl w:val="0"/>
          <w:numId w:val="0"/>
        </w:numPr>
        <w:pBdr>
          <w:bottom w:val="none" w:sz="0" w:space="0" w:color="auto"/>
        </w:pBdr>
        <w:spacing w:before="0" w:after="360"/>
        <w:ind w:left="788"/>
        <w:jc w:val="center"/>
        <w:rPr>
          <w:rFonts w:ascii="Arial" w:hAnsi="Arial" w:cs="Arial"/>
          <w:b/>
          <w:bCs/>
          <w:color w:val="000080"/>
          <w:sz w:val="36"/>
          <w:szCs w:val="36"/>
        </w:rPr>
      </w:pPr>
      <w:r>
        <w:rPr>
          <w:rFonts w:ascii="Arial" w:hAnsi="Arial" w:cs="Arial"/>
          <w:b/>
          <w:bCs/>
          <w:color w:val="000080"/>
          <w:sz w:val="36"/>
          <w:szCs w:val="36"/>
        </w:rPr>
        <w:t>Medical Services Advisory Committee (MSAC)</w:t>
      </w:r>
      <w:r>
        <w:rPr>
          <w:rFonts w:ascii="Arial" w:hAnsi="Arial" w:cs="Arial"/>
          <w:b/>
          <w:bCs/>
          <w:color w:val="000080"/>
          <w:sz w:val="36"/>
          <w:szCs w:val="36"/>
        </w:rPr>
        <w:br/>
      </w:r>
      <w:r w:rsidRPr="00F76D74">
        <w:rPr>
          <w:rFonts w:ascii="Arial" w:hAnsi="Arial" w:cs="Arial"/>
          <w:b/>
          <w:bCs/>
          <w:color w:val="000080"/>
          <w:sz w:val="36"/>
          <w:szCs w:val="36"/>
        </w:rPr>
        <w:t>Public Summary Document</w:t>
      </w:r>
    </w:p>
    <w:p w14:paraId="7A128FDE" w14:textId="79EAC826" w:rsidR="00772829" w:rsidRPr="00CE28E3" w:rsidRDefault="00772829" w:rsidP="00772829">
      <w:pPr>
        <w:pStyle w:val="Subtitle"/>
      </w:pPr>
      <w:r w:rsidRPr="00CE28E3">
        <w:t xml:space="preserve">Application No. </w:t>
      </w:r>
      <w:r w:rsidR="00105454" w:rsidRPr="00105454">
        <w:t>1713</w:t>
      </w:r>
      <w:r w:rsidRPr="00105454">
        <w:t xml:space="preserve"> – </w:t>
      </w:r>
      <w:r w:rsidR="00105454" w:rsidRPr="00105454">
        <w:t>Cardiac MRI in the diagnosis of myocarditis</w:t>
      </w:r>
    </w:p>
    <w:p w14:paraId="35263561" w14:textId="5671B06C" w:rsidR="00772829" w:rsidRPr="004230A3" w:rsidRDefault="00772829" w:rsidP="004230A3">
      <w:pPr>
        <w:tabs>
          <w:tab w:val="left" w:pos="3686"/>
        </w:tabs>
        <w:spacing w:line="256" w:lineRule="auto"/>
        <w:ind w:left="3686" w:hanging="3686"/>
        <w:rPr>
          <w:rFonts w:ascii="Arial" w:eastAsia="Calibri" w:hAnsi="Arial" w:cs="Arial"/>
          <w:b/>
          <w:szCs w:val="24"/>
        </w:rPr>
      </w:pPr>
      <w:r w:rsidRPr="00CE28E3">
        <w:rPr>
          <w:rFonts w:ascii="Arial" w:hAnsi="Arial" w:cs="Arial"/>
          <w:b/>
          <w:szCs w:val="24"/>
        </w:rPr>
        <w:t>Applicant:</w:t>
      </w:r>
      <w:r w:rsidRPr="00CE28E3">
        <w:rPr>
          <w:rFonts w:ascii="Arial" w:hAnsi="Arial" w:cs="Arial"/>
          <w:b/>
          <w:szCs w:val="24"/>
        </w:rPr>
        <w:tab/>
      </w:r>
      <w:r w:rsidR="004230A3">
        <w:rPr>
          <w:rFonts w:ascii="Arial" w:hAnsi="Arial" w:cs="Arial"/>
          <w:b/>
        </w:rPr>
        <w:t xml:space="preserve">Cardiac Society of Australia and New Zealand (CSANZ) </w:t>
      </w:r>
    </w:p>
    <w:p w14:paraId="46E201AC" w14:textId="65D7EEC6" w:rsidR="004230A3" w:rsidRDefault="00772829" w:rsidP="00772829">
      <w:pPr>
        <w:tabs>
          <w:tab w:val="left" w:pos="3686"/>
        </w:tabs>
        <w:spacing w:after="360"/>
        <w:rPr>
          <w:rFonts w:ascii="Arial" w:eastAsia="Calibri" w:hAnsi="Arial" w:cs="Arial"/>
          <w:b/>
          <w:szCs w:val="24"/>
        </w:rPr>
      </w:pPr>
      <w:r w:rsidRPr="76536FD3">
        <w:rPr>
          <w:rFonts w:ascii="Arial" w:hAnsi="Arial" w:cs="Arial"/>
          <w:b/>
        </w:rPr>
        <w:t xml:space="preserve">Date of </w:t>
      </w:r>
      <w:r w:rsidR="00F226F7">
        <w:rPr>
          <w:rFonts w:ascii="Arial" w:hAnsi="Arial" w:cs="Arial"/>
          <w:b/>
        </w:rPr>
        <w:t>MSAC</w:t>
      </w:r>
      <w:r w:rsidRPr="76536FD3">
        <w:rPr>
          <w:rFonts w:ascii="Arial" w:hAnsi="Arial" w:cs="Arial"/>
          <w:b/>
        </w:rPr>
        <w:t xml:space="preserve"> consideration:</w:t>
      </w:r>
      <w:r>
        <w:tab/>
      </w:r>
      <w:r w:rsidR="00F226F7">
        <w:rPr>
          <w:rFonts w:ascii="Arial" w:eastAsia="Calibri" w:hAnsi="Arial" w:cs="Arial"/>
          <w:b/>
          <w:szCs w:val="24"/>
        </w:rPr>
        <w:t>4-5 April</w:t>
      </w:r>
      <w:r w:rsidR="004230A3" w:rsidRPr="000C5CC1">
        <w:rPr>
          <w:rFonts w:ascii="Arial" w:eastAsia="Calibri" w:hAnsi="Arial" w:cs="Arial"/>
          <w:b/>
          <w:szCs w:val="24"/>
        </w:rPr>
        <w:t xml:space="preserve"> 2024 </w:t>
      </w:r>
    </w:p>
    <w:p w14:paraId="1FAA774C" w14:textId="77777777" w:rsidR="00F226F7" w:rsidRPr="00415A9B" w:rsidRDefault="00F226F7" w:rsidP="00F226F7">
      <w:pPr>
        <w:spacing w:after="24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8" w:tooltip="Link to Medical Services Advisory Committee website" w:history="1">
        <w:r w:rsidRPr="00F715D1">
          <w:rPr>
            <w:rStyle w:val="Hyperlink"/>
            <w:szCs w:val="24"/>
          </w:rPr>
          <w:t>visit the MSAC website</w:t>
        </w:r>
      </w:hyperlink>
    </w:p>
    <w:p w14:paraId="7EAA7262" w14:textId="00CFBFB1" w:rsidR="00772829" w:rsidRPr="00CE28E3" w:rsidRDefault="00C36633" w:rsidP="00C36633">
      <w:pPr>
        <w:pStyle w:val="Heading2"/>
        <w:numPr>
          <w:ilvl w:val="0"/>
          <w:numId w:val="0"/>
        </w:numPr>
      </w:pPr>
      <w:bookmarkStart w:id="0" w:name="_Toc155189729"/>
      <w:r>
        <w:t>1.</w:t>
      </w:r>
      <w:r>
        <w:tab/>
      </w:r>
      <w:r w:rsidR="00772829" w:rsidRPr="00CE28E3">
        <w:t xml:space="preserve">Purpose </w:t>
      </w:r>
      <w:r w:rsidR="00772829" w:rsidRPr="00CE28E3">
        <w:rPr>
          <w:szCs w:val="32"/>
        </w:rPr>
        <w:t>of</w:t>
      </w:r>
      <w:r w:rsidR="00772829" w:rsidRPr="00CE28E3">
        <w:t xml:space="preserve"> application</w:t>
      </w:r>
      <w:bookmarkEnd w:id="0"/>
    </w:p>
    <w:p w14:paraId="5D5CE380" w14:textId="5D6D04D1" w:rsidR="00962B68" w:rsidRDefault="00962B68" w:rsidP="00867E94">
      <w:bookmarkStart w:id="1" w:name="_Hlk69734469"/>
      <w:r>
        <w:t xml:space="preserve">An application requesting Medicare Benefits Schedule (MBS) listing of cardiac magnetic resonance </w:t>
      </w:r>
      <w:r w:rsidR="00867D9C">
        <w:t>i</w:t>
      </w:r>
      <w:r>
        <w:t>maging (MRI) for the diagnosis of myocarditis was received from the Cardiac Society of Australia and New Zealand (CSANZ) by the Department of Health and Aged Care.</w:t>
      </w:r>
    </w:p>
    <w:p w14:paraId="65675249" w14:textId="4075E16A" w:rsidR="00F226F7" w:rsidRDefault="00F226F7" w:rsidP="00F226F7">
      <w:pPr>
        <w:pStyle w:val="Heading2"/>
        <w:numPr>
          <w:ilvl w:val="0"/>
          <w:numId w:val="0"/>
        </w:numPr>
      </w:pPr>
      <w:r>
        <w:t>2.</w:t>
      </w:r>
      <w:r>
        <w:tab/>
        <w:t>MSAC’s advice to the Minister</w:t>
      </w:r>
      <w:r w:rsidR="00631230">
        <w:t xml:space="preserve"> </w:t>
      </w:r>
    </w:p>
    <w:p w14:paraId="4A5970BD" w14:textId="0DFE0A92" w:rsidR="008136A8" w:rsidRPr="008136A8" w:rsidRDefault="00712C0B" w:rsidP="008136A8">
      <w:pPr>
        <w:rPr>
          <w:szCs w:val="24"/>
        </w:rPr>
      </w:pPr>
      <w:r>
        <w:t xml:space="preserve">After considering the strength of the available evidence in relation to comparative safety, clinical effectiveness, </w:t>
      </w:r>
      <w:proofErr w:type="gramStart"/>
      <w:r>
        <w:t>cost-effectiveness</w:t>
      </w:r>
      <w:proofErr w:type="gramEnd"/>
      <w:r>
        <w:t xml:space="preserve"> and total cost, </w:t>
      </w:r>
      <w:r w:rsidR="008136A8" w:rsidRPr="008136A8">
        <w:rPr>
          <w:szCs w:val="24"/>
        </w:rPr>
        <w:t>MSAC supported the creation of a new MBS item for cardiac MRI for the diagnosis of myocarditis in patients with acute onset (&lt;3 months</w:t>
      </w:r>
      <w:r w:rsidR="00380D1B">
        <w:rPr>
          <w:szCs w:val="24"/>
        </w:rPr>
        <w:t xml:space="preserve"> duration</w:t>
      </w:r>
      <w:r w:rsidR="008136A8" w:rsidRPr="008136A8">
        <w:rPr>
          <w:szCs w:val="24"/>
        </w:rPr>
        <w:t xml:space="preserve">) of heart failure or unexplained arrhythmia suspected due to myocarditis. MSAC considered there was an unmet clinical need for improved diagnosis of myocarditis in these patients. MSAC noted the evidence demonstrated that cardiac MRI has high sensitivity and specificity in diagnosing myocarditis compared to the ‘reference standard’ endomyocardial biopsy (EMB) test, </w:t>
      </w:r>
      <w:proofErr w:type="gramStart"/>
      <w:r w:rsidR="008136A8" w:rsidRPr="008136A8">
        <w:rPr>
          <w:szCs w:val="24"/>
        </w:rPr>
        <w:t>and also</w:t>
      </w:r>
      <w:proofErr w:type="gramEnd"/>
      <w:r w:rsidR="008136A8" w:rsidRPr="008136A8">
        <w:rPr>
          <w:szCs w:val="24"/>
        </w:rPr>
        <w:t xml:space="preserve"> has superior safety. Despite the lack of direct evidence for change in management and improvement in health outcomes, MSAC noted cardiac MRI is an established tool, validated for the radiological diagnosis of myocarditis, but does not diagnose the underlying cause of myocarditis. MSAC noted that cardiac MRI is widely recommended for this purpose in international clinical practice guidelines. MSAC considered publicly funding this testing would improve equity of access for patients who would otherwise require diagnosis using the invasive EMB procedure. MSAC considered that the proposed fee was high, as it was not aligned with comparable MBS items. Although the cost</w:t>
      </w:r>
      <w:r w:rsidR="008136A8" w:rsidRPr="008136A8">
        <w:rPr>
          <w:rFonts w:ascii="Cambria Math" w:hAnsi="Cambria Math" w:cs="Cambria Math"/>
          <w:szCs w:val="24"/>
        </w:rPr>
        <w:t>‑</w:t>
      </w:r>
      <w:r w:rsidR="008136A8" w:rsidRPr="008136A8">
        <w:rPr>
          <w:szCs w:val="24"/>
        </w:rPr>
        <w:t xml:space="preserve">effectiveness and total financial impact of the service were relatively uncertain, MSAC considered the net financial impact on the MBS to be modest. MSAC noted that cardiac MRI for this population was proposed to replace the current temporary MBS item (63399) that was listed to aid in diagnosing myocarditis associated with mRNA COVID-19 vaccination and scheduled to cease in December 2024, </w:t>
      </w:r>
      <w:r w:rsidR="00DF507D">
        <w:rPr>
          <w:szCs w:val="24"/>
        </w:rPr>
        <w:t>the majorit</w:t>
      </w:r>
      <w:r w:rsidR="00DF507D" w:rsidRPr="008136A8">
        <w:rPr>
          <w:szCs w:val="24"/>
        </w:rPr>
        <w:t xml:space="preserve">y </w:t>
      </w:r>
      <w:r w:rsidR="008136A8" w:rsidRPr="008136A8">
        <w:rPr>
          <w:szCs w:val="24"/>
        </w:rPr>
        <w:t xml:space="preserve">of whom would be covered under the supported item above. MSAC noted that in not supporting the proposed item for the population with </w:t>
      </w:r>
      <w:r w:rsidR="00F3008B" w:rsidRPr="008136A8">
        <w:rPr>
          <w:szCs w:val="24"/>
        </w:rPr>
        <w:t>acute coronary syndrome (</w:t>
      </w:r>
      <w:r w:rsidR="008136A8" w:rsidRPr="008136A8">
        <w:rPr>
          <w:szCs w:val="24"/>
        </w:rPr>
        <w:t>ACS</w:t>
      </w:r>
      <w:r w:rsidR="00F3008B">
        <w:rPr>
          <w:szCs w:val="24"/>
        </w:rPr>
        <w:t>)</w:t>
      </w:r>
      <w:r w:rsidR="008136A8" w:rsidRPr="008136A8">
        <w:rPr>
          <w:szCs w:val="24"/>
        </w:rPr>
        <w:t xml:space="preserve">, it may result in a service gap for some patients currently able to access this service under MBS Item 63399. In the context of current utilisation of 63399, MSAC considered the </w:t>
      </w:r>
      <w:r w:rsidR="003A7E82">
        <w:rPr>
          <w:szCs w:val="24"/>
        </w:rPr>
        <w:t xml:space="preserve">proportion of patients with vaccine-related myocarditis who would experience a </w:t>
      </w:r>
      <w:r w:rsidR="008136A8" w:rsidRPr="008136A8">
        <w:rPr>
          <w:szCs w:val="24"/>
        </w:rPr>
        <w:t xml:space="preserve">service gap </w:t>
      </w:r>
      <w:r w:rsidR="009E67D0">
        <w:rPr>
          <w:szCs w:val="24"/>
        </w:rPr>
        <w:t>will</w:t>
      </w:r>
      <w:r w:rsidR="00372241">
        <w:rPr>
          <w:szCs w:val="24"/>
        </w:rPr>
        <w:t xml:space="preserve"> be</w:t>
      </w:r>
      <w:r w:rsidR="00372241" w:rsidRPr="008136A8">
        <w:rPr>
          <w:szCs w:val="24"/>
        </w:rPr>
        <w:t xml:space="preserve"> </w:t>
      </w:r>
      <w:r w:rsidR="00520475">
        <w:rPr>
          <w:szCs w:val="24"/>
        </w:rPr>
        <w:t xml:space="preserve">very </w:t>
      </w:r>
      <w:r w:rsidR="008136A8" w:rsidRPr="008136A8">
        <w:rPr>
          <w:szCs w:val="24"/>
        </w:rPr>
        <w:t xml:space="preserve">small. To ensure the supported item is fit for purpose, as part of the implementation process the Department will consult with the sector and will monitor </w:t>
      </w:r>
      <w:r w:rsidR="00C04D01">
        <w:rPr>
          <w:szCs w:val="24"/>
        </w:rPr>
        <w:t xml:space="preserve">impact </w:t>
      </w:r>
      <w:r w:rsidR="008136A8" w:rsidRPr="008136A8">
        <w:rPr>
          <w:szCs w:val="24"/>
        </w:rPr>
        <w:t>post</w:t>
      </w:r>
      <w:r w:rsidR="00C04D01">
        <w:rPr>
          <w:szCs w:val="24"/>
        </w:rPr>
        <w:t>-</w:t>
      </w:r>
      <w:r w:rsidR="008136A8" w:rsidRPr="008136A8">
        <w:rPr>
          <w:szCs w:val="24"/>
        </w:rPr>
        <w:t xml:space="preserve">implementation. </w:t>
      </w:r>
    </w:p>
    <w:p w14:paraId="30BF7960" w14:textId="7D007FF5" w:rsidR="008136A8" w:rsidRDefault="008136A8" w:rsidP="00712C0B">
      <w:pPr>
        <w:rPr>
          <w:szCs w:val="24"/>
        </w:rPr>
      </w:pPr>
      <w:r w:rsidRPr="008136A8">
        <w:rPr>
          <w:szCs w:val="24"/>
        </w:rPr>
        <w:lastRenderedPageBreak/>
        <w:t>MSAC did not support public funding of cardiac MRI for patients presenting with signs and symptoms of ACS with an intermediate risk of obstructive coronary artery disease (CAD), or suspected myocarditis</w:t>
      </w:r>
      <w:r w:rsidR="001B6BD3">
        <w:rPr>
          <w:szCs w:val="24"/>
        </w:rPr>
        <w:t xml:space="preserve"> </w:t>
      </w:r>
      <w:r w:rsidR="000E38E3">
        <w:rPr>
          <w:szCs w:val="24"/>
        </w:rPr>
        <w:t>(</w:t>
      </w:r>
      <w:r w:rsidR="007A7473">
        <w:rPr>
          <w:szCs w:val="24"/>
        </w:rPr>
        <w:t xml:space="preserve">other than </w:t>
      </w:r>
      <w:r w:rsidR="00BB5992">
        <w:rPr>
          <w:szCs w:val="24"/>
        </w:rPr>
        <w:t xml:space="preserve">patients with </w:t>
      </w:r>
      <w:r w:rsidR="00D02DE8">
        <w:rPr>
          <w:szCs w:val="24"/>
        </w:rPr>
        <w:t xml:space="preserve">signs and </w:t>
      </w:r>
      <w:r w:rsidR="00BE758A">
        <w:rPr>
          <w:szCs w:val="24"/>
        </w:rPr>
        <w:t xml:space="preserve">symptoms of </w:t>
      </w:r>
      <w:r w:rsidR="007216EE">
        <w:rPr>
          <w:szCs w:val="24"/>
        </w:rPr>
        <w:t>acut</w:t>
      </w:r>
      <w:r w:rsidR="002576AF">
        <w:rPr>
          <w:szCs w:val="24"/>
        </w:rPr>
        <w:t xml:space="preserve">e </w:t>
      </w:r>
      <w:r w:rsidR="00F35A73">
        <w:rPr>
          <w:szCs w:val="24"/>
        </w:rPr>
        <w:t xml:space="preserve">onset </w:t>
      </w:r>
      <w:r w:rsidR="002576AF">
        <w:rPr>
          <w:szCs w:val="24"/>
        </w:rPr>
        <w:t>cardiomyopathy</w:t>
      </w:r>
      <w:r w:rsidR="00F30EC8">
        <w:rPr>
          <w:szCs w:val="24"/>
        </w:rPr>
        <w:t xml:space="preserve"> that is suggestive of acute myocarditis</w:t>
      </w:r>
      <w:r w:rsidR="000E38E3">
        <w:rPr>
          <w:szCs w:val="24"/>
        </w:rPr>
        <w:t>, as above)</w:t>
      </w:r>
      <w:r w:rsidRPr="008136A8">
        <w:rPr>
          <w:szCs w:val="24"/>
        </w:rPr>
        <w:t>. MSAC considered the population to be very broad and risk of unintended use of the service beyond the proposed population to be high with associated increased MBS expenditure. MSAC noted the proposed clinical place of cardiac MRI in the treatment algorithm was not representative of current clinical practice for ACS as these patients would undergo coronary imaging before cardiac MRI testing to rule out obstructive CAD. Consequently, MSAC considered the assumption that computed tomography coronary angiography (CTCA) ± transthoracic echocardiogram (TTE) would be avoided was uncertain and cost-offsets unlikely to be realised. MSAC considered that the cost</w:t>
      </w:r>
      <w:r w:rsidRPr="008136A8">
        <w:rPr>
          <w:rFonts w:ascii="Cambria Math" w:hAnsi="Cambria Math" w:cs="Cambria Math"/>
          <w:szCs w:val="24"/>
        </w:rPr>
        <w:t>‑</w:t>
      </w:r>
      <w:r w:rsidRPr="008136A8">
        <w:rPr>
          <w:szCs w:val="24"/>
        </w:rPr>
        <w:t xml:space="preserve">effectiveness and total financial impact for this population with ACS was highly uncertain due to lack of local data and likely underestimated due to the assessment not </w:t>
      </w:r>
      <w:proofErr w:type="gramStart"/>
      <w:r w:rsidRPr="008136A8">
        <w:rPr>
          <w:szCs w:val="24"/>
        </w:rPr>
        <w:t>taking into account</w:t>
      </w:r>
      <w:proofErr w:type="gramEnd"/>
      <w:r w:rsidRPr="008136A8">
        <w:rPr>
          <w:szCs w:val="24"/>
        </w:rPr>
        <w:t xml:space="preserve"> additional testing that may be occurring through the private health system.</w:t>
      </w:r>
      <w:r w:rsidRPr="008136A8" w:rsidDel="008136A8">
        <w:rPr>
          <w:szCs w:val="24"/>
        </w:rPr>
        <w:t xml:space="preserve"> </w:t>
      </w:r>
    </w:p>
    <w:p w14:paraId="72367C92" w14:textId="54BD5A1D" w:rsidR="00061F16" w:rsidRDefault="00061F16" w:rsidP="00712C0B">
      <w:pPr>
        <w:rPr>
          <w:szCs w:val="24"/>
        </w:rPr>
      </w:pPr>
      <w:r>
        <w:rPr>
          <w:iCs/>
        </w:rPr>
        <w:t>MSAC’s supported</w:t>
      </w:r>
      <w:r w:rsidRPr="00614D01">
        <w:rPr>
          <w:iCs/>
        </w:rPr>
        <w:t xml:space="preserve"> </w:t>
      </w:r>
      <w:r w:rsidR="00264A98">
        <w:rPr>
          <w:iCs/>
        </w:rPr>
        <w:t xml:space="preserve">MBS </w:t>
      </w:r>
      <w:r w:rsidRPr="00614D01">
        <w:rPr>
          <w:iCs/>
        </w:rPr>
        <w:t>item descriptor</w:t>
      </w:r>
      <w:r>
        <w:rPr>
          <w:iCs/>
        </w:rPr>
        <w:t xml:space="preserve"> is provided below in </w:t>
      </w:r>
      <w:r w:rsidR="00B236B9">
        <w:rPr>
          <w:iCs/>
        </w:rPr>
        <w:fldChar w:fldCharType="begin"/>
      </w:r>
      <w:r w:rsidR="00B236B9">
        <w:rPr>
          <w:iCs/>
        </w:rPr>
        <w:instrText xml:space="preserve"> REF _Ref164192245 \h </w:instrText>
      </w:r>
      <w:r w:rsidR="00B236B9">
        <w:rPr>
          <w:iCs/>
        </w:rPr>
      </w:r>
      <w:r w:rsidR="00B236B9">
        <w:rPr>
          <w:iCs/>
        </w:rPr>
        <w:fldChar w:fldCharType="separate"/>
      </w:r>
      <w:r w:rsidR="00B236B9">
        <w:t xml:space="preserve">Table </w:t>
      </w:r>
      <w:r w:rsidR="00B236B9">
        <w:rPr>
          <w:noProof/>
        </w:rPr>
        <w:t>1</w:t>
      </w:r>
      <w:r w:rsidR="00B236B9">
        <w:rPr>
          <w:iCs/>
        </w:rPr>
        <w:fldChar w:fldCharType="end"/>
      </w:r>
      <w:r w:rsidR="00B236B9">
        <w:rPr>
          <w:iCs/>
        </w:rPr>
        <w:t>.</w:t>
      </w:r>
    </w:p>
    <w:p w14:paraId="3C0972E2" w14:textId="42409BEE" w:rsidR="00712C0B" w:rsidRDefault="00251E62" w:rsidP="00341DB5">
      <w:pPr>
        <w:pStyle w:val="Caption"/>
        <w:rPr>
          <w:szCs w:val="24"/>
        </w:rPr>
      </w:pPr>
      <w:bookmarkStart w:id="2" w:name="_Ref164192245"/>
      <w:bookmarkStart w:id="3" w:name="_Ref164432848"/>
      <w:r>
        <w:t xml:space="preserve">Table </w:t>
      </w:r>
      <w:fldSimple w:instr=" SEQ Table \* ARABIC ">
        <w:r w:rsidR="00EE5F4F">
          <w:rPr>
            <w:noProof/>
          </w:rPr>
          <w:t>1</w:t>
        </w:r>
      </w:fldSimple>
      <w:bookmarkEnd w:id="2"/>
      <w:bookmarkEnd w:id="3"/>
      <w:r>
        <w:t xml:space="preserve"> MSAC’s supported MBS item </w:t>
      </w:r>
      <w:proofErr w:type="gramStart"/>
      <w:r>
        <w:t>descriptor</w:t>
      </w:r>
      <w:proofErr w:type="gramEnd"/>
    </w:p>
    <w:tbl>
      <w:tblPr>
        <w:tblW w:w="9014" w:type="dxa"/>
        <w:tblCellMar>
          <w:left w:w="0" w:type="dxa"/>
          <w:right w:w="0" w:type="dxa"/>
        </w:tblCellMar>
        <w:tblLook w:val="04A0" w:firstRow="1" w:lastRow="0" w:firstColumn="1" w:lastColumn="0" w:noHBand="0" w:noVBand="1"/>
      </w:tblPr>
      <w:tblGrid>
        <w:gridCol w:w="9014"/>
      </w:tblGrid>
      <w:tr w:rsidR="00712C0B" w14:paraId="16B0F7AA" w14:textId="77777777" w:rsidTr="003741FF">
        <w:tc>
          <w:tcPr>
            <w:tcW w:w="90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hideMark/>
          </w:tcPr>
          <w:p w14:paraId="51892DDA" w14:textId="77777777" w:rsidR="00712C0B" w:rsidRPr="00341DB5" w:rsidRDefault="00712C0B">
            <w:pPr>
              <w:rPr>
                <w:rFonts w:ascii="Arial Narrow" w:hAnsi="Arial Narrow"/>
                <w:sz w:val="20"/>
                <w:szCs w:val="20"/>
              </w:rPr>
            </w:pPr>
            <w:r w:rsidRPr="00341DB5">
              <w:rPr>
                <w:rFonts w:ascii="Arial Narrow" w:hAnsi="Arial Narrow"/>
                <w:b/>
                <w:sz w:val="20"/>
                <w:szCs w:val="20"/>
              </w:rPr>
              <w:t>Category 5 – DIAGNOSTIC IMAGING SERVICES – Group I5 – Magnetic resonance imaging</w:t>
            </w:r>
          </w:p>
        </w:tc>
      </w:tr>
      <w:tr w:rsidR="00712C0B" w14:paraId="488EEB3E" w14:textId="77777777" w:rsidTr="003741FF">
        <w:tc>
          <w:tcPr>
            <w:tcW w:w="90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hideMark/>
          </w:tcPr>
          <w:p w14:paraId="1E19E4B7" w14:textId="77777777" w:rsidR="00712C0B" w:rsidRPr="00341DB5" w:rsidRDefault="00712C0B">
            <w:pPr>
              <w:rPr>
                <w:rFonts w:ascii="Arial Narrow" w:hAnsi="Arial Narrow"/>
                <w:sz w:val="20"/>
                <w:szCs w:val="20"/>
              </w:rPr>
            </w:pPr>
            <w:r w:rsidRPr="00341DB5">
              <w:rPr>
                <w:rFonts w:ascii="Arial Narrow" w:hAnsi="Arial Narrow"/>
                <w:sz w:val="20"/>
                <w:szCs w:val="20"/>
              </w:rPr>
              <w:t>MBS item *XXXX</w:t>
            </w:r>
          </w:p>
          <w:p w14:paraId="6267FD8C" w14:textId="3185F95D" w:rsidR="00712C0B" w:rsidRPr="003741FF" w:rsidRDefault="00712C0B">
            <w:pPr>
              <w:rPr>
                <w:rFonts w:ascii="Arial Narrow" w:hAnsi="Arial Narrow"/>
                <w:i/>
                <w:sz w:val="20"/>
              </w:rPr>
            </w:pPr>
            <w:r w:rsidRPr="00341DB5">
              <w:rPr>
                <w:rFonts w:ascii="Arial Narrow" w:hAnsi="Arial Narrow"/>
                <w:sz w:val="20"/>
                <w:szCs w:val="20"/>
              </w:rPr>
              <w:t>Proposed item descriptor: MRI scan of cardiovascular system for the assessment of myocardial structure and function and characterisation, if the service is requested by a specialist or consultant physician</w:t>
            </w:r>
            <w:r>
              <w:rPr>
                <w:rFonts w:ascii="Arial Narrow" w:hAnsi="Arial Narrow"/>
                <w:sz w:val="20"/>
                <w:szCs w:val="20"/>
              </w:rPr>
              <w:t xml:space="preserve"> </w:t>
            </w:r>
            <w:r w:rsidRPr="00341DB5">
              <w:rPr>
                <w:rFonts w:ascii="Arial Narrow" w:hAnsi="Arial Narrow"/>
                <w:sz w:val="20"/>
                <w:szCs w:val="20"/>
              </w:rPr>
              <w:t>who has assessed the patient, and the request for the scan indicates the patient has acute onset (&lt;3 months) of heart failure or unexplained arrhythmia suspected due to myocarditis, and would otherwise require endomyocardial biopsy to confirm the diagnosis</w:t>
            </w:r>
            <w:bookmarkStart w:id="4" w:name="_Hlk165378830"/>
            <w:r w:rsidR="00EE3C73">
              <w:rPr>
                <w:rFonts w:ascii="Arial Narrow" w:hAnsi="Arial Narrow"/>
                <w:sz w:val="20"/>
                <w:szCs w:val="20"/>
              </w:rPr>
              <w:t>.</w:t>
            </w:r>
            <w:bookmarkEnd w:id="4"/>
          </w:p>
          <w:p w14:paraId="4A76BF1F" w14:textId="77777777" w:rsidR="00712C0B" w:rsidRPr="00341DB5" w:rsidRDefault="00712C0B">
            <w:pPr>
              <w:rPr>
                <w:rFonts w:ascii="Arial Narrow" w:hAnsi="Arial Narrow"/>
                <w:sz w:val="20"/>
                <w:szCs w:val="20"/>
              </w:rPr>
            </w:pPr>
            <w:r w:rsidRPr="00341DB5">
              <w:rPr>
                <w:rFonts w:ascii="Arial Narrow" w:hAnsi="Arial Narrow"/>
                <w:sz w:val="20"/>
                <w:szCs w:val="20"/>
              </w:rPr>
              <w:t>(R) (</w:t>
            </w:r>
            <w:proofErr w:type="spellStart"/>
            <w:r w:rsidRPr="00341DB5">
              <w:rPr>
                <w:rFonts w:ascii="Arial Narrow" w:hAnsi="Arial Narrow"/>
                <w:sz w:val="20"/>
                <w:szCs w:val="20"/>
              </w:rPr>
              <w:t>Anaes</w:t>
            </w:r>
            <w:proofErr w:type="spellEnd"/>
            <w:r w:rsidRPr="00341DB5">
              <w:rPr>
                <w:rFonts w:ascii="Arial Narrow" w:hAnsi="Arial Narrow"/>
                <w:sz w:val="20"/>
                <w:szCs w:val="20"/>
              </w:rPr>
              <w:t>.) (Contrast)</w:t>
            </w:r>
          </w:p>
        </w:tc>
      </w:tr>
      <w:tr w:rsidR="00712C0B" w14:paraId="07682ED9" w14:textId="77777777" w:rsidTr="003741FF">
        <w:tc>
          <w:tcPr>
            <w:tcW w:w="90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hideMark/>
          </w:tcPr>
          <w:p w14:paraId="2DE38157" w14:textId="7D017FF8" w:rsidR="00712C0B" w:rsidRPr="003741FF" w:rsidRDefault="00712C0B">
            <w:pPr>
              <w:rPr>
                <w:rFonts w:ascii="Arial Narrow" w:hAnsi="Arial Narrow"/>
                <w:sz w:val="20"/>
                <w:vertAlign w:val="superscript"/>
              </w:rPr>
            </w:pPr>
            <w:r w:rsidRPr="00341DB5">
              <w:rPr>
                <w:rFonts w:ascii="Arial Narrow" w:hAnsi="Arial Narrow"/>
                <w:sz w:val="20"/>
                <w:szCs w:val="20"/>
              </w:rPr>
              <w:t>Fee: $</w:t>
            </w:r>
            <w:r w:rsidR="7ADD1658" w:rsidRPr="43952B6A">
              <w:rPr>
                <w:rFonts w:ascii="Arial Narrow" w:hAnsi="Arial Narrow"/>
                <w:sz w:val="20"/>
                <w:szCs w:val="20"/>
              </w:rPr>
              <w:t xml:space="preserve">TBC </w:t>
            </w:r>
            <w:r w:rsidRPr="00341DB5">
              <w:rPr>
                <w:rFonts w:ascii="Arial Narrow" w:hAnsi="Arial Narrow"/>
                <w:sz w:val="20"/>
                <w:szCs w:val="20"/>
              </w:rPr>
              <w:t>Benefit: 75% = $</w:t>
            </w:r>
            <w:r w:rsidR="26D26A80" w:rsidRPr="43952B6A">
              <w:rPr>
                <w:rFonts w:ascii="Arial Narrow" w:hAnsi="Arial Narrow"/>
                <w:sz w:val="20"/>
                <w:szCs w:val="20"/>
              </w:rPr>
              <w:t xml:space="preserve">TBC </w:t>
            </w:r>
            <w:r w:rsidRPr="00341DB5">
              <w:rPr>
                <w:rFonts w:ascii="Arial Narrow" w:hAnsi="Arial Narrow"/>
                <w:sz w:val="20"/>
                <w:szCs w:val="20"/>
              </w:rPr>
              <w:t>85% = $</w:t>
            </w:r>
            <w:r w:rsidR="49EF020D" w:rsidRPr="43952B6A">
              <w:rPr>
                <w:rFonts w:ascii="Arial Narrow" w:hAnsi="Arial Narrow"/>
                <w:sz w:val="20"/>
                <w:szCs w:val="20"/>
              </w:rPr>
              <w:t xml:space="preserve">TBC </w:t>
            </w:r>
          </w:p>
          <w:p w14:paraId="0BE5BBF4" w14:textId="77777777" w:rsidR="00712C0B" w:rsidRPr="00341DB5" w:rsidRDefault="00712C0B">
            <w:pPr>
              <w:rPr>
                <w:rFonts w:ascii="Arial Narrow" w:hAnsi="Arial Narrow"/>
                <w:sz w:val="20"/>
                <w:szCs w:val="20"/>
              </w:rPr>
            </w:pPr>
            <w:r w:rsidRPr="00341DB5">
              <w:rPr>
                <w:rFonts w:ascii="Arial Narrow" w:hAnsi="Arial Narrow"/>
                <w:sz w:val="20"/>
                <w:szCs w:val="20"/>
              </w:rPr>
              <w:t>Plus: GBCA MBS item 63491: Fee: $47.40 Benefit: 75% = $35.55 85% = $40.30</w:t>
            </w:r>
          </w:p>
        </w:tc>
      </w:tr>
    </w:tbl>
    <w:p w14:paraId="35689AEC" w14:textId="3C77F989" w:rsidR="008E6FED" w:rsidRPr="00341DB5" w:rsidRDefault="001A4F74" w:rsidP="00F226F7">
      <w:pPr>
        <w:spacing w:after="240"/>
        <w:rPr>
          <w:rFonts w:ascii="Arial Narrow" w:hAnsi="Arial Narrow"/>
          <w:sz w:val="18"/>
          <w:szCs w:val="18"/>
        </w:rPr>
      </w:pPr>
      <w:r w:rsidRPr="00341DB5">
        <w:rPr>
          <w:rFonts w:ascii="Arial Narrow" w:hAnsi="Arial Narrow"/>
          <w:iCs/>
          <w:sz w:val="18"/>
          <w:szCs w:val="18"/>
        </w:rPr>
        <w:t>GBCA = gadolinium-based contrast agent; MBS = Medicare Benefits Schedule</w:t>
      </w:r>
    </w:p>
    <w:tbl>
      <w:tblPr>
        <w:tblStyle w:val="TableGrid"/>
        <w:tblW w:w="0" w:type="auto"/>
        <w:tblLook w:val="04A0" w:firstRow="1" w:lastRow="0" w:firstColumn="1" w:lastColumn="0" w:noHBand="0" w:noVBand="1"/>
      </w:tblPr>
      <w:tblGrid>
        <w:gridCol w:w="9016"/>
      </w:tblGrid>
      <w:tr w:rsidR="002F5337" w14:paraId="001EFE80" w14:textId="77777777" w:rsidTr="002F5337">
        <w:trPr>
          <w:tblHeader/>
        </w:trPr>
        <w:tc>
          <w:tcPr>
            <w:tcW w:w="9016" w:type="dxa"/>
            <w:tcBorders>
              <w:top w:val="single" w:sz="4" w:space="0" w:color="auto"/>
              <w:left w:val="single" w:sz="4" w:space="0" w:color="auto"/>
              <w:bottom w:val="single" w:sz="4" w:space="0" w:color="auto"/>
              <w:right w:val="single" w:sz="4" w:space="0" w:color="auto"/>
            </w:tcBorders>
            <w:hideMark/>
          </w:tcPr>
          <w:p w14:paraId="1648C0F4" w14:textId="71B32CC3" w:rsidR="002F5337" w:rsidRDefault="002F5337" w:rsidP="00266B3B">
            <w:pPr>
              <w:pStyle w:val="Heading3"/>
              <w:spacing w:before="120" w:after="120"/>
              <w:rPr>
                <w:rFonts w:asciiTheme="majorHAnsi" w:eastAsiaTheme="minorHAnsi" w:hAnsiTheme="majorHAnsi" w:cstheme="minorBidi"/>
                <w:iCs/>
              </w:rPr>
            </w:pPr>
            <w:r>
              <w:t xml:space="preserve">Consumer summary </w:t>
            </w:r>
          </w:p>
        </w:tc>
      </w:tr>
      <w:tr w:rsidR="002F5337" w14:paraId="4E08BA5C" w14:textId="77777777" w:rsidTr="002F5337">
        <w:tc>
          <w:tcPr>
            <w:tcW w:w="9016" w:type="dxa"/>
            <w:tcBorders>
              <w:top w:val="single" w:sz="4" w:space="0" w:color="auto"/>
              <w:left w:val="single" w:sz="4" w:space="0" w:color="auto"/>
              <w:bottom w:val="single" w:sz="4" w:space="0" w:color="auto"/>
              <w:right w:val="single" w:sz="4" w:space="0" w:color="auto"/>
            </w:tcBorders>
            <w:hideMark/>
          </w:tcPr>
          <w:p w14:paraId="40162E45" w14:textId="65DA59A7" w:rsidR="002F5337" w:rsidRDefault="002F5337">
            <w:r>
              <w:t xml:space="preserve">This application from the Cardiac Society of Australia and New Zealand (CSANZ) </w:t>
            </w:r>
            <w:r w:rsidR="00AD5CD8">
              <w:t xml:space="preserve">requested </w:t>
            </w:r>
            <w:r>
              <w:t xml:space="preserve">Medicare Benefits Schedule (MBS) listing of cardiac magnetic resonance imaging (MRI) </w:t>
            </w:r>
            <w:r w:rsidR="008A5DBB">
              <w:t xml:space="preserve">for </w:t>
            </w:r>
            <w:r>
              <w:t xml:space="preserve">the diagnosis of myocarditis. </w:t>
            </w:r>
          </w:p>
          <w:p w14:paraId="2DF9E8A2" w14:textId="57266F7E" w:rsidR="002F5337" w:rsidRDefault="002F5337">
            <w:r>
              <w:t xml:space="preserve">Myocarditis is </w:t>
            </w:r>
            <w:r w:rsidR="00121E71">
              <w:t>a condition</w:t>
            </w:r>
            <w:r w:rsidR="00A15C98">
              <w:t xml:space="preserve"> that occurs when the heart muscle</w:t>
            </w:r>
            <w:r w:rsidR="00121E71">
              <w:t xml:space="preserve"> </w:t>
            </w:r>
            <w:r w:rsidR="00A15C98">
              <w:t>(myocardium)</w:t>
            </w:r>
            <w:r w:rsidR="00021B06">
              <w:t xml:space="preserve"> </w:t>
            </w:r>
            <w:r w:rsidR="00A15C98">
              <w:t>becomes inflamed.</w:t>
            </w:r>
            <w:r>
              <w:t xml:space="preserve"> </w:t>
            </w:r>
            <w:r w:rsidR="004C0951">
              <w:t>Inflammation</w:t>
            </w:r>
            <w:r>
              <w:t xml:space="preserve"> can </w:t>
            </w:r>
            <w:r w:rsidR="004C0951">
              <w:t>be caused by an</w:t>
            </w:r>
            <w:r>
              <w:t xml:space="preserve"> infectio</w:t>
            </w:r>
            <w:r w:rsidR="004C0951">
              <w:t>n, or by a</w:t>
            </w:r>
            <w:r>
              <w:t xml:space="preserve"> non-infectious cause. Acute myocarditis is the most common type of myocarditis (</w:t>
            </w:r>
            <w:r w:rsidR="00C032E7">
              <w:t xml:space="preserve">two thirds </w:t>
            </w:r>
            <w:r>
              <w:t xml:space="preserve">of cases) and </w:t>
            </w:r>
            <w:r w:rsidR="00C032E7">
              <w:t>has</w:t>
            </w:r>
            <w:r w:rsidR="00A467F2">
              <w:t xml:space="preserve"> </w:t>
            </w:r>
            <w:r w:rsidR="00C032E7">
              <w:t>a short time</w:t>
            </w:r>
            <w:r>
              <w:t xml:space="preserve"> between </w:t>
            </w:r>
            <w:r w:rsidR="004C0951">
              <w:t xml:space="preserve">when </w:t>
            </w:r>
            <w:r>
              <w:t>symptom</w:t>
            </w:r>
            <w:r w:rsidR="004C0951">
              <w:t>s start</w:t>
            </w:r>
            <w:r>
              <w:t xml:space="preserve"> and diagnosis</w:t>
            </w:r>
            <w:r w:rsidR="00C032E7">
              <w:t>, usually less than one month</w:t>
            </w:r>
            <w:r>
              <w:t>.</w:t>
            </w:r>
          </w:p>
          <w:p w14:paraId="00834EF6" w14:textId="586E6D97" w:rsidR="00AD1C6E" w:rsidRDefault="002F5337" w:rsidP="00AD1C6E">
            <w:r>
              <w:t>Cardiac MRI is a test that uses a magnetic field and radiofrequency waves to create detailed pictures of the heart and arteries.</w:t>
            </w:r>
            <w:r w:rsidR="00C91987">
              <w:t xml:space="preserve"> </w:t>
            </w:r>
            <w:r w:rsidR="00CF6C10">
              <w:t>MRI</w:t>
            </w:r>
            <w:r w:rsidR="00471917">
              <w:t xml:space="preserve"> is called a “non-invasive” test because it </w:t>
            </w:r>
            <w:r w:rsidR="0091307E">
              <w:t>takes an image without surgery</w:t>
            </w:r>
            <w:r w:rsidR="00CF6C10">
              <w:t>.</w:t>
            </w:r>
            <w:r w:rsidR="00AD1C6E">
              <w:t xml:space="preserve"> </w:t>
            </w:r>
            <w:r w:rsidR="00DC6539">
              <w:t>D</w:t>
            </w:r>
            <w:r>
              <w:t>iagnosi</w:t>
            </w:r>
            <w:r w:rsidR="00DC6539">
              <w:t>ng</w:t>
            </w:r>
            <w:r>
              <w:t xml:space="preserve"> myocarditis is often </w:t>
            </w:r>
            <w:r w:rsidR="00C64E39">
              <w:t xml:space="preserve">hard </w:t>
            </w:r>
            <w:r w:rsidR="007C1237">
              <w:t>because it can have many different</w:t>
            </w:r>
            <w:r>
              <w:t xml:space="preserve"> causes</w:t>
            </w:r>
            <w:r w:rsidR="007C1237">
              <w:t xml:space="preserve"> and</w:t>
            </w:r>
            <w:r>
              <w:t xml:space="preserve"> </w:t>
            </w:r>
            <w:r w:rsidR="00D75F80">
              <w:t>symptoms</w:t>
            </w:r>
            <w:r w:rsidR="00EF5932">
              <w:t>.</w:t>
            </w:r>
            <w:r>
              <w:t xml:space="preserve"> </w:t>
            </w:r>
            <w:r w:rsidR="00A85206">
              <w:t>Currently, myocarditis can be diagnosed using a range of</w:t>
            </w:r>
            <w:r w:rsidR="009176BA">
              <w:t xml:space="preserve"> </w:t>
            </w:r>
            <w:r w:rsidR="00A85206">
              <w:t>tests</w:t>
            </w:r>
            <w:r>
              <w:t xml:space="preserve">. This application proposed using cardiac MRI to diagnose acute myocarditis in the following two </w:t>
            </w:r>
            <w:r w:rsidR="00D5213D">
              <w:t>patient types (</w:t>
            </w:r>
            <w:r>
              <w:t>populations</w:t>
            </w:r>
            <w:r w:rsidR="00D5213D">
              <w:t>)</w:t>
            </w:r>
            <w:r w:rsidR="00DC6539">
              <w:t>:</w:t>
            </w:r>
          </w:p>
          <w:p w14:paraId="2A569DCE" w14:textId="1385D080" w:rsidR="002F5337" w:rsidRDefault="002F5337" w:rsidP="00341DB5">
            <w:pPr>
              <w:pStyle w:val="ListParagraph"/>
              <w:numPr>
                <w:ilvl w:val="0"/>
                <w:numId w:val="36"/>
              </w:numPr>
            </w:pPr>
            <w:r>
              <w:t>Population 1: Patients with signs and symptoms of acute heart failure and/or arrythmia</w:t>
            </w:r>
            <w:r w:rsidR="00DA08DD">
              <w:t xml:space="preserve"> (acute onset cardiomyopathy)</w:t>
            </w:r>
            <w:r>
              <w:t xml:space="preserve"> suggestive of acute myocarditis.</w:t>
            </w:r>
          </w:p>
          <w:p w14:paraId="57F0AA85" w14:textId="02233A99" w:rsidR="002F5337" w:rsidRDefault="002F5337" w:rsidP="00341DB5">
            <w:pPr>
              <w:pStyle w:val="Instructionaltext"/>
              <w:numPr>
                <w:ilvl w:val="0"/>
                <w:numId w:val="36"/>
              </w:numPr>
              <w:spacing w:line="254" w:lineRule="auto"/>
              <w:rPr>
                <w:color w:val="auto"/>
              </w:rPr>
            </w:pPr>
            <w:r>
              <w:rPr>
                <w:color w:val="auto"/>
              </w:rPr>
              <w:lastRenderedPageBreak/>
              <w:t xml:space="preserve">Population 2: Patients presenting with signs and symptoms of </w:t>
            </w:r>
            <w:r w:rsidR="00700155" w:rsidRPr="00341DB5">
              <w:rPr>
                <w:color w:val="auto"/>
              </w:rPr>
              <w:t>sudden reduced</w:t>
            </w:r>
            <w:r w:rsidR="004576EC" w:rsidRPr="00341DB5">
              <w:rPr>
                <w:color w:val="auto"/>
              </w:rPr>
              <w:t xml:space="preserve"> blood flow to the heart</w:t>
            </w:r>
            <w:r w:rsidR="00D931AE" w:rsidRPr="00341DB5">
              <w:rPr>
                <w:color w:val="auto"/>
              </w:rPr>
              <w:t xml:space="preserve"> (</w:t>
            </w:r>
            <w:r w:rsidR="00D931AE">
              <w:rPr>
                <w:color w:val="auto"/>
              </w:rPr>
              <w:t>acute coronary syndrome</w:t>
            </w:r>
            <w:r w:rsidR="00670F09">
              <w:rPr>
                <w:color w:val="auto"/>
              </w:rPr>
              <w:t xml:space="preserve"> [ACS]</w:t>
            </w:r>
            <w:r w:rsidR="00D931AE">
              <w:rPr>
                <w:color w:val="auto"/>
              </w:rPr>
              <w:t>)</w:t>
            </w:r>
            <w:r>
              <w:rPr>
                <w:color w:val="auto"/>
              </w:rPr>
              <w:t xml:space="preserve"> with an intermediate risk of </w:t>
            </w:r>
            <w:r w:rsidR="00D931AE" w:rsidRPr="00341DB5">
              <w:rPr>
                <w:color w:val="auto"/>
              </w:rPr>
              <w:t xml:space="preserve">blockage of blood flow to the heart </w:t>
            </w:r>
            <w:r w:rsidR="00381D25" w:rsidRPr="00341DB5">
              <w:rPr>
                <w:color w:val="auto"/>
              </w:rPr>
              <w:t xml:space="preserve">due to narrowing or closing of arteries that supply the heart with blood </w:t>
            </w:r>
            <w:r w:rsidR="00D931AE" w:rsidRPr="00341DB5">
              <w:rPr>
                <w:color w:val="auto"/>
              </w:rPr>
              <w:t>(</w:t>
            </w:r>
            <w:r>
              <w:rPr>
                <w:color w:val="auto"/>
              </w:rPr>
              <w:t>obstructive coronary artery disease</w:t>
            </w:r>
            <w:r w:rsidR="00670F09">
              <w:rPr>
                <w:color w:val="auto"/>
              </w:rPr>
              <w:t xml:space="preserve"> [CAD]</w:t>
            </w:r>
            <w:r w:rsidR="00D931AE">
              <w:rPr>
                <w:color w:val="auto"/>
              </w:rPr>
              <w:t>)</w:t>
            </w:r>
            <w:r>
              <w:rPr>
                <w:color w:val="auto"/>
              </w:rPr>
              <w:t>, or suspected myocarditis.</w:t>
            </w:r>
          </w:p>
          <w:p w14:paraId="27EA1B9F" w14:textId="4E5D4252" w:rsidR="00B50492" w:rsidRDefault="00F77B2D" w:rsidP="000612BA">
            <w:r>
              <w:t xml:space="preserve">MSAC noted </w:t>
            </w:r>
            <w:r w:rsidR="000E23C8">
              <w:t xml:space="preserve">that </w:t>
            </w:r>
            <w:r w:rsidR="00D5213D">
              <w:t xml:space="preserve">population 1 </w:t>
            </w:r>
            <w:r w:rsidR="00363955">
              <w:t>patients are currently diagnosed</w:t>
            </w:r>
            <w:r w:rsidR="00AC27B3">
              <w:t xml:space="preserve"> </w:t>
            </w:r>
            <w:r w:rsidR="00C51D18">
              <w:t>with</w:t>
            </w:r>
            <w:r w:rsidR="00AC27B3">
              <w:t xml:space="preserve"> myocarditis</w:t>
            </w:r>
            <w:r w:rsidR="00C75FA3">
              <w:t xml:space="preserve"> </w:t>
            </w:r>
            <w:r w:rsidR="00363955">
              <w:t xml:space="preserve">using </w:t>
            </w:r>
            <w:proofErr w:type="gramStart"/>
            <w:r w:rsidR="000E23C8">
              <w:t>a number of</w:t>
            </w:r>
            <w:proofErr w:type="gramEnd"/>
            <w:r w:rsidR="000E23C8">
              <w:t xml:space="preserve"> tests</w:t>
            </w:r>
            <w:r w:rsidR="00495F74">
              <w:t>, including an</w:t>
            </w:r>
            <w:r w:rsidR="00363955">
              <w:t xml:space="preserve"> invasive </w:t>
            </w:r>
            <w:r w:rsidR="006D7AEE">
              <w:t xml:space="preserve">heart </w:t>
            </w:r>
            <w:r w:rsidR="00C75FA3">
              <w:t xml:space="preserve">muscle </w:t>
            </w:r>
            <w:r w:rsidR="006D7AEE">
              <w:t>biopsy (</w:t>
            </w:r>
            <w:r w:rsidR="004A6685">
              <w:t>endomyocardial biopsy [EMB]</w:t>
            </w:r>
            <w:r w:rsidR="00FB5308">
              <w:t>, which takes a small sample of muscle from the heart</w:t>
            </w:r>
            <w:r w:rsidR="00A02237">
              <w:t xml:space="preserve"> for testing</w:t>
            </w:r>
            <w:r w:rsidR="004A6685">
              <w:t>)</w:t>
            </w:r>
            <w:r w:rsidR="000A048C">
              <w:t>,</w:t>
            </w:r>
            <w:r w:rsidR="005003FE">
              <w:t xml:space="preserve"> but </w:t>
            </w:r>
            <w:r w:rsidR="00720363">
              <w:t>the biopsy</w:t>
            </w:r>
            <w:r w:rsidR="00556228">
              <w:t xml:space="preserve"> may not always </w:t>
            </w:r>
            <w:r w:rsidR="00B77E58">
              <w:t xml:space="preserve">identify the underlying </w:t>
            </w:r>
            <w:r w:rsidR="000A048C">
              <w:t>cause</w:t>
            </w:r>
            <w:r w:rsidR="00377DFE">
              <w:t xml:space="preserve">. </w:t>
            </w:r>
            <w:r w:rsidR="0025305F">
              <w:t>C</w:t>
            </w:r>
            <w:r w:rsidR="00683033">
              <w:t xml:space="preserve">ardiac MRI is an established tool for </w:t>
            </w:r>
            <w:r w:rsidR="006C13F3">
              <w:t>making</w:t>
            </w:r>
            <w:r w:rsidR="00683033">
              <w:t xml:space="preserve"> a </w:t>
            </w:r>
            <w:r w:rsidR="004852F6">
              <w:t xml:space="preserve">diagnosis of </w:t>
            </w:r>
            <w:r w:rsidR="00683033">
              <w:t xml:space="preserve">myocarditis and is recommended in international guidelines. </w:t>
            </w:r>
            <w:r w:rsidR="008E2BFD">
              <w:t>B</w:t>
            </w:r>
            <w:r w:rsidR="00683033">
              <w:t>ecause there w</w:t>
            </w:r>
            <w:r w:rsidR="00C43878">
              <w:t>as not much relevant evidence</w:t>
            </w:r>
            <w:r w:rsidR="00683033">
              <w:t>,</w:t>
            </w:r>
            <w:r w:rsidR="00C112D6">
              <w:t xml:space="preserve"> the economic and financial assessments had to rely on</w:t>
            </w:r>
            <w:r w:rsidR="00683033">
              <w:t xml:space="preserve"> expert opinion</w:t>
            </w:r>
            <w:r w:rsidR="00C112D6">
              <w:t>, which</w:t>
            </w:r>
            <w:r w:rsidR="00683033">
              <w:t xml:space="preserve"> made the</w:t>
            </w:r>
            <w:r w:rsidR="00C112D6">
              <w:t>m</w:t>
            </w:r>
            <w:r w:rsidR="00683033">
              <w:t xml:space="preserve"> uncertain. But MSAC considered that listing the service would improve equity for patients who would otherwise re</w:t>
            </w:r>
            <w:r w:rsidR="003C7ED6">
              <w:t>quire</w:t>
            </w:r>
            <w:r w:rsidR="00683033">
              <w:t xml:space="preserve"> a heart biopsy to diagnose myocarditis, which is invasive</w:t>
            </w:r>
            <w:r w:rsidR="00183E34">
              <w:t xml:space="preserve"> and </w:t>
            </w:r>
            <w:r w:rsidR="00A02237">
              <w:t>less safe than MRI</w:t>
            </w:r>
            <w:r w:rsidR="00683033">
              <w:t xml:space="preserve">. </w:t>
            </w:r>
            <w:r w:rsidR="008E2BFD">
              <w:t xml:space="preserve">While there was </w:t>
            </w:r>
            <w:r w:rsidR="000558E7">
              <w:t>not much evidence that getting a diagnosis would change a patient’s treatment and improve their health,</w:t>
            </w:r>
            <w:r w:rsidR="003D3E24">
              <w:t xml:space="preserve"> on balance</w:t>
            </w:r>
            <w:r w:rsidR="000558E7">
              <w:t xml:space="preserve"> MSAC </w:t>
            </w:r>
            <w:r w:rsidR="003D3E24">
              <w:t>accepted</w:t>
            </w:r>
            <w:r w:rsidR="000558E7">
              <w:t xml:space="preserve"> </w:t>
            </w:r>
            <w:r w:rsidR="0040101E">
              <w:t xml:space="preserve">that </w:t>
            </w:r>
            <w:r w:rsidR="00235E70">
              <w:t>getting a</w:t>
            </w:r>
            <w:r w:rsidR="00144BFA">
              <w:t xml:space="preserve"> diagnosis </w:t>
            </w:r>
            <w:r w:rsidR="003D3E24">
              <w:t xml:space="preserve">probably </w:t>
            </w:r>
            <w:r w:rsidR="00144BFA">
              <w:t>will change</w:t>
            </w:r>
            <w:r w:rsidR="00E77780">
              <w:t xml:space="preserve"> treatments in line with clinical guidelines</w:t>
            </w:r>
            <w:r w:rsidR="003D3E24">
              <w:t xml:space="preserve">. </w:t>
            </w:r>
            <w:r w:rsidR="00683033">
              <w:t xml:space="preserve">MSAC </w:t>
            </w:r>
            <w:r w:rsidR="00181B62">
              <w:t>advised</w:t>
            </w:r>
            <w:r w:rsidR="00683033">
              <w:t xml:space="preserve"> that the </w:t>
            </w:r>
            <w:r w:rsidR="00B565D4">
              <w:t xml:space="preserve">value for money </w:t>
            </w:r>
            <w:r w:rsidR="00181B62">
              <w:t>and the</w:t>
            </w:r>
            <w:r w:rsidR="00B565D4">
              <w:t xml:space="preserve"> </w:t>
            </w:r>
            <w:r w:rsidR="00683033">
              <w:t xml:space="preserve">overall </w:t>
            </w:r>
            <w:r w:rsidR="00B565D4">
              <w:t>cost to the MBS for this population</w:t>
            </w:r>
            <w:r w:rsidR="00683033">
              <w:t xml:space="preserve"> </w:t>
            </w:r>
            <w:r w:rsidR="00181B62">
              <w:t>were acceptable</w:t>
            </w:r>
            <w:r w:rsidR="00683033">
              <w:t>.</w:t>
            </w:r>
            <w:r w:rsidR="006E6A79">
              <w:t xml:space="preserve"> Therefore, </w:t>
            </w:r>
            <w:r w:rsidR="00342EC1">
              <w:t xml:space="preserve">for population 1 </w:t>
            </w:r>
            <w:r w:rsidR="006E6A79">
              <w:t xml:space="preserve">MSAC supported </w:t>
            </w:r>
            <w:r w:rsidR="00550ED9">
              <w:t xml:space="preserve">cardiac MRI </w:t>
            </w:r>
            <w:r w:rsidR="006E6A79">
              <w:t>testing to diagnose acute myocarditis.</w:t>
            </w:r>
            <w:r w:rsidR="000612BA">
              <w:t xml:space="preserve"> </w:t>
            </w:r>
          </w:p>
          <w:p w14:paraId="27DCBF72" w14:textId="0924CDF9" w:rsidR="000612BA" w:rsidRDefault="000612BA" w:rsidP="000612BA">
            <w:r>
              <w:t xml:space="preserve">MSAC noted that </w:t>
            </w:r>
            <w:r w:rsidR="00EE0806">
              <w:t xml:space="preserve">the applicant proposed a permanent MBS item for </w:t>
            </w:r>
            <w:r>
              <w:t>cardiac MRI to replace the current temporary MBS item (63399) that was listed to aid in diagnosing myocarditis associated with mRNA COVID-19 vaccination. Th</w:t>
            </w:r>
            <w:r w:rsidR="00DF2F2D">
              <w:t>e</w:t>
            </w:r>
            <w:r>
              <w:t xml:space="preserve"> temporary item </w:t>
            </w:r>
            <w:r w:rsidR="008C424C">
              <w:t>is scheduled to</w:t>
            </w:r>
            <w:r w:rsidR="002C3731">
              <w:t xml:space="preserve"> </w:t>
            </w:r>
            <w:r>
              <w:t xml:space="preserve">end in December 2024, </w:t>
            </w:r>
            <w:r w:rsidR="00746263">
              <w:t>and MSAC considered that</w:t>
            </w:r>
            <w:r>
              <w:t xml:space="preserve"> </w:t>
            </w:r>
            <w:r w:rsidR="006C13F3">
              <w:t>most of</w:t>
            </w:r>
            <w:r>
              <w:t xml:space="preserve"> these people </w:t>
            </w:r>
            <w:r w:rsidR="006C13F3">
              <w:t>will</w:t>
            </w:r>
            <w:r>
              <w:t xml:space="preserve"> be covered under the </w:t>
            </w:r>
            <w:r w:rsidR="006C13F3">
              <w:t>new MBS</w:t>
            </w:r>
            <w:r>
              <w:t xml:space="preserve"> item in the future</w:t>
            </w:r>
            <w:r w:rsidR="006D3D06">
              <w:t xml:space="preserve">, which was acceptable given how much the temporary item is being used </w:t>
            </w:r>
            <w:proofErr w:type="gramStart"/>
            <w:r w:rsidR="006D3D06">
              <w:t>at the moment</w:t>
            </w:r>
            <w:proofErr w:type="gramEnd"/>
            <w:r>
              <w:t>.</w:t>
            </w:r>
          </w:p>
          <w:p w14:paraId="5AA92DE9" w14:textId="5F0C6D9F" w:rsidR="000612BA" w:rsidRDefault="000612BA" w:rsidP="000612BA">
            <w:r>
              <w:t xml:space="preserve">MSAC </w:t>
            </w:r>
            <w:r w:rsidR="00397CB9">
              <w:t>considered</w:t>
            </w:r>
            <w:r>
              <w:t xml:space="preserve"> that </w:t>
            </w:r>
            <w:r w:rsidR="001150FA">
              <w:t xml:space="preserve">the </w:t>
            </w:r>
            <w:r>
              <w:t xml:space="preserve">current </w:t>
            </w:r>
            <w:r w:rsidR="00763E55">
              <w:t>fees</w:t>
            </w:r>
            <w:r>
              <w:t xml:space="preserve"> for similar </w:t>
            </w:r>
            <w:r w:rsidR="001150FA">
              <w:t xml:space="preserve">MBS </w:t>
            </w:r>
            <w:r>
              <w:t>items do not justify the proposed fee</w:t>
            </w:r>
            <w:r w:rsidR="00B869E6">
              <w:t>,</w:t>
            </w:r>
            <w:r>
              <w:t xml:space="preserve"> and </w:t>
            </w:r>
            <w:r w:rsidR="00397CB9">
              <w:t xml:space="preserve">advised </w:t>
            </w:r>
            <w:r>
              <w:t xml:space="preserve">the fee </w:t>
            </w:r>
            <w:r w:rsidR="00CF351E">
              <w:t>s</w:t>
            </w:r>
            <w:r w:rsidR="001847D6">
              <w:t>h</w:t>
            </w:r>
            <w:r>
              <w:t xml:space="preserve">ould be </w:t>
            </w:r>
            <w:r w:rsidR="00397CB9">
              <w:t>lower than the applicant proposed</w:t>
            </w:r>
            <w:r>
              <w:t xml:space="preserve">. </w:t>
            </w:r>
            <w:r w:rsidR="00E81832">
              <w:t xml:space="preserve">MSAC requested the department policy area review the fees of </w:t>
            </w:r>
            <w:r w:rsidR="00397CB9">
              <w:t xml:space="preserve">MBS </w:t>
            </w:r>
            <w:r w:rsidR="00E81832">
              <w:t xml:space="preserve">items </w:t>
            </w:r>
            <w:r w:rsidR="00397CB9">
              <w:t xml:space="preserve">for MRI </w:t>
            </w:r>
            <w:r w:rsidR="00E81832">
              <w:t>to make sure the fees are consistent</w:t>
            </w:r>
            <w:r w:rsidR="000E46E7">
              <w:t xml:space="preserve"> between similar items and reasonable</w:t>
            </w:r>
            <w:r w:rsidR="00397CB9">
              <w:t>.</w:t>
            </w:r>
          </w:p>
          <w:p w14:paraId="46CAA37B" w14:textId="67D42451" w:rsidR="002F5337" w:rsidRDefault="00B869E6">
            <w:r>
              <w:t>F</w:t>
            </w:r>
            <w:r w:rsidR="002F5337">
              <w:t>or population 2, the applica</w:t>
            </w:r>
            <w:r>
              <w:t>n</w:t>
            </w:r>
            <w:r w:rsidR="002F5337">
              <w:t xml:space="preserve">t stated that patients with a low </w:t>
            </w:r>
            <w:r>
              <w:t>risk</w:t>
            </w:r>
            <w:r w:rsidR="002F5337">
              <w:t xml:space="preserve"> of </w:t>
            </w:r>
            <w:r w:rsidR="009E3E90" w:rsidRPr="00475667">
              <w:t>CAD</w:t>
            </w:r>
            <w:r w:rsidR="002F5337" w:rsidRPr="00475667">
              <w:t xml:space="preserve"> would no</w:t>
            </w:r>
            <w:r w:rsidR="00AD7275">
              <w:t xml:space="preserve"> longer need</w:t>
            </w:r>
            <w:r w:rsidR="002F5337" w:rsidRPr="00475667">
              <w:t xml:space="preserve"> </w:t>
            </w:r>
            <w:r w:rsidR="00B86E9B">
              <w:t xml:space="preserve">current types of imaging, and </w:t>
            </w:r>
            <w:r w:rsidR="00825EA0" w:rsidRPr="00475667">
              <w:t>would</w:t>
            </w:r>
            <w:r w:rsidR="002F5337">
              <w:t xml:space="preserve"> instead </w:t>
            </w:r>
            <w:r w:rsidR="00B86E9B">
              <w:t>have</w:t>
            </w:r>
            <w:r w:rsidR="002F5337">
              <w:t xml:space="preserve"> cardiac MRI as the </w:t>
            </w:r>
            <w:r w:rsidR="00604D69">
              <w:t xml:space="preserve">first </w:t>
            </w:r>
            <w:r w:rsidR="00D961DB">
              <w:t>test</w:t>
            </w:r>
            <w:r w:rsidR="002F5337">
              <w:t xml:space="preserve">. However, MSAC considered that in real-world practice </w:t>
            </w:r>
            <w:r w:rsidR="004645C8">
              <w:t>the current</w:t>
            </w:r>
            <w:r w:rsidR="00090E66" w:rsidRPr="00475667">
              <w:t xml:space="preserve"> test</w:t>
            </w:r>
            <w:r w:rsidR="00C026D0" w:rsidRPr="00475667">
              <w:t>s</w:t>
            </w:r>
            <w:r w:rsidR="002F5337">
              <w:t xml:space="preserve"> </w:t>
            </w:r>
            <w:r w:rsidR="0045387D">
              <w:t>for CAD</w:t>
            </w:r>
            <w:r w:rsidR="002F5337">
              <w:t xml:space="preserve"> would </w:t>
            </w:r>
            <w:r w:rsidR="004645C8">
              <w:t xml:space="preserve">most likely still </w:t>
            </w:r>
            <w:r w:rsidR="002F5337">
              <w:t>happen before a cardiac MRI</w:t>
            </w:r>
            <w:r w:rsidR="00C026D0" w:rsidRPr="00475667">
              <w:t xml:space="preserve"> for patients with</w:t>
            </w:r>
            <w:r w:rsidR="00C724ED">
              <w:t>in population 2</w:t>
            </w:r>
            <w:r w:rsidR="00C026D0" w:rsidRPr="00475667">
              <w:t>.</w:t>
            </w:r>
            <w:r w:rsidR="00F20B30">
              <w:t xml:space="preserve"> </w:t>
            </w:r>
            <w:r w:rsidR="001F40D7">
              <w:t>T</w:t>
            </w:r>
            <w:r w:rsidR="00F20B30">
              <w:t>his means that cardiac MRI would be an extra test for these patients, rather than replacing current tests.</w:t>
            </w:r>
            <w:r w:rsidR="00550ED9" w:rsidRPr="00475667">
              <w:t xml:space="preserve"> </w:t>
            </w:r>
            <w:r w:rsidR="00AA27F8">
              <w:t xml:space="preserve">This made </w:t>
            </w:r>
            <w:r w:rsidR="00C65A0F">
              <w:t>the</w:t>
            </w:r>
            <w:r w:rsidR="00D87176">
              <w:t xml:space="preserve"> purpose of adding a cardiac MRI unclear, and the</w:t>
            </w:r>
            <w:r w:rsidR="00C65A0F">
              <w:t xml:space="preserve"> value for money and cost</w:t>
            </w:r>
            <w:r w:rsidR="00AA27F8">
              <w:t xml:space="preserve"> to the MBS</w:t>
            </w:r>
            <w:r w:rsidR="00C65A0F">
              <w:t xml:space="preserve"> </w:t>
            </w:r>
            <w:r w:rsidR="00D80795">
              <w:t>uncertain</w:t>
            </w:r>
            <w:r w:rsidR="00AA27F8">
              <w:t>, so</w:t>
            </w:r>
            <w:r w:rsidR="00550ED9" w:rsidRPr="00475667">
              <w:t xml:space="preserve"> MSAC did not support </w:t>
            </w:r>
            <w:r w:rsidR="00C23105">
              <w:t xml:space="preserve">use of </w:t>
            </w:r>
            <w:r w:rsidR="00395506" w:rsidRPr="00475667">
              <w:t>cardiac MRI</w:t>
            </w:r>
            <w:r w:rsidR="00550ED9" w:rsidRPr="00475667">
              <w:t xml:space="preserve"> </w:t>
            </w:r>
            <w:r w:rsidR="00395506" w:rsidRPr="00475667">
              <w:t>for ACS patients with intermediate risk of obstructive CAD</w:t>
            </w:r>
            <w:r w:rsidR="001847D6">
              <w:t>.</w:t>
            </w:r>
          </w:p>
          <w:p w14:paraId="42A18C13" w14:textId="28EC4BD9" w:rsidR="002F5337" w:rsidRDefault="002F5337">
            <w:pPr>
              <w:pStyle w:val="Heading3"/>
            </w:pPr>
            <w:r>
              <w:t xml:space="preserve">MSAC’s advice to the </w:t>
            </w:r>
            <w:proofErr w:type="gramStart"/>
            <w:r>
              <w:t>Commonwealth Minister</w:t>
            </w:r>
            <w:proofErr w:type="gramEnd"/>
            <w:r>
              <w:t xml:space="preserve"> for Health</w:t>
            </w:r>
            <w:r w:rsidR="00631230">
              <w:t xml:space="preserve"> and Aged Care</w:t>
            </w:r>
          </w:p>
          <w:p w14:paraId="4A87926A" w14:textId="6B9649D7" w:rsidR="002F5337" w:rsidRDefault="002F5337" w:rsidP="00B56589">
            <w:pPr>
              <w:spacing w:after="120"/>
            </w:pPr>
            <w:r>
              <w:t>MSAC supported listing the of cardiac MRI in the diagnosis of myocarditis in patients with signs and symptoms of acute onset cardiomyopathy (acute heart failure and/or arrythmia) suggestive of acute myocarditis</w:t>
            </w:r>
            <w:r w:rsidR="00097B28">
              <w:t>, because it will allow them to avoid an invasive biopsy. However</w:t>
            </w:r>
            <w:r w:rsidR="00EE3C73">
              <w:t>,</w:t>
            </w:r>
            <w:r w:rsidR="00097B28">
              <w:t xml:space="preserve"> MSAC did not support cardiac MRI for other patients where </w:t>
            </w:r>
            <w:r w:rsidR="001F40D7">
              <w:t xml:space="preserve">there was insufficient evidence that it would be </w:t>
            </w:r>
            <w:r w:rsidR="00335323">
              <w:t>useful</w:t>
            </w:r>
            <w:r w:rsidR="001F40D7">
              <w:t>.</w:t>
            </w:r>
          </w:p>
        </w:tc>
      </w:tr>
    </w:tbl>
    <w:p w14:paraId="1781A032" w14:textId="77777777" w:rsidR="00F226F7" w:rsidRDefault="00F226F7" w:rsidP="00F226F7">
      <w:pPr>
        <w:pStyle w:val="Heading2"/>
        <w:numPr>
          <w:ilvl w:val="1"/>
          <w:numId w:val="0"/>
        </w:numPr>
      </w:pPr>
      <w:r>
        <w:lastRenderedPageBreak/>
        <w:t>3.</w:t>
      </w:r>
      <w:r>
        <w:tab/>
        <w:t>Summary of consideration and rationale for MSAC’s advice</w:t>
      </w:r>
    </w:p>
    <w:p w14:paraId="4BFC5B7C" w14:textId="5C1485B0" w:rsidR="00F57EE9" w:rsidRDefault="00F57EE9" w:rsidP="00F57EE9">
      <w:r>
        <w:t>MSAC noted that this application requesting MBS listing of cardiac magnetic resonance imaging (MRI) for the diagnosis of myocarditis was received from the CSANZ by the Department of Health and Aged Care.</w:t>
      </w:r>
    </w:p>
    <w:p w14:paraId="00879961" w14:textId="6213F732" w:rsidR="00F57EE9" w:rsidRDefault="00F57EE9" w:rsidP="00F57EE9">
      <w:r>
        <w:t xml:space="preserve">MSAC recalled that in April 2017, </w:t>
      </w:r>
      <w:r w:rsidR="00611819">
        <w:t xml:space="preserve">it </w:t>
      </w:r>
      <w:r w:rsidR="00D11CF8">
        <w:t xml:space="preserve">had </w:t>
      </w:r>
      <w:r>
        <w:t xml:space="preserve">considered </w:t>
      </w:r>
      <w:r w:rsidR="00F43281">
        <w:rPr>
          <w:i/>
          <w:iCs/>
        </w:rPr>
        <w:t>A</w:t>
      </w:r>
      <w:r w:rsidRPr="00341DB5">
        <w:rPr>
          <w:i/>
          <w:iCs/>
        </w:rPr>
        <w:t>pplication 1432 – Cardiac MRI of patients with suspected non-ischaemic cardiomyopathy (Part B)</w:t>
      </w:r>
      <w:r w:rsidR="007E5189">
        <w:rPr>
          <w:rStyle w:val="FootnoteReference"/>
        </w:rPr>
        <w:footnoteReference w:id="2"/>
      </w:r>
      <w:r>
        <w:t xml:space="preserve">. Population 5 </w:t>
      </w:r>
      <w:r w:rsidR="007E5189">
        <w:t>of</w:t>
      </w:r>
      <w:r>
        <w:t xml:space="preserve"> application </w:t>
      </w:r>
      <w:r w:rsidR="007E5189">
        <w:t>1432 included</w:t>
      </w:r>
      <w:r>
        <w:t xml:space="preserve"> patients with cardiomyopathies due to ACS, myocarditis or Takotsubo cardiomyopathy (TTC). MSAC recalled it </w:t>
      </w:r>
      <w:r w:rsidR="00202213">
        <w:t xml:space="preserve">had </w:t>
      </w:r>
      <w:r>
        <w:t>not support</w:t>
      </w:r>
      <w:r w:rsidR="00202213">
        <w:t>ed</w:t>
      </w:r>
      <w:r>
        <w:t xml:space="preserve"> population 5 </w:t>
      </w:r>
      <w:r w:rsidR="00F51554">
        <w:t xml:space="preserve">at the time </w:t>
      </w:r>
      <w:r>
        <w:t xml:space="preserve">because the cost-effectiveness was highly uncertain due to limited evidence on long-term health outcomes. MSAC noted that population 5 from application </w:t>
      </w:r>
      <w:r w:rsidR="00413A1E">
        <w:t>1432 wa</w:t>
      </w:r>
      <w:r>
        <w:t xml:space="preserve">s </w:t>
      </w:r>
      <w:proofErr w:type="gramStart"/>
      <w:r>
        <w:t>similar to</w:t>
      </w:r>
      <w:proofErr w:type="gramEnd"/>
      <w:r>
        <w:t xml:space="preserve"> population 2 in the current application.</w:t>
      </w:r>
      <w:r w:rsidR="00B11248">
        <w:t xml:space="preserve"> </w:t>
      </w:r>
      <w:r>
        <w:t xml:space="preserve">MSAC also noted that, </w:t>
      </w:r>
      <w:r w:rsidR="006E6EFB">
        <w:t xml:space="preserve">the </w:t>
      </w:r>
      <w:r w:rsidR="000D610B">
        <w:t xml:space="preserve">MSAC </w:t>
      </w:r>
      <w:r w:rsidR="00D16542">
        <w:t>E</w:t>
      </w:r>
      <w:r w:rsidR="000D610B">
        <w:t>xecutive supported</w:t>
      </w:r>
      <w:r>
        <w:t xml:space="preserve"> a temporary cardiac MRI MBS item </w:t>
      </w:r>
      <w:r w:rsidR="003F690E">
        <w:t xml:space="preserve">that </w:t>
      </w:r>
      <w:r>
        <w:t xml:space="preserve">was introduced </w:t>
      </w:r>
      <w:r w:rsidR="003F690E">
        <w:t xml:space="preserve">on </w:t>
      </w:r>
      <w:r w:rsidR="003F690E">
        <w:rPr>
          <w:iCs/>
          <w:snapToGrid w:val="0"/>
        </w:rPr>
        <w:t>1 January 2022</w:t>
      </w:r>
      <w:r>
        <w:rPr>
          <w:snapToGrid w:val="0"/>
        </w:rPr>
        <w:t xml:space="preserve"> </w:t>
      </w:r>
      <w:r>
        <w:t xml:space="preserve">for suspected mRNA COVID-19 vaccine-associated myocarditis (MBS item 63399); however, a full health technology assessment (HTA) </w:t>
      </w:r>
      <w:r w:rsidR="00E103E5">
        <w:t xml:space="preserve">had </w:t>
      </w:r>
      <w:r>
        <w:t>not</w:t>
      </w:r>
      <w:r w:rsidR="00E103E5">
        <w:t xml:space="preserve"> been</w:t>
      </w:r>
      <w:r>
        <w:t xml:space="preserve"> done for </w:t>
      </w:r>
      <w:r w:rsidR="00493575">
        <w:t>the</w:t>
      </w:r>
      <w:r w:rsidR="00E103E5">
        <w:t xml:space="preserve"> temporary</w:t>
      </w:r>
      <w:r w:rsidR="00493575">
        <w:t xml:space="preserve"> </w:t>
      </w:r>
      <w:r>
        <w:t xml:space="preserve">item. </w:t>
      </w:r>
      <w:r w:rsidR="00E2314C">
        <w:t>MSAC noted t</w:t>
      </w:r>
      <w:r>
        <w:t>h</w:t>
      </w:r>
      <w:r w:rsidR="004C1586">
        <w:t>e temporary</w:t>
      </w:r>
      <w:r>
        <w:t xml:space="preserve"> </w:t>
      </w:r>
      <w:r w:rsidR="003F690E">
        <w:t>item</w:t>
      </w:r>
      <w:r>
        <w:t xml:space="preserve"> was extended on 19 August 2022 and </w:t>
      </w:r>
      <w:r w:rsidR="00E2314C">
        <w:t>is scheduled to</w:t>
      </w:r>
      <w:r w:rsidR="003F690E">
        <w:t xml:space="preserve"> cease</w:t>
      </w:r>
      <w:r>
        <w:t xml:space="preserve"> </w:t>
      </w:r>
      <w:r w:rsidR="34024C85">
        <w:t>o</w:t>
      </w:r>
      <w:r>
        <w:t xml:space="preserve">n </w:t>
      </w:r>
      <w:r w:rsidR="660109DF">
        <w:t>31</w:t>
      </w:r>
      <w:r>
        <w:t xml:space="preserve"> December 2024.</w:t>
      </w:r>
    </w:p>
    <w:p w14:paraId="6D13C32D" w14:textId="32FF3180" w:rsidR="00F57EE9" w:rsidRDefault="00F57EE9" w:rsidP="00F57EE9">
      <w:r>
        <w:t xml:space="preserve">MSAC noted that </w:t>
      </w:r>
      <w:r w:rsidR="00496B13">
        <w:t>this</w:t>
      </w:r>
      <w:r>
        <w:t xml:space="preserve"> application was initiated </w:t>
      </w:r>
      <w:r w:rsidR="00134A86">
        <w:t>following</w:t>
      </w:r>
      <w:r>
        <w:t xml:space="preserve"> discussions between the Department and the applicant in relation to the temporary cardiac MRI item and the need </w:t>
      </w:r>
      <w:r w:rsidR="00993A38">
        <w:t>for</w:t>
      </w:r>
      <w:r w:rsidR="002C5049">
        <w:t xml:space="preserve"> </w:t>
      </w:r>
      <w:proofErr w:type="gramStart"/>
      <w:r>
        <w:t>a</w:t>
      </w:r>
      <w:proofErr w:type="gramEnd"/>
      <w:r>
        <w:t xml:space="preserve"> HTA.</w:t>
      </w:r>
    </w:p>
    <w:p w14:paraId="53A7F791" w14:textId="498E9AA1" w:rsidR="00755360" w:rsidRDefault="00957883" w:rsidP="00F57EE9">
      <w:r>
        <w:t xml:space="preserve">MSAC noted </w:t>
      </w:r>
      <w:r w:rsidR="00755360">
        <w:t xml:space="preserve">that </w:t>
      </w:r>
      <w:r w:rsidR="00D76040">
        <w:rPr>
          <w:lang w:val="en-US"/>
        </w:rPr>
        <w:t xml:space="preserve">myocarditis is </w:t>
      </w:r>
      <w:r w:rsidR="00D76040" w:rsidRPr="007A7BA6">
        <w:t xml:space="preserve">inflammation of the </w:t>
      </w:r>
      <w:r w:rsidR="00D76040">
        <w:t>heart muscle (</w:t>
      </w:r>
      <w:r w:rsidR="00D76040" w:rsidRPr="007A7BA6">
        <w:t>myocardium</w:t>
      </w:r>
      <w:r w:rsidR="00D76040">
        <w:t>)</w:t>
      </w:r>
      <w:r w:rsidR="00D76040" w:rsidRPr="007A7BA6">
        <w:t xml:space="preserve"> </w:t>
      </w:r>
      <w:r w:rsidR="00D76040">
        <w:t>characterised by</w:t>
      </w:r>
      <w:r w:rsidR="00D76040" w:rsidRPr="007A7BA6">
        <w:t xml:space="preserve"> presence of inflammatory infiltrate, degenerative and necrotic changes to cardiomyocytes.</w:t>
      </w:r>
      <w:r w:rsidR="00D76040">
        <w:t xml:space="preserve"> MSAC noted although the aetiology of myocarditis remains unknown in ~50% of cases, it </w:t>
      </w:r>
      <w:r w:rsidR="00395A26">
        <w:t xml:space="preserve">has </w:t>
      </w:r>
      <w:proofErr w:type="gramStart"/>
      <w:r w:rsidR="00395A26">
        <w:t>a large number of</w:t>
      </w:r>
      <w:proofErr w:type="gramEnd"/>
      <w:r w:rsidR="00395A26">
        <w:t xml:space="preserve"> aetiologies including </w:t>
      </w:r>
      <w:r w:rsidR="00D76040">
        <w:t xml:space="preserve">viral infections, </w:t>
      </w:r>
      <w:r w:rsidR="00D76040" w:rsidRPr="008F7DD7">
        <w:t>drugs, environmental</w:t>
      </w:r>
      <w:r w:rsidR="00D76040">
        <w:t xml:space="preserve"> factors and </w:t>
      </w:r>
      <w:r w:rsidR="00D76040" w:rsidRPr="008F7DD7">
        <w:t>autoimmune</w:t>
      </w:r>
      <w:r w:rsidR="00D76040">
        <w:t xml:space="preserve"> diseases. The diagnosis of myocarditis is challenging as patient presentation ranges from being </w:t>
      </w:r>
      <w:r w:rsidR="00D76040" w:rsidRPr="0023487E">
        <w:t xml:space="preserve">asymptomatic to </w:t>
      </w:r>
      <w:r w:rsidR="00D76040">
        <w:t xml:space="preserve">presenting with </w:t>
      </w:r>
      <w:r w:rsidR="00D76040" w:rsidRPr="0023487E">
        <w:t xml:space="preserve">subtle </w:t>
      </w:r>
      <w:r w:rsidR="00C1177A">
        <w:t>cardiac dysfunction through to</w:t>
      </w:r>
      <w:r w:rsidR="00D76040" w:rsidRPr="0023487E">
        <w:t xml:space="preserve"> cardiogenic shock </w:t>
      </w:r>
      <w:r w:rsidR="00C1177A">
        <w:t>or</w:t>
      </w:r>
      <w:r w:rsidR="00D76040" w:rsidRPr="0023487E">
        <w:t xml:space="preserve"> sudden death</w:t>
      </w:r>
      <w:r w:rsidR="00D76040">
        <w:t>. The symptoms</w:t>
      </w:r>
      <w:r w:rsidR="007D3BD8">
        <w:t xml:space="preserve"> </w:t>
      </w:r>
      <w:r w:rsidR="00E20554">
        <w:t>can</w:t>
      </w:r>
      <w:r w:rsidR="007D3BD8">
        <w:t xml:space="preserve"> mimic ACS and</w:t>
      </w:r>
      <w:r w:rsidR="00D76040">
        <w:t xml:space="preserve"> include a sudden onset of acute chest pain, </w:t>
      </w:r>
      <w:r w:rsidR="00D76040" w:rsidRPr="00CA26B7">
        <w:t xml:space="preserve">dyspnoea, </w:t>
      </w:r>
      <w:r w:rsidR="00D76040">
        <w:t>persistent or intermittent palpitations within &lt;1 month of symptom onset and diagnosis.</w:t>
      </w:r>
      <w:r w:rsidR="00774728">
        <w:t xml:space="preserve"> </w:t>
      </w:r>
    </w:p>
    <w:p w14:paraId="0A9FE1E0" w14:textId="4C61BE45" w:rsidR="00EC3514" w:rsidRDefault="00EC3514" w:rsidP="00F57EE9">
      <w:r>
        <w:t xml:space="preserve">MSAC noted </w:t>
      </w:r>
      <w:r w:rsidR="00331B78">
        <w:t>that current test</w:t>
      </w:r>
      <w:r w:rsidR="008F2AA7">
        <w:t>s</w:t>
      </w:r>
      <w:r w:rsidR="00331B78">
        <w:t xml:space="preserve"> for diagnosis of myocarditis were </w:t>
      </w:r>
      <w:r w:rsidR="008F2AA7">
        <w:t>non-specific</w:t>
      </w:r>
      <w:r w:rsidR="00110C93">
        <w:t xml:space="preserve">. </w:t>
      </w:r>
      <w:r w:rsidR="00A37AFF">
        <w:t xml:space="preserve">The reference standard </w:t>
      </w:r>
      <w:r w:rsidR="00A76442">
        <w:t xml:space="preserve">test </w:t>
      </w:r>
      <w:r w:rsidR="0006795B">
        <w:t xml:space="preserve">currently used </w:t>
      </w:r>
      <w:r w:rsidR="0096791D" w:rsidRPr="00DE0CD5">
        <w:t xml:space="preserve">for diagnosing myocarditis </w:t>
      </w:r>
      <w:r w:rsidR="0004268D">
        <w:t xml:space="preserve">is </w:t>
      </w:r>
      <w:r w:rsidR="00A76442" w:rsidRPr="00A76442">
        <w:t>endomyocardial biopsy (EMB)</w:t>
      </w:r>
      <w:r w:rsidR="00A23CDD">
        <w:t>,</w:t>
      </w:r>
      <w:r w:rsidR="00A76442">
        <w:t xml:space="preserve"> </w:t>
      </w:r>
      <w:r w:rsidR="00A23CDD">
        <w:t>which</w:t>
      </w:r>
      <w:r w:rsidR="0004268D">
        <w:t xml:space="preserve"> </w:t>
      </w:r>
      <w:r w:rsidR="00A76442">
        <w:t xml:space="preserve">is invasive, often challenging </w:t>
      </w:r>
      <w:r w:rsidR="009D5D68">
        <w:t xml:space="preserve">to perform </w:t>
      </w:r>
      <w:r w:rsidR="00A76442">
        <w:t xml:space="preserve">and is only </w:t>
      </w:r>
      <w:r w:rsidR="00F35AED">
        <w:t>p</w:t>
      </w:r>
      <w:r w:rsidR="00A84960">
        <w:t>erformed</w:t>
      </w:r>
      <w:r w:rsidR="00F35AED">
        <w:t xml:space="preserve"> in certain specialist centres.</w:t>
      </w:r>
      <w:r w:rsidR="004A38A3">
        <w:t xml:space="preserve"> </w:t>
      </w:r>
      <w:r w:rsidR="0080638E">
        <w:t>Therefore,</w:t>
      </w:r>
      <w:r w:rsidR="004A38A3">
        <w:t xml:space="preserve"> </w:t>
      </w:r>
      <w:r w:rsidR="00E33C55">
        <w:t xml:space="preserve">patients are typically </w:t>
      </w:r>
      <w:r w:rsidR="00D25D7A">
        <w:t xml:space="preserve">diagnosed </w:t>
      </w:r>
      <w:r w:rsidR="006A02C3" w:rsidRPr="00DE0CD5">
        <w:t>with clinically suspected myocarditis based on</w:t>
      </w:r>
      <w:r w:rsidR="006A02C3">
        <w:t xml:space="preserve"> </w:t>
      </w:r>
      <w:r w:rsidR="00FB3C4E">
        <w:t>signs and symptoms and</w:t>
      </w:r>
      <w:r w:rsidR="00133EE4">
        <w:t xml:space="preserve"> </w:t>
      </w:r>
      <w:r w:rsidR="00C971C2">
        <w:t xml:space="preserve">through </w:t>
      </w:r>
      <w:r w:rsidR="00243D48">
        <w:t>other</w:t>
      </w:r>
      <w:r w:rsidR="00FB3C4E">
        <w:t xml:space="preserve"> cardiac tests to exclude </w:t>
      </w:r>
      <w:r w:rsidR="0080638E">
        <w:t>o</w:t>
      </w:r>
      <w:r w:rsidR="00FB3C4E">
        <w:t>the</w:t>
      </w:r>
      <w:r w:rsidR="0080638E">
        <w:t>r</w:t>
      </w:r>
      <w:r w:rsidR="00FB3C4E">
        <w:t xml:space="preserve"> </w:t>
      </w:r>
      <w:r w:rsidR="00133EE4">
        <w:t xml:space="preserve">possible </w:t>
      </w:r>
      <w:r w:rsidR="00212C2F">
        <w:t xml:space="preserve">heart </w:t>
      </w:r>
      <w:r w:rsidR="00FB3C4E">
        <w:t>conditions.</w:t>
      </w:r>
    </w:p>
    <w:p w14:paraId="15C07FA8" w14:textId="022D4FF5" w:rsidR="002F3AC8" w:rsidRDefault="002F3AC8" w:rsidP="00F57EE9">
      <w:r>
        <w:t>MSAC noted</w:t>
      </w:r>
      <w:r w:rsidR="004326B5">
        <w:t xml:space="preserve"> cardiac MRI</w:t>
      </w:r>
      <w:r w:rsidR="00EE6A2F">
        <w:t xml:space="preserve"> is </w:t>
      </w:r>
      <w:r w:rsidR="00B96869">
        <w:t>a non-invasive test</w:t>
      </w:r>
      <w:r w:rsidR="00DC23AD" w:rsidRPr="00DC23AD">
        <w:t xml:space="preserve"> </w:t>
      </w:r>
      <w:r w:rsidR="00DC23AD">
        <w:t>to assess the structure and function of the heart</w:t>
      </w:r>
      <w:r w:rsidR="008B404F">
        <w:t xml:space="preserve"> </w:t>
      </w:r>
      <w:r w:rsidR="00DC23AD">
        <w:t>and is</w:t>
      </w:r>
      <w:r w:rsidR="00B96869">
        <w:t xml:space="preserve"> </w:t>
      </w:r>
      <w:r w:rsidR="00865AB1">
        <w:t xml:space="preserve">comparatively </w:t>
      </w:r>
      <w:r w:rsidR="00B96869">
        <w:t xml:space="preserve">safe due to </w:t>
      </w:r>
      <w:r w:rsidR="00070533">
        <w:t xml:space="preserve">the </w:t>
      </w:r>
      <w:r w:rsidR="004D560B">
        <w:t xml:space="preserve">absence </w:t>
      </w:r>
      <w:r w:rsidR="00EF7365">
        <w:t xml:space="preserve">of </w:t>
      </w:r>
      <w:r w:rsidR="00865AB1" w:rsidRPr="00865AB1">
        <w:t>ionising radiation</w:t>
      </w:r>
      <w:r w:rsidR="009F531F">
        <w:t xml:space="preserve">. </w:t>
      </w:r>
      <w:r w:rsidR="00501687" w:rsidRPr="004E5ED9">
        <w:t>MSAC noted cardiac MRI is an established tool, validated for the radiological diagnosis of myocarditis</w:t>
      </w:r>
      <w:r w:rsidR="00501687">
        <w:t xml:space="preserve"> and </w:t>
      </w:r>
      <w:r w:rsidR="00501687" w:rsidRPr="004E5ED9">
        <w:t>is widely recommended for this purpose in international clinical practice guidelines.</w:t>
      </w:r>
      <w:r w:rsidR="00501687">
        <w:t xml:space="preserve"> </w:t>
      </w:r>
      <w:r w:rsidR="00C61A35">
        <w:t>MSAC noted that c</w:t>
      </w:r>
      <w:r w:rsidR="009F531F">
        <w:t xml:space="preserve">ardiac MRI is </w:t>
      </w:r>
      <w:r w:rsidR="009C6811">
        <w:t xml:space="preserve">listed on the MBS for </w:t>
      </w:r>
      <w:r w:rsidR="00C61A35">
        <w:t>indications</w:t>
      </w:r>
      <w:r w:rsidR="00EC2EBE">
        <w:t xml:space="preserve"> such as </w:t>
      </w:r>
      <w:r w:rsidR="00B27641">
        <w:t xml:space="preserve">investigation </w:t>
      </w:r>
      <w:r w:rsidR="001772A5">
        <w:t>of</w:t>
      </w:r>
      <w:r w:rsidR="00B27641">
        <w:t xml:space="preserve"> </w:t>
      </w:r>
      <w:r w:rsidR="00EC2EBE" w:rsidRPr="00EC2EBE">
        <w:t xml:space="preserve">congenital heart disease, aortic disease, arrhythmogenic </w:t>
      </w:r>
      <w:r w:rsidR="00EC2EBE">
        <w:t>right</w:t>
      </w:r>
      <w:r w:rsidR="00EC2EBE" w:rsidRPr="00EC2EBE">
        <w:t xml:space="preserve"> ventricular cardiomyopathy and cardiac mass</w:t>
      </w:r>
      <w:r w:rsidR="00EC2EBE">
        <w:t>.</w:t>
      </w:r>
    </w:p>
    <w:p w14:paraId="4E1F9BDD" w14:textId="6A50BBD8" w:rsidR="0005170F" w:rsidRDefault="00BF049C" w:rsidP="00341DB5">
      <w:r>
        <w:rPr>
          <w:rStyle w:val="normaltextrun"/>
          <w:rFonts w:cs="Calibri"/>
        </w:rPr>
        <w:t xml:space="preserve">MSAC </w:t>
      </w:r>
      <w:r w:rsidR="00D46F00">
        <w:rPr>
          <w:rStyle w:val="normaltextrun"/>
          <w:rFonts w:cs="Calibri"/>
        </w:rPr>
        <w:t xml:space="preserve">noted </w:t>
      </w:r>
      <w:r w:rsidRPr="00F226F7">
        <w:rPr>
          <w:rStyle w:val="normaltextrun"/>
          <w:rFonts w:cs="Calibri"/>
        </w:rPr>
        <w:t xml:space="preserve">consultation </w:t>
      </w:r>
      <w:r w:rsidR="007D6F97">
        <w:rPr>
          <w:rStyle w:val="normaltextrun"/>
          <w:rFonts w:cs="Calibri"/>
        </w:rPr>
        <w:t>input</w:t>
      </w:r>
      <w:r w:rsidRPr="00F226F7">
        <w:rPr>
          <w:rStyle w:val="normaltextrun"/>
          <w:rFonts w:cs="Calibri"/>
        </w:rPr>
        <w:t xml:space="preserve"> from </w:t>
      </w:r>
      <w:r w:rsidR="00886349" w:rsidRPr="00886349">
        <w:rPr>
          <w:rStyle w:val="normaltextrun"/>
          <w:rFonts w:cs="Calibri"/>
        </w:rPr>
        <w:t xml:space="preserve">six (6) professional organisations, two (2) consumer organisations and seven (7) individuals, of which 6 were specialists and </w:t>
      </w:r>
      <w:r w:rsidR="00D47389">
        <w:rPr>
          <w:rStyle w:val="normaltextrun"/>
          <w:rFonts w:cs="Calibri"/>
        </w:rPr>
        <w:t xml:space="preserve">1 </w:t>
      </w:r>
      <w:r w:rsidR="00D9711F">
        <w:rPr>
          <w:rStyle w:val="normaltextrun"/>
          <w:rFonts w:cs="Calibri"/>
        </w:rPr>
        <w:t xml:space="preserve">a </w:t>
      </w:r>
      <w:r w:rsidR="00886349" w:rsidRPr="00886349">
        <w:rPr>
          <w:rStyle w:val="normaltextrun"/>
          <w:rFonts w:cs="Calibri"/>
        </w:rPr>
        <w:t>family member of a consumer</w:t>
      </w:r>
      <w:r w:rsidR="00881340" w:rsidRPr="00881340">
        <w:t xml:space="preserve"> </w:t>
      </w:r>
      <w:r w:rsidR="00881340" w:rsidRPr="00614D01">
        <w:t>with feedback being supportive</w:t>
      </w:r>
      <w:r w:rsidR="00215C87">
        <w:t xml:space="preserve"> for the application</w:t>
      </w:r>
      <w:r w:rsidR="00956025">
        <w:t>.</w:t>
      </w:r>
      <w:r w:rsidR="00237C25">
        <w:rPr>
          <w:rStyle w:val="normaltextrun"/>
          <w:rFonts w:cs="Calibri"/>
        </w:rPr>
        <w:t xml:space="preserve"> </w:t>
      </w:r>
    </w:p>
    <w:p w14:paraId="2A33843F" w14:textId="364333AC" w:rsidR="00F57EE9" w:rsidRDefault="00F57EE9" w:rsidP="00F57EE9">
      <w:r>
        <w:t xml:space="preserve">MSAC noted that in the current application, the use of cardiac MRI in diagnosis of acute myocarditis was proposed </w:t>
      </w:r>
      <w:r w:rsidR="00496B13">
        <w:t xml:space="preserve">for </w:t>
      </w:r>
      <w:r>
        <w:t>the following two populations:</w:t>
      </w:r>
    </w:p>
    <w:p w14:paraId="15651D50" w14:textId="77777777" w:rsidR="00F57EE9" w:rsidRDefault="00F57EE9" w:rsidP="00F57EE9">
      <w:pPr>
        <w:pStyle w:val="Instructionaltext"/>
        <w:numPr>
          <w:ilvl w:val="0"/>
          <w:numId w:val="32"/>
        </w:numPr>
        <w:spacing w:line="254" w:lineRule="auto"/>
        <w:ind w:left="426"/>
        <w:rPr>
          <w:color w:val="auto"/>
        </w:rPr>
      </w:pPr>
      <w:r>
        <w:rPr>
          <w:color w:val="auto"/>
        </w:rPr>
        <w:lastRenderedPageBreak/>
        <w:t>Population 1: Patients with signs and symptoms of acute onset cardiomyopathy (acute heart failure and/or arrythmia) suggestive of acute myocarditis.</w:t>
      </w:r>
    </w:p>
    <w:p w14:paraId="632230EB" w14:textId="3102FF28" w:rsidR="00F57EE9" w:rsidRDefault="00F57EE9" w:rsidP="00F57EE9">
      <w:pPr>
        <w:pStyle w:val="Instructionaltext"/>
        <w:numPr>
          <w:ilvl w:val="0"/>
          <w:numId w:val="32"/>
        </w:numPr>
        <w:spacing w:line="254" w:lineRule="auto"/>
        <w:ind w:left="426"/>
        <w:rPr>
          <w:color w:val="auto"/>
        </w:rPr>
      </w:pPr>
      <w:r>
        <w:rPr>
          <w:color w:val="auto"/>
        </w:rPr>
        <w:t>Population 2: Patients presenting with signs and symptoms of ACS with an intermediate risk of obstructive CAD, or suspected myocarditis.</w:t>
      </w:r>
    </w:p>
    <w:p w14:paraId="1842A003" w14:textId="5BC208FB" w:rsidR="00E30CB1" w:rsidRDefault="00F57EE9" w:rsidP="00E30CB1">
      <w:r>
        <w:t xml:space="preserve">MSAC noted the </w:t>
      </w:r>
      <w:r w:rsidR="00EB5DAC">
        <w:t xml:space="preserve">proposed </w:t>
      </w:r>
      <w:r>
        <w:t xml:space="preserve">clinical </w:t>
      </w:r>
      <w:r w:rsidR="00B53384">
        <w:t xml:space="preserve">management </w:t>
      </w:r>
      <w:r>
        <w:t>algorithm</w:t>
      </w:r>
      <w:r w:rsidR="00B53384">
        <w:t>s</w:t>
      </w:r>
      <w:r>
        <w:t xml:space="preserve">. </w:t>
      </w:r>
      <w:r w:rsidR="00A167F8">
        <w:t>F</w:t>
      </w:r>
      <w:r w:rsidR="00C3645B" w:rsidRPr="00DE0CD5">
        <w:rPr>
          <w:rStyle w:val="Strong"/>
          <w:b w:val="0"/>
          <w:bCs w:val="0"/>
        </w:rPr>
        <w:t xml:space="preserve">or population 1 </w:t>
      </w:r>
      <w:r w:rsidR="00C3645B">
        <w:rPr>
          <w:rStyle w:val="Strong"/>
          <w:b w:val="0"/>
          <w:bCs w:val="0"/>
        </w:rPr>
        <w:t xml:space="preserve">following </w:t>
      </w:r>
      <w:r w:rsidR="00EB5DAC">
        <w:rPr>
          <w:rStyle w:val="Strong"/>
          <w:b w:val="0"/>
          <w:bCs w:val="0"/>
        </w:rPr>
        <w:t>standard investigations</w:t>
      </w:r>
      <w:r w:rsidR="009162AF">
        <w:rPr>
          <w:rStyle w:val="Strong"/>
          <w:b w:val="0"/>
          <w:bCs w:val="0"/>
        </w:rPr>
        <w:t xml:space="preserve">, </w:t>
      </w:r>
      <w:r w:rsidR="00B106DA">
        <w:rPr>
          <w:rStyle w:val="Strong"/>
          <w:b w:val="0"/>
          <w:bCs w:val="0"/>
        </w:rPr>
        <w:t xml:space="preserve">if </w:t>
      </w:r>
      <w:r w:rsidR="00001E56">
        <w:rPr>
          <w:rStyle w:val="Strong"/>
          <w:b w:val="0"/>
          <w:bCs w:val="0"/>
        </w:rPr>
        <w:t xml:space="preserve">patients </w:t>
      </w:r>
      <w:r w:rsidR="00B106DA">
        <w:rPr>
          <w:rStyle w:val="Strong"/>
          <w:b w:val="0"/>
          <w:bCs w:val="0"/>
        </w:rPr>
        <w:t>ar</w:t>
      </w:r>
      <w:r w:rsidR="00A62E0A">
        <w:rPr>
          <w:rStyle w:val="Strong"/>
          <w:b w:val="0"/>
          <w:bCs w:val="0"/>
        </w:rPr>
        <w:t>e</w:t>
      </w:r>
      <w:r w:rsidR="00015333">
        <w:rPr>
          <w:rStyle w:val="Strong"/>
          <w:b w:val="0"/>
          <w:bCs w:val="0"/>
        </w:rPr>
        <w:t xml:space="preserve"> </w:t>
      </w:r>
      <w:r w:rsidR="00597EFB">
        <w:rPr>
          <w:rStyle w:val="Strong"/>
          <w:b w:val="0"/>
          <w:bCs w:val="0"/>
        </w:rPr>
        <w:t xml:space="preserve">haemodynamically </w:t>
      </w:r>
      <w:r w:rsidR="00711CBA">
        <w:rPr>
          <w:rStyle w:val="Strong"/>
          <w:b w:val="0"/>
          <w:bCs w:val="0"/>
        </w:rPr>
        <w:t>stable</w:t>
      </w:r>
      <w:r w:rsidR="00E46B94">
        <w:rPr>
          <w:rStyle w:val="Strong"/>
          <w:b w:val="0"/>
          <w:bCs w:val="0"/>
        </w:rPr>
        <w:t>,</w:t>
      </w:r>
      <w:r w:rsidR="00B106DA">
        <w:rPr>
          <w:rStyle w:val="Strong"/>
          <w:b w:val="0"/>
          <w:bCs w:val="0"/>
        </w:rPr>
        <w:t xml:space="preserve"> </w:t>
      </w:r>
      <w:r w:rsidR="00001E56">
        <w:rPr>
          <w:rStyle w:val="Strong"/>
          <w:b w:val="0"/>
          <w:bCs w:val="0"/>
        </w:rPr>
        <w:t xml:space="preserve">they </w:t>
      </w:r>
      <w:r w:rsidR="00B106DA">
        <w:rPr>
          <w:rStyle w:val="Strong"/>
          <w:b w:val="0"/>
          <w:bCs w:val="0"/>
        </w:rPr>
        <w:t xml:space="preserve">would undergo </w:t>
      </w:r>
      <w:r w:rsidR="00015333">
        <w:rPr>
          <w:rStyle w:val="Strong"/>
          <w:b w:val="0"/>
          <w:bCs w:val="0"/>
        </w:rPr>
        <w:t>cardiac MRI</w:t>
      </w:r>
      <w:r w:rsidR="000439AB">
        <w:rPr>
          <w:rStyle w:val="Strong"/>
          <w:b w:val="0"/>
          <w:bCs w:val="0"/>
        </w:rPr>
        <w:t xml:space="preserve">. </w:t>
      </w:r>
      <w:r w:rsidR="00001E56">
        <w:rPr>
          <w:rStyle w:val="Strong"/>
          <w:b w:val="0"/>
          <w:bCs w:val="0"/>
        </w:rPr>
        <w:t xml:space="preserve">MSAC noted </w:t>
      </w:r>
      <w:r w:rsidR="00C25064">
        <w:rPr>
          <w:rStyle w:val="Strong"/>
          <w:b w:val="0"/>
          <w:bCs w:val="0"/>
        </w:rPr>
        <w:t xml:space="preserve">haemodynamically </w:t>
      </w:r>
      <w:r w:rsidR="00C57DC3">
        <w:rPr>
          <w:rStyle w:val="Strong"/>
          <w:b w:val="0"/>
          <w:bCs w:val="0"/>
        </w:rPr>
        <w:t>u</w:t>
      </w:r>
      <w:r w:rsidR="00C25064">
        <w:rPr>
          <w:rStyle w:val="Strong"/>
          <w:b w:val="0"/>
          <w:bCs w:val="0"/>
        </w:rPr>
        <w:t xml:space="preserve">nstable </w:t>
      </w:r>
      <w:r w:rsidR="00B1243E">
        <w:rPr>
          <w:rStyle w:val="Strong"/>
          <w:b w:val="0"/>
          <w:bCs w:val="0"/>
        </w:rPr>
        <w:t xml:space="preserve">patients </w:t>
      </w:r>
      <w:r w:rsidR="00C25064">
        <w:rPr>
          <w:rStyle w:val="Strong"/>
          <w:b w:val="0"/>
          <w:bCs w:val="0"/>
        </w:rPr>
        <w:t>would re</w:t>
      </w:r>
      <w:r w:rsidR="00DA6D95">
        <w:rPr>
          <w:rStyle w:val="Strong"/>
          <w:b w:val="0"/>
          <w:bCs w:val="0"/>
        </w:rPr>
        <w:t>quire an EMB procedure</w:t>
      </w:r>
      <w:r w:rsidR="007E083F">
        <w:rPr>
          <w:rStyle w:val="Strong"/>
          <w:b w:val="0"/>
          <w:bCs w:val="0"/>
        </w:rPr>
        <w:t xml:space="preserve"> </w:t>
      </w:r>
      <w:r w:rsidR="00DA6D95">
        <w:rPr>
          <w:rStyle w:val="Strong"/>
          <w:b w:val="0"/>
          <w:bCs w:val="0"/>
        </w:rPr>
        <w:t>for diagnosis and to guide</w:t>
      </w:r>
      <w:r w:rsidR="00737734">
        <w:rPr>
          <w:rStyle w:val="Strong"/>
          <w:b w:val="0"/>
          <w:bCs w:val="0"/>
        </w:rPr>
        <w:t xml:space="preserve"> </w:t>
      </w:r>
      <w:r w:rsidR="001378D7">
        <w:rPr>
          <w:rStyle w:val="Strong"/>
          <w:b w:val="0"/>
          <w:bCs w:val="0"/>
        </w:rPr>
        <w:t xml:space="preserve">their </w:t>
      </w:r>
      <w:r w:rsidR="00737734">
        <w:rPr>
          <w:rStyle w:val="Strong"/>
          <w:b w:val="0"/>
          <w:bCs w:val="0"/>
        </w:rPr>
        <w:t>treatment</w:t>
      </w:r>
      <w:r w:rsidR="00DA6D95">
        <w:rPr>
          <w:rStyle w:val="Strong"/>
          <w:b w:val="0"/>
          <w:bCs w:val="0"/>
        </w:rPr>
        <w:t xml:space="preserve">. </w:t>
      </w:r>
      <w:r w:rsidR="00C25064">
        <w:rPr>
          <w:rStyle w:val="Strong"/>
          <w:b w:val="0"/>
          <w:bCs w:val="0"/>
        </w:rPr>
        <w:t xml:space="preserve">MSAC noted that applicant stated </w:t>
      </w:r>
      <w:r w:rsidR="00737734">
        <w:rPr>
          <w:rStyle w:val="Strong"/>
          <w:b w:val="0"/>
          <w:bCs w:val="0"/>
        </w:rPr>
        <w:t>80% patient</w:t>
      </w:r>
      <w:r w:rsidR="001378D7">
        <w:rPr>
          <w:rStyle w:val="Strong"/>
          <w:b w:val="0"/>
          <w:bCs w:val="0"/>
        </w:rPr>
        <w:t>s</w:t>
      </w:r>
      <w:r w:rsidR="00737734">
        <w:rPr>
          <w:rStyle w:val="Strong"/>
          <w:b w:val="0"/>
          <w:bCs w:val="0"/>
        </w:rPr>
        <w:t xml:space="preserve"> could avoid </w:t>
      </w:r>
      <w:r w:rsidR="00113D74">
        <w:rPr>
          <w:rStyle w:val="Strong"/>
          <w:b w:val="0"/>
          <w:bCs w:val="0"/>
        </w:rPr>
        <w:t xml:space="preserve">an invasive EMB test if cardiac MRI testing </w:t>
      </w:r>
      <w:r w:rsidR="001378D7">
        <w:rPr>
          <w:rStyle w:val="Strong"/>
          <w:b w:val="0"/>
          <w:bCs w:val="0"/>
        </w:rPr>
        <w:t>wa</w:t>
      </w:r>
      <w:r w:rsidR="00113D74">
        <w:rPr>
          <w:rStyle w:val="Strong"/>
          <w:b w:val="0"/>
          <w:bCs w:val="0"/>
        </w:rPr>
        <w:t xml:space="preserve">s </w:t>
      </w:r>
      <w:r w:rsidR="00564FF0">
        <w:rPr>
          <w:rStyle w:val="Strong"/>
          <w:b w:val="0"/>
          <w:bCs w:val="0"/>
        </w:rPr>
        <w:t>supported</w:t>
      </w:r>
      <w:r w:rsidR="00113D74">
        <w:rPr>
          <w:rStyle w:val="Strong"/>
          <w:b w:val="0"/>
          <w:bCs w:val="0"/>
        </w:rPr>
        <w:t xml:space="preserve">. </w:t>
      </w:r>
      <w:r w:rsidR="00202E76">
        <w:t>MSAC noted f</w:t>
      </w:r>
      <w:r>
        <w:t xml:space="preserve">or population 2, </w:t>
      </w:r>
      <w:r w:rsidR="00202E76" w:rsidRPr="00DE0CD5">
        <w:t>myocarditis can mimic ACS</w:t>
      </w:r>
      <w:r w:rsidR="00415B81">
        <w:t xml:space="preserve"> in patients with </w:t>
      </w:r>
      <w:r w:rsidR="00C73E89">
        <w:t xml:space="preserve">intermediate pre-test risk of CAD. After standard investigations if </w:t>
      </w:r>
      <w:r w:rsidR="00382288">
        <w:t xml:space="preserve">ACS is suspected, </w:t>
      </w:r>
      <w:r w:rsidR="00C822C2">
        <w:t xml:space="preserve">patients that </w:t>
      </w:r>
      <w:r w:rsidR="00483BF0">
        <w:t xml:space="preserve">are </w:t>
      </w:r>
      <w:r w:rsidR="00B22B23">
        <w:t>s</w:t>
      </w:r>
      <w:r w:rsidR="00483BF0">
        <w:t xml:space="preserve">table and have an </w:t>
      </w:r>
      <w:r w:rsidR="00C822C2">
        <w:t xml:space="preserve">intermediate risk </w:t>
      </w:r>
      <w:r w:rsidR="00C73E89">
        <w:t xml:space="preserve">would </w:t>
      </w:r>
      <w:r w:rsidR="00483BF0">
        <w:t>receive</w:t>
      </w:r>
      <w:r w:rsidR="00760A80">
        <w:t xml:space="preserve"> a cardiac MRI.</w:t>
      </w:r>
      <w:r w:rsidR="00483BF0">
        <w:t xml:space="preserve"> </w:t>
      </w:r>
      <w:r w:rsidR="00A25BA2">
        <w:t xml:space="preserve"> </w:t>
      </w:r>
      <w:r w:rsidR="00B22B23">
        <w:t>MSAC noted t</w:t>
      </w:r>
      <w:r w:rsidR="00A25BA2">
        <w:t xml:space="preserve">he </w:t>
      </w:r>
      <w:r w:rsidR="00A25BA2" w:rsidRPr="00DE0CD5">
        <w:t xml:space="preserve">patients </w:t>
      </w:r>
      <w:r w:rsidR="00E500B7">
        <w:t xml:space="preserve">with cardiac MRI findings that are not consistent with myocarditis would then go on to </w:t>
      </w:r>
      <w:r w:rsidR="00A25BA2" w:rsidRPr="00DE0CD5">
        <w:t xml:space="preserve">receive a </w:t>
      </w:r>
      <w:r w:rsidR="00E16149">
        <w:t>CTCA</w:t>
      </w:r>
      <w:r w:rsidR="00A25BA2" w:rsidRPr="00DE0CD5">
        <w:t xml:space="preserve">. </w:t>
      </w:r>
      <w:r w:rsidR="002F51D0">
        <w:t xml:space="preserve">MSAC considered population 2 </w:t>
      </w:r>
      <w:r w:rsidR="00A25BA2">
        <w:t>wa</w:t>
      </w:r>
      <w:r w:rsidR="00A25BA2" w:rsidRPr="00DE0CD5">
        <w:t>s broad due to the various aetiologies</w:t>
      </w:r>
      <w:r w:rsidR="006C6651">
        <w:t xml:space="preserve"> of ACS mimic</w:t>
      </w:r>
      <w:r w:rsidR="00A25BA2" w:rsidRPr="00DE0CD5">
        <w:t>, making it difficult to characterise</w:t>
      </w:r>
      <w:r w:rsidR="00A25BA2">
        <w:t>,</w:t>
      </w:r>
      <w:r w:rsidR="00A25BA2" w:rsidRPr="00DE0CD5">
        <w:t xml:space="preserve"> </w:t>
      </w:r>
      <w:r w:rsidR="00A25BA2">
        <w:t xml:space="preserve">and </w:t>
      </w:r>
      <w:r w:rsidR="00A25BA2" w:rsidRPr="00DE0CD5">
        <w:t>thus</w:t>
      </w:r>
      <w:r w:rsidR="00A25BA2">
        <w:t xml:space="preserve"> there was a high risk of </w:t>
      </w:r>
      <w:r w:rsidR="00D31D4B">
        <w:t xml:space="preserve">leakage </w:t>
      </w:r>
      <w:r w:rsidR="002F51D0">
        <w:t xml:space="preserve">of </w:t>
      </w:r>
      <w:r w:rsidR="00A25BA2">
        <w:t>cardiac MRI in population 2</w:t>
      </w:r>
      <w:r w:rsidR="00A25BA2" w:rsidRPr="00DE0CD5">
        <w:t xml:space="preserve">. </w:t>
      </w:r>
      <w:r w:rsidR="00E30CB1">
        <w:t xml:space="preserve">MSAC considered population </w:t>
      </w:r>
      <w:r w:rsidR="002C4591">
        <w:t xml:space="preserve">2 </w:t>
      </w:r>
      <w:r w:rsidR="005E490F">
        <w:t>represent</w:t>
      </w:r>
      <w:r w:rsidR="00A822FE">
        <w:t>ed</w:t>
      </w:r>
      <w:r w:rsidR="00E30CB1">
        <w:t xml:space="preserve"> 2 sub-populations</w:t>
      </w:r>
      <w:r w:rsidR="002302C5">
        <w:t xml:space="preserve">, </w:t>
      </w:r>
      <w:r w:rsidR="00CD0774">
        <w:t>one being</w:t>
      </w:r>
      <w:r w:rsidR="002302C5">
        <w:t xml:space="preserve"> patients with </w:t>
      </w:r>
      <w:r w:rsidR="002C4591" w:rsidRPr="002C4591">
        <w:t xml:space="preserve">signs and symptoms of acute coronary syndrome (ACS) with an intermediate risk of obstructive coronary artery disease (CAD), </w:t>
      </w:r>
      <w:r w:rsidR="002C4591">
        <w:t xml:space="preserve">and the other </w:t>
      </w:r>
      <w:r w:rsidR="004447B0">
        <w:t xml:space="preserve">patients with </w:t>
      </w:r>
      <w:r w:rsidR="004447B0" w:rsidRPr="004447B0">
        <w:t>suspected myocarditis</w:t>
      </w:r>
      <w:r w:rsidR="00750E6D">
        <w:t xml:space="preserve"> </w:t>
      </w:r>
      <w:r w:rsidR="00750E6D" w:rsidRPr="00750E6D">
        <w:t>without signs and symptoms of acute onset cardiomyopathy</w:t>
      </w:r>
      <w:r w:rsidR="004447B0">
        <w:t>.</w:t>
      </w:r>
      <w:r w:rsidR="00750E6D">
        <w:t xml:space="preserve"> MSAC considered there was </w:t>
      </w:r>
      <w:r w:rsidR="00BE45E1">
        <w:t>limited</w:t>
      </w:r>
      <w:r w:rsidR="00750E6D" w:rsidRPr="00750E6D">
        <w:t xml:space="preserve"> evidence</w:t>
      </w:r>
      <w:r w:rsidR="00750E6D">
        <w:t xml:space="preserve"> presented</w:t>
      </w:r>
      <w:r w:rsidR="00750E6D" w:rsidRPr="00750E6D">
        <w:t xml:space="preserve"> in </w:t>
      </w:r>
      <w:r w:rsidR="00750E6D">
        <w:t xml:space="preserve">the </w:t>
      </w:r>
      <w:r w:rsidR="00750E6D" w:rsidRPr="00750E6D">
        <w:t xml:space="preserve">application </w:t>
      </w:r>
      <w:r w:rsidR="00A822FE">
        <w:t xml:space="preserve">for </w:t>
      </w:r>
      <w:r w:rsidR="00750E6D" w:rsidRPr="00750E6D">
        <w:t>the</w:t>
      </w:r>
      <w:r w:rsidR="00750E6D">
        <w:t xml:space="preserve"> latter</w:t>
      </w:r>
      <w:r w:rsidR="00750E6D" w:rsidRPr="00750E6D">
        <w:t xml:space="preserve"> patients </w:t>
      </w:r>
      <w:r w:rsidR="004A7619">
        <w:t xml:space="preserve">who </w:t>
      </w:r>
      <w:r w:rsidR="00750E6D" w:rsidRPr="00750E6D">
        <w:t>would require EMB or would benefit from</w:t>
      </w:r>
      <w:r w:rsidR="00AA56F9">
        <w:t xml:space="preserve"> late gadolinium enhancement (</w:t>
      </w:r>
      <w:r w:rsidR="00750E6D" w:rsidRPr="00750E6D">
        <w:t>LGE</w:t>
      </w:r>
      <w:r w:rsidR="00AA56F9">
        <w:t>)</w:t>
      </w:r>
      <w:r w:rsidR="00750E6D" w:rsidRPr="00750E6D">
        <w:t xml:space="preserve"> prognostic info</w:t>
      </w:r>
      <w:r w:rsidR="00750E6D">
        <w:t>rmation.</w:t>
      </w:r>
    </w:p>
    <w:p w14:paraId="06830ACE" w14:textId="35D38F29" w:rsidR="00F57EE9" w:rsidRDefault="002157BB" w:rsidP="00F57EE9">
      <w:r>
        <w:t xml:space="preserve">MSAC noted </w:t>
      </w:r>
      <w:r w:rsidR="00257DFC">
        <w:t xml:space="preserve">ESC and department concerns </w:t>
      </w:r>
      <w:r w:rsidR="00F57EE9">
        <w:t>that in real-world practice, cardiac MRI would be done after coronary imaging</w:t>
      </w:r>
      <w:r w:rsidR="00257DFC">
        <w:t xml:space="preserve"> (</w:t>
      </w:r>
      <w:r w:rsidR="008453A8">
        <w:t>i.e.</w:t>
      </w:r>
      <w:r w:rsidR="00257DFC">
        <w:t>, CTCA)</w:t>
      </w:r>
      <w:r w:rsidR="00F57EE9">
        <w:t>.</w:t>
      </w:r>
      <w:r w:rsidR="008453A8">
        <w:t xml:space="preserve"> </w:t>
      </w:r>
      <w:r w:rsidR="003351E6">
        <w:t xml:space="preserve">MSAC noted in the pre-MSAC response that the applicant stated that CAD did not have to be </w:t>
      </w:r>
      <w:r w:rsidR="00D22FE7">
        <w:t xml:space="preserve">initially </w:t>
      </w:r>
      <w:r w:rsidR="003351E6">
        <w:t>excluded and so cardiac MRI would replace CTCA</w:t>
      </w:r>
      <w:r w:rsidR="00D22FE7">
        <w:t>,</w:t>
      </w:r>
      <w:r w:rsidR="000B2B9B">
        <w:t xml:space="preserve"> referring to the international guidelines </w:t>
      </w:r>
      <w:r w:rsidR="004A7619">
        <w:t>a</w:t>
      </w:r>
      <w:r w:rsidR="00A96962">
        <w:t>n</w:t>
      </w:r>
      <w:r w:rsidR="004A7619">
        <w:t xml:space="preserve">d </w:t>
      </w:r>
      <w:r w:rsidR="000B2B9B">
        <w:t xml:space="preserve">stating cardiac MRI is the first-line investigation for the diagnosis of myocarditis. </w:t>
      </w:r>
      <w:r w:rsidR="00C34D6F">
        <w:t>However, MSAC noted this was inconsistent with the</w:t>
      </w:r>
      <w:r w:rsidR="00B373B9">
        <w:t xml:space="preserve"> </w:t>
      </w:r>
      <w:r w:rsidR="001B298D">
        <w:t>European Society of Cardiology Heart Failure guidelines</w:t>
      </w:r>
      <w:r w:rsidR="00F06267">
        <w:rPr>
          <w:rStyle w:val="FootnoteReference"/>
        </w:rPr>
        <w:footnoteReference w:id="3"/>
      </w:r>
      <w:r w:rsidR="00D60ADF">
        <w:t xml:space="preserve"> </w:t>
      </w:r>
      <w:r w:rsidR="000A539F">
        <w:t xml:space="preserve">referenced </w:t>
      </w:r>
      <w:r w:rsidR="00D60ADF">
        <w:t>in the pre-MSAC response</w:t>
      </w:r>
      <w:r w:rsidR="0082415F">
        <w:t xml:space="preserve"> that stated </w:t>
      </w:r>
      <w:r w:rsidR="00B14DC2">
        <w:t>d</w:t>
      </w:r>
      <w:r w:rsidR="00B14DC2" w:rsidRPr="00B14DC2">
        <w:t>iagnostic workup in suspected acute myocarditis</w:t>
      </w:r>
      <w:r w:rsidR="00B14DC2">
        <w:t xml:space="preserve"> </w:t>
      </w:r>
      <w:r w:rsidR="00C608A1">
        <w:t xml:space="preserve">is </w:t>
      </w:r>
      <w:r w:rsidR="00C608A1" w:rsidRPr="00C608A1">
        <w:t>prefer</w:t>
      </w:r>
      <w:r w:rsidR="00C608A1">
        <w:t>red by</w:t>
      </w:r>
      <w:r w:rsidR="00C608A1" w:rsidRPr="00C608A1">
        <w:t xml:space="preserve"> </w:t>
      </w:r>
      <w:r w:rsidR="00C608A1">
        <w:t>cardiac MRI</w:t>
      </w:r>
      <w:r w:rsidR="00C608A1" w:rsidRPr="00C608A1">
        <w:t xml:space="preserve"> in the absence of significant coronary artery, valvular or congenital heart disease, or other causes.</w:t>
      </w:r>
      <w:r w:rsidR="00B373B9">
        <w:t xml:space="preserve"> </w:t>
      </w:r>
      <w:r w:rsidR="008453A8">
        <w:t xml:space="preserve">Therefore, MSAC </w:t>
      </w:r>
      <w:r w:rsidR="00C34D6F">
        <w:t xml:space="preserve">agreed with </w:t>
      </w:r>
      <w:r w:rsidR="00B373B9">
        <w:t xml:space="preserve">ESC </w:t>
      </w:r>
      <w:r w:rsidR="00D16F17">
        <w:t>and</w:t>
      </w:r>
      <w:r w:rsidR="00603396">
        <w:t xml:space="preserve"> </w:t>
      </w:r>
      <w:r w:rsidR="00D16F17">
        <w:t>con</w:t>
      </w:r>
      <w:r w:rsidR="00A96962">
        <w:t>cluded</w:t>
      </w:r>
      <w:r w:rsidR="00D16F17">
        <w:t xml:space="preserve"> </w:t>
      </w:r>
      <w:r w:rsidR="00B373B9">
        <w:t>that</w:t>
      </w:r>
      <w:r w:rsidR="00807087">
        <w:t xml:space="preserve"> </w:t>
      </w:r>
      <w:r w:rsidR="00920C15">
        <w:t>the claimed</w:t>
      </w:r>
      <w:r w:rsidR="00807087">
        <w:t xml:space="preserve"> </w:t>
      </w:r>
      <w:r w:rsidR="007328E9">
        <w:t xml:space="preserve">cost-offset </w:t>
      </w:r>
      <w:r w:rsidR="00EC07AE">
        <w:t xml:space="preserve">due to </w:t>
      </w:r>
      <w:r w:rsidR="00EA256C">
        <w:t xml:space="preserve">reduction in </w:t>
      </w:r>
      <w:r w:rsidR="00EC07AE">
        <w:t>CTCA</w:t>
      </w:r>
      <w:r w:rsidR="001D2F61">
        <w:t>± TTE</w:t>
      </w:r>
      <w:r w:rsidR="00EC07AE">
        <w:t xml:space="preserve"> </w:t>
      </w:r>
      <w:r w:rsidR="00807087">
        <w:t>w</w:t>
      </w:r>
      <w:r w:rsidR="00857F05">
        <w:t>ould likely not be realised</w:t>
      </w:r>
      <w:r w:rsidR="0045359A">
        <w:t xml:space="preserve"> in real-world practice</w:t>
      </w:r>
      <w:r w:rsidR="00857F05">
        <w:t>.</w:t>
      </w:r>
    </w:p>
    <w:p w14:paraId="6C4223FA" w14:textId="3C1CDC39" w:rsidR="00F57EE9" w:rsidRDefault="00F57EE9" w:rsidP="00F57EE9">
      <w:r>
        <w:t xml:space="preserve">MSAC noted that the applicant proposed different comparators </w:t>
      </w:r>
      <w:r w:rsidR="00526BC3">
        <w:t xml:space="preserve">for the two populations </w:t>
      </w:r>
      <w:r>
        <w:t>for cardiac MRI:</w:t>
      </w:r>
    </w:p>
    <w:p w14:paraId="406B0EED" w14:textId="7378405A" w:rsidR="00F57EE9" w:rsidRDefault="00F57EE9" w:rsidP="00F57EE9">
      <w:pPr>
        <w:pStyle w:val="ListParagraph"/>
        <w:numPr>
          <w:ilvl w:val="0"/>
          <w:numId w:val="33"/>
        </w:numPr>
        <w:spacing w:before="0" w:after="0" w:line="240" w:lineRule="auto"/>
      </w:pPr>
      <w:r>
        <w:t>The comparator proposed for population 1 was standard management (e.g., anti-failure treatment, circulatory support, antiarrhythmic treatment) for clinically suspected acute myocarditis</w:t>
      </w:r>
      <w:r w:rsidR="00C41799">
        <w:t>,</w:t>
      </w:r>
      <w:r>
        <w:t xml:space="preserve"> with or without EMB when clinically indicated. </w:t>
      </w:r>
    </w:p>
    <w:p w14:paraId="6A9C59AC" w14:textId="77777777" w:rsidR="00601507" w:rsidRDefault="00F57EE9" w:rsidP="00F57EE9">
      <w:pPr>
        <w:pStyle w:val="ListParagraph"/>
        <w:numPr>
          <w:ilvl w:val="0"/>
          <w:numId w:val="33"/>
        </w:numPr>
        <w:spacing w:before="0" w:after="0" w:line="240" w:lineRule="auto"/>
      </w:pPr>
      <w:r>
        <w:t xml:space="preserve">In population 2, the comparator suggested by the applicant was standard management of intermediate-risk ACS, including CTCA/ICA to exclude obstructive CAD ± TTE. </w:t>
      </w:r>
    </w:p>
    <w:p w14:paraId="685D7A59" w14:textId="314425A7" w:rsidR="00214962" w:rsidRDefault="000D3820" w:rsidP="00214962">
      <w:r>
        <w:t>Regarding</w:t>
      </w:r>
      <w:r w:rsidR="00214962">
        <w:t xml:space="preserve"> comparative safety</w:t>
      </w:r>
      <w:r>
        <w:t xml:space="preserve">, MSAC agreed with ESC that </w:t>
      </w:r>
      <w:r w:rsidR="00C41799">
        <w:t xml:space="preserve">the claim of </w:t>
      </w:r>
      <w:r w:rsidR="00C87258">
        <w:t xml:space="preserve">superior safety of cardiac MRI was likely </w:t>
      </w:r>
      <w:r w:rsidR="00C61163">
        <w:t xml:space="preserve">reasonable </w:t>
      </w:r>
      <w:proofErr w:type="gramStart"/>
      <w:r w:rsidR="00C61163">
        <w:t xml:space="preserve">due to the </w:t>
      </w:r>
      <w:r w:rsidR="00376D5B">
        <w:t>fact</w:t>
      </w:r>
      <w:r w:rsidR="00C61163" w:rsidRPr="00DE0CD5">
        <w:t xml:space="preserve"> </w:t>
      </w:r>
      <w:r w:rsidR="00376D5B">
        <w:t>that</w:t>
      </w:r>
      <w:proofErr w:type="gramEnd"/>
      <w:r w:rsidR="00C61163" w:rsidRPr="00DE0CD5">
        <w:t xml:space="preserve"> cardiac MRI </w:t>
      </w:r>
      <w:r w:rsidR="00C52A51">
        <w:t xml:space="preserve">is non-invasive and </w:t>
      </w:r>
      <w:r w:rsidR="00376D5B">
        <w:t>has</w:t>
      </w:r>
      <w:r w:rsidR="00C61163" w:rsidRPr="00DE0CD5">
        <w:t xml:space="preserve"> a good safety profile without </w:t>
      </w:r>
      <w:r w:rsidR="00C61163">
        <w:t xml:space="preserve">exposure to </w:t>
      </w:r>
      <w:r w:rsidR="00C61163" w:rsidRPr="00DE0CD5">
        <w:t>ionising radiation</w:t>
      </w:r>
      <w:r w:rsidR="00C52A51">
        <w:t>.</w:t>
      </w:r>
      <w:r w:rsidR="00AD6E3D">
        <w:t xml:space="preserve"> </w:t>
      </w:r>
      <w:r w:rsidR="00AD6E3D" w:rsidRPr="00AD6E3D">
        <w:t xml:space="preserve">MSAC considered publicly funding </w:t>
      </w:r>
      <w:r w:rsidR="00236F40">
        <w:t>cardiac MRI</w:t>
      </w:r>
      <w:r w:rsidR="00AD6E3D" w:rsidRPr="00AD6E3D">
        <w:t xml:space="preserve"> would improve equity of access for patients who would otherwise require diagnosis using the invasive EMB procedure.</w:t>
      </w:r>
    </w:p>
    <w:p w14:paraId="6E69A35C" w14:textId="279179F1" w:rsidR="00F57EE9" w:rsidRDefault="00F57EE9" w:rsidP="00F57EE9">
      <w:pPr>
        <w:rPr>
          <w:rStyle w:val="InstructionaltextChar"/>
          <w:color w:val="000000" w:themeColor="text1"/>
        </w:rPr>
      </w:pPr>
      <w:r>
        <w:lastRenderedPageBreak/>
        <w:t xml:space="preserve">MSAC noted </w:t>
      </w:r>
      <w:r w:rsidR="00B6681E">
        <w:t>the claim that</w:t>
      </w:r>
      <w:r w:rsidR="0074112D">
        <w:t xml:space="preserve"> </w:t>
      </w:r>
      <w:r w:rsidR="0009425F">
        <w:t>c</w:t>
      </w:r>
      <w:r w:rsidR="00245DDD" w:rsidRPr="00245DDD">
        <w:t>ardiac MRI was likely superior in terms of diagnostic accuracy and prognosis compared with clinical criteria and EMB</w:t>
      </w:r>
      <w:r w:rsidR="00245DDD">
        <w:t xml:space="preserve">. </w:t>
      </w:r>
      <w:r>
        <w:t>MSAC noted that no direct test-to-health outcomes evidence was identified for cardiac MRI in the diagnosis of acute myocarditis</w:t>
      </w:r>
      <w:r w:rsidR="0005468F">
        <w:t xml:space="preserve"> </w:t>
      </w:r>
      <w:r w:rsidR="00C84581">
        <w:t xml:space="preserve">and </w:t>
      </w:r>
      <w:r w:rsidR="0005468F" w:rsidRPr="00DE0CD5">
        <w:t xml:space="preserve">populations 1 and 2 could not be </w:t>
      </w:r>
      <w:r w:rsidR="0005468F">
        <w:rPr>
          <w:rStyle w:val="normaltextrun"/>
          <w:color w:val="000000"/>
          <w:bdr w:val="none" w:sz="0" w:space="0" w:color="auto" w:frame="1"/>
        </w:rPr>
        <w:t>disaggregated</w:t>
      </w:r>
      <w:r w:rsidR="0005468F" w:rsidRPr="00DE0CD5">
        <w:t xml:space="preserve"> in the evidence</w:t>
      </w:r>
      <w:r>
        <w:t>. Therefore, a linked evidence approach was used for undertaking the assessment</w:t>
      </w:r>
      <w:r w:rsidR="005A2EB7">
        <w:t>.</w:t>
      </w:r>
    </w:p>
    <w:p w14:paraId="65ACEE6A" w14:textId="6E687658" w:rsidR="00F57EE9" w:rsidRDefault="00F57EE9" w:rsidP="00F57EE9">
      <w:r>
        <w:t xml:space="preserve">MSAC </w:t>
      </w:r>
      <w:r w:rsidR="00C7186F">
        <w:t xml:space="preserve">noted that </w:t>
      </w:r>
      <w:r w:rsidR="00DA460A">
        <w:t xml:space="preserve">in the combined analysis </w:t>
      </w:r>
      <w:r w:rsidR="00C7186F">
        <w:t>ESC</w:t>
      </w:r>
      <w:r>
        <w:t xml:space="preserve"> considered, cardiac MRI showed higher sensitivity and specificity than EMB.</w:t>
      </w:r>
    </w:p>
    <w:p w14:paraId="36434B39" w14:textId="77777777" w:rsidR="00F57EE9" w:rsidRDefault="00F57EE9" w:rsidP="00F57EE9">
      <w:r>
        <w:t>MSAC noted that the linked evidence showed that:</w:t>
      </w:r>
    </w:p>
    <w:p w14:paraId="4EA9A711" w14:textId="38910601" w:rsidR="00F57EE9" w:rsidRDefault="00F57EE9" w:rsidP="00F57EE9">
      <w:pPr>
        <w:pStyle w:val="ListParagraph"/>
        <w:numPr>
          <w:ilvl w:val="0"/>
          <w:numId w:val="33"/>
        </w:numPr>
        <w:spacing w:before="0" w:after="0" w:line="240" w:lineRule="auto"/>
      </w:pPr>
      <w:r>
        <w:t xml:space="preserve">for population 1, although MRI findings </w:t>
      </w:r>
      <w:r w:rsidR="00B61B9A">
        <w:t xml:space="preserve">could </w:t>
      </w:r>
      <w:r>
        <w:t>help stratify risk, there were no clear guidelines on how myocarditis patients should be monitored or managed.</w:t>
      </w:r>
    </w:p>
    <w:p w14:paraId="5D7B1D74" w14:textId="77679023" w:rsidR="00F57EE9" w:rsidRDefault="00F57EE9" w:rsidP="00F57EE9">
      <w:pPr>
        <w:pStyle w:val="ListParagraph"/>
        <w:numPr>
          <w:ilvl w:val="0"/>
          <w:numId w:val="33"/>
        </w:numPr>
        <w:spacing w:before="0" w:after="0" w:line="240" w:lineRule="auto"/>
      </w:pPr>
      <w:r>
        <w:t xml:space="preserve">for population 2, cardiac MRI </w:t>
      </w:r>
      <w:r w:rsidR="00B61B9A">
        <w:t xml:space="preserve">could </w:t>
      </w:r>
      <w:r>
        <w:t xml:space="preserve">reduce the use of coronary CT (to rule out CAD) by confirming diagnosis of myocarditis through exclusion, and it </w:t>
      </w:r>
      <w:r w:rsidR="00B61B9A">
        <w:t xml:space="preserve">could </w:t>
      </w:r>
      <w:r>
        <w:t xml:space="preserve">allow avoiding unnecessary medications (anti-platelet therapy). However, this </w:t>
      </w:r>
      <w:r w:rsidR="00B61B9A">
        <w:t>wa</w:t>
      </w:r>
      <w:r>
        <w:t>s highly uncertain, due to the low-quality evidence presented.</w:t>
      </w:r>
    </w:p>
    <w:p w14:paraId="2BBF7B7F" w14:textId="49AD95AD" w:rsidR="00C7186F" w:rsidRDefault="00F57EE9" w:rsidP="00F57EE9">
      <w:r>
        <w:t xml:space="preserve">MSAC concluded that cardiac MRI was likely superior in terms of diagnostic accuracy and </w:t>
      </w:r>
      <w:r w:rsidR="0042219C">
        <w:t xml:space="preserve">ability to make a </w:t>
      </w:r>
      <w:r>
        <w:t>prognosis compared with clinical criteria and EMB. However, MSAC noted that there was no evidence of change in management or improved health outcomes</w:t>
      </w:r>
      <w:r w:rsidR="00290F71">
        <w:t xml:space="preserve"> </w:t>
      </w:r>
      <w:proofErr w:type="gramStart"/>
      <w:r w:rsidR="00290F71">
        <w:t>as a result of</w:t>
      </w:r>
      <w:proofErr w:type="gramEnd"/>
      <w:r w:rsidR="00290F71">
        <w:t xml:space="preserve"> cardiac MRI</w:t>
      </w:r>
      <w:r>
        <w:t xml:space="preserve">. Therefore, </w:t>
      </w:r>
      <w:r w:rsidR="00290F71">
        <w:t xml:space="preserve">MSAC considered </w:t>
      </w:r>
      <w:r>
        <w:t xml:space="preserve">non-inferior effectiveness </w:t>
      </w:r>
      <w:r w:rsidR="00B61B9A">
        <w:t xml:space="preserve">might </w:t>
      </w:r>
      <w:r>
        <w:t>be more appropriate</w:t>
      </w:r>
      <w:r w:rsidR="00290F71">
        <w:t xml:space="preserve">, although </w:t>
      </w:r>
      <w:r w:rsidR="005A38C9">
        <w:t xml:space="preserve">on balance </w:t>
      </w:r>
      <w:r w:rsidR="00290F71">
        <w:t xml:space="preserve">MSAC </w:t>
      </w:r>
      <w:r w:rsidR="00D844AC">
        <w:t>was</w:t>
      </w:r>
      <w:r w:rsidR="00290F71">
        <w:t xml:space="preserve"> </w:t>
      </w:r>
      <w:r w:rsidR="005A38C9">
        <w:t xml:space="preserve">confident </w:t>
      </w:r>
      <w:r w:rsidR="00290F71">
        <w:t>that there would be a change in management following cardiac MRI</w:t>
      </w:r>
      <w:r w:rsidR="005A38C9">
        <w:t xml:space="preserve"> based on </w:t>
      </w:r>
      <w:r w:rsidR="009B5D49">
        <w:t xml:space="preserve">it being widely recommended for this purpose in </w:t>
      </w:r>
      <w:r w:rsidR="005A38C9">
        <w:t>clinical guidelines</w:t>
      </w:r>
      <w:r w:rsidR="002F0A6A">
        <w:t xml:space="preserve">, and so overall </w:t>
      </w:r>
      <w:r w:rsidR="009B5D49">
        <w:t xml:space="preserve">advised that </w:t>
      </w:r>
      <w:r w:rsidR="002F0A6A">
        <w:t>cardiac MRI in population 1 was acceptably effective</w:t>
      </w:r>
      <w:r>
        <w:t>.</w:t>
      </w:r>
      <w:r w:rsidR="00A62657">
        <w:t xml:space="preserve"> </w:t>
      </w:r>
      <w:r w:rsidR="00C7186F">
        <w:t>Due to the lack of evidence and guidelines for management</w:t>
      </w:r>
      <w:r w:rsidR="005872C7">
        <w:t xml:space="preserve"> for those patients in whom cardiac MRI detects LGE changes</w:t>
      </w:r>
      <w:r w:rsidR="00C7186F">
        <w:t xml:space="preserve">, MSAC considered the value of knowing for </w:t>
      </w:r>
      <w:r w:rsidR="00FB236C">
        <w:t xml:space="preserve">diagnosis of myocarditis </w:t>
      </w:r>
      <w:r w:rsidR="00C7186F">
        <w:t>was also uncertain.</w:t>
      </w:r>
      <w:r w:rsidR="00501687">
        <w:t xml:space="preserve"> However, </w:t>
      </w:r>
      <w:r w:rsidR="00501687" w:rsidRPr="00B947AE">
        <w:t>MSAC considered there was an unmet clinical need for improved diagnosis of myocarditis</w:t>
      </w:r>
      <w:r w:rsidR="00501687">
        <w:t>.</w:t>
      </w:r>
    </w:p>
    <w:p w14:paraId="035F48C1" w14:textId="38D35A29" w:rsidR="00CD2A80" w:rsidRDefault="00CD2A80" w:rsidP="00CD2A80">
      <w:r>
        <w:t xml:space="preserve">MSAC noted that the applicant advised that cardiac MRI service is a complex test and should be </w:t>
      </w:r>
      <w:r w:rsidR="000A539F">
        <w:t>performed and reported by</w:t>
      </w:r>
      <w:r>
        <w:t xml:space="preserve"> those radiologists and cardiologists who have been certified by the Conjoint Committee for Certification in cardiac MRI. </w:t>
      </w:r>
      <w:r w:rsidR="00D17A7E">
        <w:t xml:space="preserve">MSAC considered </w:t>
      </w:r>
      <w:r w:rsidR="00C619EC">
        <w:t xml:space="preserve">that </w:t>
      </w:r>
      <w:r w:rsidR="00D17A7E">
        <w:t xml:space="preserve">specialists </w:t>
      </w:r>
      <w:r w:rsidR="008E1FB1">
        <w:t xml:space="preserve">other than radiologists and cardiologists </w:t>
      </w:r>
      <w:r w:rsidR="00D17A7E">
        <w:t xml:space="preserve">(such as nuclear physicians) who have extended their training to perform cardiac MRI should also be </w:t>
      </w:r>
      <w:r w:rsidR="00060576">
        <w:t>able</w:t>
      </w:r>
      <w:r w:rsidR="00D17A7E">
        <w:t xml:space="preserve"> to provide this service. </w:t>
      </w:r>
      <w:r>
        <w:t xml:space="preserve">MSAC </w:t>
      </w:r>
      <w:r w:rsidR="45AAB05A">
        <w:t xml:space="preserve">considered </w:t>
      </w:r>
      <w:r w:rsidR="00C51650">
        <w:t xml:space="preserve">that </w:t>
      </w:r>
      <w:r w:rsidR="00F24E69">
        <w:t xml:space="preserve">requiring </w:t>
      </w:r>
      <w:r w:rsidR="009B17C0">
        <w:t>C</w:t>
      </w:r>
      <w:r w:rsidR="00C51650">
        <w:t xml:space="preserve">onjoint </w:t>
      </w:r>
      <w:r w:rsidR="009B17C0">
        <w:t>C</w:t>
      </w:r>
      <w:r w:rsidR="00C51650">
        <w:t xml:space="preserve">ommittee credentialling </w:t>
      </w:r>
      <w:r w:rsidR="2FB8E00E">
        <w:t xml:space="preserve">may be </w:t>
      </w:r>
      <w:r w:rsidR="00C51650">
        <w:t>reasonable</w:t>
      </w:r>
      <w:r w:rsidR="002C6551">
        <w:t xml:space="preserve"> as not all radiologists </w:t>
      </w:r>
      <w:r w:rsidR="00E07806">
        <w:t>and other specialists</w:t>
      </w:r>
      <w:r w:rsidR="008833C5">
        <w:t xml:space="preserve"> </w:t>
      </w:r>
      <w:r w:rsidR="002C6551">
        <w:t>will be able to provide cardiac MRI</w:t>
      </w:r>
      <w:r w:rsidR="57590D7E">
        <w:t xml:space="preserve">, </w:t>
      </w:r>
      <w:r w:rsidR="00B10D23">
        <w:t>although noted</w:t>
      </w:r>
      <w:r w:rsidR="57590D7E">
        <w:t xml:space="preserve"> that doing so may limit patient access to services in regional and rural areas.</w:t>
      </w:r>
      <w:r w:rsidR="003F1ED0">
        <w:t xml:space="preserve"> On balance, MSAC considered that t</w:t>
      </w:r>
      <w:r w:rsidR="003F1ED0" w:rsidRPr="00C301EE">
        <w:t xml:space="preserve">he </w:t>
      </w:r>
      <w:r w:rsidR="003F1ED0">
        <w:t>service</w:t>
      </w:r>
      <w:r w:rsidR="003F1ED0" w:rsidRPr="00C301EE">
        <w:t xml:space="preserve"> </w:t>
      </w:r>
      <w:r w:rsidR="003F1ED0">
        <w:t>should be</w:t>
      </w:r>
      <w:r w:rsidR="003F1ED0" w:rsidRPr="00C301EE">
        <w:t xml:space="preserve"> reported by a specialist or consultant physician who has been certified by the Conjoint Committee for Certification in cardiac MRI</w:t>
      </w:r>
      <w:r w:rsidR="003F1ED0">
        <w:t xml:space="preserve">, although noted policy advice that certification requirements are rules in the Diagnostic Imaging Services Table rather than the item descriptor, therefore advised it was not appropriate </w:t>
      </w:r>
      <w:r w:rsidR="00954B60">
        <w:t>for th</w:t>
      </w:r>
      <w:r w:rsidR="00BC5A75">
        <w:t>e certification requirement</w:t>
      </w:r>
      <w:r w:rsidR="00954B60">
        <w:t xml:space="preserve"> </w:t>
      </w:r>
      <w:r w:rsidR="003F1ED0">
        <w:t>to be included in the item descriptor</w:t>
      </w:r>
      <w:r w:rsidR="003F1ED0" w:rsidRPr="00C301EE">
        <w:t>.</w:t>
      </w:r>
      <w:r w:rsidR="003F1ED0">
        <w:t xml:space="preserve"> </w:t>
      </w:r>
      <w:r w:rsidR="000A3637">
        <w:t>MSAC’s supported item descriptor is provided above (</w:t>
      </w:r>
      <w:fldSimple w:instr=" REF _Ref164432848 ">
        <w:r w:rsidR="000A3637">
          <w:t xml:space="preserve">Table </w:t>
        </w:r>
        <w:r w:rsidR="000A3637">
          <w:rPr>
            <w:noProof/>
          </w:rPr>
          <w:t>1</w:t>
        </w:r>
      </w:fldSimple>
      <w:r w:rsidR="000A3637">
        <w:t>)</w:t>
      </w:r>
      <w:r w:rsidR="00E568B6">
        <w:t>, and</w:t>
      </w:r>
      <w:r w:rsidR="5F290A46">
        <w:t xml:space="preserve"> </w:t>
      </w:r>
      <w:r w:rsidR="00E568B6">
        <w:t>MSAC noted t</w:t>
      </w:r>
      <w:r w:rsidR="6A089E88">
        <w:t xml:space="preserve">he Department will consult further with </w:t>
      </w:r>
      <w:r w:rsidR="00E568B6">
        <w:t>the sector</w:t>
      </w:r>
      <w:r w:rsidR="6A089E88">
        <w:t xml:space="preserve"> on this matter.</w:t>
      </w:r>
    </w:p>
    <w:p w14:paraId="7FF402F0" w14:textId="22E13FDF" w:rsidR="001C0CC9" w:rsidRDefault="00CD2A80" w:rsidP="001C0CC9">
      <w:r>
        <w:t xml:space="preserve">MSAC noted that the proposed fee </w:t>
      </w:r>
      <w:r w:rsidR="00363A65">
        <w:t>matched</w:t>
      </w:r>
      <w:r>
        <w:t xml:space="preserve"> the fee for the temporary cardiac MRI item (Item 63399), </w:t>
      </w:r>
      <w:r w:rsidR="00363A65">
        <w:t>which</w:t>
      </w:r>
      <w:r>
        <w:t xml:space="preserve"> </w:t>
      </w:r>
      <w:r w:rsidR="00D1773A">
        <w:t>wa</w:t>
      </w:r>
      <w:r>
        <w:t>s $904.70 (</w:t>
      </w:r>
      <w:r w:rsidR="00163459">
        <w:t xml:space="preserve">to be </w:t>
      </w:r>
      <w:r>
        <w:t xml:space="preserve">indexed from 1 July 2024). This temporary fee was implemented following sector advice </w:t>
      </w:r>
      <w:r w:rsidR="00363A65">
        <w:t xml:space="preserve">during the pandemic </w:t>
      </w:r>
      <w:r>
        <w:t xml:space="preserve">that benchmarked the fee to MBS items such as 63395, the current item for assessment of myocardial structure and function in the setting of arrhythmogenic right ventricular cardiomyopathy. MSAC noted that at its February 2024 meeting ESC considered that implementing temporary item 63399 was a matter of urgency during the pandemic, but </w:t>
      </w:r>
      <w:r w:rsidR="0081748D">
        <w:t>considered</w:t>
      </w:r>
      <w:r>
        <w:t xml:space="preserve"> the current fee </w:t>
      </w:r>
      <w:r w:rsidR="00BE33C6">
        <w:t>was too high for</w:t>
      </w:r>
      <w:r>
        <w:t xml:space="preserve"> the resources required</w:t>
      </w:r>
      <w:r w:rsidR="00BE33C6">
        <w:t xml:space="preserve">, and </w:t>
      </w:r>
      <w:r>
        <w:t>relativity to other cardiac MRI items</w:t>
      </w:r>
      <w:r w:rsidR="00BE33C6">
        <w:t xml:space="preserve"> could not be used to </w:t>
      </w:r>
      <w:r w:rsidR="007B223F">
        <w:t>determine an appropriate fee for MSAC’s supported item descriptor</w:t>
      </w:r>
      <w:r>
        <w:t>.</w:t>
      </w:r>
      <w:r w:rsidR="00705F14">
        <w:t xml:space="preserve"> MSAC considered </w:t>
      </w:r>
      <w:r>
        <w:t>that the fee</w:t>
      </w:r>
      <w:r w:rsidR="00BE33C6">
        <w:t xml:space="preserve">s for different MRI items </w:t>
      </w:r>
      <w:r w:rsidR="007B223F">
        <w:t>are</w:t>
      </w:r>
      <w:r w:rsidR="00BE33C6">
        <w:t xml:space="preserve"> currently mis-aligned, and that the fees</w:t>
      </w:r>
      <w:r>
        <w:t xml:space="preserve"> should </w:t>
      </w:r>
      <w:r w:rsidR="007B223F">
        <w:t>be aligned</w:t>
      </w:r>
      <w:r>
        <w:t xml:space="preserve"> </w:t>
      </w:r>
      <w:r w:rsidR="00BE33C6">
        <w:t>between</w:t>
      </w:r>
      <w:r>
        <w:t xml:space="preserve"> </w:t>
      </w:r>
      <w:r w:rsidR="00705F14">
        <w:t xml:space="preserve">comparable </w:t>
      </w:r>
      <w:r>
        <w:t xml:space="preserve">cardiac MRI </w:t>
      </w:r>
      <w:r>
        <w:lastRenderedPageBreak/>
        <w:t xml:space="preserve">MBS items. </w:t>
      </w:r>
      <w:r w:rsidR="07D9BB9A">
        <w:t>The</w:t>
      </w:r>
      <w:r w:rsidR="00BE33C6">
        <w:t xml:space="preserve"> Department </w:t>
      </w:r>
      <w:r w:rsidR="3937B48B">
        <w:t>advised MSAC that i</w:t>
      </w:r>
      <w:r w:rsidR="7084A679">
        <w:t>t</w:t>
      </w:r>
      <w:r w:rsidR="3937B48B">
        <w:t xml:space="preserve"> </w:t>
      </w:r>
      <w:r w:rsidR="4B06A89C">
        <w:t xml:space="preserve">will </w:t>
      </w:r>
      <w:r w:rsidR="00BE33C6">
        <w:t xml:space="preserve">review the </w:t>
      </w:r>
      <w:r w:rsidR="223D5FF1">
        <w:t xml:space="preserve">current </w:t>
      </w:r>
      <w:r w:rsidR="00BE33C6">
        <w:t xml:space="preserve">fees of </w:t>
      </w:r>
      <w:r w:rsidR="3FC84C18">
        <w:t xml:space="preserve">cardiac </w:t>
      </w:r>
      <w:r w:rsidR="00BE33C6">
        <w:t>MRI MBS items</w:t>
      </w:r>
      <w:r w:rsidR="41F012CD">
        <w:t>.</w:t>
      </w:r>
      <w:r w:rsidR="00BE33C6">
        <w:t xml:space="preserve"> </w:t>
      </w:r>
      <w:r w:rsidR="009B577B">
        <w:t xml:space="preserve">MSAC </w:t>
      </w:r>
      <w:r w:rsidR="00CF5989">
        <w:t>considered</w:t>
      </w:r>
      <w:r w:rsidR="009B577B">
        <w:t xml:space="preserve"> that if the </w:t>
      </w:r>
      <w:r w:rsidR="00206967">
        <w:t>proposed</w:t>
      </w:r>
      <w:r w:rsidR="00402419">
        <w:t xml:space="preserve"> </w:t>
      </w:r>
      <w:r w:rsidR="009B577B">
        <w:t>item</w:t>
      </w:r>
      <w:r w:rsidR="001D4BED">
        <w:t xml:space="preserve"> for ACS</w:t>
      </w:r>
      <w:r w:rsidR="009B577B">
        <w:t xml:space="preserve"> for population </w:t>
      </w:r>
      <w:r w:rsidR="00206967">
        <w:t xml:space="preserve">2 was not </w:t>
      </w:r>
      <w:r w:rsidR="00FF6AF1">
        <w:t>funded, there</w:t>
      </w:r>
      <w:r w:rsidR="009B577B">
        <w:t xml:space="preserve"> would be </w:t>
      </w:r>
      <w:r w:rsidR="00CF5989">
        <w:t xml:space="preserve">a </w:t>
      </w:r>
      <w:r w:rsidR="009B577B">
        <w:t xml:space="preserve">service gap for patients who </w:t>
      </w:r>
      <w:r w:rsidR="00A546AE">
        <w:t>wer</w:t>
      </w:r>
      <w:r w:rsidR="009B577B">
        <w:t xml:space="preserve">e currently able to access </w:t>
      </w:r>
      <w:r w:rsidR="003B5781">
        <w:t xml:space="preserve">cardiac MRI </w:t>
      </w:r>
      <w:r w:rsidR="009B577B">
        <w:t>under MBS item 63399.</w:t>
      </w:r>
      <w:r w:rsidR="009F378E" w:rsidRPr="0F87441E">
        <w:rPr>
          <w:rFonts w:ascii="Calibri" w:hAnsi="Calibri" w:cs="Calibri"/>
          <w:color w:val="000000" w:themeColor="text1"/>
        </w:rPr>
        <w:t xml:space="preserve"> </w:t>
      </w:r>
      <w:r w:rsidR="0047256F">
        <w:t xml:space="preserve">MSAC noted </w:t>
      </w:r>
      <w:proofErr w:type="gramStart"/>
      <w:r w:rsidR="002D6994">
        <w:t>and also</w:t>
      </w:r>
      <w:proofErr w:type="gramEnd"/>
      <w:r w:rsidR="002D6994">
        <w:t xml:space="preserve"> agreed with </w:t>
      </w:r>
      <w:r w:rsidR="0047256F">
        <w:t>the pre-MSAC response that myocarditis induced by vaccines or immune checkpoint inhibitors would be covered by the proposed MBS item for population 1</w:t>
      </w:r>
      <w:r w:rsidR="002D6380">
        <w:t>.</w:t>
      </w:r>
      <w:r w:rsidR="0047256F">
        <w:t xml:space="preserve"> </w:t>
      </w:r>
      <w:r w:rsidR="00B161EA" w:rsidRPr="0F87441E">
        <w:rPr>
          <w:rFonts w:cs="Calibri"/>
          <w:color w:val="000000" w:themeColor="text1"/>
        </w:rPr>
        <w:t>In the context of the</w:t>
      </w:r>
      <w:r w:rsidR="009F378E" w:rsidRPr="00341DB5">
        <w:rPr>
          <w:rStyle w:val="normaltextrun"/>
          <w:rFonts w:cs="Calibri"/>
          <w:color w:val="000000" w:themeColor="text1"/>
        </w:rPr>
        <w:t xml:space="preserve"> current utilisation of </w:t>
      </w:r>
      <w:r w:rsidR="00B161EA" w:rsidRPr="0F87441E">
        <w:rPr>
          <w:rStyle w:val="normaltextrun"/>
          <w:rFonts w:cs="Calibri"/>
          <w:color w:val="000000" w:themeColor="text1"/>
        </w:rPr>
        <w:t xml:space="preserve">MBS </w:t>
      </w:r>
      <w:r w:rsidR="000A3637">
        <w:rPr>
          <w:rStyle w:val="normaltextrun"/>
          <w:rFonts w:cs="Calibri"/>
          <w:color w:val="000000" w:themeColor="text1"/>
        </w:rPr>
        <w:t>i</w:t>
      </w:r>
      <w:r w:rsidR="00B161EA" w:rsidRPr="0F87441E">
        <w:rPr>
          <w:rStyle w:val="normaltextrun"/>
          <w:rFonts w:cs="Calibri"/>
          <w:color w:val="000000" w:themeColor="text1"/>
        </w:rPr>
        <w:t xml:space="preserve">tem </w:t>
      </w:r>
      <w:r w:rsidR="009F378E" w:rsidRPr="00341DB5">
        <w:rPr>
          <w:rStyle w:val="normaltextrun"/>
          <w:rFonts w:cs="Calibri"/>
          <w:color w:val="000000" w:themeColor="text1"/>
        </w:rPr>
        <w:t>63399, MSAC considered the service gap was acceptably small</w:t>
      </w:r>
      <w:r w:rsidR="00CA6066" w:rsidRPr="0F87441E">
        <w:rPr>
          <w:rStyle w:val="normaltextrun"/>
          <w:rFonts w:cs="Calibri"/>
          <w:color w:val="000000" w:themeColor="text1"/>
        </w:rPr>
        <w:t>.</w:t>
      </w:r>
      <w:r w:rsidR="00402419" w:rsidRPr="0F87441E">
        <w:rPr>
          <w:rStyle w:val="normaltextrun"/>
          <w:rFonts w:cs="Calibri"/>
          <w:color w:val="000000" w:themeColor="text1"/>
        </w:rPr>
        <w:t xml:space="preserve"> </w:t>
      </w:r>
      <w:r w:rsidR="009F7B9E" w:rsidRPr="0F87441E">
        <w:rPr>
          <w:rStyle w:val="normaltextrun"/>
          <w:rFonts w:cs="Calibri"/>
          <w:color w:val="000000" w:themeColor="text1"/>
        </w:rPr>
        <w:t xml:space="preserve">To ensure </w:t>
      </w:r>
      <w:r w:rsidR="003B5781" w:rsidRPr="0F87441E">
        <w:rPr>
          <w:rStyle w:val="normaltextrun"/>
          <w:rFonts w:cs="Calibri"/>
          <w:color w:val="000000" w:themeColor="text1"/>
        </w:rPr>
        <w:t xml:space="preserve">cardiac MRI </w:t>
      </w:r>
      <w:r w:rsidR="009F7B9E" w:rsidRPr="0F87441E">
        <w:rPr>
          <w:rStyle w:val="normaltextrun"/>
          <w:rFonts w:cs="Calibri"/>
          <w:color w:val="000000" w:themeColor="text1"/>
        </w:rPr>
        <w:t>adequate</w:t>
      </w:r>
      <w:r w:rsidR="003B5781" w:rsidRPr="0F87441E">
        <w:rPr>
          <w:rStyle w:val="normaltextrun"/>
          <w:rFonts w:cs="Calibri"/>
          <w:color w:val="000000" w:themeColor="text1"/>
        </w:rPr>
        <w:t xml:space="preserve">ly </w:t>
      </w:r>
      <w:r w:rsidR="00C863D5" w:rsidRPr="0F87441E">
        <w:rPr>
          <w:rStyle w:val="normaltextrun"/>
          <w:rFonts w:cs="Calibri"/>
          <w:color w:val="000000" w:themeColor="text1"/>
        </w:rPr>
        <w:t>encompasse</w:t>
      </w:r>
      <w:r w:rsidR="005E6874" w:rsidRPr="0F87441E">
        <w:rPr>
          <w:rStyle w:val="normaltextrun"/>
          <w:rFonts w:cs="Calibri"/>
          <w:color w:val="000000" w:themeColor="text1"/>
        </w:rPr>
        <w:t>d</w:t>
      </w:r>
      <w:r w:rsidR="003B5781" w:rsidRPr="0F87441E">
        <w:rPr>
          <w:rStyle w:val="normaltextrun"/>
          <w:rFonts w:cs="Calibri"/>
          <w:color w:val="000000" w:themeColor="text1"/>
        </w:rPr>
        <w:t xml:space="preserve"> the </w:t>
      </w:r>
      <w:r w:rsidR="00A54A15" w:rsidRPr="0F87441E">
        <w:rPr>
          <w:rStyle w:val="normaltextrun"/>
          <w:rFonts w:cs="Calibri"/>
          <w:color w:val="000000" w:themeColor="text1"/>
        </w:rPr>
        <w:t>supported population</w:t>
      </w:r>
      <w:r w:rsidR="009F7B9E" w:rsidRPr="0F87441E">
        <w:rPr>
          <w:rStyle w:val="normaltextrun"/>
          <w:rFonts w:cs="Calibri"/>
          <w:color w:val="000000" w:themeColor="text1"/>
        </w:rPr>
        <w:t xml:space="preserve"> MSAC </w:t>
      </w:r>
      <w:r w:rsidR="00402419" w:rsidRPr="0F87441E">
        <w:rPr>
          <w:rStyle w:val="normaltextrun"/>
          <w:rFonts w:cs="Calibri"/>
          <w:color w:val="000000" w:themeColor="text1"/>
        </w:rPr>
        <w:t xml:space="preserve">advised </w:t>
      </w:r>
      <w:r w:rsidR="008C371B" w:rsidRPr="0F87441E">
        <w:rPr>
          <w:rStyle w:val="normaltextrun"/>
          <w:rFonts w:cs="Calibri"/>
          <w:color w:val="000000" w:themeColor="text1"/>
        </w:rPr>
        <w:t>th</w:t>
      </w:r>
      <w:r w:rsidR="00A54A15" w:rsidRPr="0F87441E">
        <w:rPr>
          <w:rStyle w:val="normaltextrun"/>
          <w:rFonts w:cs="Calibri"/>
          <w:color w:val="000000" w:themeColor="text1"/>
        </w:rPr>
        <w:t>at</w:t>
      </w:r>
      <w:r w:rsidR="008C371B" w:rsidRPr="0F87441E">
        <w:rPr>
          <w:rStyle w:val="normaltextrun"/>
          <w:rFonts w:cs="Calibri"/>
          <w:color w:val="000000" w:themeColor="text1"/>
        </w:rPr>
        <w:t xml:space="preserve"> </w:t>
      </w:r>
      <w:r w:rsidR="00A54A15" w:rsidRPr="0F87441E">
        <w:rPr>
          <w:rStyle w:val="normaltextrun"/>
          <w:rFonts w:cs="Calibri"/>
          <w:color w:val="000000" w:themeColor="text1"/>
        </w:rPr>
        <w:t>d</w:t>
      </w:r>
      <w:r w:rsidR="008C371B" w:rsidRPr="0F87441E">
        <w:rPr>
          <w:rStyle w:val="normaltextrun"/>
          <w:rFonts w:cs="Calibri"/>
          <w:color w:val="000000" w:themeColor="text1"/>
        </w:rPr>
        <w:t xml:space="preserve">epartment </w:t>
      </w:r>
      <w:r w:rsidR="00A54A15" w:rsidRPr="0F87441E">
        <w:rPr>
          <w:rStyle w:val="normaltextrun"/>
          <w:rFonts w:cs="Calibri"/>
          <w:color w:val="000000" w:themeColor="text1"/>
        </w:rPr>
        <w:t>should</w:t>
      </w:r>
      <w:r w:rsidR="008C371B" w:rsidRPr="0F87441E">
        <w:rPr>
          <w:rStyle w:val="normaltextrun"/>
          <w:rFonts w:cs="Calibri"/>
          <w:color w:val="000000" w:themeColor="text1"/>
        </w:rPr>
        <w:t xml:space="preserve"> monitor </w:t>
      </w:r>
      <w:r w:rsidR="00A54A15" w:rsidRPr="0F87441E">
        <w:rPr>
          <w:rStyle w:val="normaltextrun"/>
          <w:rFonts w:cs="Calibri"/>
          <w:color w:val="000000" w:themeColor="text1"/>
        </w:rPr>
        <w:t xml:space="preserve">the </w:t>
      </w:r>
      <w:r w:rsidR="00CA6066" w:rsidRPr="0F87441E">
        <w:rPr>
          <w:rStyle w:val="normaltextrun"/>
          <w:rFonts w:cs="Calibri"/>
          <w:color w:val="000000" w:themeColor="text1"/>
        </w:rPr>
        <w:t>it</w:t>
      </w:r>
      <w:r w:rsidR="00A54A15" w:rsidRPr="0F87441E">
        <w:rPr>
          <w:rStyle w:val="normaltextrun"/>
          <w:rFonts w:cs="Calibri"/>
          <w:color w:val="000000" w:themeColor="text1"/>
        </w:rPr>
        <w:t>em</w:t>
      </w:r>
      <w:r w:rsidR="00CA6066" w:rsidRPr="0F87441E">
        <w:rPr>
          <w:rStyle w:val="normaltextrun"/>
          <w:rFonts w:cs="Calibri"/>
          <w:color w:val="000000" w:themeColor="text1"/>
        </w:rPr>
        <w:t xml:space="preserve"> </w:t>
      </w:r>
      <w:r w:rsidR="008C371B" w:rsidRPr="0F87441E">
        <w:rPr>
          <w:rStyle w:val="normaltextrun"/>
          <w:rFonts w:cs="Calibri"/>
          <w:color w:val="000000" w:themeColor="text1"/>
        </w:rPr>
        <w:t>post implementation.</w:t>
      </w:r>
      <w:r w:rsidR="001C0CC9" w:rsidRPr="001C0CC9">
        <w:t xml:space="preserve"> </w:t>
      </w:r>
    </w:p>
    <w:p w14:paraId="5EA986DD" w14:textId="00FE2419" w:rsidR="00F57EE9" w:rsidRDefault="00F57EE9" w:rsidP="00F57EE9">
      <w:r>
        <w:t xml:space="preserve">MSAC noted that the economic evaluation was a cost-utility analysis of the proposed MBS listing in the two populations of interest. MSAC considered this </w:t>
      </w:r>
      <w:r w:rsidR="006B6FA6">
        <w:t>was</w:t>
      </w:r>
      <w:r>
        <w:t xml:space="preserve"> appropriate. However, MSAC </w:t>
      </w:r>
      <w:r w:rsidR="004F4972">
        <w:t>considered</w:t>
      </w:r>
      <w:r>
        <w:t xml:space="preserve"> that the economic evaluation was highly uncertain. There </w:t>
      </w:r>
      <w:r w:rsidR="006B6FA6">
        <w:t>were</w:t>
      </w:r>
      <w:r>
        <w:t xml:space="preserve"> lack of local prevalence and incidence data for myocarditis in Australia; therefore, the economic evaluation was based on international sources. In the absence of evidence about the change of management with LGE changes and the relative effectiveness of regular monitoring compared to standard care, expert opinion was used to inform these input parameters in the model</w:t>
      </w:r>
      <w:r w:rsidR="000550FE">
        <w:t>, which MSAC (agreeing with ESC) considered made the economic results highly uncertain</w:t>
      </w:r>
      <w:r>
        <w:t>.</w:t>
      </w:r>
    </w:p>
    <w:p w14:paraId="28A7B257" w14:textId="6CA49150" w:rsidR="00F57EE9" w:rsidRDefault="00F57EE9" w:rsidP="00F57EE9">
      <w:pPr>
        <w:rPr>
          <w:rStyle w:val="InstructionaltextChar"/>
          <w:color w:val="000000" w:themeColor="text1"/>
        </w:rPr>
      </w:pPr>
      <w:r>
        <w:rPr>
          <w:rStyle w:val="InstructionaltextChar"/>
          <w:color w:val="000000" w:themeColor="text1"/>
        </w:rPr>
        <w:t xml:space="preserve">MSAC noted that the management pathway with cardiac MRI resulted in an incremental cost-effectiveness ratio (ICER) of $66,356 per quality-adjust life-year (QALY) in population 1. </w:t>
      </w:r>
      <w:r w:rsidR="004F4972">
        <w:rPr>
          <w:rStyle w:val="InstructionaltextChar"/>
          <w:color w:val="000000" w:themeColor="text1"/>
        </w:rPr>
        <w:t>MSAC considered t</w:t>
      </w:r>
      <w:r>
        <w:rPr>
          <w:rStyle w:val="InstructionaltextChar"/>
          <w:color w:val="000000" w:themeColor="text1"/>
        </w:rPr>
        <w:t>h</w:t>
      </w:r>
      <w:r w:rsidR="004F4972">
        <w:rPr>
          <w:rStyle w:val="InstructionaltextChar"/>
          <w:color w:val="000000" w:themeColor="text1"/>
        </w:rPr>
        <w:t>is</w:t>
      </w:r>
      <w:r>
        <w:rPr>
          <w:rStyle w:val="InstructionaltextChar"/>
          <w:color w:val="000000" w:themeColor="text1"/>
        </w:rPr>
        <w:t xml:space="preserve"> </w:t>
      </w:r>
      <w:r w:rsidR="004F4972">
        <w:rPr>
          <w:rStyle w:val="InstructionaltextChar"/>
          <w:color w:val="000000" w:themeColor="text1"/>
        </w:rPr>
        <w:t>result</w:t>
      </w:r>
      <w:r>
        <w:rPr>
          <w:rStyle w:val="InstructionaltextChar"/>
          <w:color w:val="000000" w:themeColor="text1"/>
        </w:rPr>
        <w:t xml:space="preserve"> </w:t>
      </w:r>
      <w:r w:rsidR="006B6FA6">
        <w:rPr>
          <w:rStyle w:val="InstructionaltextChar"/>
          <w:color w:val="000000" w:themeColor="text1"/>
        </w:rPr>
        <w:t xml:space="preserve">might </w:t>
      </w:r>
      <w:r>
        <w:rPr>
          <w:rStyle w:val="InstructionaltextChar"/>
          <w:color w:val="000000" w:themeColor="text1"/>
        </w:rPr>
        <w:t>have been primarily driven by the absence of a comparable investigative health technology to contrast the increased cost of cardiac MRI for the diagnosis or exclusion of myocarditis in the current management pathway.</w:t>
      </w:r>
      <w:r w:rsidR="00BB4506">
        <w:rPr>
          <w:rStyle w:val="InstructionaltextChar"/>
          <w:color w:val="000000" w:themeColor="text1"/>
        </w:rPr>
        <w:t xml:space="preserve"> MSAC advised cardiac MRI in population 1 was acceptably cost-effective.</w:t>
      </w:r>
    </w:p>
    <w:p w14:paraId="44717637" w14:textId="10B92318" w:rsidR="00F57EE9" w:rsidRDefault="00F57EE9" w:rsidP="00F57EE9">
      <w:pPr>
        <w:rPr>
          <w:rStyle w:val="InstructionaltextChar"/>
          <w:color w:val="000000" w:themeColor="text1"/>
        </w:rPr>
      </w:pPr>
      <w:r>
        <w:rPr>
          <w:rStyle w:val="InstructionaltextChar"/>
          <w:color w:val="000000" w:themeColor="text1"/>
        </w:rPr>
        <w:t xml:space="preserve">In population 2, the management pathway with cardiac MRI resulted in an ICER of $15,787/QALY gained. The improved value for money of cardiac MRI in population 2 </w:t>
      </w:r>
      <w:r w:rsidR="000723AD">
        <w:rPr>
          <w:rStyle w:val="InstructionaltextChar"/>
          <w:color w:val="000000" w:themeColor="text1"/>
        </w:rPr>
        <w:t>was likely</w:t>
      </w:r>
      <w:r>
        <w:rPr>
          <w:rStyle w:val="InstructionaltextChar"/>
          <w:color w:val="000000" w:themeColor="text1"/>
        </w:rPr>
        <w:t xml:space="preserve"> driven by the prognostic value of cardiac MRI in highlighting patients with fibrosis via the presence of LGE and the potential risk reduction of a downstream major adverse cardiac events (MACE) in these patients </w:t>
      </w:r>
      <w:r w:rsidR="00F241DB">
        <w:rPr>
          <w:rStyle w:val="InstructionaltextChar"/>
          <w:color w:val="000000" w:themeColor="text1"/>
        </w:rPr>
        <w:t xml:space="preserve">via </w:t>
      </w:r>
      <w:r>
        <w:rPr>
          <w:rStyle w:val="InstructionaltextChar"/>
          <w:color w:val="000000" w:themeColor="text1"/>
        </w:rPr>
        <w:t xml:space="preserve">monitoring. The avoidable costs of placing potential myocarditis patients on prophylactic ACS medications was another factor that contributed to the cost-effectiveness of cardiac MRI in this population. </w:t>
      </w:r>
      <w:r w:rsidR="00762272">
        <w:rPr>
          <w:rStyle w:val="InstructionaltextChar"/>
          <w:color w:val="000000" w:themeColor="text1"/>
        </w:rPr>
        <w:t>However, the model assumed that cardiac MRI would replace other imaging, which as above MSAC considered would not take place in the real world</w:t>
      </w:r>
      <w:r w:rsidR="00A03DF6">
        <w:rPr>
          <w:rStyle w:val="InstructionaltextChar"/>
          <w:color w:val="000000" w:themeColor="text1"/>
        </w:rPr>
        <w:t>, and so the claimed cost-offsets would not be realised</w:t>
      </w:r>
      <w:r w:rsidR="00762272">
        <w:rPr>
          <w:rStyle w:val="InstructionaltextChar"/>
          <w:color w:val="000000" w:themeColor="text1"/>
        </w:rPr>
        <w:t xml:space="preserve">. MSAC </w:t>
      </w:r>
      <w:r w:rsidR="00C4494C">
        <w:rPr>
          <w:rStyle w:val="InstructionaltextChar"/>
          <w:color w:val="000000" w:themeColor="text1"/>
        </w:rPr>
        <w:t>advised</w:t>
      </w:r>
      <w:r w:rsidR="00762272">
        <w:rPr>
          <w:rStyle w:val="InstructionaltextChar"/>
          <w:color w:val="000000" w:themeColor="text1"/>
        </w:rPr>
        <w:t xml:space="preserve"> the cost-effectiveness of cardiac MRI in population 2 was highly uncertain</w:t>
      </w:r>
      <w:r w:rsidR="00C4494C">
        <w:rPr>
          <w:rStyle w:val="InstructionaltextChar"/>
          <w:color w:val="000000" w:themeColor="text1"/>
        </w:rPr>
        <w:t xml:space="preserve"> due to lack of local data</w:t>
      </w:r>
      <w:r w:rsidR="00A11AA2">
        <w:rPr>
          <w:rStyle w:val="InstructionaltextChar"/>
          <w:color w:val="000000" w:themeColor="text1"/>
        </w:rPr>
        <w:t xml:space="preserve"> and the modelling having over-estimated the cost-offsets</w:t>
      </w:r>
      <w:r w:rsidR="00BB4506">
        <w:rPr>
          <w:rStyle w:val="InstructionaltextChar"/>
          <w:color w:val="000000" w:themeColor="text1"/>
        </w:rPr>
        <w:t>.</w:t>
      </w:r>
    </w:p>
    <w:p w14:paraId="5172EFF8" w14:textId="3479541F" w:rsidR="00F57EE9" w:rsidRDefault="00F57EE9" w:rsidP="00F57EE9">
      <w:r>
        <w:t xml:space="preserve">MSAC noted that </w:t>
      </w:r>
      <w:r w:rsidR="000F5B1C">
        <w:t xml:space="preserve">the DCAR used </w:t>
      </w:r>
      <w:r>
        <w:t xml:space="preserve">an epidemiological approach to estimate the expected extent of usage and the financial implications of listing cardiac MRI on the MBS. This approach was chosen instead of a market-based approach because the MBS items for the comparator tests (for example, EMB, CTCA, TTE) </w:t>
      </w:r>
      <w:r w:rsidR="0085065D">
        <w:t xml:space="preserve">was </w:t>
      </w:r>
      <w:r>
        <w:t xml:space="preserve">not restricted to the proposed population. MSAC noted that for population 1, the net financial impact to the MBS </w:t>
      </w:r>
      <w:r w:rsidR="0085065D">
        <w:t>was</w:t>
      </w:r>
      <w:r w:rsidR="000C2256">
        <w:t xml:space="preserve"> </w:t>
      </w:r>
      <w:r>
        <w:t xml:space="preserve">$3,685,782 (year 1) </w:t>
      </w:r>
      <w:r w:rsidR="000C2256">
        <w:t xml:space="preserve">and </w:t>
      </w:r>
      <w:r>
        <w:t xml:space="preserve">$3,951,052 (year </w:t>
      </w:r>
      <w:r w:rsidR="009D5F17">
        <w:t>6</w:t>
      </w:r>
      <w:r>
        <w:t>)</w:t>
      </w:r>
      <w:r w:rsidR="000F5B1C">
        <w:t>; f</w:t>
      </w:r>
      <w:r>
        <w:t xml:space="preserve">or population 2 </w:t>
      </w:r>
      <w:r w:rsidR="009E30D4">
        <w:t xml:space="preserve">the net cost to the MBS </w:t>
      </w:r>
      <w:r>
        <w:t xml:space="preserve">was $1,401,494 (year 1) </w:t>
      </w:r>
      <w:r w:rsidR="000C2256">
        <w:t xml:space="preserve">and </w:t>
      </w:r>
      <w:r>
        <w:t xml:space="preserve">$1,502,361 (year </w:t>
      </w:r>
      <w:r w:rsidR="00CE46EE">
        <w:t>6</w:t>
      </w:r>
      <w:r>
        <w:t>)</w:t>
      </w:r>
      <w:r w:rsidR="009E30D4">
        <w:t xml:space="preserve">, which was based on a cost of cardiac MRI around $15 million per year, and cost-offsets from other services </w:t>
      </w:r>
      <w:r w:rsidR="00F44808">
        <w:t>replaced</w:t>
      </w:r>
      <w:r w:rsidR="009E30D4">
        <w:t xml:space="preserve"> of around $14 million per year</w:t>
      </w:r>
      <w:r>
        <w:t>.</w:t>
      </w:r>
      <w:r w:rsidR="00B55193">
        <w:t xml:space="preserve"> MSAC noted </w:t>
      </w:r>
      <w:r w:rsidR="000F5B1C">
        <w:t>that</w:t>
      </w:r>
      <w:r w:rsidR="00B55193">
        <w:t xml:space="preserve"> </w:t>
      </w:r>
      <w:r w:rsidR="00BA1C9E">
        <w:t xml:space="preserve">if no cost-offsets were assumed for populations 1 and 2, the net financial impact to the MBS </w:t>
      </w:r>
      <w:r w:rsidR="009E30D4">
        <w:t xml:space="preserve">remained at </w:t>
      </w:r>
      <w:r w:rsidR="00266B3B">
        <w:br/>
      </w:r>
      <w:r w:rsidR="009E30D4">
        <w:t>$3.6-</w:t>
      </w:r>
      <w:r w:rsidR="001071D9">
        <w:t>$</w:t>
      </w:r>
      <w:r w:rsidR="009E30D4">
        <w:t xml:space="preserve">3.9 million for population </w:t>
      </w:r>
      <w:proofErr w:type="gramStart"/>
      <w:r w:rsidR="009E30D4">
        <w:t>1, but</w:t>
      </w:r>
      <w:proofErr w:type="gramEnd"/>
      <w:r w:rsidR="009E30D4">
        <w:t xml:space="preserve"> increased from $1.4-1.5 million to </w:t>
      </w:r>
      <w:r w:rsidR="00F44808">
        <w:t>$14.7-15.8 million for population 2</w:t>
      </w:r>
      <w:r w:rsidR="00F45536">
        <w:t>.</w:t>
      </w:r>
    </w:p>
    <w:p w14:paraId="230464F3" w14:textId="7C70DAC2" w:rsidR="00F226F7" w:rsidRDefault="00F57EE9" w:rsidP="00867E94">
      <w:r>
        <w:t xml:space="preserve">MSAC </w:t>
      </w:r>
      <w:r w:rsidR="00F44808">
        <w:t>considered</w:t>
      </w:r>
      <w:r>
        <w:t xml:space="preserve"> that the estimations of the extent of use and financial implications of cardiac MRI were highly uncertain due to numerous assumptions that were required to estimate the financial impact. </w:t>
      </w:r>
      <w:r w:rsidR="00A23CDD">
        <w:t xml:space="preserve">MSAC noted the lack of Australian </w:t>
      </w:r>
      <w:r w:rsidR="00A23CDD" w:rsidRPr="00946F6F">
        <w:t xml:space="preserve">prevalence </w:t>
      </w:r>
      <w:r w:rsidR="00A23CDD">
        <w:t>and</w:t>
      </w:r>
      <w:r w:rsidR="00A23CDD" w:rsidRPr="00946F6F">
        <w:t xml:space="preserve"> incidence data</w:t>
      </w:r>
      <w:r w:rsidR="00A23CDD">
        <w:t xml:space="preserve"> for </w:t>
      </w:r>
      <w:r w:rsidR="00A23CDD">
        <w:lastRenderedPageBreak/>
        <w:t xml:space="preserve">myocarditis and the uncertainty in the size of the eligible population that was estimated to be approximately 7,900 cases per year. </w:t>
      </w:r>
      <w:r>
        <w:t xml:space="preserve">Furthermore, the financial estimates were also sensitive to incidence of myocarditis, proportion of patients in populations 1 and 2, and uptake rate of cardiac MRI. </w:t>
      </w:r>
      <w:r w:rsidR="0062200A">
        <w:t xml:space="preserve">MSAC also noted the assessment had not </w:t>
      </w:r>
      <w:proofErr w:type="gramStart"/>
      <w:r w:rsidR="0062200A">
        <w:t>taken into account</w:t>
      </w:r>
      <w:proofErr w:type="gramEnd"/>
      <w:r w:rsidR="0062200A">
        <w:t xml:space="preserve"> additional testing that may be occurring through the private health system.</w:t>
      </w:r>
      <w:r w:rsidR="00A23CDD">
        <w:t xml:space="preserve"> </w:t>
      </w:r>
      <w:r w:rsidR="08425ED4">
        <w:t>Despite the</w:t>
      </w:r>
      <w:r w:rsidR="00543371">
        <w:t xml:space="preserve"> relative</w:t>
      </w:r>
      <w:r>
        <w:t xml:space="preserve"> </w:t>
      </w:r>
      <w:r w:rsidR="0062200A">
        <w:t>uncertaint</w:t>
      </w:r>
      <w:r w:rsidR="00543371">
        <w:t>y in the estimated cost</w:t>
      </w:r>
      <w:r w:rsidR="0062200A">
        <w:t xml:space="preserve">, </w:t>
      </w:r>
      <w:r>
        <w:t xml:space="preserve">MSAC </w:t>
      </w:r>
      <w:r w:rsidR="0062200A">
        <w:t xml:space="preserve">advised </w:t>
      </w:r>
      <w:r>
        <w:t xml:space="preserve">the financial impact </w:t>
      </w:r>
      <w:r w:rsidR="0062200A">
        <w:t xml:space="preserve">for the supported cardiac MRI </w:t>
      </w:r>
      <w:r>
        <w:t>was modest</w:t>
      </w:r>
      <w:r w:rsidR="0062200A">
        <w:t xml:space="preserve"> and acceptable</w:t>
      </w:r>
      <w:r>
        <w:t xml:space="preserve">. </w:t>
      </w:r>
      <w:r w:rsidR="00543371">
        <w:t>To mitigate uncertainty, MSAC recommended utilisation should be</w:t>
      </w:r>
      <w:r w:rsidR="00EA31E4">
        <w:t xml:space="preserve"> reviewed after two years of listing.</w:t>
      </w:r>
    </w:p>
    <w:p w14:paraId="6710B69D" w14:textId="3E27CAAD" w:rsidR="00772829" w:rsidRPr="00CE28E3" w:rsidRDefault="00F226F7" w:rsidP="002A18BE">
      <w:pPr>
        <w:pStyle w:val="Heading2"/>
        <w:numPr>
          <w:ilvl w:val="1"/>
          <w:numId w:val="0"/>
        </w:numPr>
      </w:pPr>
      <w:bookmarkStart w:id="5" w:name="_Toc155189730"/>
      <w:bookmarkEnd w:id="1"/>
      <w:r>
        <w:t>4</w:t>
      </w:r>
      <w:r w:rsidR="00C36633">
        <w:t>.</w:t>
      </w:r>
      <w:r w:rsidR="00C36633">
        <w:tab/>
      </w:r>
      <w:r w:rsidR="00772829">
        <w:t>Background</w:t>
      </w:r>
      <w:bookmarkEnd w:id="5"/>
    </w:p>
    <w:p w14:paraId="75B908AC" w14:textId="48A735EA" w:rsidR="00962B68" w:rsidRDefault="00EB4ACE" w:rsidP="00867E94">
      <w:bookmarkStart w:id="6" w:name="_Ref69480768"/>
      <w:bookmarkStart w:id="7" w:name="_Hlk69734557"/>
      <w:r>
        <w:t xml:space="preserve">In April 2017, </w:t>
      </w:r>
      <w:r w:rsidR="00962B68">
        <w:t xml:space="preserve">MSAC considered the following application for cardiac MRI related to the diagnosis of </w:t>
      </w:r>
      <w:r w:rsidR="00A95548">
        <w:t>myocarditis</w:t>
      </w:r>
      <w:r w:rsidR="00962B68">
        <w:t xml:space="preserve">: </w:t>
      </w:r>
    </w:p>
    <w:p w14:paraId="568EAA6A" w14:textId="0F0C38D9" w:rsidR="00962B68" w:rsidRDefault="00962B68" w:rsidP="00DE0CD5">
      <w:pPr>
        <w:pStyle w:val="Instructionaltext-bullet"/>
        <w:numPr>
          <w:ilvl w:val="0"/>
          <w:numId w:val="10"/>
        </w:numPr>
        <w:tabs>
          <w:tab w:val="left" w:pos="720"/>
        </w:tabs>
        <w:spacing w:line="256" w:lineRule="auto"/>
        <w:ind w:left="714" w:hanging="357"/>
        <w:rPr>
          <w:color w:val="auto"/>
        </w:rPr>
      </w:pPr>
      <w:r>
        <w:rPr>
          <w:color w:val="auto"/>
        </w:rPr>
        <w:t>Application 1432 – cardiac MRI of patients with suspected non-ischaemic cardiomyopathy (Part B).</w:t>
      </w:r>
      <w:r w:rsidR="00966459">
        <w:rPr>
          <w:color w:val="auto"/>
        </w:rPr>
        <w:t xml:space="preserve"> </w:t>
      </w:r>
    </w:p>
    <w:p w14:paraId="5A7BD109" w14:textId="666460E8" w:rsidR="00962B68" w:rsidRDefault="00962B68" w:rsidP="00962B68">
      <w:pPr>
        <w:pStyle w:val="Instructionaltext"/>
        <w:rPr>
          <w:color w:val="auto"/>
        </w:rPr>
      </w:pPr>
      <w:r>
        <w:rPr>
          <w:color w:val="auto"/>
        </w:rPr>
        <w:t xml:space="preserve">MSAC </w:t>
      </w:r>
      <w:r w:rsidR="00A0434B">
        <w:rPr>
          <w:color w:val="auto"/>
        </w:rPr>
        <w:t xml:space="preserve">had </w:t>
      </w:r>
      <w:r>
        <w:rPr>
          <w:color w:val="auto"/>
        </w:rPr>
        <w:t xml:space="preserve">not previously considered cardiac MRI for the diagnosis of myocarditis. However, Population 5 of Application 1432 </w:t>
      </w:r>
      <w:r w:rsidR="00E80939">
        <w:rPr>
          <w:color w:val="auto"/>
        </w:rPr>
        <w:t xml:space="preserve">included patients with </w:t>
      </w:r>
      <w:r>
        <w:rPr>
          <w:color w:val="auto"/>
        </w:rPr>
        <w:t xml:space="preserve">cardiomyopathies due to acute coronary syndrome (ACS), myocarditis or Takotsubo cardiomyopathy (TTC). </w:t>
      </w:r>
    </w:p>
    <w:p w14:paraId="2669811B" w14:textId="2D9CF22B" w:rsidR="26AF3849" w:rsidRPr="00962B68" w:rsidRDefault="00962B68" w:rsidP="00867E94">
      <w:r w:rsidRPr="00867E94">
        <w:t xml:space="preserve">MSAC was unable to determine the benefit of cardiac MRI compared with prior testing alone in Population 5 due to the limited evidence base around diagnostic accuracy. While accepting that cardiac MRI could clarify diagnoses and change management, largely by ruling out ACS and reducing or ceasing medicines to treat ACS, this was based on low-quality case series evidence. The result of the cost-effectiveness analysis in this population was highly uncertain, difficult to interpret and did not capture all relevant patient outcomes. Only two out of six proposed populations (arrhythmogenic right ventricular cardiomyopathy [ARVC] and </w:t>
      </w:r>
      <w:r w:rsidR="00EF7562" w:rsidRPr="00867E94">
        <w:t>first-degree</w:t>
      </w:r>
      <w:r w:rsidRPr="00867E94">
        <w:t xml:space="preserve"> relatives of ARVC patients) were identified as potentially benefiting from cardiac MRI in Application 1432. Cardiac MRI for the diagnosis of ARVC (MBS item 63395) and MRI scan of cardiovascular system for first degree relatives of ARVC patients (MBS item 63397) were </w:t>
      </w:r>
      <w:r w:rsidR="000C541B">
        <w:t xml:space="preserve">listed on the MBS </w:t>
      </w:r>
      <w:r w:rsidRPr="00867E94">
        <w:t xml:space="preserve">on </w:t>
      </w:r>
      <w:r w:rsidR="00266B3B">
        <w:br/>
      </w:r>
      <w:r w:rsidRPr="00867E94">
        <w:t>May 1, 2018</w:t>
      </w:r>
      <w:r>
        <w:t>.</w:t>
      </w:r>
      <w:bookmarkEnd w:id="6"/>
      <w:bookmarkEnd w:id="7"/>
    </w:p>
    <w:p w14:paraId="6F52500A" w14:textId="1F0BE213" w:rsidR="00772829" w:rsidRPr="00CE28E3" w:rsidRDefault="00F226F7" w:rsidP="002A18BE">
      <w:pPr>
        <w:pStyle w:val="Heading2"/>
        <w:numPr>
          <w:ilvl w:val="1"/>
          <w:numId w:val="0"/>
        </w:numPr>
      </w:pPr>
      <w:bookmarkStart w:id="8" w:name="_Toc155189731"/>
      <w:r>
        <w:t>5</w:t>
      </w:r>
      <w:r w:rsidR="00C36633">
        <w:t>.</w:t>
      </w:r>
      <w:r w:rsidR="00C36633">
        <w:tab/>
      </w:r>
      <w:r w:rsidR="00772829">
        <w:t>Prerequisites to implementation of any funding advice</w:t>
      </w:r>
      <w:bookmarkEnd w:id="8"/>
    </w:p>
    <w:p w14:paraId="1F8E296B" w14:textId="1060AA1C" w:rsidR="00BC068D" w:rsidRDefault="00BC068D" w:rsidP="00867E94">
      <w:r w:rsidRPr="00962B68">
        <w:t xml:space="preserve">The </w:t>
      </w:r>
      <w:r w:rsidR="00A54A50">
        <w:t>Applicant</w:t>
      </w:r>
      <w:r w:rsidRPr="00962B68">
        <w:t xml:space="preserve"> advised that the proposed cardiac MRI service is a complex test and should be limited to only those radiologists and cardiologists who have been certified by the Conjoint Committee for Certification in cardiac MRI.</w:t>
      </w:r>
    </w:p>
    <w:p w14:paraId="44C3B242" w14:textId="053B8BF2" w:rsidR="00772829" w:rsidRPr="00CE28E3" w:rsidRDefault="00F226F7" w:rsidP="002A18BE">
      <w:pPr>
        <w:pStyle w:val="Heading2"/>
        <w:numPr>
          <w:ilvl w:val="0"/>
          <w:numId w:val="0"/>
        </w:numPr>
      </w:pPr>
      <w:bookmarkStart w:id="9" w:name="_Toc155189732"/>
      <w:r>
        <w:t>6</w:t>
      </w:r>
      <w:r w:rsidR="00C36633">
        <w:t>.</w:t>
      </w:r>
      <w:r w:rsidR="00C36633">
        <w:tab/>
      </w:r>
      <w:r w:rsidR="00772829" w:rsidRPr="00CE28E3">
        <w:t>Proposal for public funding</w:t>
      </w:r>
      <w:bookmarkEnd w:id="9"/>
    </w:p>
    <w:p w14:paraId="37F986F7" w14:textId="25D79A65" w:rsidR="00673E29" w:rsidRPr="00D1742B" w:rsidRDefault="00962B68" w:rsidP="00D1742B">
      <w:r w:rsidRPr="00962B68">
        <w:t xml:space="preserve">A new MBS item </w:t>
      </w:r>
      <w:r w:rsidR="000C541B">
        <w:t>wa</w:t>
      </w:r>
      <w:r w:rsidRPr="00962B68">
        <w:t>s proposed for cardiac MRI, with the fee informed by the temporary MBS item for the diagnosis of mRNA</w:t>
      </w:r>
      <w:r w:rsidR="35DEA4ED">
        <w:t xml:space="preserve"> vaccine</w:t>
      </w:r>
      <w:r w:rsidRPr="00962B68">
        <w:t>-associated myocarditis (</w:t>
      </w:r>
      <w:hyperlink r:id="rId9">
        <w:r w:rsidRPr="21D5BF0F">
          <w:rPr>
            <w:rFonts w:cs="Times New Roman"/>
            <w:color w:val="0070C0"/>
            <w:u w:val="single"/>
          </w:rPr>
          <w:t>MBS item 63399</w:t>
        </w:r>
      </w:hyperlink>
      <w:r w:rsidRPr="00962B68">
        <w:rPr>
          <w:rFonts w:cs="Times New Roman"/>
          <w:u w:val="single"/>
        </w:rPr>
        <w:t>)</w:t>
      </w:r>
      <w:r w:rsidRPr="00962B68">
        <w:t xml:space="preserve"> (</w:t>
      </w:r>
      <w:r w:rsidR="002964AF">
        <w:fldChar w:fldCharType="begin"/>
      </w:r>
      <w:r w:rsidR="002964AF">
        <w:instrText xml:space="preserve"> REF _Ref150353213 \h </w:instrText>
      </w:r>
      <w:r w:rsidR="00867E94">
        <w:instrText xml:space="preserve"> \* MERGEFORMAT </w:instrText>
      </w:r>
      <w:r w:rsidR="002964AF">
        <w:fldChar w:fldCharType="separate"/>
      </w:r>
      <w:r w:rsidR="006C091A">
        <w:t xml:space="preserve">Table </w:t>
      </w:r>
      <w:r w:rsidR="006C091A">
        <w:rPr>
          <w:noProof/>
        </w:rPr>
        <w:t>2</w:t>
      </w:r>
      <w:r w:rsidR="002964AF">
        <w:fldChar w:fldCharType="end"/>
      </w:r>
      <w:r w:rsidRPr="00962B68">
        <w:t xml:space="preserve">). </w:t>
      </w:r>
      <w:r w:rsidR="009A17D5">
        <w:t>T</w:t>
      </w:r>
      <w:r w:rsidRPr="00962B68">
        <w:t>he MBS item fee also include</w:t>
      </w:r>
      <w:r w:rsidR="00172BD6">
        <w:t>d</w:t>
      </w:r>
      <w:r w:rsidRPr="00962B68">
        <w:t xml:space="preserve"> the fee of standard item for </w:t>
      </w:r>
      <w:r w:rsidR="009C4C59">
        <w:t>gadolinium based contrast agent (</w:t>
      </w:r>
      <w:r w:rsidRPr="00962B68">
        <w:t>GBCA</w:t>
      </w:r>
      <w:r w:rsidR="009C4C59">
        <w:t>)</w:t>
      </w:r>
      <w:r w:rsidRPr="00962B68">
        <w:t xml:space="preserve"> (</w:t>
      </w:r>
      <w:hyperlink r:id="rId10">
        <w:r w:rsidRPr="21D5BF0F">
          <w:rPr>
            <w:rFonts w:cs="Times New Roman"/>
            <w:color w:val="0070C0"/>
            <w:u w:val="single"/>
          </w:rPr>
          <w:t>MBS item 63491</w:t>
        </w:r>
      </w:hyperlink>
      <w:r w:rsidRPr="00962B68">
        <w:t xml:space="preserve">; $47.40 as of 1 November 2023), given GBCA would be used as standard (unless contraindicated). </w:t>
      </w:r>
    </w:p>
    <w:p w14:paraId="01E9AE74" w14:textId="00864A4D" w:rsidR="00A95548" w:rsidRDefault="00A95548" w:rsidP="00D36EA0">
      <w:pPr>
        <w:pStyle w:val="Caption"/>
        <w:keepLines/>
      </w:pPr>
      <w:bookmarkStart w:id="10" w:name="_Ref150353213"/>
      <w:bookmarkStart w:id="11" w:name="_Toc155173762"/>
      <w:r>
        <w:lastRenderedPageBreak/>
        <w:t xml:space="preserve">Table </w:t>
      </w:r>
      <w:r>
        <w:fldChar w:fldCharType="begin"/>
      </w:r>
      <w:r>
        <w:instrText>SEQ Table \* ARABIC</w:instrText>
      </w:r>
      <w:r>
        <w:fldChar w:fldCharType="separate"/>
      </w:r>
      <w:r w:rsidR="00EE5F4F">
        <w:rPr>
          <w:noProof/>
        </w:rPr>
        <w:t>2</w:t>
      </w:r>
      <w:r>
        <w:fldChar w:fldCharType="end"/>
      </w:r>
      <w:bookmarkEnd w:id="10"/>
      <w:r w:rsidR="00E22400">
        <w:tab/>
      </w:r>
      <w:r w:rsidRPr="00A95548">
        <w:t xml:space="preserve">Proposed MBS item descriptor for cardiac </w:t>
      </w:r>
      <w:proofErr w:type="gramStart"/>
      <w:r w:rsidRPr="00A95548">
        <w:t>MRI</w:t>
      </w:r>
      <w:bookmarkEnd w:id="11"/>
      <w:proofErr w:type="gramEnd"/>
      <w:r w:rsidRPr="00A95548">
        <w:t xml:space="preserve"> </w:t>
      </w:r>
    </w:p>
    <w:tbl>
      <w:tblPr>
        <w:tblStyle w:val="HealthConsult1"/>
        <w:tblW w:w="5000" w:type="pct"/>
        <w:tblInd w:w="0" w:type="dxa"/>
        <w:tblLook w:val="04A0" w:firstRow="1" w:lastRow="0" w:firstColumn="1" w:lastColumn="0" w:noHBand="0" w:noVBand="1"/>
      </w:tblPr>
      <w:tblGrid>
        <w:gridCol w:w="9016"/>
      </w:tblGrid>
      <w:tr w:rsidR="00A95548" w:rsidRPr="009E0794" w14:paraId="6389BD20" w14:textId="77777777" w:rsidTr="00A95548">
        <w:tc>
          <w:tcPr>
            <w:tcW w:w="5000" w:type="pct"/>
            <w:hideMark/>
          </w:tcPr>
          <w:p w14:paraId="6409B5A1" w14:textId="77777777" w:rsidR="00A95548" w:rsidRPr="009E0794" w:rsidRDefault="00A95548" w:rsidP="00D36EA0">
            <w:pPr>
              <w:keepNext/>
              <w:keepLines/>
              <w:spacing w:before="40"/>
              <w:jc w:val="both"/>
              <w:rPr>
                <w:rFonts w:ascii="Arial Narrow" w:eastAsia="Calibri" w:hAnsi="Arial Narrow" w:cs="Times New Roman"/>
                <w:sz w:val="20"/>
                <w:szCs w:val="20"/>
              </w:rPr>
            </w:pPr>
            <w:r w:rsidRPr="009E0794">
              <w:rPr>
                <w:rFonts w:ascii="Calibri" w:eastAsia="Calibri" w:hAnsi="Calibri" w:cs="Times New Roman"/>
                <w:i/>
                <w:iCs/>
                <w:sz w:val="20"/>
                <w:szCs w:val="20"/>
              </w:rPr>
              <w:br w:type="page"/>
            </w:r>
            <w:r w:rsidRPr="009E0794">
              <w:rPr>
                <w:rFonts w:ascii="Arial Narrow" w:eastAsia="Calibri" w:hAnsi="Arial Narrow" w:cs="Times New Roman"/>
                <w:sz w:val="20"/>
                <w:szCs w:val="20"/>
              </w:rPr>
              <w:t>Category 5 – DIAGNOSTIC IMAGING SERVICES – Group I5 – Magnetic resonance imaging</w:t>
            </w:r>
          </w:p>
        </w:tc>
      </w:tr>
      <w:tr w:rsidR="00A95548" w:rsidRPr="009E0794" w14:paraId="2BCFD81A" w14:textId="77777777" w:rsidTr="00A95548">
        <w:tc>
          <w:tcPr>
            <w:tcW w:w="5000" w:type="pct"/>
          </w:tcPr>
          <w:p w14:paraId="36295416" w14:textId="77777777" w:rsidR="00A95548" w:rsidRPr="009E0794" w:rsidRDefault="00A95548" w:rsidP="00D36EA0">
            <w:pPr>
              <w:keepNext/>
              <w:keepLines/>
              <w:spacing w:before="60" w:after="60"/>
              <w:jc w:val="both"/>
              <w:rPr>
                <w:rFonts w:ascii="Arial Narrow" w:eastAsia="Calibri" w:hAnsi="Arial Narrow" w:cs="Times New Roman"/>
                <w:sz w:val="20"/>
                <w:szCs w:val="20"/>
              </w:rPr>
            </w:pPr>
            <w:r w:rsidRPr="009E0794">
              <w:rPr>
                <w:rFonts w:ascii="Arial Narrow" w:eastAsia="Calibri" w:hAnsi="Arial Narrow" w:cs="Times New Roman"/>
                <w:sz w:val="20"/>
                <w:szCs w:val="20"/>
              </w:rPr>
              <w:t>MBS item *XXXX</w:t>
            </w:r>
          </w:p>
          <w:p w14:paraId="6A8B9333" w14:textId="611346A5" w:rsidR="00A95548" w:rsidRPr="005F2BDE" w:rsidRDefault="00A95548" w:rsidP="00D36EA0">
            <w:pPr>
              <w:keepNext/>
              <w:keepLines/>
              <w:spacing w:before="60" w:after="60"/>
              <w:jc w:val="both"/>
              <w:rPr>
                <w:rFonts w:ascii="Arial Narrow" w:eastAsia="Calibri" w:hAnsi="Arial Narrow" w:cs="Times New Roman"/>
                <w:sz w:val="20"/>
                <w:szCs w:val="20"/>
              </w:rPr>
            </w:pPr>
            <w:r w:rsidRPr="005F2BDE">
              <w:rPr>
                <w:rFonts w:ascii="Arial Narrow" w:eastAsia="Calibri" w:hAnsi="Arial Narrow" w:cs="Times New Roman"/>
                <w:sz w:val="20"/>
                <w:szCs w:val="20"/>
              </w:rPr>
              <w:t>Proposed item descriptor: MRI scan of cardiovascular system for the assessment of myocardial structure and function and characterisation, if the service is requested by a specialist or consultant physician who has assessed the patient, and the request for the scan indicates:</w:t>
            </w:r>
          </w:p>
          <w:p w14:paraId="079B091C" w14:textId="77777777" w:rsidR="00A95548" w:rsidRPr="005F2BDE" w:rsidRDefault="00A95548" w:rsidP="00D36EA0">
            <w:pPr>
              <w:keepNext/>
              <w:keepLines/>
              <w:spacing w:before="60" w:after="60"/>
              <w:ind w:left="357"/>
              <w:jc w:val="both"/>
              <w:rPr>
                <w:rFonts w:ascii="Arial Narrow" w:eastAsia="Calibri" w:hAnsi="Arial Narrow" w:cs="Times New Roman"/>
                <w:sz w:val="20"/>
                <w:szCs w:val="20"/>
              </w:rPr>
            </w:pPr>
            <w:r w:rsidRPr="005F2BDE">
              <w:rPr>
                <w:rFonts w:ascii="Arial Narrow" w:eastAsia="Calibri" w:hAnsi="Arial Narrow" w:cs="Times New Roman"/>
                <w:sz w:val="20"/>
                <w:szCs w:val="20"/>
              </w:rPr>
              <w:t xml:space="preserve">(a) the patient has </w:t>
            </w:r>
            <w:r w:rsidRPr="00D92016">
              <w:rPr>
                <w:rFonts w:ascii="Arial Narrow" w:eastAsia="Calibri" w:hAnsi="Arial Narrow" w:cs="Times New Roman"/>
                <w:sz w:val="20"/>
                <w:szCs w:val="20"/>
              </w:rPr>
              <w:t>acute onset (&lt;3 months) of heart failure</w:t>
            </w:r>
            <w:r w:rsidRPr="005F2BDE">
              <w:rPr>
                <w:rFonts w:ascii="Calibri" w:eastAsia="Calibri" w:hAnsi="Calibri" w:cs="Times New Roman"/>
                <w:sz w:val="20"/>
                <w:szCs w:val="20"/>
              </w:rPr>
              <w:t xml:space="preserve"> </w:t>
            </w:r>
            <w:r w:rsidRPr="00D92016">
              <w:rPr>
                <w:rFonts w:ascii="Arial Narrow" w:eastAsia="Calibri" w:hAnsi="Arial Narrow" w:cs="Times New Roman"/>
                <w:sz w:val="20"/>
                <w:szCs w:val="20"/>
              </w:rPr>
              <w:t xml:space="preserve">or unexplained arrhythmia </w:t>
            </w:r>
            <w:r w:rsidRPr="005F2BDE">
              <w:rPr>
                <w:rFonts w:ascii="Arial Narrow" w:eastAsia="Calibri" w:hAnsi="Arial Narrow" w:cs="Times New Roman"/>
                <w:sz w:val="20"/>
                <w:szCs w:val="20"/>
              </w:rPr>
              <w:t xml:space="preserve">suspected </w:t>
            </w:r>
            <w:r w:rsidRPr="00D92016">
              <w:rPr>
                <w:rFonts w:ascii="Arial Narrow" w:eastAsia="Calibri" w:hAnsi="Arial Narrow" w:cs="Times New Roman"/>
                <w:sz w:val="20"/>
                <w:szCs w:val="20"/>
              </w:rPr>
              <w:t>due to</w:t>
            </w:r>
            <w:r w:rsidRPr="005F2BDE">
              <w:rPr>
                <w:rFonts w:ascii="Arial Narrow" w:eastAsia="Calibri" w:hAnsi="Arial Narrow" w:cs="Times New Roman"/>
                <w:sz w:val="20"/>
                <w:szCs w:val="20"/>
              </w:rPr>
              <w:t xml:space="preserve"> myocarditis and would otherwise require endomyocardial biopsy to confirm the </w:t>
            </w:r>
            <w:proofErr w:type="gramStart"/>
            <w:r w:rsidRPr="005F2BDE">
              <w:rPr>
                <w:rFonts w:ascii="Arial Narrow" w:eastAsia="Calibri" w:hAnsi="Arial Narrow" w:cs="Times New Roman"/>
                <w:sz w:val="20"/>
                <w:szCs w:val="20"/>
              </w:rPr>
              <w:t>diagnosis;</w:t>
            </w:r>
            <w:proofErr w:type="gramEnd"/>
            <w:r w:rsidRPr="005F2BDE">
              <w:rPr>
                <w:rFonts w:ascii="Arial Narrow" w:eastAsia="Calibri" w:hAnsi="Arial Narrow" w:cs="Times New Roman"/>
                <w:sz w:val="20"/>
                <w:szCs w:val="20"/>
              </w:rPr>
              <w:t xml:space="preserve"> OR</w:t>
            </w:r>
          </w:p>
          <w:p w14:paraId="61B93B21" w14:textId="2545B993" w:rsidR="00A95548" w:rsidRPr="005F2BDE" w:rsidRDefault="00A95548" w:rsidP="00D36EA0">
            <w:pPr>
              <w:keepNext/>
              <w:keepLines/>
              <w:spacing w:before="60" w:after="60"/>
              <w:ind w:left="357"/>
              <w:jc w:val="both"/>
              <w:rPr>
                <w:rFonts w:ascii="Arial Narrow" w:eastAsia="Calibri" w:hAnsi="Arial Narrow" w:cs="Times New Roman"/>
                <w:sz w:val="20"/>
                <w:szCs w:val="20"/>
              </w:rPr>
            </w:pPr>
            <w:r w:rsidRPr="005F2BDE">
              <w:rPr>
                <w:rFonts w:ascii="Arial Narrow" w:eastAsia="Calibri" w:hAnsi="Arial Narrow" w:cs="Times New Roman"/>
                <w:sz w:val="20"/>
                <w:szCs w:val="20"/>
              </w:rPr>
              <w:t xml:space="preserve">(b) the patient has </w:t>
            </w:r>
            <w:r w:rsidRPr="00D92016">
              <w:rPr>
                <w:rFonts w:ascii="Arial Narrow" w:eastAsia="Calibri" w:hAnsi="Arial Narrow" w:cs="Times New Roman"/>
                <w:sz w:val="20"/>
                <w:szCs w:val="20"/>
              </w:rPr>
              <w:t>acute onset of chest pain</w:t>
            </w:r>
            <w:r w:rsidRPr="005F2BDE">
              <w:rPr>
                <w:rFonts w:ascii="Arial Narrow" w:eastAsia="Calibri" w:hAnsi="Arial Narrow" w:cs="Times New Roman"/>
                <w:sz w:val="20"/>
                <w:szCs w:val="20"/>
              </w:rPr>
              <w:t xml:space="preserve"> suspected </w:t>
            </w:r>
            <w:r w:rsidRPr="00D92016">
              <w:rPr>
                <w:rFonts w:ascii="Arial Narrow" w:eastAsia="Calibri" w:hAnsi="Arial Narrow" w:cs="Times New Roman"/>
                <w:sz w:val="20"/>
                <w:szCs w:val="20"/>
              </w:rPr>
              <w:t>due to</w:t>
            </w:r>
            <w:r w:rsidRPr="005F2BDE">
              <w:rPr>
                <w:rFonts w:ascii="Arial Narrow" w:eastAsia="Calibri" w:hAnsi="Arial Narrow" w:cs="Times New Roman"/>
                <w:sz w:val="20"/>
                <w:szCs w:val="20"/>
              </w:rPr>
              <w:t xml:space="preserve"> myocarditis</w:t>
            </w:r>
            <w:r w:rsidR="00737F95">
              <w:rPr>
                <w:rFonts w:ascii="Arial Narrow" w:eastAsia="Calibri" w:hAnsi="Arial Narrow" w:cs="Times New Roman"/>
                <w:sz w:val="20"/>
                <w:szCs w:val="20"/>
              </w:rPr>
              <w:t>,</w:t>
            </w:r>
            <w:r w:rsidR="00737F95" w:rsidRPr="005F2BDE">
              <w:rPr>
                <w:rFonts w:ascii="Arial Narrow" w:eastAsia="Calibri" w:hAnsi="Arial Narrow" w:cs="Times New Roman"/>
                <w:sz w:val="20"/>
                <w:szCs w:val="20"/>
              </w:rPr>
              <w:t xml:space="preserve"> </w:t>
            </w:r>
            <w:r w:rsidR="00737F95" w:rsidRPr="009943CF">
              <w:rPr>
                <w:rFonts w:ascii="Arial Narrow" w:eastAsia="Calibri" w:hAnsi="Arial Narrow" w:cs="Times New Roman"/>
                <w:sz w:val="20"/>
                <w:szCs w:val="20"/>
                <w:u w:val="single"/>
              </w:rPr>
              <w:t>with an intermediate risk of obstructive coronary artery disease (CAD),</w:t>
            </w:r>
            <w:r w:rsidRPr="005F2BDE">
              <w:rPr>
                <w:rFonts w:ascii="Arial Narrow" w:eastAsia="Calibri" w:hAnsi="Arial Narrow" w:cs="Times New Roman"/>
                <w:sz w:val="20"/>
                <w:szCs w:val="20"/>
              </w:rPr>
              <w:t xml:space="preserve"> </w:t>
            </w:r>
            <w:proofErr w:type="gramStart"/>
            <w:r w:rsidRPr="005F2BDE">
              <w:rPr>
                <w:rFonts w:ascii="Arial Narrow" w:eastAsia="Calibri" w:hAnsi="Arial Narrow" w:cs="Times New Roman"/>
                <w:sz w:val="20"/>
                <w:szCs w:val="20"/>
              </w:rPr>
              <w:t>on the basis of</w:t>
            </w:r>
            <w:proofErr w:type="gramEnd"/>
            <w:r w:rsidRPr="00D92016">
              <w:rPr>
                <w:rFonts w:ascii="Arial Narrow" w:eastAsia="Calibri" w:hAnsi="Arial Narrow" w:cs="Times New Roman"/>
                <w:sz w:val="20"/>
                <w:szCs w:val="20"/>
              </w:rPr>
              <w:t>:</w:t>
            </w:r>
          </w:p>
          <w:p w14:paraId="1A1E5787" w14:textId="77777777" w:rsidR="00A95548" w:rsidRPr="005F2BDE" w:rsidRDefault="00A95548" w:rsidP="00D36EA0">
            <w:pPr>
              <w:keepNext/>
              <w:keepLines/>
              <w:spacing w:before="60" w:after="60"/>
              <w:ind w:left="720"/>
              <w:jc w:val="both"/>
              <w:rPr>
                <w:rFonts w:ascii="Arial Narrow" w:eastAsia="Calibri" w:hAnsi="Arial Narrow" w:cs="Times New Roman"/>
                <w:sz w:val="20"/>
                <w:szCs w:val="20"/>
              </w:rPr>
            </w:pPr>
            <w:r w:rsidRPr="005F2BDE">
              <w:rPr>
                <w:rFonts w:ascii="Arial Narrow" w:eastAsia="Calibri" w:hAnsi="Arial Narrow" w:cs="Times New Roman"/>
                <w:sz w:val="20"/>
                <w:szCs w:val="20"/>
              </w:rPr>
              <w:t>(</w:t>
            </w:r>
            <w:proofErr w:type="spellStart"/>
            <w:r w:rsidRPr="005F2BDE">
              <w:rPr>
                <w:rFonts w:ascii="Arial Narrow" w:eastAsia="Calibri" w:hAnsi="Arial Narrow" w:cs="Times New Roman"/>
                <w:sz w:val="20"/>
                <w:szCs w:val="20"/>
              </w:rPr>
              <w:t>i</w:t>
            </w:r>
            <w:proofErr w:type="spellEnd"/>
            <w:r w:rsidRPr="005F2BDE">
              <w:rPr>
                <w:rFonts w:ascii="Arial Narrow" w:eastAsia="Calibri" w:hAnsi="Arial Narrow" w:cs="Times New Roman"/>
                <w:sz w:val="20"/>
                <w:szCs w:val="20"/>
              </w:rPr>
              <w:t>) Elevated</w:t>
            </w:r>
            <w:r w:rsidRPr="00D92016">
              <w:rPr>
                <w:rFonts w:ascii="Arial Narrow" w:eastAsia="Calibri" w:hAnsi="Arial Narrow" w:cs="Times New Roman"/>
                <w:sz w:val="20"/>
                <w:szCs w:val="20"/>
              </w:rPr>
              <w:t xml:space="preserve"> </w:t>
            </w:r>
            <w:r w:rsidRPr="005F2BDE">
              <w:rPr>
                <w:rFonts w:ascii="Arial Narrow" w:eastAsia="Calibri" w:hAnsi="Arial Narrow" w:cs="Times New Roman"/>
                <w:sz w:val="20"/>
                <w:szCs w:val="20"/>
              </w:rPr>
              <w:t>troponin, OR</w:t>
            </w:r>
          </w:p>
          <w:p w14:paraId="19109729" w14:textId="77777777" w:rsidR="00A95548" w:rsidRPr="005F2BDE" w:rsidRDefault="00A95548" w:rsidP="00D36EA0">
            <w:pPr>
              <w:keepNext/>
              <w:keepLines/>
              <w:spacing w:before="60" w:after="60"/>
              <w:ind w:left="720"/>
              <w:jc w:val="both"/>
              <w:rPr>
                <w:rFonts w:ascii="Arial Narrow" w:eastAsia="Calibri" w:hAnsi="Arial Narrow" w:cs="Times New Roman"/>
                <w:sz w:val="20"/>
                <w:szCs w:val="20"/>
              </w:rPr>
            </w:pPr>
            <w:r w:rsidRPr="005F2BDE">
              <w:rPr>
                <w:rFonts w:ascii="Arial Narrow" w:eastAsia="Calibri" w:hAnsi="Arial Narrow" w:cs="Times New Roman"/>
                <w:sz w:val="20"/>
                <w:szCs w:val="20"/>
              </w:rPr>
              <w:t>(ii) Abnormal electrocardiogram, AND</w:t>
            </w:r>
          </w:p>
          <w:p w14:paraId="2C83AD74" w14:textId="77777777" w:rsidR="00A95548" w:rsidRDefault="00A95548" w:rsidP="00D36EA0">
            <w:pPr>
              <w:keepNext/>
              <w:keepLines/>
              <w:spacing w:before="60" w:after="60"/>
              <w:ind w:left="720"/>
              <w:jc w:val="both"/>
              <w:rPr>
                <w:rFonts w:ascii="Arial Narrow" w:eastAsia="Calibri" w:hAnsi="Arial Narrow" w:cs="Times New Roman"/>
                <w:sz w:val="20"/>
                <w:szCs w:val="20"/>
              </w:rPr>
            </w:pPr>
            <w:r w:rsidRPr="005F2BDE">
              <w:rPr>
                <w:rFonts w:ascii="Arial Narrow" w:eastAsia="Calibri" w:hAnsi="Arial Narrow" w:cs="Times New Roman"/>
                <w:sz w:val="20"/>
                <w:szCs w:val="20"/>
              </w:rPr>
              <w:t xml:space="preserve">(iii) there are no </w:t>
            </w:r>
            <w:r w:rsidRPr="00D92016">
              <w:rPr>
                <w:rFonts w:ascii="Arial Narrow" w:eastAsia="Calibri" w:hAnsi="Arial Narrow" w:cs="Times New Roman"/>
                <w:sz w:val="20"/>
                <w:szCs w:val="20"/>
              </w:rPr>
              <w:t xml:space="preserve">other features of an acute coronary syndrome </w:t>
            </w:r>
            <w:r w:rsidRPr="005F2BDE">
              <w:rPr>
                <w:rFonts w:ascii="Arial Narrow" w:eastAsia="Calibri" w:hAnsi="Arial Narrow" w:cs="Times New Roman"/>
                <w:sz w:val="20"/>
                <w:szCs w:val="20"/>
              </w:rPr>
              <w:t>identified on clinical history, examination, or with the above investigations.</w:t>
            </w:r>
          </w:p>
          <w:p w14:paraId="3F774FC4" w14:textId="17D6FD1D" w:rsidR="00A159B7" w:rsidRPr="009943CF" w:rsidRDefault="00A159B7" w:rsidP="00D36EA0">
            <w:pPr>
              <w:keepNext/>
              <w:keepLines/>
              <w:spacing w:before="60" w:after="60"/>
              <w:ind w:left="720"/>
              <w:jc w:val="both"/>
              <w:rPr>
                <w:rFonts w:ascii="Arial Narrow" w:eastAsia="Calibri" w:hAnsi="Arial Narrow" w:cs="Times New Roman"/>
                <w:sz w:val="20"/>
                <w:szCs w:val="20"/>
                <w:u w:val="single"/>
              </w:rPr>
            </w:pPr>
            <w:r w:rsidRPr="009943CF">
              <w:rPr>
                <w:rFonts w:ascii="Arial Narrow" w:eastAsia="Calibri" w:hAnsi="Arial Narrow" w:cs="Times New Roman"/>
                <w:sz w:val="20"/>
                <w:szCs w:val="20"/>
                <w:u w:val="single"/>
              </w:rPr>
              <w:t xml:space="preserve">(iv) the purpose of cardiac MRI in this population is to diagnose myocarditis and not to rule out </w:t>
            </w:r>
            <w:r w:rsidR="00951B3A" w:rsidRPr="009943CF">
              <w:rPr>
                <w:rFonts w:ascii="Arial Narrow" w:eastAsia="Calibri" w:hAnsi="Arial Narrow" w:cs="Times New Roman"/>
                <w:sz w:val="20"/>
                <w:szCs w:val="20"/>
                <w:u w:val="single"/>
              </w:rPr>
              <w:t>C</w:t>
            </w:r>
            <w:r w:rsidR="00136D82" w:rsidRPr="009943CF">
              <w:rPr>
                <w:rFonts w:ascii="Arial Narrow" w:eastAsia="Calibri" w:hAnsi="Arial Narrow" w:cs="Times New Roman"/>
                <w:sz w:val="20"/>
                <w:szCs w:val="20"/>
                <w:u w:val="single"/>
              </w:rPr>
              <w:t>A</w:t>
            </w:r>
            <w:r w:rsidR="00951B3A" w:rsidRPr="009943CF">
              <w:rPr>
                <w:rFonts w:ascii="Arial Narrow" w:eastAsia="Calibri" w:hAnsi="Arial Narrow" w:cs="Times New Roman"/>
                <w:sz w:val="20"/>
                <w:szCs w:val="20"/>
                <w:u w:val="single"/>
              </w:rPr>
              <w:t>D</w:t>
            </w:r>
            <w:r w:rsidR="00E90188" w:rsidRPr="009943CF">
              <w:rPr>
                <w:rFonts w:ascii="Arial Narrow" w:eastAsia="Calibri" w:hAnsi="Arial Narrow" w:cs="Times New Roman"/>
                <w:sz w:val="20"/>
                <w:szCs w:val="20"/>
                <w:u w:val="single"/>
              </w:rPr>
              <w:t>.</w:t>
            </w:r>
          </w:p>
          <w:p w14:paraId="52A1FF66" w14:textId="77777777" w:rsidR="00A95548" w:rsidRPr="009E0794" w:rsidRDefault="00A95548" w:rsidP="00D36EA0">
            <w:pPr>
              <w:keepNext/>
              <w:keepLines/>
              <w:spacing w:before="60" w:after="60"/>
              <w:jc w:val="both"/>
              <w:rPr>
                <w:rFonts w:ascii="Arial Narrow" w:eastAsia="Calibri" w:hAnsi="Arial Narrow" w:cs="Times New Roman"/>
                <w:sz w:val="20"/>
                <w:szCs w:val="20"/>
              </w:rPr>
            </w:pPr>
            <w:r w:rsidRPr="009E0794">
              <w:rPr>
                <w:rFonts w:ascii="Arial Narrow" w:eastAsia="Calibri" w:hAnsi="Arial Narrow" w:cs="Times New Roman"/>
                <w:sz w:val="20"/>
                <w:szCs w:val="20"/>
              </w:rPr>
              <w:t>(R) (</w:t>
            </w:r>
            <w:proofErr w:type="spellStart"/>
            <w:r w:rsidRPr="009E0794">
              <w:rPr>
                <w:rFonts w:ascii="Arial Narrow" w:eastAsia="Calibri" w:hAnsi="Arial Narrow" w:cs="Times New Roman"/>
                <w:sz w:val="20"/>
                <w:szCs w:val="20"/>
              </w:rPr>
              <w:t>Anaes</w:t>
            </w:r>
            <w:proofErr w:type="spellEnd"/>
            <w:r w:rsidRPr="009E0794">
              <w:rPr>
                <w:rFonts w:ascii="Arial Narrow" w:eastAsia="Calibri" w:hAnsi="Arial Narrow" w:cs="Times New Roman"/>
                <w:sz w:val="20"/>
                <w:szCs w:val="20"/>
              </w:rPr>
              <w:t>.) (Contrast)</w:t>
            </w:r>
          </w:p>
        </w:tc>
      </w:tr>
      <w:tr w:rsidR="00A95548" w:rsidRPr="009E0794" w14:paraId="7D062257" w14:textId="77777777" w:rsidTr="00A95548">
        <w:tc>
          <w:tcPr>
            <w:tcW w:w="5000" w:type="pct"/>
          </w:tcPr>
          <w:p w14:paraId="35B8E6CA" w14:textId="1717EAB9" w:rsidR="00A95548" w:rsidRPr="00D868AD" w:rsidRDefault="00A95548" w:rsidP="00D36EA0">
            <w:pPr>
              <w:keepNext/>
              <w:keepLines/>
              <w:spacing w:before="40"/>
              <w:jc w:val="both"/>
              <w:rPr>
                <w:rFonts w:ascii="Arial Narrow" w:eastAsia="Calibri" w:hAnsi="Arial Narrow" w:cs="Times New Roman"/>
                <w:sz w:val="20"/>
                <w:szCs w:val="20"/>
                <w:vertAlign w:val="superscript"/>
              </w:rPr>
            </w:pPr>
            <w:r w:rsidRPr="00A95548">
              <w:rPr>
                <w:rFonts w:ascii="Arial Narrow" w:eastAsia="Calibri" w:hAnsi="Arial Narrow" w:cs="Times New Roman"/>
                <w:sz w:val="20"/>
                <w:szCs w:val="20"/>
              </w:rPr>
              <w:t>Fee: $90</w:t>
            </w:r>
            <w:r>
              <w:rPr>
                <w:rFonts w:ascii="Arial Narrow" w:eastAsia="Calibri" w:hAnsi="Arial Narrow" w:cs="Times New Roman"/>
                <w:sz w:val="20"/>
                <w:szCs w:val="20"/>
              </w:rPr>
              <w:t>4</w:t>
            </w:r>
            <w:r w:rsidRPr="00A95548">
              <w:rPr>
                <w:rFonts w:ascii="Arial Narrow" w:eastAsia="Calibri" w:hAnsi="Arial Narrow" w:cs="Times New Roman"/>
                <w:sz w:val="20"/>
                <w:szCs w:val="20"/>
              </w:rPr>
              <w:t>.</w:t>
            </w:r>
            <w:r>
              <w:rPr>
                <w:rFonts w:ascii="Arial Narrow" w:eastAsia="Calibri" w:hAnsi="Arial Narrow" w:cs="Times New Roman"/>
                <w:sz w:val="20"/>
                <w:szCs w:val="20"/>
              </w:rPr>
              <w:t>70</w:t>
            </w:r>
            <w:r w:rsidRPr="00A95548">
              <w:rPr>
                <w:rFonts w:ascii="Arial Narrow" w:eastAsia="Calibri" w:hAnsi="Arial Narrow" w:cs="Times New Roman"/>
                <w:sz w:val="20"/>
                <w:szCs w:val="20"/>
              </w:rPr>
              <w:t xml:space="preserve"> Benefit: 75% = $67</w:t>
            </w:r>
            <w:r>
              <w:rPr>
                <w:rFonts w:ascii="Arial Narrow" w:eastAsia="Calibri" w:hAnsi="Arial Narrow" w:cs="Times New Roman"/>
                <w:sz w:val="20"/>
                <w:szCs w:val="20"/>
              </w:rPr>
              <w:t>8</w:t>
            </w:r>
            <w:r w:rsidRPr="00A95548">
              <w:rPr>
                <w:rFonts w:ascii="Arial Narrow" w:eastAsia="Calibri" w:hAnsi="Arial Narrow" w:cs="Times New Roman"/>
                <w:sz w:val="20"/>
                <w:szCs w:val="20"/>
              </w:rPr>
              <w:t>.</w:t>
            </w:r>
            <w:r>
              <w:rPr>
                <w:rFonts w:ascii="Arial Narrow" w:eastAsia="Calibri" w:hAnsi="Arial Narrow" w:cs="Times New Roman"/>
                <w:sz w:val="20"/>
                <w:szCs w:val="20"/>
              </w:rPr>
              <w:t>55</w:t>
            </w:r>
            <w:r w:rsidRPr="00A95548">
              <w:rPr>
                <w:rFonts w:ascii="Arial Narrow" w:eastAsia="Calibri" w:hAnsi="Arial Narrow" w:cs="Times New Roman"/>
                <w:sz w:val="20"/>
                <w:szCs w:val="20"/>
              </w:rPr>
              <w:t xml:space="preserve"> 85% = </w:t>
            </w:r>
            <w:r w:rsidR="004864D6">
              <w:rPr>
                <w:rFonts w:ascii="Arial Narrow" w:eastAsia="Calibri" w:hAnsi="Arial Narrow" w:cs="Times New Roman"/>
                <w:sz w:val="20"/>
                <w:szCs w:val="20"/>
              </w:rPr>
              <w:t>$</w:t>
            </w:r>
            <w:r w:rsidRPr="00A95548">
              <w:rPr>
                <w:rFonts w:ascii="Arial Narrow" w:eastAsia="Calibri" w:hAnsi="Arial Narrow" w:cs="Times New Roman"/>
                <w:sz w:val="20"/>
                <w:szCs w:val="20"/>
              </w:rPr>
              <w:t>80</w:t>
            </w:r>
            <w:r>
              <w:rPr>
                <w:rFonts w:ascii="Arial Narrow" w:eastAsia="Calibri" w:hAnsi="Arial Narrow" w:cs="Times New Roman"/>
                <w:sz w:val="20"/>
                <w:szCs w:val="20"/>
              </w:rPr>
              <w:t>6</w:t>
            </w:r>
            <w:r w:rsidRPr="00A95548">
              <w:rPr>
                <w:rFonts w:ascii="Arial Narrow" w:eastAsia="Calibri" w:hAnsi="Arial Narrow" w:cs="Times New Roman"/>
                <w:sz w:val="20"/>
                <w:szCs w:val="20"/>
              </w:rPr>
              <w:t>.00</w:t>
            </w:r>
          </w:p>
          <w:p w14:paraId="6CC2821A" w14:textId="35A6EE4D" w:rsidR="00A95548" w:rsidRPr="009E0794" w:rsidRDefault="00A95548" w:rsidP="00D36EA0">
            <w:pPr>
              <w:keepNext/>
              <w:keepLines/>
              <w:spacing w:before="40"/>
              <w:jc w:val="both"/>
              <w:rPr>
                <w:rFonts w:ascii="Arial Narrow" w:eastAsia="Calibri" w:hAnsi="Arial Narrow" w:cs="Times New Roman"/>
                <w:sz w:val="20"/>
                <w:szCs w:val="20"/>
              </w:rPr>
            </w:pPr>
            <w:r w:rsidRPr="00A95548">
              <w:rPr>
                <w:rFonts w:ascii="Arial Narrow" w:eastAsia="Calibri" w:hAnsi="Arial Narrow" w:cs="Times New Roman"/>
                <w:sz w:val="20"/>
                <w:szCs w:val="20"/>
              </w:rPr>
              <w:t>Plus: GBCA MBS item 63491: Fee: $47.</w:t>
            </w:r>
            <w:r>
              <w:rPr>
                <w:rFonts w:ascii="Arial Narrow" w:eastAsia="Calibri" w:hAnsi="Arial Narrow" w:cs="Times New Roman"/>
                <w:sz w:val="20"/>
                <w:szCs w:val="20"/>
              </w:rPr>
              <w:t>40</w:t>
            </w:r>
            <w:r w:rsidRPr="00A95548">
              <w:rPr>
                <w:rFonts w:ascii="Arial Narrow" w:eastAsia="Calibri" w:hAnsi="Arial Narrow" w:cs="Times New Roman"/>
                <w:sz w:val="20"/>
                <w:szCs w:val="20"/>
              </w:rPr>
              <w:t xml:space="preserve"> Benefit: 75% = $35.</w:t>
            </w:r>
            <w:r>
              <w:rPr>
                <w:rFonts w:ascii="Arial Narrow" w:eastAsia="Calibri" w:hAnsi="Arial Narrow" w:cs="Times New Roman"/>
                <w:sz w:val="20"/>
                <w:szCs w:val="20"/>
              </w:rPr>
              <w:t>55</w:t>
            </w:r>
            <w:r w:rsidRPr="00A95548">
              <w:rPr>
                <w:rFonts w:ascii="Arial Narrow" w:eastAsia="Calibri" w:hAnsi="Arial Narrow" w:cs="Times New Roman"/>
                <w:sz w:val="20"/>
                <w:szCs w:val="20"/>
              </w:rPr>
              <w:t xml:space="preserve"> 85% = $40.</w:t>
            </w:r>
            <w:r>
              <w:rPr>
                <w:rFonts w:ascii="Arial Narrow" w:eastAsia="Calibri" w:hAnsi="Arial Narrow" w:cs="Times New Roman"/>
                <w:sz w:val="20"/>
                <w:szCs w:val="20"/>
              </w:rPr>
              <w:t>3</w:t>
            </w:r>
            <w:r w:rsidRPr="00A95548">
              <w:rPr>
                <w:rFonts w:ascii="Arial Narrow" w:eastAsia="Calibri" w:hAnsi="Arial Narrow" w:cs="Times New Roman"/>
                <w:sz w:val="20"/>
                <w:szCs w:val="20"/>
              </w:rPr>
              <w:t>0</w:t>
            </w:r>
          </w:p>
        </w:tc>
      </w:tr>
      <w:tr w:rsidR="00C44334" w:rsidRPr="009E0794" w14:paraId="4FE9EA67" w14:textId="77777777" w:rsidTr="00A95548">
        <w:tc>
          <w:tcPr>
            <w:tcW w:w="5000" w:type="pct"/>
          </w:tcPr>
          <w:p w14:paraId="19D60F3E" w14:textId="77777777" w:rsidR="00581F1C" w:rsidRDefault="00C44334" w:rsidP="00D36EA0">
            <w:pPr>
              <w:keepNext/>
              <w:keepLines/>
              <w:spacing w:before="40"/>
              <w:jc w:val="both"/>
              <w:rPr>
                <w:rFonts w:ascii="Arial Narrow" w:eastAsia="Calibri" w:hAnsi="Arial Narrow" w:cs="Times New Roman"/>
                <w:sz w:val="20"/>
                <w:szCs w:val="20"/>
                <w:u w:val="single"/>
              </w:rPr>
            </w:pPr>
            <w:r w:rsidRPr="009943CF">
              <w:rPr>
                <w:rFonts w:ascii="Arial Narrow" w:eastAsia="Calibri" w:hAnsi="Arial Narrow" w:cs="Times New Roman"/>
                <w:sz w:val="20"/>
                <w:szCs w:val="20"/>
                <w:u w:val="single"/>
              </w:rPr>
              <w:t xml:space="preserve">Practice Note: </w:t>
            </w:r>
          </w:p>
          <w:p w14:paraId="18174620" w14:textId="318A1861" w:rsidR="00C44334" w:rsidRPr="009943CF" w:rsidRDefault="008C430F" w:rsidP="00D36EA0">
            <w:pPr>
              <w:keepNext/>
              <w:keepLines/>
              <w:spacing w:before="40"/>
              <w:jc w:val="both"/>
              <w:rPr>
                <w:rFonts w:ascii="Arial Narrow" w:eastAsia="Calibri" w:hAnsi="Arial Narrow" w:cs="Times New Roman"/>
                <w:sz w:val="20"/>
                <w:szCs w:val="20"/>
                <w:u w:val="single"/>
              </w:rPr>
            </w:pPr>
            <w:r w:rsidRPr="009943CF">
              <w:rPr>
                <w:rFonts w:ascii="Arial Narrow" w:eastAsia="Calibri" w:hAnsi="Arial Narrow" w:cs="Times New Roman"/>
                <w:sz w:val="20"/>
                <w:szCs w:val="20"/>
                <w:u w:val="single"/>
              </w:rPr>
              <w:t>Intermediate risk of obstructive coronary artery disease (CAD) should be determined based on the current National Heart Foundation (NHF) and Cardiac Society of Australia and New Zealand (CSANZ) guidelines.</w:t>
            </w:r>
          </w:p>
        </w:tc>
      </w:tr>
    </w:tbl>
    <w:p w14:paraId="01EEDA07" w14:textId="24E560E4" w:rsidR="007B1B69" w:rsidRDefault="000B79EA" w:rsidP="00D36EA0">
      <w:pPr>
        <w:pStyle w:val="Tablenotes"/>
        <w:keepNext/>
        <w:keepLines/>
      </w:pPr>
      <w:r>
        <w:t>CSANZ</w:t>
      </w:r>
      <w:r w:rsidDel="000B79EA">
        <w:t xml:space="preserve"> </w:t>
      </w:r>
      <w:r>
        <w:t xml:space="preserve">= Cardiac Society of Australia and New Zealand; </w:t>
      </w:r>
      <w:r w:rsidR="007B1B69">
        <w:t>GBCA = gadolinium-based contrast agent</w:t>
      </w:r>
      <w:r w:rsidR="00F8069C">
        <w:t>; MBS = Medicare Benefits Schedule</w:t>
      </w:r>
      <w:r w:rsidR="00775465">
        <w:t xml:space="preserve">; NHF = </w:t>
      </w:r>
      <w:r w:rsidR="00D7466E">
        <w:t>National Heart Foundation</w:t>
      </w:r>
      <w:r>
        <w:t>-</w:t>
      </w:r>
      <w:r w:rsidR="00F8069C">
        <w:t>.</w:t>
      </w:r>
    </w:p>
    <w:p w14:paraId="72F3A10D" w14:textId="58A1B5A6" w:rsidR="006A7276" w:rsidRDefault="006A7276" w:rsidP="00D36EA0">
      <w:pPr>
        <w:pStyle w:val="Tablenotes"/>
        <w:keepNext/>
        <w:keepLines/>
      </w:pPr>
      <w:r>
        <w:t xml:space="preserve">Note: </w:t>
      </w:r>
      <w:r>
        <w:rPr>
          <w:rFonts w:cs="Calibri"/>
          <w:szCs w:val="18"/>
        </w:rPr>
        <w:t>85% benefit reflects the 1 November 202</w:t>
      </w:r>
      <w:r w:rsidR="00CC64CB">
        <w:rPr>
          <w:rFonts w:cs="Calibri"/>
          <w:szCs w:val="18"/>
        </w:rPr>
        <w:t>3</w:t>
      </w:r>
      <w:r>
        <w:rPr>
          <w:rFonts w:cs="Calibri"/>
          <w:szCs w:val="18"/>
        </w:rPr>
        <w:t xml:space="preserve"> Greatest Permissible Gap (GPG) of $98.70. All out-of-hospital Medicare services that have an MBS fee of $658.35 or more will attract a benefit that is greater than 85% of the MBS fee – being the schedule fee less the GPG amount. The GPG amount is indexed annually on 1 November in line with the Consumer Price Index (CPI) (June quarter).</w:t>
      </w:r>
    </w:p>
    <w:p w14:paraId="1EFBD6FE" w14:textId="6233A952" w:rsidR="009A17D5" w:rsidRDefault="009A17D5" w:rsidP="00D36EA0">
      <w:pPr>
        <w:pStyle w:val="Tablenotes"/>
        <w:keepNext/>
        <w:keepLines/>
      </w:pPr>
      <w:r>
        <w:t xml:space="preserve">Note: </w:t>
      </w:r>
      <w:r w:rsidRPr="00962B68">
        <w:t>At the time of December 2022 PASC meeting, the MBS item fee for the temporary cardiac MRI was $868.90; however, the fee has since increased with indexation to $904.70 as of 1 November 2023.</w:t>
      </w:r>
    </w:p>
    <w:p w14:paraId="6D583B1D" w14:textId="5464CA8E" w:rsidR="00CC64CB" w:rsidRDefault="00CC64CB" w:rsidP="00D36EA0">
      <w:pPr>
        <w:pStyle w:val="Tablenotes"/>
        <w:keepNext/>
        <w:keepLines/>
      </w:pPr>
      <w:r>
        <w:t xml:space="preserve">Source: PASC’s revised MBS item descriptor, 1713 PICO </w:t>
      </w:r>
      <w:proofErr w:type="spellStart"/>
      <w:r>
        <w:t>pg</w:t>
      </w:r>
      <w:proofErr w:type="spellEnd"/>
      <w:r>
        <w:t xml:space="preserve"> 43.</w:t>
      </w:r>
      <w:r w:rsidR="00BF6A35">
        <w:t xml:space="preserve"> Additions proposed by the DCAR are shown in underlined font.</w:t>
      </w:r>
    </w:p>
    <w:p w14:paraId="34E0B08F" w14:textId="068170EB" w:rsidR="00772829" w:rsidRDefault="00F226F7" w:rsidP="002A18BE">
      <w:pPr>
        <w:pStyle w:val="Heading2"/>
        <w:numPr>
          <w:ilvl w:val="1"/>
          <w:numId w:val="0"/>
        </w:numPr>
      </w:pPr>
      <w:bookmarkStart w:id="12" w:name="_Toc155189733"/>
      <w:r>
        <w:t>7</w:t>
      </w:r>
      <w:r w:rsidR="00C36633">
        <w:t>.</w:t>
      </w:r>
      <w:r w:rsidR="00C36633">
        <w:tab/>
      </w:r>
      <w:r w:rsidR="00772829" w:rsidRPr="00CE28E3">
        <w:t>Population</w:t>
      </w:r>
      <w:bookmarkEnd w:id="12"/>
      <w:r w:rsidR="00772829" w:rsidRPr="00CE28E3">
        <w:t xml:space="preserve"> </w:t>
      </w:r>
    </w:p>
    <w:p w14:paraId="66EACB37" w14:textId="08FC70EC" w:rsidR="00407574" w:rsidRPr="00B45749" w:rsidRDefault="00407574" w:rsidP="00867E94">
      <w:r w:rsidRPr="00B45749">
        <w:t xml:space="preserve">Myocarditis is defined clinically as the inflammation of the myocardium. </w:t>
      </w:r>
      <w:r w:rsidR="00D84506">
        <w:t>It</w:t>
      </w:r>
      <w:r w:rsidR="00D84506" w:rsidRPr="00B45749">
        <w:t xml:space="preserve"> </w:t>
      </w:r>
      <w:r w:rsidRPr="00B45749">
        <w:t xml:space="preserve">may result from infectious and non-infectious causes. </w:t>
      </w:r>
      <w:r w:rsidRPr="003F3EDA">
        <w:t>Acute myocarditis is the most common type of myocarditis (65% of cases) and can be defined as a</w:t>
      </w:r>
      <w:r>
        <w:t xml:space="preserve"> </w:t>
      </w:r>
      <w:r w:rsidRPr="003F3EDA">
        <w:t>period of &lt;1 month between symptom onset and diagnosis with increased level of high sensitivity</w:t>
      </w:r>
      <w:r>
        <w:t xml:space="preserve"> </w:t>
      </w:r>
      <w:r w:rsidRPr="003F3EDA">
        <w:t>troponin</w:t>
      </w:r>
      <w:r>
        <w:t xml:space="preserve">. </w:t>
      </w:r>
      <w:r w:rsidRPr="00B45749">
        <w:t xml:space="preserve">Globally, it is estimated that the worldwide prevalence of myocarditis is 1.5 million patients, with 10-22 new cases diagnosed per 100,000 population annually. In Australia, there </w:t>
      </w:r>
      <w:r w:rsidR="004800C6">
        <w:t>were</w:t>
      </w:r>
      <w:r w:rsidRPr="00B45749">
        <w:t xml:space="preserve"> no detailed data on the prevalence or incidence of myocarditis in the general population. A recent systematic analysis of Global Burden of Disease (2019) estimated 6,220 (95% CI: 5,000 to 7,530) incident cases of myocarditis in Australasia </w:t>
      </w:r>
      <w:r w:rsidRPr="00C215D5">
        <w:t>in 2019</w:t>
      </w:r>
      <w:r w:rsidR="007C626C">
        <w:rPr>
          <w:rStyle w:val="FootnoteReference"/>
        </w:rPr>
        <w:footnoteReference w:id="4"/>
      </w:r>
      <w:r w:rsidR="006B5E88">
        <w:t>.</w:t>
      </w:r>
    </w:p>
    <w:p w14:paraId="5882FD42" w14:textId="53CEB510" w:rsidR="00407574" w:rsidRPr="00B45749" w:rsidRDefault="00407574" w:rsidP="00867E94">
      <w:r w:rsidRPr="00B45749">
        <w:t xml:space="preserve">The diagnosis of myocarditis is often challenging due to the variety of aetiologies, clinical </w:t>
      </w:r>
      <w:proofErr w:type="gramStart"/>
      <w:r w:rsidRPr="00B45749">
        <w:t>presentations</w:t>
      </w:r>
      <w:proofErr w:type="gramEnd"/>
      <w:r w:rsidRPr="00B45749">
        <w:t xml:space="preserve"> and diagnostic approaches.</w:t>
      </w:r>
      <w:r>
        <w:t xml:space="preserve"> The use of </w:t>
      </w:r>
      <w:r w:rsidR="00C215D5">
        <w:t>cardiac MRI</w:t>
      </w:r>
      <w:r>
        <w:t xml:space="preserve"> in diagnosis of acute myocarditis </w:t>
      </w:r>
      <w:r w:rsidR="00EC0EAE">
        <w:t>wa</w:t>
      </w:r>
      <w:r>
        <w:t>s proposed in the following two populations:</w:t>
      </w:r>
    </w:p>
    <w:p w14:paraId="343AA59E" w14:textId="2B5EE0E2" w:rsidR="00407574" w:rsidRDefault="00D84506" w:rsidP="00DE0CD5">
      <w:pPr>
        <w:pStyle w:val="Instructionaltext"/>
        <w:numPr>
          <w:ilvl w:val="0"/>
          <w:numId w:val="14"/>
        </w:numPr>
        <w:ind w:left="426"/>
        <w:rPr>
          <w:color w:val="auto"/>
        </w:rPr>
      </w:pPr>
      <w:r>
        <w:rPr>
          <w:color w:val="auto"/>
        </w:rPr>
        <w:t xml:space="preserve">Population 1: </w:t>
      </w:r>
      <w:r w:rsidR="00407574" w:rsidRPr="000A3ED7">
        <w:rPr>
          <w:color w:val="auto"/>
        </w:rPr>
        <w:t>Patients with signs and symptoms of acute onset cardiomyopathy (acute heart failure and/or arrythmia) suggestive of acute myocarditis.</w:t>
      </w:r>
    </w:p>
    <w:p w14:paraId="48F073AB" w14:textId="060C87E3" w:rsidR="00407574" w:rsidRDefault="00407574" w:rsidP="00867E94">
      <w:r w:rsidRPr="007A4230">
        <w:lastRenderedPageBreak/>
        <w:t>All patients present</w:t>
      </w:r>
      <w:r>
        <w:t>ing</w:t>
      </w:r>
      <w:r w:rsidRPr="007A4230">
        <w:t xml:space="preserve"> with acute onset cardiomyopathy are considered eligible for cardiac MRI to differentiate those with myocarditis from those without myocarditis</w:t>
      </w:r>
      <w:r>
        <w:t xml:space="preserve">. </w:t>
      </w:r>
      <w:r w:rsidRPr="005E4C88">
        <w:t xml:space="preserve">However, cardiac MRI cannot completely replace </w:t>
      </w:r>
      <w:r>
        <w:t>endomyocardial biopsy (</w:t>
      </w:r>
      <w:r w:rsidRPr="005E4C88">
        <w:t>EMB</w:t>
      </w:r>
      <w:r>
        <w:t>)</w:t>
      </w:r>
      <w:r w:rsidRPr="005E4C88">
        <w:t xml:space="preserve"> in making a definitive diagnosis of myocarditis. Furthermore, EMB cannot be replaced by cardiac MRI for a small group of patients, including those who are severely unwell with end-stage heart failure indicated for heart transplantation or those who are h</w:t>
      </w:r>
      <w:r w:rsidR="00E94526">
        <w:t>a</w:t>
      </w:r>
      <w:r w:rsidRPr="005E4C88">
        <w:t>emodynamically unstable</w:t>
      </w:r>
      <w:r>
        <w:t>.</w:t>
      </w:r>
    </w:p>
    <w:p w14:paraId="4B9235B8" w14:textId="59F4B40C" w:rsidR="00407574" w:rsidRDefault="00D84506" w:rsidP="00DE0CD5">
      <w:pPr>
        <w:pStyle w:val="Instructionaltext"/>
        <w:numPr>
          <w:ilvl w:val="0"/>
          <w:numId w:val="14"/>
        </w:numPr>
        <w:ind w:left="426"/>
        <w:rPr>
          <w:color w:val="auto"/>
        </w:rPr>
      </w:pPr>
      <w:r>
        <w:rPr>
          <w:color w:val="auto"/>
        </w:rPr>
        <w:t xml:space="preserve">Population 2: Patients </w:t>
      </w:r>
      <w:r w:rsidR="00407574" w:rsidRPr="000A3ED7">
        <w:rPr>
          <w:color w:val="auto"/>
        </w:rPr>
        <w:t>presenting with signs and symptoms of acute coronary syndrome with an intermediate risk of obstructive coronary artery disease, or suspected myocarditis</w:t>
      </w:r>
      <w:r w:rsidR="009C4C59">
        <w:rPr>
          <w:color w:val="auto"/>
        </w:rPr>
        <w:t>.</w:t>
      </w:r>
    </w:p>
    <w:p w14:paraId="4323C270" w14:textId="1625CB19" w:rsidR="00407574" w:rsidRPr="00B45749" w:rsidRDefault="00407574" w:rsidP="00867E94">
      <w:r>
        <w:t>In this population, myocarditis is a diagnosis of exclusion of obstructive</w:t>
      </w:r>
      <w:r w:rsidR="00B52917">
        <w:t xml:space="preserve"> CAD, </w:t>
      </w:r>
      <w:r>
        <w:t xml:space="preserve">with </w:t>
      </w:r>
      <w:r w:rsidRPr="00D00457">
        <w:t xml:space="preserve">invasive coronary angiography (ICA) </w:t>
      </w:r>
      <w:r>
        <w:t xml:space="preserve">or </w:t>
      </w:r>
      <w:r w:rsidRPr="00CF088C">
        <w:t>computed tomography coronary angiography (</w:t>
      </w:r>
      <w:r>
        <w:t>CTCA) or other investigations such as transthoracic echocardiogra</w:t>
      </w:r>
      <w:r w:rsidR="00CD7F51">
        <w:t>m (TTE)</w:t>
      </w:r>
      <w:r>
        <w:t xml:space="preserve">. </w:t>
      </w:r>
      <w:r w:rsidRPr="00D00457">
        <w:t xml:space="preserve">The </w:t>
      </w:r>
      <w:r w:rsidR="006B5E88" w:rsidRPr="00D00457">
        <w:t>applicati</w:t>
      </w:r>
      <w:r w:rsidR="006B5E88">
        <w:t>on</w:t>
      </w:r>
      <w:r w:rsidRPr="00D00457">
        <w:t xml:space="preserve"> stated that in clinical practice, patients classified with a low pre-test likelihood of CAD would not receive ICA or </w:t>
      </w:r>
      <w:r w:rsidRPr="00CF088C">
        <w:t>CTCA</w:t>
      </w:r>
      <w:r>
        <w:t xml:space="preserve"> </w:t>
      </w:r>
      <w:r w:rsidRPr="00D00457">
        <w:t>to exclude or confirm obstructive CAD. Instead, they would undergo cardiac MRI as the initial diagnostic procedure. If myocarditis was diagnosed following cardiac MRI, further investigations to rule out obstructive CAD would not be necessary.</w:t>
      </w:r>
    </w:p>
    <w:p w14:paraId="66BDFCC1" w14:textId="5409C3D9" w:rsidR="00772829" w:rsidRPr="00CE28E3" w:rsidRDefault="00F226F7" w:rsidP="002A18BE">
      <w:pPr>
        <w:pStyle w:val="Heading2"/>
        <w:numPr>
          <w:ilvl w:val="0"/>
          <w:numId w:val="0"/>
        </w:numPr>
      </w:pPr>
      <w:bookmarkStart w:id="13" w:name="_Toc155189734"/>
      <w:r>
        <w:t>8</w:t>
      </w:r>
      <w:r w:rsidR="00C36633">
        <w:t>.</w:t>
      </w:r>
      <w:r w:rsidR="00C36633">
        <w:tab/>
      </w:r>
      <w:r w:rsidR="00772829" w:rsidRPr="00CE28E3">
        <w:t>Comparator</w:t>
      </w:r>
      <w:bookmarkEnd w:id="13"/>
    </w:p>
    <w:p w14:paraId="113813BA" w14:textId="08BC71A6" w:rsidR="00962B68" w:rsidRPr="00962B68" w:rsidRDefault="00962B68" w:rsidP="00867E94">
      <w:r w:rsidRPr="00962B68">
        <w:t xml:space="preserve">The </w:t>
      </w:r>
      <w:r w:rsidR="00DE3EAE">
        <w:t>a</w:t>
      </w:r>
      <w:r w:rsidRPr="00962B68">
        <w:t>pplicant propose</w:t>
      </w:r>
      <w:r w:rsidR="00480F8E">
        <w:t>d</w:t>
      </w:r>
      <w:r w:rsidRPr="00962B68">
        <w:t xml:space="preserve"> different comparators for cardiac MRI for the two populations:</w:t>
      </w:r>
    </w:p>
    <w:p w14:paraId="2F59891C" w14:textId="0CAFA448" w:rsidR="00962B68" w:rsidRPr="00962B68" w:rsidRDefault="00962B68" w:rsidP="00867E94">
      <w:r w:rsidRPr="00962B68">
        <w:t xml:space="preserve">In </w:t>
      </w:r>
      <w:r w:rsidR="009426D3">
        <w:t>P</w:t>
      </w:r>
      <w:r w:rsidRPr="00962B68">
        <w:t xml:space="preserve">opulation 1, the comparator for patients with signs and symptoms of cardiomyopathy </w:t>
      </w:r>
      <w:r w:rsidR="00A54A50">
        <w:t>wa</w:t>
      </w:r>
      <w:r w:rsidRPr="00962B68">
        <w:t>s standard management (e.g., anti</w:t>
      </w:r>
      <w:r w:rsidR="00895144">
        <w:t>-</w:t>
      </w:r>
      <w:r w:rsidRPr="00962B68">
        <w:t xml:space="preserve">failure </w:t>
      </w:r>
      <w:r w:rsidR="00F03503">
        <w:t>treatment</w:t>
      </w:r>
      <w:r w:rsidRPr="00962B68">
        <w:t xml:space="preserve">, circulatory support, antiarrhythmic </w:t>
      </w:r>
      <w:r w:rsidR="00F03503">
        <w:t>treatment</w:t>
      </w:r>
      <w:r w:rsidRPr="00962B68">
        <w:t>) for clinically suspected acute myocarditis with or without EMB when clinically indicated.</w:t>
      </w:r>
      <w:r w:rsidR="007B46C9">
        <w:t xml:space="preserve"> </w:t>
      </w:r>
      <w:r w:rsidR="007B46C9" w:rsidRPr="007B46C9">
        <w:t xml:space="preserve">The </w:t>
      </w:r>
      <w:r w:rsidR="00DE3EAE">
        <w:t>a</w:t>
      </w:r>
      <w:r w:rsidR="00A40EF9">
        <w:t>pplicant</w:t>
      </w:r>
      <w:r w:rsidR="007B46C9">
        <w:t xml:space="preserve"> indicated that the </w:t>
      </w:r>
      <w:r w:rsidR="007B46C9" w:rsidRPr="007B46C9">
        <w:t xml:space="preserve">reference standard for the assessment of diagnostic accuracy may be either EMB or clinical criteria (i.e., a combination of clinical, laboratory, </w:t>
      </w:r>
      <w:proofErr w:type="gramStart"/>
      <w:r w:rsidR="006B5E88">
        <w:t>echocardiography</w:t>
      </w:r>
      <w:proofErr w:type="gramEnd"/>
      <w:r w:rsidR="007B46C9" w:rsidRPr="007B46C9">
        <w:t xml:space="preserve"> and angiographic findings)</w:t>
      </w:r>
      <w:r w:rsidR="007B46C9">
        <w:t xml:space="preserve">. </w:t>
      </w:r>
      <w:r w:rsidR="00DE3EAE">
        <w:t xml:space="preserve">The </w:t>
      </w:r>
      <w:r w:rsidR="00126A3C">
        <w:t>DCAR</w:t>
      </w:r>
      <w:r w:rsidR="00E60C3D">
        <w:t xml:space="preserve"> </w:t>
      </w:r>
      <w:r w:rsidR="00DE3EAE">
        <w:t xml:space="preserve">considered </w:t>
      </w:r>
      <w:r w:rsidR="00A54A50">
        <w:t>t</w:t>
      </w:r>
      <w:r w:rsidR="007B46C9">
        <w:t xml:space="preserve">his </w:t>
      </w:r>
      <w:r w:rsidR="00DE3EAE">
        <w:t>wa</w:t>
      </w:r>
      <w:r w:rsidR="007B46C9">
        <w:t xml:space="preserve">s appropriate given that EMB is an invasive procedure and may not be used routinely in practice; therefore, </w:t>
      </w:r>
      <w:r w:rsidR="007B46C9" w:rsidRPr="007B46C9">
        <w:t xml:space="preserve">the reference standard for the assessment of diagnostic accuracy may be either EMB or clinical criteria (i.e., a combination of clinical, laboratory, </w:t>
      </w:r>
      <w:proofErr w:type="gramStart"/>
      <w:r w:rsidR="006B5E88">
        <w:t>echocardiography</w:t>
      </w:r>
      <w:proofErr w:type="gramEnd"/>
      <w:r w:rsidR="007B46C9" w:rsidRPr="007B46C9">
        <w:t xml:space="preserve"> and angiographic findings).</w:t>
      </w:r>
      <w:r w:rsidR="007B46C9">
        <w:t xml:space="preserve"> </w:t>
      </w:r>
      <w:r w:rsidRPr="00962B68">
        <w:t xml:space="preserve">In Australian clinical practice, EMB via cardiac catheterisation is reimbursed under </w:t>
      </w:r>
      <w:hyperlink r:id="rId11" w:history="1">
        <w:r w:rsidRPr="00962B68">
          <w:rPr>
            <w:color w:val="0070C0"/>
            <w:u w:val="single"/>
          </w:rPr>
          <w:t>MBS item 38275</w:t>
        </w:r>
      </w:hyperlink>
      <w:r w:rsidRPr="00962B68">
        <w:t xml:space="preserve">. </w:t>
      </w:r>
    </w:p>
    <w:p w14:paraId="18EDB60A" w14:textId="68974255" w:rsidR="00962B68" w:rsidRDefault="00962B68" w:rsidP="00867E94">
      <w:r w:rsidRPr="00962B68">
        <w:t xml:space="preserve">In </w:t>
      </w:r>
      <w:r w:rsidR="009426D3">
        <w:t>P</w:t>
      </w:r>
      <w:r w:rsidRPr="00962B68">
        <w:t xml:space="preserve">opulation 2, for patients with signs and symptoms of ACS, the </w:t>
      </w:r>
      <w:r w:rsidR="003A7A39">
        <w:t xml:space="preserve">comparator suggested </w:t>
      </w:r>
      <w:r w:rsidR="0024323C">
        <w:t xml:space="preserve">by the </w:t>
      </w:r>
      <w:r w:rsidR="00A54A50">
        <w:t>a</w:t>
      </w:r>
      <w:r w:rsidR="00A40EF9">
        <w:t>pplicant</w:t>
      </w:r>
      <w:r w:rsidR="003A7A39">
        <w:t xml:space="preserve"> was</w:t>
      </w:r>
      <w:r w:rsidRPr="00962B68">
        <w:t xml:space="preserve"> standard management of intermediate-risk ACS including CTCA/ICA to exclude obstructive CAD ± TTE. </w:t>
      </w:r>
      <w:r w:rsidR="00A54A50">
        <w:t xml:space="preserve">The </w:t>
      </w:r>
      <w:r w:rsidR="00912B44">
        <w:t>PICO stated</w:t>
      </w:r>
      <w:r w:rsidR="00A54A50">
        <w:t xml:space="preserve"> </w:t>
      </w:r>
      <w:r w:rsidR="00F72048">
        <w:t>i</w:t>
      </w:r>
      <w:r w:rsidR="003A7A39" w:rsidRPr="009426D3">
        <w:t>t</w:t>
      </w:r>
      <w:r w:rsidR="009426D3" w:rsidRPr="009426D3">
        <w:t xml:space="preserve"> </w:t>
      </w:r>
      <w:r w:rsidR="00A54A50">
        <w:t>wa</w:t>
      </w:r>
      <w:r w:rsidR="009426D3" w:rsidRPr="009426D3">
        <w:t xml:space="preserve">s important to </w:t>
      </w:r>
      <w:r w:rsidR="009426D3">
        <w:t>note</w:t>
      </w:r>
      <w:r w:rsidR="009426D3" w:rsidRPr="009426D3">
        <w:t xml:space="preserve"> that ICA and </w:t>
      </w:r>
      <w:r w:rsidR="001D1CE4">
        <w:t>CTCA</w:t>
      </w:r>
      <w:r w:rsidR="009426D3" w:rsidRPr="009426D3">
        <w:t xml:space="preserve"> are </w:t>
      </w:r>
      <w:r w:rsidR="3FD74E5A" w:rsidRPr="17AFBC35">
        <w:t>diagnostic methodologies to ascertain some of the differential diagnoses of</w:t>
      </w:r>
      <w:r w:rsidR="3FD74E5A">
        <w:t xml:space="preserve"> </w:t>
      </w:r>
      <w:r w:rsidR="009426D3" w:rsidRPr="009426D3">
        <w:t>myocarditis, whereas cardiac MRI can detect myocarditis in a more direct manner. Therefore, such a comparison may not be direct in terms of quantitative evidence for diagnostic accuracy outcomes.</w:t>
      </w:r>
      <w:r w:rsidR="009426D3">
        <w:t xml:space="preserve"> </w:t>
      </w:r>
      <w:r w:rsidR="00A54A50">
        <w:t>Therefore</w:t>
      </w:r>
      <w:r w:rsidR="00E70C4A">
        <w:t>,</w:t>
      </w:r>
      <w:r w:rsidR="009D0961">
        <w:t xml:space="preserve"> </w:t>
      </w:r>
      <w:r w:rsidR="004277E4">
        <w:t>PASC</w:t>
      </w:r>
      <w:r w:rsidR="00A54A50">
        <w:t xml:space="preserve"> considered a</w:t>
      </w:r>
      <w:r w:rsidR="004610E4">
        <w:t xml:space="preserve"> more appropriate comparator could be</w:t>
      </w:r>
      <w:r w:rsidR="004610E4" w:rsidRPr="004610E4">
        <w:t xml:space="preserve"> standard management for clinically suspected acute myocarditis with/without EMB when clinically indicated</w:t>
      </w:r>
      <w:r w:rsidR="004610E4">
        <w:t>.</w:t>
      </w:r>
      <w:r w:rsidR="004610E4" w:rsidRPr="004610E4">
        <w:t xml:space="preserve"> </w:t>
      </w:r>
      <w:r w:rsidR="004610E4">
        <w:t>Of note</w:t>
      </w:r>
      <w:r w:rsidR="003A7A39">
        <w:t xml:space="preserve">, it </w:t>
      </w:r>
      <w:r w:rsidR="00A54A50">
        <w:t>wa</w:t>
      </w:r>
      <w:r w:rsidR="003A7A39">
        <w:t>s expected that cardiac MRI may reduce the utilisation of CTCA/ICA in this population</w:t>
      </w:r>
      <w:r w:rsidR="0024323C">
        <w:t xml:space="preserve">, which </w:t>
      </w:r>
      <w:r w:rsidR="00A54A50">
        <w:t>wa</w:t>
      </w:r>
      <w:r w:rsidR="0024323C">
        <w:t>s captured in the decision model presented in this report</w:t>
      </w:r>
      <w:r w:rsidR="003A7A39">
        <w:t>.</w:t>
      </w:r>
      <w:r w:rsidR="009426D3">
        <w:t xml:space="preserve"> </w:t>
      </w:r>
      <w:r>
        <w:t xml:space="preserve">In Australian clinical practice, ICA is reimbursed under </w:t>
      </w:r>
      <w:hyperlink r:id="rId12">
        <w:r w:rsidRPr="00BB33B5">
          <w:rPr>
            <w:color w:val="0070C0"/>
            <w:u w:val="single"/>
          </w:rPr>
          <w:t>MBS item 38244</w:t>
        </w:r>
      </w:hyperlink>
      <w:r>
        <w:t xml:space="preserve">, CTCA is reimbursed under </w:t>
      </w:r>
      <w:hyperlink r:id="rId13">
        <w:r w:rsidRPr="00BB33B5">
          <w:rPr>
            <w:color w:val="0070C0"/>
            <w:u w:val="single"/>
          </w:rPr>
          <w:t>MBS item 57360</w:t>
        </w:r>
      </w:hyperlink>
      <w:r>
        <w:t xml:space="preserve">, and TTE is reimbursed under </w:t>
      </w:r>
      <w:hyperlink r:id="rId14" w:history="1">
        <w:r w:rsidR="00E90188" w:rsidRPr="00895144">
          <w:rPr>
            <w:rStyle w:val="Hyperlink"/>
          </w:rPr>
          <w:t>MBS Item 55126</w:t>
        </w:r>
      </w:hyperlink>
      <w:r w:rsidR="00895144">
        <w:t>.</w:t>
      </w:r>
    </w:p>
    <w:p w14:paraId="1DB31489" w14:textId="77777777" w:rsidR="00F226F7" w:rsidRDefault="00F226F7" w:rsidP="007077F3">
      <w:pPr>
        <w:pStyle w:val="Heading2"/>
        <w:numPr>
          <w:ilvl w:val="0"/>
          <w:numId w:val="0"/>
        </w:numPr>
      </w:pPr>
      <w:r>
        <w:lastRenderedPageBreak/>
        <w:t>9.</w:t>
      </w:r>
      <w:r>
        <w:tab/>
      </w:r>
      <w:r w:rsidRPr="00CE28E3">
        <w:t xml:space="preserve">Summary of public consultation </w:t>
      </w:r>
      <w:r>
        <w:t>input</w:t>
      </w:r>
    </w:p>
    <w:p w14:paraId="68E9524C" w14:textId="05640EE1" w:rsidR="00F226F7" w:rsidRPr="00F226F7" w:rsidRDefault="00F226F7" w:rsidP="007077F3">
      <w:pPr>
        <w:pStyle w:val="paragraph"/>
        <w:keepNext/>
        <w:keepLines/>
        <w:spacing w:before="0" w:beforeAutospacing="0" w:after="0" w:afterAutospacing="0"/>
        <w:textAlignment w:val="baseline"/>
        <w:rPr>
          <w:rFonts w:ascii="Franklin Gothic Book" w:hAnsi="Franklin Gothic Book" w:cs="Calibri"/>
          <w:sz w:val="22"/>
          <w:szCs w:val="22"/>
        </w:rPr>
      </w:pPr>
      <w:r w:rsidRPr="00F226F7">
        <w:rPr>
          <w:rStyle w:val="normaltextrun"/>
          <w:rFonts w:ascii="Franklin Gothic Book" w:hAnsi="Franklin Gothic Book" w:cs="Calibri"/>
          <w:sz w:val="22"/>
          <w:szCs w:val="22"/>
        </w:rPr>
        <w:t xml:space="preserve">Consultation input was received from six (6) professional organisations, two (2) consumer organisations and seven (7) individuals, of which </w:t>
      </w:r>
      <w:r w:rsidR="00B56589">
        <w:rPr>
          <w:rStyle w:val="normaltextrun"/>
          <w:rFonts w:ascii="Franklin Gothic Book" w:hAnsi="Franklin Gothic Book" w:cs="Calibri"/>
          <w:sz w:val="22"/>
          <w:szCs w:val="22"/>
        </w:rPr>
        <w:t>six (</w:t>
      </w:r>
      <w:r w:rsidRPr="00F226F7">
        <w:rPr>
          <w:rStyle w:val="normaltextrun"/>
          <w:rFonts w:ascii="Franklin Gothic Book" w:hAnsi="Franklin Gothic Book" w:cs="Calibri"/>
          <w:sz w:val="22"/>
          <w:szCs w:val="22"/>
        </w:rPr>
        <w:t>6</w:t>
      </w:r>
      <w:r w:rsidR="00B56589">
        <w:rPr>
          <w:rStyle w:val="normaltextrun"/>
          <w:rFonts w:ascii="Franklin Gothic Book" w:hAnsi="Franklin Gothic Book" w:cs="Calibri"/>
          <w:sz w:val="22"/>
          <w:szCs w:val="22"/>
        </w:rPr>
        <w:t>)</w:t>
      </w:r>
      <w:r w:rsidRPr="00F226F7">
        <w:rPr>
          <w:rStyle w:val="normaltextrun"/>
          <w:rFonts w:ascii="Franklin Gothic Book" w:hAnsi="Franklin Gothic Book" w:cs="Calibri"/>
          <w:sz w:val="22"/>
          <w:szCs w:val="22"/>
        </w:rPr>
        <w:t xml:space="preserve"> were specialists and </w:t>
      </w:r>
      <w:r w:rsidR="00B56589">
        <w:rPr>
          <w:rStyle w:val="normaltextrun"/>
          <w:rFonts w:ascii="Franklin Gothic Book" w:hAnsi="Franklin Gothic Book" w:cs="Calibri"/>
          <w:sz w:val="22"/>
          <w:szCs w:val="22"/>
        </w:rPr>
        <w:t>one (</w:t>
      </w:r>
      <w:r w:rsidRPr="00F226F7">
        <w:rPr>
          <w:rStyle w:val="normaltextrun"/>
          <w:rFonts w:ascii="Franklin Gothic Book" w:hAnsi="Franklin Gothic Book" w:cs="Calibri"/>
          <w:sz w:val="22"/>
          <w:szCs w:val="22"/>
        </w:rPr>
        <w:t>1</w:t>
      </w:r>
      <w:r w:rsidR="00B56589">
        <w:rPr>
          <w:rStyle w:val="normaltextrun"/>
          <w:rFonts w:ascii="Franklin Gothic Book" w:hAnsi="Franklin Gothic Book" w:cs="Calibri"/>
          <w:sz w:val="22"/>
          <w:szCs w:val="22"/>
        </w:rPr>
        <w:t>)</w:t>
      </w:r>
      <w:r w:rsidRPr="00F226F7">
        <w:rPr>
          <w:rStyle w:val="normaltextrun"/>
          <w:rFonts w:ascii="Franklin Gothic Book" w:hAnsi="Franklin Gothic Book" w:cs="Calibri"/>
          <w:sz w:val="22"/>
          <w:szCs w:val="22"/>
        </w:rPr>
        <w:t xml:space="preserve"> a family member of a consumer.</w:t>
      </w:r>
      <w:r w:rsidRPr="00F226F7">
        <w:rPr>
          <w:rStyle w:val="eop"/>
          <w:rFonts w:ascii="Franklin Gothic Book" w:hAnsi="Franklin Gothic Book" w:cs="Calibri"/>
          <w:sz w:val="22"/>
          <w:szCs w:val="22"/>
        </w:rPr>
        <w:t> </w:t>
      </w:r>
    </w:p>
    <w:p w14:paraId="5A071E13" w14:textId="77777777" w:rsidR="00F226F7" w:rsidRPr="00F226F7" w:rsidRDefault="00F226F7" w:rsidP="007077F3">
      <w:pPr>
        <w:pStyle w:val="paragraph"/>
        <w:keepNext/>
        <w:keepLines/>
        <w:spacing w:before="240" w:beforeAutospacing="0" w:after="0" w:afterAutospacing="0"/>
        <w:textAlignment w:val="baseline"/>
        <w:rPr>
          <w:rFonts w:ascii="Franklin Gothic Book" w:hAnsi="Franklin Gothic Book" w:cs="Calibri"/>
          <w:sz w:val="22"/>
          <w:szCs w:val="22"/>
        </w:rPr>
      </w:pPr>
      <w:r w:rsidRPr="00F226F7">
        <w:rPr>
          <w:rStyle w:val="normaltextrun"/>
          <w:rFonts w:ascii="Franklin Gothic Book" w:hAnsi="Franklin Gothic Book" w:cs="Calibri"/>
          <w:sz w:val="22"/>
          <w:szCs w:val="22"/>
        </w:rPr>
        <w:t>The eight (8) organisations that submitted inputs were: </w:t>
      </w:r>
      <w:r w:rsidRPr="00F226F7">
        <w:rPr>
          <w:rStyle w:val="eop"/>
          <w:rFonts w:ascii="Franklin Gothic Book" w:hAnsi="Franklin Gothic Book" w:cs="Calibri"/>
          <w:sz w:val="22"/>
          <w:szCs w:val="22"/>
        </w:rPr>
        <w:t> </w:t>
      </w:r>
    </w:p>
    <w:p w14:paraId="5E19B164" w14:textId="77777777" w:rsidR="00F226F7" w:rsidRPr="00F226F7" w:rsidRDefault="00F226F7" w:rsidP="007077F3">
      <w:pPr>
        <w:pStyle w:val="paragraph"/>
        <w:keepNext/>
        <w:keepLines/>
        <w:numPr>
          <w:ilvl w:val="0"/>
          <w:numId w:val="31"/>
        </w:numPr>
        <w:spacing w:before="0" w:beforeAutospacing="0" w:after="0" w:afterAutospacing="0"/>
        <w:textAlignment w:val="baseline"/>
        <w:rPr>
          <w:rFonts w:ascii="Franklin Gothic Book" w:hAnsi="Franklin Gothic Book" w:cs="Calibri"/>
          <w:sz w:val="22"/>
          <w:szCs w:val="22"/>
        </w:rPr>
      </w:pPr>
      <w:r w:rsidRPr="00F226F7">
        <w:rPr>
          <w:rStyle w:val="normaltextrun"/>
          <w:rFonts w:ascii="Franklin Gothic Book" w:hAnsi="Franklin Gothic Book" w:cs="Calibri"/>
          <w:sz w:val="22"/>
          <w:szCs w:val="22"/>
        </w:rPr>
        <w:t>Cardiomyopathy Association of Australia</w:t>
      </w:r>
      <w:r w:rsidRPr="00F226F7">
        <w:rPr>
          <w:rStyle w:val="eop"/>
          <w:rFonts w:ascii="Franklin Gothic Book" w:hAnsi="Franklin Gothic Book" w:cs="Calibri"/>
          <w:sz w:val="22"/>
          <w:szCs w:val="22"/>
        </w:rPr>
        <w:t> </w:t>
      </w:r>
    </w:p>
    <w:p w14:paraId="1AB73826" w14:textId="77777777" w:rsidR="00F226F7" w:rsidRPr="00F226F7" w:rsidRDefault="00F226F7" w:rsidP="007077F3">
      <w:pPr>
        <w:pStyle w:val="paragraph"/>
        <w:keepNext/>
        <w:keepLines/>
        <w:numPr>
          <w:ilvl w:val="0"/>
          <w:numId w:val="31"/>
        </w:numPr>
        <w:spacing w:before="0" w:beforeAutospacing="0" w:after="0" w:afterAutospacing="0"/>
        <w:textAlignment w:val="baseline"/>
        <w:rPr>
          <w:rFonts w:ascii="Franklin Gothic Book" w:hAnsi="Franklin Gothic Book" w:cs="Calibri"/>
          <w:sz w:val="22"/>
          <w:szCs w:val="22"/>
        </w:rPr>
      </w:pPr>
      <w:r w:rsidRPr="00F226F7">
        <w:rPr>
          <w:rStyle w:val="normaltextrun"/>
          <w:rFonts w:ascii="Franklin Gothic Book" w:hAnsi="Franklin Gothic Book" w:cs="Calibri"/>
          <w:sz w:val="22"/>
          <w:szCs w:val="22"/>
        </w:rPr>
        <w:t>Australian Society of Medical Imaging and Radiation Therapy (ASMIRT)</w:t>
      </w:r>
      <w:r w:rsidRPr="00F226F7">
        <w:rPr>
          <w:rStyle w:val="eop"/>
          <w:rFonts w:ascii="Franklin Gothic Book" w:hAnsi="Franklin Gothic Book" w:cs="Calibri"/>
          <w:sz w:val="22"/>
          <w:szCs w:val="22"/>
        </w:rPr>
        <w:t> </w:t>
      </w:r>
    </w:p>
    <w:p w14:paraId="01F1D616" w14:textId="77777777" w:rsidR="00F226F7" w:rsidRPr="00F226F7" w:rsidRDefault="00F226F7" w:rsidP="00F226F7">
      <w:pPr>
        <w:pStyle w:val="paragraph"/>
        <w:numPr>
          <w:ilvl w:val="0"/>
          <w:numId w:val="31"/>
        </w:numPr>
        <w:spacing w:before="0" w:beforeAutospacing="0" w:after="0" w:afterAutospacing="0"/>
        <w:textAlignment w:val="baseline"/>
        <w:rPr>
          <w:rFonts w:ascii="Franklin Gothic Book" w:hAnsi="Franklin Gothic Book" w:cs="Calibri"/>
          <w:sz w:val="22"/>
          <w:szCs w:val="22"/>
        </w:rPr>
      </w:pPr>
      <w:r w:rsidRPr="00F226F7">
        <w:rPr>
          <w:rStyle w:val="normaltextrun"/>
          <w:rFonts w:ascii="Franklin Gothic Book" w:hAnsi="Franklin Gothic Book" w:cs="Calibri"/>
          <w:sz w:val="22"/>
          <w:szCs w:val="22"/>
        </w:rPr>
        <w:t>Australian Diagnostic Imaging Association</w:t>
      </w:r>
      <w:r w:rsidRPr="00F226F7">
        <w:rPr>
          <w:rStyle w:val="eop"/>
          <w:rFonts w:ascii="Franklin Gothic Book" w:hAnsi="Franklin Gothic Book" w:cs="Calibri"/>
          <w:sz w:val="22"/>
          <w:szCs w:val="22"/>
        </w:rPr>
        <w:t> </w:t>
      </w:r>
    </w:p>
    <w:p w14:paraId="35AEBA06" w14:textId="77777777" w:rsidR="00F226F7" w:rsidRPr="00F226F7" w:rsidRDefault="00F226F7" w:rsidP="00F226F7">
      <w:pPr>
        <w:pStyle w:val="paragraph"/>
        <w:numPr>
          <w:ilvl w:val="0"/>
          <w:numId w:val="31"/>
        </w:numPr>
        <w:spacing w:before="0" w:beforeAutospacing="0" w:after="0" w:afterAutospacing="0"/>
        <w:textAlignment w:val="baseline"/>
        <w:rPr>
          <w:rFonts w:ascii="Franklin Gothic Book" w:hAnsi="Franklin Gothic Book" w:cs="Calibri"/>
          <w:sz w:val="22"/>
          <w:szCs w:val="22"/>
        </w:rPr>
      </w:pPr>
      <w:r w:rsidRPr="00F226F7">
        <w:rPr>
          <w:rStyle w:val="normaltextrun"/>
          <w:rFonts w:ascii="Franklin Gothic Book" w:hAnsi="Franklin Gothic Book" w:cs="Calibri"/>
          <w:sz w:val="22"/>
          <w:szCs w:val="22"/>
        </w:rPr>
        <w:t>Royal Australian and New Zealand College of Radiologists (RANZCR)</w:t>
      </w:r>
      <w:r w:rsidRPr="00F226F7">
        <w:rPr>
          <w:rStyle w:val="eop"/>
          <w:rFonts w:ascii="Franklin Gothic Book" w:hAnsi="Franklin Gothic Book" w:cs="Calibri"/>
          <w:sz w:val="22"/>
          <w:szCs w:val="22"/>
        </w:rPr>
        <w:t> </w:t>
      </w:r>
    </w:p>
    <w:p w14:paraId="0B233C38" w14:textId="77777777" w:rsidR="00F226F7" w:rsidRPr="00F226F7" w:rsidRDefault="00F226F7" w:rsidP="00F226F7">
      <w:pPr>
        <w:pStyle w:val="paragraph"/>
        <w:numPr>
          <w:ilvl w:val="0"/>
          <w:numId w:val="31"/>
        </w:numPr>
        <w:spacing w:before="0" w:beforeAutospacing="0" w:after="0" w:afterAutospacing="0"/>
        <w:textAlignment w:val="baseline"/>
        <w:rPr>
          <w:rFonts w:ascii="Franklin Gothic Book" w:hAnsi="Franklin Gothic Book" w:cs="Calibri"/>
          <w:sz w:val="22"/>
          <w:szCs w:val="22"/>
        </w:rPr>
      </w:pPr>
      <w:r w:rsidRPr="00F226F7">
        <w:rPr>
          <w:rStyle w:val="normaltextrun"/>
          <w:rFonts w:ascii="Franklin Gothic Book" w:hAnsi="Franklin Gothic Book" w:cs="Calibri"/>
          <w:sz w:val="22"/>
          <w:szCs w:val="22"/>
        </w:rPr>
        <w:t>Society for Cardiovascular Magnetic Resonance (SCMR)</w:t>
      </w:r>
      <w:r w:rsidRPr="00F226F7">
        <w:rPr>
          <w:rStyle w:val="eop"/>
          <w:rFonts w:ascii="Franklin Gothic Book" w:hAnsi="Franklin Gothic Book" w:cs="Calibri"/>
          <w:sz w:val="22"/>
          <w:szCs w:val="22"/>
        </w:rPr>
        <w:t> </w:t>
      </w:r>
    </w:p>
    <w:p w14:paraId="61C9F820" w14:textId="77777777" w:rsidR="00F226F7" w:rsidRPr="00F226F7" w:rsidRDefault="00F226F7" w:rsidP="00F226F7">
      <w:pPr>
        <w:pStyle w:val="paragraph"/>
        <w:numPr>
          <w:ilvl w:val="0"/>
          <w:numId w:val="31"/>
        </w:numPr>
        <w:spacing w:before="0" w:beforeAutospacing="0" w:after="0" w:afterAutospacing="0"/>
        <w:textAlignment w:val="baseline"/>
        <w:rPr>
          <w:rFonts w:ascii="Franklin Gothic Book" w:hAnsi="Franklin Gothic Book" w:cs="Calibri"/>
          <w:sz w:val="22"/>
          <w:szCs w:val="22"/>
        </w:rPr>
      </w:pPr>
      <w:r w:rsidRPr="00F226F7">
        <w:rPr>
          <w:rStyle w:val="normaltextrun"/>
          <w:rFonts w:ascii="Franklin Gothic Book" w:hAnsi="Franklin Gothic Book" w:cs="Calibri"/>
          <w:sz w:val="22"/>
          <w:szCs w:val="22"/>
        </w:rPr>
        <w:t>International Society for MR Radiographers and Technologists (ISMRT)</w:t>
      </w:r>
      <w:r w:rsidRPr="00F226F7">
        <w:rPr>
          <w:rStyle w:val="eop"/>
          <w:rFonts w:ascii="Franklin Gothic Book" w:hAnsi="Franklin Gothic Book" w:cs="Calibri"/>
          <w:sz w:val="22"/>
          <w:szCs w:val="22"/>
        </w:rPr>
        <w:t> </w:t>
      </w:r>
    </w:p>
    <w:p w14:paraId="1C40BDEB" w14:textId="77777777" w:rsidR="00F226F7" w:rsidRPr="00F226F7" w:rsidRDefault="00F226F7" w:rsidP="00F226F7">
      <w:pPr>
        <w:pStyle w:val="paragraph"/>
        <w:numPr>
          <w:ilvl w:val="0"/>
          <w:numId w:val="31"/>
        </w:numPr>
        <w:spacing w:before="0" w:beforeAutospacing="0" w:after="0" w:afterAutospacing="0"/>
        <w:textAlignment w:val="baseline"/>
        <w:rPr>
          <w:rFonts w:ascii="Franklin Gothic Book" w:hAnsi="Franklin Gothic Book" w:cs="Calibri"/>
          <w:sz w:val="22"/>
          <w:szCs w:val="22"/>
        </w:rPr>
      </w:pPr>
      <w:r w:rsidRPr="00F226F7">
        <w:rPr>
          <w:rStyle w:val="normaltextrun"/>
          <w:rFonts w:ascii="Franklin Gothic Book" w:hAnsi="Franklin Gothic Book" w:cs="Calibri"/>
          <w:sz w:val="22"/>
          <w:szCs w:val="22"/>
        </w:rPr>
        <w:t>National Heart Foundation of Australia</w:t>
      </w:r>
      <w:r w:rsidRPr="00F226F7">
        <w:rPr>
          <w:rStyle w:val="eop"/>
          <w:rFonts w:ascii="Franklin Gothic Book" w:hAnsi="Franklin Gothic Book" w:cs="Calibri"/>
          <w:sz w:val="22"/>
          <w:szCs w:val="22"/>
        </w:rPr>
        <w:t> </w:t>
      </w:r>
    </w:p>
    <w:p w14:paraId="7AC28F20" w14:textId="77777777" w:rsidR="00F226F7" w:rsidRPr="00F226F7" w:rsidRDefault="00F226F7" w:rsidP="00F226F7">
      <w:pPr>
        <w:pStyle w:val="paragraph"/>
        <w:numPr>
          <w:ilvl w:val="0"/>
          <w:numId w:val="31"/>
        </w:numPr>
        <w:spacing w:before="0" w:beforeAutospacing="0" w:after="0" w:afterAutospacing="0"/>
        <w:textAlignment w:val="baseline"/>
        <w:rPr>
          <w:rFonts w:ascii="Franklin Gothic Book" w:hAnsi="Franklin Gothic Book" w:cs="Calibri"/>
          <w:sz w:val="22"/>
          <w:szCs w:val="22"/>
        </w:rPr>
      </w:pPr>
      <w:r w:rsidRPr="00F226F7">
        <w:rPr>
          <w:rStyle w:val="normaltextrun"/>
          <w:rFonts w:ascii="Franklin Gothic Book" w:hAnsi="Franklin Gothic Book" w:cs="Calibri"/>
          <w:sz w:val="22"/>
          <w:szCs w:val="22"/>
        </w:rPr>
        <w:t>Australian Technical Advisory Group on Immunisation (ATAGI)</w:t>
      </w:r>
      <w:r w:rsidRPr="00F226F7">
        <w:rPr>
          <w:rStyle w:val="eop"/>
          <w:rFonts w:ascii="Franklin Gothic Book" w:hAnsi="Franklin Gothic Book" w:cs="Calibri"/>
          <w:sz w:val="22"/>
          <w:szCs w:val="22"/>
        </w:rPr>
        <w:t> </w:t>
      </w:r>
    </w:p>
    <w:p w14:paraId="14F9A5A8" w14:textId="77777777" w:rsidR="00F226F7" w:rsidRPr="00F226F7" w:rsidRDefault="00F226F7" w:rsidP="00F226F7">
      <w:pPr>
        <w:pStyle w:val="paragraph"/>
        <w:spacing w:before="240" w:beforeAutospacing="0" w:after="0" w:afterAutospacing="0"/>
        <w:textAlignment w:val="baseline"/>
        <w:rPr>
          <w:rFonts w:ascii="Franklin Gothic Book" w:hAnsi="Franklin Gothic Book" w:cs="Calibri"/>
          <w:sz w:val="22"/>
          <w:szCs w:val="22"/>
        </w:rPr>
      </w:pPr>
      <w:r w:rsidRPr="00F226F7">
        <w:rPr>
          <w:rStyle w:val="normaltextrun"/>
          <w:rFonts w:ascii="Franklin Gothic Book" w:hAnsi="Franklin Gothic Book" w:cs="Calibri"/>
          <w:sz w:val="22"/>
          <w:szCs w:val="22"/>
        </w:rPr>
        <w:t>The consultation feedback from organisations and individuals was generally supportive of the application, and unanimously agreed with the clinical need and public health significance of publicly funding this application. </w:t>
      </w:r>
      <w:r w:rsidRPr="00F226F7">
        <w:rPr>
          <w:rStyle w:val="eop"/>
          <w:rFonts w:ascii="Franklin Gothic Book" w:hAnsi="Franklin Gothic Book" w:cs="Calibri"/>
          <w:sz w:val="22"/>
          <w:szCs w:val="22"/>
        </w:rPr>
        <w:t> </w:t>
      </w:r>
    </w:p>
    <w:p w14:paraId="16664DF7" w14:textId="3029295D" w:rsidR="001D0B4C" w:rsidRDefault="001D0B4C" w:rsidP="00F226F7">
      <w:pPr>
        <w:pStyle w:val="paragraph"/>
        <w:spacing w:before="240" w:beforeAutospacing="0" w:after="0" w:afterAutospacing="0"/>
        <w:textAlignment w:val="baseline"/>
        <w:rPr>
          <w:rStyle w:val="eop"/>
          <w:rFonts w:ascii="Franklin Gothic Book" w:hAnsi="Franklin Gothic Book" w:cs="Segoe UI"/>
          <w:color w:val="000000"/>
          <w:sz w:val="22"/>
          <w:szCs w:val="22"/>
        </w:rPr>
      </w:pPr>
      <w:r w:rsidRPr="003741FF">
        <w:rPr>
          <w:rStyle w:val="eop"/>
          <w:rFonts w:ascii="Franklin Gothic Book" w:hAnsi="Franklin Gothic Book"/>
          <w:color w:val="000000" w:themeColor="text1"/>
          <w:sz w:val="22"/>
        </w:rPr>
        <w:t xml:space="preserve">The applicant’s pre-MSAC response also provided a letter </w:t>
      </w:r>
      <w:r w:rsidR="00AE0E88" w:rsidRPr="003741FF">
        <w:rPr>
          <w:rStyle w:val="eop"/>
          <w:rFonts w:ascii="Franklin Gothic Book" w:hAnsi="Franklin Gothic Book"/>
          <w:color w:val="000000" w:themeColor="text1"/>
          <w:sz w:val="22"/>
        </w:rPr>
        <w:t xml:space="preserve">of support from </w:t>
      </w:r>
      <w:r w:rsidR="00D27AEB" w:rsidRPr="00D27AEB">
        <w:rPr>
          <w:rFonts w:ascii="Franklin Gothic Book" w:hAnsi="Franklin Gothic Book" w:cs="ArialMT"/>
          <w:sz w:val="22"/>
          <w:szCs w:val="22"/>
        </w:rPr>
        <w:t>Cardiac Society of Australia and New Zealand</w:t>
      </w:r>
      <w:r w:rsidR="009659E0">
        <w:rPr>
          <w:rFonts w:ascii="Franklin Gothic Book" w:hAnsi="Franklin Gothic Book" w:cs="ArialMT"/>
          <w:sz w:val="22"/>
          <w:szCs w:val="22"/>
        </w:rPr>
        <w:t xml:space="preserve"> </w:t>
      </w:r>
      <w:r w:rsidR="00D27AEB">
        <w:rPr>
          <w:rFonts w:ascii="Franklin Gothic Book" w:hAnsi="Franklin Gothic Book" w:cs="ArialMT"/>
          <w:sz w:val="22"/>
          <w:szCs w:val="22"/>
        </w:rPr>
        <w:t>(C</w:t>
      </w:r>
      <w:r w:rsidR="00AE0E88" w:rsidRPr="00341DB5">
        <w:rPr>
          <w:rFonts w:ascii="Franklin Gothic Book" w:hAnsi="Franklin Gothic Book" w:cs="ArialMT"/>
          <w:sz w:val="22"/>
          <w:szCs w:val="22"/>
        </w:rPr>
        <w:t>SANZ</w:t>
      </w:r>
      <w:r w:rsidR="00D27AEB">
        <w:rPr>
          <w:rFonts w:ascii="Franklin Gothic Book" w:hAnsi="Franklin Gothic Book" w:cs="ArialMT"/>
          <w:sz w:val="22"/>
          <w:szCs w:val="22"/>
        </w:rPr>
        <w:t>).</w:t>
      </w:r>
    </w:p>
    <w:p w14:paraId="4854C837" w14:textId="7999A545" w:rsidR="00F226F7" w:rsidRPr="00F226F7" w:rsidRDefault="00F226F7" w:rsidP="00F226F7">
      <w:pPr>
        <w:pStyle w:val="paragraph"/>
        <w:spacing w:before="240" w:beforeAutospacing="0" w:after="0" w:afterAutospacing="0"/>
        <w:textAlignment w:val="baseline"/>
        <w:rPr>
          <w:rFonts w:ascii="Franklin Gothic Book" w:hAnsi="Franklin Gothic Book" w:cs="Calibri"/>
          <w:sz w:val="22"/>
          <w:szCs w:val="22"/>
        </w:rPr>
      </w:pPr>
      <w:r w:rsidRPr="00F226F7">
        <w:rPr>
          <w:rStyle w:val="normaltextrun"/>
          <w:rFonts w:ascii="Franklin Gothic Book" w:hAnsi="Franklin Gothic Book" w:cs="Calibri"/>
          <w:b/>
          <w:bCs/>
          <w:sz w:val="22"/>
          <w:szCs w:val="22"/>
        </w:rPr>
        <w:t>Benefits: </w:t>
      </w:r>
      <w:r w:rsidRPr="00F226F7">
        <w:rPr>
          <w:rStyle w:val="eop"/>
          <w:rFonts w:ascii="Franklin Gothic Book" w:hAnsi="Franklin Gothic Book" w:cs="Calibri"/>
          <w:sz w:val="22"/>
          <w:szCs w:val="22"/>
        </w:rPr>
        <w:t> </w:t>
      </w:r>
    </w:p>
    <w:p w14:paraId="7791C9EF" w14:textId="77777777" w:rsidR="00F226F7" w:rsidRPr="00F226F7" w:rsidRDefault="00F226F7" w:rsidP="00F226F7">
      <w:pPr>
        <w:pStyle w:val="paragraph"/>
        <w:numPr>
          <w:ilvl w:val="0"/>
          <w:numId w:val="25"/>
        </w:numPr>
        <w:spacing w:before="0" w:beforeAutospacing="0" w:after="0" w:afterAutospacing="0"/>
        <w:ind w:left="426" w:firstLine="0"/>
        <w:textAlignment w:val="baseline"/>
        <w:rPr>
          <w:rFonts w:ascii="Franklin Gothic Book" w:hAnsi="Franklin Gothic Book" w:cs="Calibri"/>
          <w:sz w:val="22"/>
          <w:szCs w:val="22"/>
        </w:rPr>
      </w:pPr>
      <w:r w:rsidRPr="00F226F7">
        <w:rPr>
          <w:rStyle w:val="normaltextrun"/>
          <w:rFonts w:ascii="Franklin Gothic Book" w:hAnsi="Franklin Gothic Book" w:cs="Calibri"/>
          <w:sz w:val="22"/>
          <w:szCs w:val="22"/>
        </w:rPr>
        <w:t xml:space="preserve">MRI is considered to be the most reliable non-invasive method of diagnosing myocarditis, allowing for earlier diagnosis and treatment and reducing need for downstream </w:t>
      </w:r>
      <w:proofErr w:type="gramStart"/>
      <w:r w:rsidRPr="00F226F7">
        <w:rPr>
          <w:rStyle w:val="normaltextrun"/>
          <w:rFonts w:ascii="Franklin Gothic Book" w:hAnsi="Franklin Gothic Book" w:cs="Calibri"/>
          <w:sz w:val="22"/>
          <w:szCs w:val="22"/>
        </w:rPr>
        <w:t>testing</w:t>
      </w:r>
      <w:proofErr w:type="gramEnd"/>
      <w:r w:rsidRPr="00F226F7">
        <w:rPr>
          <w:rStyle w:val="eop"/>
          <w:rFonts w:ascii="Franklin Gothic Book" w:hAnsi="Franklin Gothic Book" w:cs="Calibri"/>
          <w:sz w:val="22"/>
          <w:szCs w:val="22"/>
        </w:rPr>
        <w:t> </w:t>
      </w:r>
    </w:p>
    <w:p w14:paraId="2EFCBB81" w14:textId="77777777" w:rsidR="00F226F7" w:rsidRPr="00F226F7" w:rsidRDefault="00F226F7" w:rsidP="00F226F7">
      <w:pPr>
        <w:pStyle w:val="paragraph"/>
        <w:numPr>
          <w:ilvl w:val="0"/>
          <w:numId w:val="25"/>
        </w:numPr>
        <w:spacing w:before="0" w:beforeAutospacing="0" w:after="0" w:afterAutospacing="0"/>
        <w:ind w:left="426" w:firstLine="0"/>
        <w:textAlignment w:val="baseline"/>
        <w:rPr>
          <w:rFonts w:ascii="Franklin Gothic Book" w:hAnsi="Franklin Gothic Book" w:cs="Calibri"/>
          <w:sz w:val="22"/>
          <w:szCs w:val="22"/>
        </w:rPr>
      </w:pPr>
      <w:r w:rsidRPr="00F226F7">
        <w:rPr>
          <w:rStyle w:val="normaltextrun"/>
          <w:rFonts w:ascii="Franklin Gothic Book" w:hAnsi="Franklin Gothic Book" w:cs="Calibri"/>
          <w:sz w:val="22"/>
          <w:szCs w:val="22"/>
        </w:rPr>
        <w:t xml:space="preserve">Improved safety compared to the comparator, as MRI does not expose patients or physicians to harmful radiation and there are no known long-term adverse effects of </w:t>
      </w:r>
      <w:proofErr w:type="gramStart"/>
      <w:r w:rsidRPr="00F226F7">
        <w:rPr>
          <w:rStyle w:val="normaltextrun"/>
          <w:rFonts w:ascii="Franklin Gothic Book" w:hAnsi="Franklin Gothic Book" w:cs="Calibri"/>
          <w:sz w:val="22"/>
          <w:szCs w:val="22"/>
        </w:rPr>
        <w:t>MRI</w:t>
      </w:r>
      <w:proofErr w:type="gramEnd"/>
      <w:r w:rsidRPr="00F226F7">
        <w:rPr>
          <w:rStyle w:val="eop"/>
          <w:rFonts w:ascii="Franklin Gothic Book" w:hAnsi="Franklin Gothic Book" w:cs="Calibri"/>
          <w:sz w:val="22"/>
          <w:szCs w:val="22"/>
        </w:rPr>
        <w:t> </w:t>
      </w:r>
    </w:p>
    <w:p w14:paraId="30B20A13" w14:textId="77777777" w:rsidR="00F226F7" w:rsidRPr="00F226F7" w:rsidRDefault="00F226F7" w:rsidP="00F226F7">
      <w:pPr>
        <w:pStyle w:val="paragraph"/>
        <w:numPr>
          <w:ilvl w:val="0"/>
          <w:numId w:val="25"/>
        </w:numPr>
        <w:spacing w:before="0" w:beforeAutospacing="0" w:after="0" w:afterAutospacing="0"/>
        <w:ind w:left="426" w:firstLine="0"/>
        <w:textAlignment w:val="baseline"/>
        <w:rPr>
          <w:rFonts w:ascii="Franklin Gothic Book" w:hAnsi="Franklin Gothic Book" w:cs="Calibri"/>
          <w:sz w:val="22"/>
          <w:szCs w:val="22"/>
        </w:rPr>
      </w:pPr>
      <w:r w:rsidRPr="00F226F7">
        <w:rPr>
          <w:rStyle w:val="normaltextrun"/>
          <w:rFonts w:ascii="Franklin Gothic Book" w:hAnsi="Franklin Gothic Book" w:cs="Calibri"/>
          <w:sz w:val="22"/>
          <w:szCs w:val="22"/>
        </w:rPr>
        <w:t xml:space="preserve">Diagnostic certainty from excellent sensitivity and specificity of the proposed service, which may also provide alternate </w:t>
      </w:r>
      <w:proofErr w:type="gramStart"/>
      <w:r w:rsidRPr="00F226F7">
        <w:rPr>
          <w:rStyle w:val="normaltextrun"/>
          <w:rFonts w:ascii="Franklin Gothic Book" w:hAnsi="Franklin Gothic Book" w:cs="Calibri"/>
          <w:sz w:val="22"/>
          <w:szCs w:val="22"/>
        </w:rPr>
        <w:t>diagnoses</w:t>
      </w:r>
      <w:proofErr w:type="gramEnd"/>
      <w:r w:rsidRPr="00F226F7">
        <w:rPr>
          <w:rStyle w:val="eop"/>
          <w:rFonts w:ascii="Franklin Gothic Book" w:hAnsi="Franklin Gothic Book" w:cs="Calibri"/>
          <w:sz w:val="22"/>
          <w:szCs w:val="22"/>
        </w:rPr>
        <w:t> </w:t>
      </w:r>
    </w:p>
    <w:p w14:paraId="393935F2" w14:textId="77777777" w:rsidR="00F226F7" w:rsidRPr="00F226F7" w:rsidRDefault="00F226F7" w:rsidP="00F226F7">
      <w:pPr>
        <w:pStyle w:val="paragraph"/>
        <w:numPr>
          <w:ilvl w:val="0"/>
          <w:numId w:val="26"/>
        </w:numPr>
        <w:spacing w:before="0" w:beforeAutospacing="0" w:after="0" w:afterAutospacing="0"/>
        <w:ind w:left="426" w:firstLine="0"/>
        <w:textAlignment w:val="baseline"/>
        <w:rPr>
          <w:rFonts w:ascii="Franklin Gothic Book" w:hAnsi="Franklin Gothic Book" w:cs="Calibri"/>
          <w:sz w:val="22"/>
          <w:szCs w:val="22"/>
        </w:rPr>
      </w:pPr>
      <w:r w:rsidRPr="00F226F7">
        <w:rPr>
          <w:rStyle w:val="normaltextrun"/>
          <w:rFonts w:ascii="Franklin Gothic Book" w:hAnsi="Franklin Gothic Book" w:cs="Calibri"/>
          <w:sz w:val="22"/>
          <w:szCs w:val="22"/>
        </w:rPr>
        <w:t xml:space="preserve">Few contraindications and very well tolerated by </w:t>
      </w:r>
      <w:proofErr w:type="gramStart"/>
      <w:r w:rsidRPr="00F226F7">
        <w:rPr>
          <w:rStyle w:val="normaltextrun"/>
          <w:rFonts w:ascii="Franklin Gothic Book" w:hAnsi="Franklin Gothic Book" w:cs="Calibri"/>
          <w:sz w:val="22"/>
          <w:szCs w:val="22"/>
        </w:rPr>
        <w:t>patients</w:t>
      </w:r>
      <w:proofErr w:type="gramEnd"/>
      <w:r w:rsidRPr="00F226F7">
        <w:rPr>
          <w:rStyle w:val="normaltextrun"/>
          <w:rFonts w:ascii="Franklin Gothic Book" w:hAnsi="Franklin Gothic Book" w:cs="Calibri"/>
          <w:sz w:val="22"/>
          <w:szCs w:val="22"/>
        </w:rPr>
        <w:t> </w:t>
      </w:r>
      <w:r w:rsidRPr="00F226F7">
        <w:rPr>
          <w:rStyle w:val="eop"/>
          <w:rFonts w:ascii="Franklin Gothic Book" w:hAnsi="Franklin Gothic Book" w:cs="Calibri"/>
          <w:sz w:val="22"/>
          <w:szCs w:val="22"/>
        </w:rPr>
        <w:t> </w:t>
      </w:r>
    </w:p>
    <w:p w14:paraId="62D763D9" w14:textId="36249899" w:rsidR="00F226F7" w:rsidRPr="00F226F7" w:rsidRDefault="00F226F7" w:rsidP="00F226F7">
      <w:pPr>
        <w:pStyle w:val="paragraph"/>
        <w:numPr>
          <w:ilvl w:val="0"/>
          <w:numId w:val="26"/>
        </w:numPr>
        <w:spacing w:before="0" w:beforeAutospacing="0" w:after="0" w:afterAutospacing="0"/>
        <w:ind w:left="426" w:firstLine="0"/>
        <w:textAlignment w:val="baseline"/>
        <w:rPr>
          <w:rFonts w:ascii="Franklin Gothic Book" w:hAnsi="Franklin Gothic Book" w:cs="Calibri"/>
          <w:sz w:val="22"/>
          <w:szCs w:val="22"/>
        </w:rPr>
      </w:pPr>
      <w:r w:rsidRPr="00F226F7">
        <w:rPr>
          <w:rStyle w:val="normaltextrun"/>
          <w:rFonts w:ascii="Franklin Gothic Book" w:hAnsi="Franklin Gothic Book" w:cs="Calibri"/>
          <w:sz w:val="22"/>
          <w:szCs w:val="22"/>
        </w:rPr>
        <w:t xml:space="preserve">The procedure will reduce the number of coronary angiographies and myocardial biopsies that will need to be performed on patients as it can act as gatekeeper to identify more appropriate patients for such invasive </w:t>
      </w:r>
      <w:proofErr w:type="gramStart"/>
      <w:r w:rsidRPr="00F226F7">
        <w:rPr>
          <w:rStyle w:val="normaltextrun"/>
          <w:rFonts w:ascii="Franklin Gothic Book" w:hAnsi="Franklin Gothic Book" w:cs="Calibri"/>
          <w:sz w:val="22"/>
          <w:szCs w:val="22"/>
        </w:rPr>
        <w:t>procedures</w:t>
      </w:r>
      <w:proofErr w:type="gramEnd"/>
      <w:r w:rsidRPr="00F226F7">
        <w:rPr>
          <w:rStyle w:val="eop"/>
          <w:rFonts w:ascii="Franklin Gothic Book" w:hAnsi="Franklin Gothic Book" w:cs="Calibri"/>
          <w:sz w:val="22"/>
          <w:szCs w:val="22"/>
        </w:rPr>
        <w:t> </w:t>
      </w:r>
    </w:p>
    <w:p w14:paraId="7C1E5AFD" w14:textId="77777777" w:rsidR="00F226F7" w:rsidRPr="00F226F7" w:rsidRDefault="00F226F7" w:rsidP="00F226F7">
      <w:pPr>
        <w:pStyle w:val="paragraph"/>
        <w:numPr>
          <w:ilvl w:val="0"/>
          <w:numId w:val="26"/>
        </w:numPr>
        <w:spacing w:before="0" w:beforeAutospacing="0" w:after="0" w:afterAutospacing="0"/>
        <w:ind w:left="426" w:firstLine="0"/>
        <w:textAlignment w:val="baseline"/>
        <w:rPr>
          <w:rFonts w:ascii="Franklin Gothic Book" w:hAnsi="Franklin Gothic Book" w:cs="Calibri"/>
          <w:sz w:val="22"/>
          <w:szCs w:val="22"/>
        </w:rPr>
      </w:pPr>
      <w:r w:rsidRPr="00F226F7">
        <w:rPr>
          <w:rStyle w:val="normaltextrun"/>
          <w:rFonts w:ascii="Franklin Gothic Book" w:hAnsi="Franklin Gothic Book" w:cs="Calibri"/>
          <w:sz w:val="22"/>
          <w:szCs w:val="22"/>
        </w:rPr>
        <w:t>Equity of access, as currently patients are required to either wait 3 months through the public system or pay the fee out of pocket. </w:t>
      </w:r>
      <w:r w:rsidRPr="00F226F7">
        <w:rPr>
          <w:rStyle w:val="eop"/>
          <w:rFonts w:ascii="Franklin Gothic Book" w:hAnsi="Franklin Gothic Book" w:cs="Calibri"/>
          <w:sz w:val="22"/>
          <w:szCs w:val="22"/>
        </w:rPr>
        <w:t> </w:t>
      </w:r>
    </w:p>
    <w:p w14:paraId="33958FFA" w14:textId="77777777" w:rsidR="00F226F7" w:rsidRPr="00F226F7" w:rsidRDefault="00F226F7" w:rsidP="00F226F7">
      <w:pPr>
        <w:pStyle w:val="paragraph"/>
        <w:numPr>
          <w:ilvl w:val="0"/>
          <w:numId w:val="26"/>
        </w:numPr>
        <w:spacing w:before="0" w:beforeAutospacing="0" w:after="0" w:afterAutospacing="0"/>
        <w:ind w:left="426" w:firstLine="0"/>
        <w:textAlignment w:val="baseline"/>
        <w:rPr>
          <w:rFonts w:ascii="Franklin Gothic Book" w:hAnsi="Franklin Gothic Book" w:cs="Calibri"/>
          <w:sz w:val="22"/>
          <w:szCs w:val="22"/>
        </w:rPr>
      </w:pPr>
      <w:r w:rsidRPr="00F226F7">
        <w:rPr>
          <w:rStyle w:val="normaltextrun"/>
          <w:rFonts w:ascii="Franklin Gothic Book" w:hAnsi="Franklin Gothic Book" w:cs="Calibri"/>
          <w:sz w:val="22"/>
          <w:szCs w:val="22"/>
        </w:rPr>
        <w:t xml:space="preserve">A cardiac MRI national database of presumed and confirmed myocarditis scans would allow for further research and understanding of the </w:t>
      </w:r>
      <w:proofErr w:type="gramStart"/>
      <w:r w:rsidRPr="00F226F7">
        <w:rPr>
          <w:rStyle w:val="normaltextrun"/>
          <w:rFonts w:ascii="Franklin Gothic Book" w:hAnsi="Franklin Gothic Book" w:cs="Calibri"/>
          <w:sz w:val="22"/>
          <w:szCs w:val="22"/>
        </w:rPr>
        <w:t>pathology</w:t>
      </w:r>
      <w:proofErr w:type="gramEnd"/>
      <w:r w:rsidRPr="00F226F7">
        <w:rPr>
          <w:rStyle w:val="eop"/>
          <w:rFonts w:ascii="Franklin Gothic Book" w:hAnsi="Franklin Gothic Book" w:cs="Calibri"/>
          <w:sz w:val="22"/>
          <w:szCs w:val="22"/>
        </w:rPr>
        <w:t> </w:t>
      </w:r>
    </w:p>
    <w:p w14:paraId="0CA4663B" w14:textId="3926CF88" w:rsidR="00F226F7" w:rsidRPr="00F226F7" w:rsidRDefault="00F226F7" w:rsidP="00F226F7">
      <w:pPr>
        <w:pStyle w:val="paragraph"/>
        <w:numPr>
          <w:ilvl w:val="0"/>
          <w:numId w:val="26"/>
        </w:numPr>
        <w:spacing w:before="0" w:beforeAutospacing="0" w:after="0" w:afterAutospacing="0"/>
        <w:ind w:left="426" w:firstLine="0"/>
        <w:textAlignment w:val="baseline"/>
        <w:rPr>
          <w:rFonts w:ascii="Franklin Gothic Book" w:hAnsi="Franklin Gothic Book" w:cs="Calibri"/>
          <w:sz w:val="22"/>
          <w:szCs w:val="22"/>
        </w:rPr>
      </w:pPr>
      <w:r w:rsidRPr="00F226F7">
        <w:rPr>
          <w:rStyle w:val="normaltextrun"/>
          <w:rFonts w:ascii="Franklin Gothic Book" w:hAnsi="Franklin Gothic Book" w:cs="Calibri"/>
          <w:sz w:val="22"/>
          <w:szCs w:val="22"/>
        </w:rPr>
        <w:t>More cost effective </w:t>
      </w:r>
      <w:r w:rsidRPr="00F226F7">
        <w:rPr>
          <w:rStyle w:val="eop"/>
          <w:rFonts w:ascii="Franklin Gothic Book" w:hAnsi="Franklin Gothic Book" w:cs="Calibri"/>
          <w:sz w:val="22"/>
          <w:szCs w:val="22"/>
        </w:rPr>
        <w:t> </w:t>
      </w:r>
    </w:p>
    <w:p w14:paraId="19F29936" w14:textId="77777777" w:rsidR="00F226F7" w:rsidRPr="00F226F7" w:rsidRDefault="00F226F7" w:rsidP="00F226F7">
      <w:pPr>
        <w:pStyle w:val="paragraph"/>
        <w:spacing w:before="240" w:beforeAutospacing="0" w:after="0" w:afterAutospacing="0"/>
        <w:textAlignment w:val="baseline"/>
        <w:rPr>
          <w:rFonts w:ascii="Franklin Gothic Book" w:hAnsi="Franklin Gothic Book" w:cs="Calibri"/>
          <w:sz w:val="22"/>
          <w:szCs w:val="22"/>
        </w:rPr>
      </w:pPr>
      <w:r w:rsidRPr="00F226F7">
        <w:rPr>
          <w:rStyle w:val="normaltextrun"/>
          <w:rFonts w:ascii="Franklin Gothic Book" w:hAnsi="Franklin Gothic Book" w:cs="Calibri"/>
          <w:b/>
          <w:bCs/>
          <w:sz w:val="22"/>
          <w:szCs w:val="22"/>
        </w:rPr>
        <w:t>Disadvantages </w:t>
      </w:r>
      <w:r w:rsidRPr="00F226F7">
        <w:rPr>
          <w:rStyle w:val="eop"/>
          <w:rFonts w:ascii="Franklin Gothic Book" w:hAnsi="Franklin Gothic Book" w:cs="Calibri"/>
          <w:sz w:val="22"/>
          <w:szCs w:val="22"/>
        </w:rPr>
        <w:t> </w:t>
      </w:r>
    </w:p>
    <w:p w14:paraId="0AEC73CD" w14:textId="77777777" w:rsidR="00F226F7" w:rsidRPr="00F226F7" w:rsidRDefault="00F226F7" w:rsidP="00F226F7">
      <w:pPr>
        <w:pStyle w:val="paragraph"/>
        <w:numPr>
          <w:ilvl w:val="0"/>
          <w:numId w:val="27"/>
        </w:numPr>
        <w:spacing w:before="0" w:beforeAutospacing="0" w:after="0" w:afterAutospacing="0"/>
        <w:ind w:left="426" w:firstLine="0"/>
        <w:textAlignment w:val="baseline"/>
        <w:rPr>
          <w:rFonts w:ascii="Franklin Gothic Book" w:hAnsi="Franklin Gothic Book" w:cs="Calibri"/>
          <w:sz w:val="22"/>
          <w:szCs w:val="22"/>
        </w:rPr>
      </w:pPr>
      <w:r w:rsidRPr="00F226F7">
        <w:rPr>
          <w:rStyle w:val="normaltextrun"/>
          <w:rFonts w:ascii="Franklin Gothic Book" w:hAnsi="Franklin Gothic Book" w:cs="Calibri"/>
          <w:sz w:val="22"/>
          <w:szCs w:val="22"/>
        </w:rPr>
        <w:t>Subspecialised training and equipment are required for conducting cardiac MRI, therefore certification requirements for reporting and providing cardiac MRI service may need to be considered.</w:t>
      </w:r>
      <w:r w:rsidRPr="00F226F7">
        <w:rPr>
          <w:rStyle w:val="eop"/>
          <w:rFonts w:ascii="Franklin Gothic Book" w:hAnsi="Franklin Gothic Book" w:cs="Calibri"/>
          <w:sz w:val="22"/>
          <w:szCs w:val="22"/>
        </w:rPr>
        <w:t> </w:t>
      </w:r>
    </w:p>
    <w:p w14:paraId="2C234861" w14:textId="77777777" w:rsidR="00F226F7" w:rsidRPr="00F226F7" w:rsidRDefault="00F226F7" w:rsidP="00F226F7">
      <w:pPr>
        <w:pStyle w:val="paragraph"/>
        <w:numPr>
          <w:ilvl w:val="0"/>
          <w:numId w:val="27"/>
        </w:numPr>
        <w:spacing w:before="0" w:beforeAutospacing="0" w:after="0" w:afterAutospacing="0"/>
        <w:ind w:left="426" w:firstLine="0"/>
        <w:textAlignment w:val="baseline"/>
        <w:rPr>
          <w:rFonts w:ascii="Franklin Gothic Book" w:hAnsi="Franklin Gothic Book" w:cs="Calibri"/>
          <w:sz w:val="22"/>
          <w:szCs w:val="22"/>
        </w:rPr>
      </w:pPr>
      <w:r w:rsidRPr="00F226F7">
        <w:rPr>
          <w:rStyle w:val="normaltextrun"/>
          <w:rFonts w:ascii="Franklin Gothic Book" w:hAnsi="Franklin Gothic Book" w:cs="Calibri"/>
          <w:sz w:val="22"/>
          <w:szCs w:val="22"/>
        </w:rPr>
        <w:t>An increase in the cost of imaging</w:t>
      </w:r>
      <w:r w:rsidRPr="00F226F7">
        <w:rPr>
          <w:rStyle w:val="eop"/>
          <w:rFonts w:ascii="Franklin Gothic Book" w:hAnsi="Franklin Gothic Book" w:cs="Calibri"/>
          <w:sz w:val="22"/>
          <w:szCs w:val="22"/>
        </w:rPr>
        <w:t> </w:t>
      </w:r>
    </w:p>
    <w:p w14:paraId="6F0C4165" w14:textId="0D0363A5" w:rsidR="00F226F7" w:rsidRPr="00F226F7" w:rsidRDefault="00F226F7" w:rsidP="00F226F7">
      <w:pPr>
        <w:pStyle w:val="paragraph"/>
        <w:numPr>
          <w:ilvl w:val="0"/>
          <w:numId w:val="27"/>
        </w:numPr>
        <w:spacing w:before="0" w:beforeAutospacing="0" w:after="0" w:afterAutospacing="0"/>
        <w:ind w:left="426" w:firstLine="0"/>
        <w:textAlignment w:val="baseline"/>
        <w:rPr>
          <w:rFonts w:ascii="Franklin Gothic Book" w:hAnsi="Franklin Gothic Book" w:cs="Calibri"/>
          <w:sz w:val="22"/>
          <w:szCs w:val="22"/>
        </w:rPr>
      </w:pPr>
      <w:r w:rsidRPr="00F226F7">
        <w:rPr>
          <w:rStyle w:val="normaltextrun"/>
          <w:rFonts w:ascii="Franklin Gothic Book" w:hAnsi="Franklin Gothic Book" w:cs="Calibri"/>
          <w:sz w:val="22"/>
          <w:szCs w:val="22"/>
        </w:rPr>
        <w:t xml:space="preserve">Some patients may have MRI-Incompatible implanted devices, allergies to contrast, or suffer from claustrophobia which may impact their ability to have an MRI </w:t>
      </w:r>
      <w:proofErr w:type="gramStart"/>
      <w:r w:rsidRPr="00F226F7">
        <w:rPr>
          <w:rStyle w:val="normaltextrun"/>
          <w:rFonts w:ascii="Franklin Gothic Book" w:hAnsi="Franklin Gothic Book" w:cs="Calibri"/>
          <w:sz w:val="22"/>
          <w:szCs w:val="22"/>
        </w:rPr>
        <w:t>test</w:t>
      </w:r>
      <w:proofErr w:type="gramEnd"/>
      <w:r w:rsidRPr="00F226F7">
        <w:rPr>
          <w:rStyle w:val="eop"/>
          <w:rFonts w:ascii="Franklin Gothic Book" w:hAnsi="Franklin Gothic Book" w:cs="Calibri"/>
          <w:sz w:val="22"/>
          <w:szCs w:val="22"/>
        </w:rPr>
        <w:t> </w:t>
      </w:r>
    </w:p>
    <w:p w14:paraId="4435AC56" w14:textId="77777777" w:rsidR="00F226F7" w:rsidRPr="00F226F7" w:rsidRDefault="00F226F7" w:rsidP="00F226F7">
      <w:pPr>
        <w:pStyle w:val="paragraph"/>
        <w:spacing w:before="240" w:beforeAutospacing="0" w:after="0" w:afterAutospacing="0"/>
        <w:textAlignment w:val="baseline"/>
        <w:rPr>
          <w:rFonts w:ascii="Franklin Gothic Book" w:hAnsi="Franklin Gothic Book" w:cs="Calibri"/>
          <w:sz w:val="22"/>
          <w:szCs w:val="22"/>
        </w:rPr>
      </w:pPr>
      <w:r w:rsidRPr="00F226F7">
        <w:rPr>
          <w:rStyle w:val="normaltextrun"/>
          <w:rFonts w:ascii="Franklin Gothic Book" w:hAnsi="Franklin Gothic Book" w:cs="Calibri"/>
          <w:b/>
          <w:bCs/>
          <w:sz w:val="22"/>
          <w:szCs w:val="22"/>
        </w:rPr>
        <w:t>Other feedback </w:t>
      </w:r>
      <w:r w:rsidRPr="00F226F7">
        <w:rPr>
          <w:rStyle w:val="eop"/>
          <w:rFonts w:ascii="Franklin Gothic Book" w:hAnsi="Franklin Gothic Book" w:cs="Calibri"/>
          <w:sz w:val="22"/>
          <w:szCs w:val="22"/>
        </w:rPr>
        <w:t> </w:t>
      </w:r>
    </w:p>
    <w:p w14:paraId="5A2147C4" w14:textId="77777777" w:rsidR="00F226F7" w:rsidRPr="00F226F7" w:rsidRDefault="00F226F7" w:rsidP="00F226F7">
      <w:pPr>
        <w:pStyle w:val="paragraph"/>
        <w:spacing w:before="0" w:beforeAutospacing="0" w:after="0" w:afterAutospacing="0"/>
        <w:textAlignment w:val="baseline"/>
        <w:rPr>
          <w:rFonts w:ascii="Franklin Gothic Book" w:hAnsi="Franklin Gothic Book" w:cs="Calibri"/>
          <w:sz w:val="22"/>
          <w:szCs w:val="22"/>
        </w:rPr>
      </w:pPr>
      <w:r w:rsidRPr="00F226F7">
        <w:rPr>
          <w:rStyle w:val="normaltextrun"/>
          <w:rFonts w:ascii="Franklin Gothic Book" w:hAnsi="Franklin Gothic Book" w:cs="Calibri"/>
          <w:sz w:val="22"/>
          <w:szCs w:val="22"/>
        </w:rPr>
        <w:t>Cardiac MRI was described as ‘the gold standard’ for the diagnosis of myocarditis by multiple respondents. </w:t>
      </w:r>
      <w:r w:rsidRPr="00F226F7">
        <w:rPr>
          <w:rStyle w:val="eop"/>
          <w:rFonts w:ascii="Franklin Gothic Book" w:hAnsi="Franklin Gothic Book" w:cs="Calibri"/>
          <w:sz w:val="22"/>
          <w:szCs w:val="22"/>
        </w:rPr>
        <w:t> </w:t>
      </w:r>
    </w:p>
    <w:p w14:paraId="49CB12F4" w14:textId="0DD8A27B" w:rsidR="00F226F7" w:rsidRPr="00F226F7" w:rsidRDefault="00F226F7" w:rsidP="00F226F7">
      <w:pPr>
        <w:pStyle w:val="paragraph"/>
        <w:spacing w:before="240" w:beforeAutospacing="0" w:after="0" w:afterAutospacing="0"/>
        <w:textAlignment w:val="baseline"/>
        <w:rPr>
          <w:rFonts w:ascii="Franklin Gothic Book" w:hAnsi="Franklin Gothic Book" w:cs="Calibri"/>
          <w:sz w:val="22"/>
          <w:szCs w:val="22"/>
        </w:rPr>
      </w:pPr>
      <w:r w:rsidRPr="00F226F7">
        <w:rPr>
          <w:rStyle w:val="normaltextrun"/>
          <w:rFonts w:ascii="Franklin Gothic Book" w:hAnsi="Franklin Gothic Book" w:cs="Calibri"/>
          <w:sz w:val="22"/>
          <w:szCs w:val="22"/>
        </w:rPr>
        <w:t>The proposed service descriptor does not include the urgent requirement for patients referred by medical oncologists regarding immunotherapy induced myocarditis and that the true cost of the proposed service is closer to $900-$1000</w:t>
      </w:r>
      <w:r w:rsidR="00FF431E">
        <w:rPr>
          <w:rStyle w:val="eop"/>
          <w:rFonts w:ascii="Franklin Gothic Book" w:hAnsi="Franklin Gothic Book" w:cs="Calibri"/>
          <w:sz w:val="22"/>
          <w:szCs w:val="22"/>
        </w:rPr>
        <w:t>.</w:t>
      </w:r>
    </w:p>
    <w:p w14:paraId="0EA2F1EF" w14:textId="77777777" w:rsidR="00F226F7" w:rsidRPr="00F226F7" w:rsidRDefault="00F226F7" w:rsidP="00F226F7">
      <w:pPr>
        <w:pStyle w:val="paragraph"/>
        <w:spacing w:before="240" w:beforeAutospacing="0" w:after="0" w:afterAutospacing="0"/>
        <w:textAlignment w:val="baseline"/>
        <w:rPr>
          <w:rFonts w:ascii="Franklin Gothic Book" w:hAnsi="Franklin Gothic Book" w:cs="Calibri"/>
          <w:sz w:val="22"/>
          <w:szCs w:val="22"/>
        </w:rPr>
      </w:pPr>
      <w:r w:rsidRPr="00F226F7">
        <w:rPr>
          <w:rStyle w:val="normaltextrun"/>
          <w:rFonts w:ascii="Franklin Gothic Book" w:hAnsi="Franklin Gothic Book" w:cs="Calibri"/>
          <w:sz w:val="22"/>
          <w:szCs w:val="22"/>
        </w:rPr>
        <w:lastRenderedPageBreak/>
        <w:t>There was concern that the provider requirement for recognition by the Conjoint Committee in Cardiac MRI (CCCMRI), as proposed in the application will severely limit patient access and result in a serious underutilisation of the item. </w:t>
      </w:r>
      <w:r w:rsidRPr="00F226F7">
        <w:rPr>
          <w:rStyle w:val="eop"/>
          <w:rFonts w:ascii="Franklin Gothic Book" w:hAnsi="Franklin Gothic Book" w:cs="Calibri"/>
          <w:sz w:val="22"/>
          <w:szCs w:val="22"/>
        </w:rPr>
        <w:t> </w:t>
      </w:r>
    </w:p>
    <w:p w14:paraId="1C2828C1" w14:textId="77777777" w:rsidR="00F226F7" w:rsidRPr="00F226F7" w:rsidRDefault="00F226F7" w:rsidP="00F226F7">
      <w:pPr>
        <w:pStyle w:val="paragraph"/>
        <w:spacing w:before="240" w:beforeAutospacing="0" w:after="0" w:afterAutospacing="0"/>
        <w:textAlignment w:val="baseline"/>
        <w:rPr>
          <w:rFonts w:ascii="Franklin Gothic Book" w:hAnsi="Franklin Gothic Book" w:cs="Calibri"/>
          <w:sz w:val="22"/>
          <w:szCs w:val="22"/>
        </w:rPr>
      </w:pPr>
      <w:r w:rsidRPr="00F226F7">
        <w:rPr>
          <w:rStyle w:val="normaltextrun"/>
          <w:rFonts w:ascii="Franklin Gothic Book" w:hAnsi="Franklin Gothic Book" w:cs="Calibri"/>
          <w:sz w:val="22"/>
          <w:szCs w:val="22"/>
        </w:rPr>
        <w:t>Targeted consultation feedback was received from SCMR who raised the following key points:</w:t>
      </w:r>
      <w:r w:rsidRPr="00F226F7">
        <w:rPr>
          <w:rStyle w:val="eop"/>
          <w:rFonts w:ascii="Franklin Gothic Book" w:hAnsi="Franklin Gothic Book" w:cs="Calibri"/>
          <w:sz w:val="22"/>
          <w:szCs w:val="22"/>
        </w:rPr>
        <w:t> </w:t>
      </w:r>
    </w:p>
    <w:p w14:paraId="4BB0402A" w14:textId="77777777" w:rsidR="00F226F7" w:rsidRPr="00F226F7" w:rsidRDefault="00F226F7" w:rsidP="00F226F7">
      <w:pPr>
        <w:pStyle w:val="paragraph"/>
        <w:numPr>
          <w:ilvl w:val="0"/>
          <w:numId w:val="28"/>
        </w:numPr>
        <w:spacing w:before="0" w:beforeAutospacing="0" w:after="0" w:afterAutospacing="0"/>
        <w:ind w:left="426" w:firstLine="0"/>
        <w:textAlignment w:val="baseline"/>
        <w:rPr>
          <w:rFonts w:ascii="Franklin Gothic Book" w:hAnsi="Franklin Gothic Book" w:cs="Calibri"/>
          <w:sz w:val="22"/>
          <w:szCs w:val="22"/>
        </w:rPr>
      </w:pPr>
      <w:r w:rsidRPr="00F226F7">
        <w:rPr>
          <w:rStyle w:val="normaltextrun"/>
          <w:rFonts w:ascii="Franklin Gothic Book" w:hAnsi="Franklin Gothic Book" w:cs="Calibri"/>
          <w:sz w:val="22"/>
          <w:szCs w:val="22"/>
        </w:rPr>
        <w:t>Population 2 could be further defined by adequate clinical workup to exclude patients with a moderate-high likelihood of ACS noting that:</w:t>
      </w:r>
      <w:r w:rsidRPr="00F226F7">
        <w:rPr>
          <w:rStyle w:val="eop"/>
          <w:rFonts w:ascii="Franklin Gothic Book" w:hAnsi="Franklin Gothic Book" w:cs="Calibri"/>
          <w:sz w:val="22"/>
          <w:szCs w:val="22"/>
        </w:rPr>
        <w:t> </w:t>
      </w:r>
    </w:p>
    <w:p w14:paraId="439A731C" w14:textId="77777777" w:rsidR="00F226F7" w:rsidRPr="00F226F7" w:rsidRDefault="00F226F7" w:rsidP="00F226F7">
      <w:pPr>
        <w:pStyle w:val="paragraph"/>
        <w:numPr>
          <w:ilvl w:val="0"/>
          <w:numId w:val="29"/>
        </w:numPr>
        <w:spacing w:before="0" w:beforeAutospacing="0" w:after="0" w:afterAutospacing="0"/>
        <w:ind w:left="1134" w:firstLine="0"/>
        <w:textAlignment w:val="baseline"/>
        <w:rPr>
          <w:rFonts w:ascii="Franklin Gothic Book" w:hAnsi="Franklin Gothic Book" w:cs="Calibri"/>
          <w:sz w:val="22"/>
          <w:szCs w:val="22"/>
        </w:rPr>
      </w:pPr>
      <w:r w:rsidRPr="00F226F7">
        <w:rPr>
          <w:rStyle w:val="normaltextrun"/>
          <w:rFonts w:ascii="Franklin Gothic Book" w:hAnsi="Franklin Gothic Book" w:cs="Calibri"/>
          <w:sz w:val="22"/>
          <w:szCs w:val="22"/>
        </w:rPr>
        <w:t xml:space="preserve">Patients with a moderate-high likelihood of ACS should be considered for cardiac MRI if the ischemia work up is negative or </w:t>
      </w:r>
      <w:proofErr w:type="gramStart"/>
      <w:r w:rsidRPr="00F226F7">
        <w:rPr>
          <w:rStyle w:val="normaltextrun"/>
          <w:rFonts w:ascii="Franklin Gothic Book" w:hAnsi="Franklin Gothic Book" w:cs="Calibri"/>
          <w:sz w:val="22"/>
          <w:szCs w:val="22"/>
        </w:rPr>
        <w:t>equivocal</w:t>
      </w:r>
      <w:proofErr w:type="gramEnd"/>
      <w:r w:rsidRPr="00F226F7">
        <w:rPr>
          <w:rStyle w:val="eop"/>
          <w:rFonts w:ascii="Franklin Gothic Book" w:hAnsi="Franklin Gothic Book" w:cs="Calibri"/>
          <w:sz w:val="22"/>
          <w:szCs w:val="22"/>
        </w:rPr>
        <w:t> </w:t>
      </w:r>
    </w:p>
    <w:p w14:paraId="173EC993" w14:textId="77777777" w:rsidR="00F226F7" w:rsidRPr="00F226F7" w:rsidRDefault="00F226F7" w:rsidP="00F226F7">
      <w:pPr>
        <w:pStyle w:val="paragraph"/>
        <w:numPr>
          <w:ilvl w:val="0"/>
          <w:numId w:val="29"/>
        </w:numPr>
        <w:spacing w:before="0" w:beforeAutospacing="0" w:after="0" w:afterAutospacing="0"/>
        <w:ind w:left="1134" w:firstLine="0"/>
        <w:textAlignment w:val="baseline"/>
        <w:rPr>
          <w:rFonts w:ascii="Franklin Gothic Book" w:hAnsi="Franklin Gothic Book" w:cs="Calibri"/>
          <w:sz w:val="22"/>
          <w:szCs w:val="22"/>
        </w:rPr>
      </w:pPr>
      <w:r w:rsidRPr="00F226F7">
        <w:rPr>
          <w:rStyle w:val="normaltextrun"/>
          <w:rFonts w:ascii="Franklin Gothic Book" w:hAnsi="Franklin Gothic Book" w:cs="Calibri"/>
          <w:sz w:val="22"/>
          <w:szCs w:val="22"/>
        </w:rPr>
        <w:t xml:space="preserve">Patients with a similar likelihood of ACS versus myocarditis require clinical judgement and should be considered for cardiac MRI prior to ischemia work up if stable without ongoing chest pain – noting this may obviate the need for invasive </w:t>
      </w:r>
      <w:proofErr w:type="gramStart"/>
      <w:r w:rsidRPr="00F226F7">
        <w:rPr>
          <w:rStyle w:val="normaltextrun"/>
          <w:rFonts w:ascii="Franklin Gothic Book" w:hAnsi="Franklin Gothic Book" w:cs="Calibri"/>
          <w:sz w:val="22"/>
          <w:szCs w:val="22"/>
        </w:rPr>
        <w:t>testing</w:t>
      </w:r>
      <w:proofErr w:type="gramEnd"/>
      <w:r w:rsidRPr="00F226F7">
        <w:rPr>
          <w:rStyle w:val="eop"/>
          <w:rFonts w:ascii="Franklin Gothic Book" w:hAnsi="Franklin Gothic Book" w:cs="Calibri"/>
          <w:sz w:val="22"/>
          <w:szCs w:val="22"/>
        </w:rPr>
        <w:t> </w:t>
      </w:r>
    </w:p>
    <w:p w14:paraId="5EC7BC0E" w14:textId="77777777" w:rsidR="00F226F7" w:rsidRDefault="00F226F7" w:rsidP="00F226F7">
      <w:pPr>
        <w:pStyle w:val="paragraph"/>
        <w:numPr>
          <w:ilvl w:val="0"/>
          <w:numId w:val="30"/>
        </w:numPr>
        <w:spacing w:before="0" w:beforeAutospacing="0" w:after="0" w:afterAutospacing="0"/>
        <w:ind w:left="426" w:firstLine="0"/>
        <w:textAlignment w:val="baseline"/>
        <w:rPr>
          <w:rFonts w:ascii="Calibri" w:hAnsi="Calibri" w:cs="Calibri"/>
          <w:sz w:val="22"/>
          <w:szCs w:val="22"/>
        </w:rPr>
      </w:pPr>
      <w:r w:rsidRPr="00F226F7">
        <w:rPr>
          <w:rStyle w:val="normaltextrun"/>
          <w:rFonts w:ascii="Franklin Gothic Book" w:hAnsi="Franklin Gothic Book" w:cs="Calibri"/>
          <w:sz w:val="22"/>
          <w:szCs w:val="22"/>
        </w:rPr>
        <w:t>Examples of when cardiac MRI is indicated for both population groups could not be refined solely by duration of patient. SCMR referred to the American Heart Association (AHA) 2020 Expert Consensus Document on Management of Acute Myocarditis and Chronic Inflammatory Cardiomyopathy to provide definitions of acute, chronic, and chronic inflammatory cardiomyopathy that includes symptom duration.</w:t>
      </w:r>
      <w:r w:rsidRPr="00F226F7">
        <w:rPr>
          <w:rStyle w:val="eop"/>
          <w:rFonts w:ascii="Franklin Gothic Book" w:hAnsi="Franklin Gothic Book" w:cs="Calibri"/>
          <w:sz w:val="22"/>
          <w:szCs w:val="22"/>
        </w:rPr>
        <w:t> </w:t>
      </w:r>
    </w:p>
    <w:p w14:paraId="7EC2CB71" w14:textId="59C74C9E" w:rsidR="007F45AD" w:rsidRPr="00CE28E3" w:rsidRDefault="00F226F7" w:rsidP="007F45AD">
      <w:pPr>
        <w:pStyle w:val="Heading2"/>
        <w:numPr>
          <w:ilvl w:val="0"/>
          <w:numId w:val="0"/>
        </w:numPr>
      </w:pPr>
      <w:bookmarkStart w:id="14" w:name="_Toc155189736"/>
      <w:r>
        <w:t>10</w:t>
      </w:r>
      <w:r w:rsidR="007F45AD">
        <w:t>.</w:t>
      </w:r>
      <w:r w:rsidR="007F45AD">
        <w:tab/>
      </w:r>
      <w:r w:rsidR="007F45AD" w:rsidRPr="00CE28E3">
        <w:t>Characteristics of the evidence base</w:t>
      </w:r>
      <w:bookmarkEnd w:id="14"/>
    </w:p>
    <w:p w14:paraId="1203B1A1" w14:textId="7C305D17" w:rsidR="007F45AD" w:rsidRDefault="007F45AD" w:rsidP="00867E94">
      <w:r w:rsidRPr="00CA39ED">
        <w:t xml:space="preserve">No direct test to health outcomes evidence was identified for </w:t>
      </w:r>
      <w:r w:rsidR="003009E7">
        <w:t>cardiac MRI</w:t>
      </w:r>
      <w:r>
        <w:t xml:space="preserve"> in </w:t>
      </w:r>
      <w:r w:rsidR="29A13A08">
        <w:t xml:space="preserve">the diagnosis of </w:t>
      </w:r>
      <w:r>
        <w:t>acute myocarditis</w:t>
      </w:r>
      <w:r w:rsidRPr="00CA39ED">
        <w:t xml:space="preserve">. </w:t>
      </w:r>
      <w:r>
        <w:t xml:space="preserve">Therefore, </w:t>
      </w:r>
      <w:r w:rsidR="00EE1508">
        <w:t>a</w:t>
      </w:r>
      <w:r w:rsidR="00EE1508" w:rsidRPr="00CA39ED">
        <w:t xml:space="preserve"> </w:t>
      </w:r>
      <w:r w:rsidRPr="00CA39ED">
        <w:t>linked evidence approach was used</w:t>
      </w:r>
      <w:r>
        <w:t xml:space="preserve"> for undertaking the assessment</w:t>
      </w:r>
      <w:r w:rsidRPr="00CA39ED">
        <w:t>.</w:t>
      </w:r>
    </w:p>
    <w:p w14:paraId="32C21F77" w14:textId="28CBF577" w:rsidR="007F45AD" w:rsidRDefault="007F45AD" w:rsidP="00DE0CD5">
      <w:pPr>
        <w:pStyle w:val="ListParagraph"/>
        <w:numPr>
          <w:ilvl w:val="0"/>
          <w:numId w:val="13"/>
        </w:numPr>
        <w:jc w:val="both"/>
      </w:pPr>
      <w:r>
        <w:t xml:space="preserve">consideration of the diagnostic accuracy of </w:t>
      </w:r>
      <w:r w:rsidR="003009E7">
        <w:t>cardiac MRI</w:t>
      </w:r>
      <w:r>
        <w:t xml:space="preserve"> compared with EMB/clinical </w:t>
      </w:r>
      <w:proofErr w:type="gramStart"/>
      <w:r w:rsidR="0024323C">
        <w:t>criteria;</w:t>
      </w:r>
      <w:proofErr w:type="gramEnd"/>
      <w:r>
        <w:t xml:space="preserve"> </w:t>
      </w:r>
    </w:p>
    <w:p w14:paraId="5C3DF7FD" w14:textId="29E04D9D" w:rsidR="007F45AD" w:rsidRDefault="007F45AD" w:rsidP="00DE0CD5">
      <w:pPr>
        <w:pStyle w:val="ListParagraph"/>
        <w:numPr>
          <w:ilvl w:val="0"/>
          <w:numId w:val="13"/>
        </w:numPr>
        <w:jc w:val="both"/>
      </w:pPr>
      <w:bookmarkStart w:id="15" w:name="_Hlk149904358"/>
      <w:r>
        <w:t>consideration of the</w:t>
      </w:r>
      <w:r w:rsidRPr="00C95F14">
        <w:t xml:space="preserve"> </w:t>
      </w:r>
      <w:bookmarkStart w:id="16" w:name="_Hlk149903833"/>
      <w:bookmarkStart w:id="17" w:name="_Hlk149916587"/>
      <w:r>
        <w:t>prognostic value (longitudinal accuracy)</w:t>
      </w:r>
      <w:bookmarkEnd w:id="16"/>
      <w:r>
        <w:t xml:space="preserve"> of </w:t>
      </w:r>
      <w:r w:rsidR="003009E7">
        <w:t>cardiac MRI</w:t>
      </w:r>
      <w:r>
        <w:t xml:space="preserve"> </w:t>
      </w:r>
      <w:bookmarkEnd w:id="17"/>
      <w:r>
        <w:t>in patients with suspected or acute myocarditis, clinical utility of the investigative medical service in terms of impact on patient management, and the impact on health outcomes; and</w:t>
      </w:r>
    </w:p>
    <w:bookmarkEnd w:id="15"/>
    <w:p w14:paraId="50D4E015" w14:textId="77777777" w:rsidR="006B5E88" w:rsidRDefault="007F45AD" w:rsidP="00DE0CD5">
      <w:pPr>
        <w:pStyle w:val="ListParagraph"/>
        <w:numPr>
          <w:ilvl w:val="0"/>
          <w:numId w:val="13"/>
        </w:numPr>
        <w:jc w:val="both"/>
      </w:pPr>
      <w:r>
        <w:t xml:space="preserve">consideration of the relative safety of performing the </w:t>
      </w:r>
      <w:r w:rsidR="003009E7">
        <w:t>cardiac MRI</w:t>
      </w:r>
      <w:r>
        <w:t xml:space="preserve"> compared with reference standard EMB</w:t>
      </w:r>
      <w:r w:rsidR="0024323C">
        <w:t>/clinical criteria</w:t>
      </w:r>
      <w:r>
        <w:t xml:space="preserve">, both the immediate safety issues of directly performing the test and ‘flow on’ safety issues that arise </w:t>
      </w:r>
      <w:proofErr w:type="gramStart"/>
      <w:r>
        <w:t>as a result of</w:t>
      </w:r>
      <w:proofErr w:type="gramEnd"/>
      <w:r>
        <w:t xml:space="preserve"> conducting </w:t>
      </w:r>
      <w:r w:rsidR="003009E7">
        <w:t>cardiac MRI</w:t>
      </w:r>
      <w:r w:rsidR="006B5E88">
        <w:t>.</w:t>
      </w:r>
    </w:p>
    <w:p w14:paraId="41B8CB19" w14:textId="77777777" w:rsidR="008B0AD6" w:rsidRPr="00340E1C" w:rsidRDefault="008B0AD6" w:rsidP="008B0AD6">
      <w:pPr>
        <w:pStyle w:val="Heading3"/>
      </w:pPr>
      <w:bookmarkStart w:id="18" w:name="_Toc155189737"/>
      <w:r w:rsidRPr="00340E1C">
        <w:t>Key features of the included evidence</w:t>
      </w:r>
      <w:bookmarkEnd w:id="18"/>
    </w:p>
    <w:p w14:paraId="69545153" w14:textId="402E0D6E" w:rsidR="008B0AD6" w:rsidRDefault="008B0AD6" w:rsidP="008B0AD6">
      <w:r>
        <w:fldChar w:fldCharType="begin"/>
      </w:r>
      <w:r>
        <w:instrText xml:space="preserve"> REF _Ref69725659 \h  \* MERGEFORMAT </w:instrText>
      </w:r>
      <w:r>
        <w:fldChar w:fldCharType="separate"/>
      </w:r>
      <w:r w:rsidR="00670648" w:rsidRPr="00CE28E3">
        <w:t>Table</w:t>
      </w:r>
      <w:r w:rsidR="00670648">
        <w:t> 3</w:t>
      </w:r>
      <w:r>
        <w:fldChar w:fldCharType="end"/>
      </w:r>
      <w:r>
        <w:t xml:space="preserve"> summarises the key features of the included evidence. </w:t>
      </w:r>
    </w:p>
    <w:p w14:paraId="62C0D5C9" w14:textId="41C60F40" w:rsidR="008B0AD6" w:rsidRDefault="008B0AD6" w:rsidP="00266B3B">
      <w:pPr>
        <w:pStyle w:val="Caption"/>
        <w:keepLines/>
      </w:pPr>
      <w:bookmarkStart w:id="19" w:name="_Ref69725659"/>
      <w:bookmarkStart w:id="20" w:name="_Toc155173763"/>
      <w:r w:rsidRPr="00CE28E3">
        <w:lastRenderedPageBreak/>
        <w:t>Table</w:t>
      </w:r>
      <w:r>
        <w:t> </w:t>
      </w:r>
      <w:r>
        <w:fldChar w:fldCharType="begin"/>
      </w:r>
      <w:r>
        <w:instrText>SEQ Table \* ARABIC</w:instrText>
      </w:r>
      <w:r>
        <w:fldChar w:fldCharType="separate"/>
      </w:r>
      <w:r w:rsidR="00EE5F4F">
        <w:rPr>
          <w:noProof/>
        </w:rPr>
        <w:t>3</w:t>
      </w:r>
      <w:r>
        <w:fldChar w:fldCharType="end"/>
      </w:r>
      <w:bookmarkEnd w:id="19"/>
      <w:r w:rsidRPr="00CE28E3">
        <w:tab/>
        <w:t>Key features of the included evidence</w:t>
      </w:r>
      <w:bookmarkEnd w:id="20"/>
      <w:r w:rsidRPr="00CE28E3">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403"/>
        <w:gridCol w:w="1700"/>
        <w:gridCol w:w="2642"/>
      </w:tblGrid>
      <w:tr w:rsidR="008B0AD6" w:rsidRPr="00CE28E3" w14:paraId="6AF950B3" w14:textId="77777777">
        <w:trPr>
          <w:tblHeader/>
        </w:trPr>
        <w:tc>
          <w:tcPr>
            <w:tcW w:w="705" w:type="pct"/>
            <w:tcBorders>
              <w:top w:val="single" w:sz="4" w:space="0" w:color="auto"/>
              <w:left w:val="single" w:sz="4" w:space="0" w:color="auto"/>
              <w:bottom w:val="single" w:sz="4" w:space="0" w:color="auto"/>
              <w:right w:val="single" w:sz="4" w:space="0" w:color="auto"/>
            </w:tcBorders>
          </w:tcPr>
          <w:p w14:paraId="1AD66ACC" w14:textId="77777777" w:rsidR="008B0AD6" w:rsidRPr="00CE28E3" w:rsidRDefault="008B0AD6" w:rsidP="00266B3B">
            <w:pPr>
              <w:pStyle w:val="TableText"/>
              <w:keepNext/>
              <w:keepLines/>
              <w:jc w:val="center"/>
              <w:rPr>
                <w:b/>
              </w:rPr>
            </w:pPr>
            <w:r>
              <w:rPr>
                <w:b/>
              </w:rPr>
              <w:t>Criterion</w:t>
            </w:r>
          </w:p>
        </w:tc>
        <w:tc>
          <w:tcPr>
            <w:tcW w:w="1887" w:type="pct"/>
            <w:tcBorders>
              <w:top w:val="single" w:sz="4" w:space="0" w:color="auto"/>
              <w:left w:val="single" w:sz="4" w:space="0" w:color="auto"/>
              <w:bottom w:val="single" w:sz="4" w:space="0" w:color="auto"/>
              <w:right w:val="single" w:sz="4" w:space="0" w:color="auto"/>
            </w:tcBorders>
            <w:hideMark/>
          </w:tcPr>
          <w:p w14:paraId="2ECBC15E" w14:textId="77777777" w:rsidR="008B0AD6" w:rsidRPr="00CE28E3" w:rsidRDefault="008B0AD6" w:rsidP="00266B3B">
            <w:pPr>
              <w:pStyle w:val="TableText"/>
              <w:keepNext/>
              <w:keepLines/>
              <w:jc w:val="center"/>
              <w:rPr>
                <w:b/>
              </w:rPr>
            </w:pPr>
            <w:r w:rsidRPr="00CE28E3">
              <w:rPr>
                <w:b/>
              </w:rPr>
              <w:t>Type of evidence supplied</w:t>
            </w:r>
          </w:p>
        </w:tc>
        <w:tc>
          <w:tcPr>
            <w:tcW w:w="943" w:type="pct"/>
            <w:tcBorders>
              <w:top w:val="single" w:sz="4" w:space="0" w:color="auto"/>
              <w:left w:val="single" w:sz="4" w:space="0" w:color="auto"/>
              <w:bottom w:val="single" w:sz="4" w:space="0" w:color="auto"/>
              <w:right w:val="single" w:sz="4" w:space="0" w:color="auto"/>
            </w:tcBorders>
            <w:hideMark/>
          </w:tcPr>
          <w:p w14:paraId="59C601E6" w14:textId="77777777" w:rsidR="008B0AD6" w:rsidRPr="00CE28E3" w:rsidRDefault="008B0AD6" w:rsidP="00266B3B">
            <w:pPr>
              <w:pStyle w:val="TableText"/>
              <w:keepNext/>
              <w:keepLines/>
              <w:jc w:val="center"/>
              <w:rPr>
                <w:b/>
              </w:rPr>
            </w:pPr>
            <w:r w:rsidRPr="00CE28E3">
              <w:rPr>
                <w:b/>
              </w:rPr>
              <w:t>Extent of evidence supplied</w:t>
            </w:r>
          </w:p>
        </w:tc>
        <w:tc>
          <w:tcPr>
            <w:tcW w:w="1465" w:type="pct"/>
            <w:tcBorders>
              <w:top w:val="single" w:sz="4" w:space="0" w:color="auto"/>
              <w:left w:val="single" w:sz="4" w:space="0" w:color="auto"/>
              <w:bottom w:val="single" w:sz="4" w:space="0" w:color="auto"/>
              <w:right w:val="single" w:sz="4" w:space="0" w:color="auto"/>
            </w:tcBorders>
            <w:hideMark/>
          </w:tcPr>
          <w:p w14:paraId="1C43AABA" w14:textId="77777777" w:rsidR="008B0AD6" w:rsidRPr="00CE28E3" w:rsidRDefault="008B0AD6" w:rsidP="00266B3B">
            <w:pPr>
              <w:pStyle w:val="TableText"/>
              <w:keepNext/>
              <w:keepLines/>
              <w:jc w:val="center"/>
              <w:rPr>
                <w:b/>
              </w:rPr>
            </w:pPr>
            <w:r w:rsidRPr="00CE28E3">
              <w:rPr>
                <w:b/>
              </w:rPr>
              <w:t>Overall risk of bias in evidence base</w:t>
            </w:r>
          </w:p>
        </w:tc>
      </w:tr>
      <w:tr w:rsidR="008B0AD6" w:rsidRPr="00CE28E3" w14:paraId="61E7C26E" w14:textId="77777777">
        <w:tc>
          <w:tcPr>
            <w:tcW w:w="705" w:type="pct"/>
            <w:vMerge w:val="restart"/>
            <w:tcBorders>
              <w:top w:val="single" w:sz="4" w:space="0" w:color="auto"/>
              <w:left w:val="single" w:sz="4" w:space="0" w:color="auto"/>
              <w:right w:val="single" w:sz="4" w:space="0" w:color="auto"/>
            </w:tcBorders>
            <w:hideMark/>
          </w:tcPr>
          <w:p w14:paraId="7999C687" w14:textId="77777777" w:rsidR="008B0AD6" w:rsidRPr="00CE28E3" w:rsidRDefault="008B0AD6" w:rsidP="00266B3B">
            <w:pPr>
              <w:pStyle w:val="TableText"/>
              <w:keepNext/>
              <w:keepLines/>
            </w:pPr>
            <w:r w:rsidRPr="00CE28E3">
              <w:t>Accuracy and performance of the test (cross-sectional accuracy)</w:t>
            </w:r>
          </w:p>
        </w:tc>
        <w:tc>
          <w:tcPr>
            <w:tcW w:w="1887" w:type="pct"/>
            <w:tcBorders>
              <w:top w:val="single" w:sz="4" w:space="0" w:color="auto"/>
              <w:left w:val="single" w:sz="4" w:space="0" w:color="auto"/>
              <w:bottom w:val="single" w:sz="4" w:space="0" w:color="auto"/>
              <w:right w:val="single" w:sz="4" w:space="0" w:color="auto"/>
            </w:tcBorders>
            <w:hideMark/>
          </w:tcPr>
          <w:p w14:paraId="1B6231A4" w14:textId="77777777" w:rsidR="008B0AD6" w:rsidRPr="00C301B2" w:rsidRDefault="008B0AD6" w:rsidP="00266B3B">
            <w:pPr>
              <w:pStyle w:val="TableText"/>
              <w:keepNext/>
              <w:keepLines/>
            </w:pPr>
            <w:r w:rsidRPr="00C301B2">
              <w:t xml:space="preserve">Systematic reviews and </w:t>
            </w:r>
            <w:r>
              <w:t xml:space="preserve">meta-analyses </w:t>
            </w:r>
          </w:p>
        </w:tc>
        <w:tc>
          <w:tcPr>
            <w:tcW w:w="943" w:type="pct"/>
            <w:tcBorders>
              <w:top w:val="single" w:sz="4" w:space="0" w:color="auto"/>
              <w:left w:val="single" w:sz="4" w:space="0" w:color="auto"/>
              <w:bottom w:val="single" w:sz="4" w:space="0" w:color="auto"/>
              <w:right w:val="single" w:sz="4" w:space="0" w:color="auto"/>
            </w:tcBorders>
            <w:hideMark/>
          </w:tcPr>
          <w:p w14:paraId="21171927" w14:textId="2129BF78" w:rsidR="008B0AD6" w:rsidRPr="00C301B2" w:rsidRDefault="007C4DC1" w:rsidP="00266B3B">
            <w:pPr>
              <w:pStyle w:val="TableText"/>
              <w:keepNext/>
              <w:keepLines/>
            </w:pPr>
            <w:sdt>
              <w:sdtPr>
                <w:id w:val="-1962878357"/>
                <w14:checkbox>
                  <w14:checked w14:val="1"/>
                  <w14:checkedState w14:val="2612" w14:font="MS Gothic"/>
                  <w14:uncheckedState w14:val="2610" w14:font="MS Gothic"/>
                </w14:checkbox>
              </w:sdtPr>
              <w:sdtEndPr/>
              <w:sdtContent>
                <w:r w:rsidR="00895144">
                  <w:rPr>
                    <w:rFonts w:ascii="MS Gothic" w:eastAsia="MS Gothic" w:hAnsi="MS Gothic" w:hint="eastAsia"/>
                  </w:rPr>
                  <w:t>☒</w:t>
                </w:r>
              </w:sdtContent>
            </w:sdt>
            <w:r w:rsidR="008B0AD6">
              <w:t xml:space="preserve"> </w:t>
            </w:r>
            <w:r w:rsidR="008B0AD6" w:rsidRPr="00C301B2">
              <w:t xml:space="preserve">k=5 </w:t>
            </w:r>
            <w:r w:rsidR="008B0AD6">
              <w:t xml:space="preserve"> </w:t>
            </w:r>
            <w:r w:rsidR="008B0AD6" w:rsidRPr="00C301B2">
              <w:t xml:space="preserve"> n=7522</w:t>
            </w:r>
          </w:p>
        </w:tc>
        <w:tc>
          <w:tcPr>
            <w:tcW w:w="1465" w:type="pct"/>
            <w:tcBorders>
              <w:top w:val="single" w:sz="4" w:space="0" w:color="auto"/>
              <w:left w:val="single" w:sz="4" w:space="0" w:color="auto"/>
              <w:bottom w:val="single" w:sz="4" w:space="0" w:color="auto"/>
              <w:right w:val="single" w:sz="4" w:space="0" w:color="auto"/>
            </w:tcBorders>
            <w:hideMark/>
          </w:tcPr>
          <w:p w14:paraId="0E2CA5F8" w14:textId="77777777" w:rsidR="008B0AD6" w:rsidRPr="00C301B2" w:rsidRDefault="008B0AD6" w:rsidP="00266B3B">
            <w:pPr>
              <w:pStyle w:val="TableText"/>
              <w:keepNext/>
              <w:keepLines/>
            </w:pPr>
            <w:r>
              <w:t>A</w:t>
            </w:r>
            <w:r w:rsidRPr="00C301B2">
              <w:t>ll five systematic reviews with high risk of bias</w:t>
            </w:r>
          </w:p>
        </w:tc>
      </w:tr>
      <w:tr w:rsidR="008B0AD6" w:rsidRPr="00CE28E3" w14:paraId="652F1353" w14:textId="77777777">
        <w:tc>
          <w:tcPr>
            <w:tcW w:w="705" w:type="pct"/>
            <w:vMerge/>
            <w:tcBorders>
              <w:left w:val="single" w:sz="4" w:space="0" w:color="auto"/>
              <w:bottom w:val="single" w:sz="4" w:space="0" w:color="auto"/>
              <w:right w:val="single" w:sz="4" w:space="0" w:color="auto"/>
            </w:tcBorders>
          </w:tcPr>
          <w:p w14:paraId="131ADDAA" w14:textId="77777777" w:rsidR="008B0AD6" w:rsidRPr="00CE28E3" w:rsidRDefault="008B0AD6" w:rsidP="00266B3B">
            <w:pPr>
              <w:pStyle w:val="TableText"/>
              <w:keepNext/>
              <w:keepLines/>
            </w:pPr>
          </w:p>
        </w:tc>
        <w:tc>
          <w:tcPr>
            <w:tcW w:w="1887" w:type="pct"/>
            <w:tcBorders>
              <w:top w:val="single" w:sz="4" w:space="0" w:color="auto"/>
              <w:left w:val="single" w:sz="4" w:space="0" w:color="auto"/>
              <w:bottom w:val="single" w:sz="4" w:space="0" w:color="auto"/>
              <w:right w:val="single" w:sz="4" w:space="0" w:color="auto"/>
            </w:tcBorders>
          </w:tcPr>
          <w:p w14:paraId="08B68539" w14:textId="77777777" w:rsidR="008B0AD6" w:rsidRPr="00C301B2" w:rsidRDefault="008B0AD6" w:rsidP="00266B3B">
            <w:pPr>
              <w:pStyle w:val="TableText"/>
              <w:keepNext/>
              <w:keepLines/>
            </w:pPr>
            <w:r w:rsidRPr="00C301B2">
              <w:t>16 individual studies</w:t>
            </w:r>
          </w:p>
        </w:tc>
        <w:tc>
          <w:tcPr>
            <w:tcW w:w="943" w:type="pct"/>
            <w:tcBorders>
              <w:top w:val="single" w:sz="4" w:space="0" w:color="auto"/>
              <w:left w:val="single" w:sz="4" w:space="0" w:color="auto"/>
              <w:bottom w:val="single" w:sz="4" w:space="0" w:color="auto"/>
              <w:right w:val="single" w:sz="4" w:space="0" w:color="auto"/>
            </w:tcBorders>
          </w:tcPr>
          <w:p w14:paraId="5D21939A" w14:textId="16772A66" w:rsidR="008B0AD6" w:rsidRPr="00C301B2" w:rsidRDefault="007C4DC1" w:rsidP="00266B3B">
            <w:pPr>
              <w:pStyle w:val="TableText"/>
              <w:keepNext/>
              <w:keepLines/>
            </w:pPr>
            <w:sdt>
              <w:sdtPr>
                <w:id w:val="-1550374066"/>
                <w14:checkbox>
                  <w14:checked w14:val="1"/>
                  <w14:checkedState w14:val="2612" w14:font="MS Gothic"/>
                  <w14:uncheckedState w14:val="2610" w14:font="MS Gothic"/>
                </w14:checkbox>
              </w:sdtPr>
              <w:sdtEndPr/>
              <w:sdtContent>
                <w:r w:rsidR="00895144">
                  <w:rPr>
                    <w:rFonts w:ascii="MS Gothic" w:eastAsia="MS Gothic" w:hAnsi="MS Gothic" w:hint="eastAsia"/>
                  </w:rPr>
                  <w:t>☒</w:t>
                </w:r>
              </w:sdtContent>
            </w:sdt>
            <w:r w:rsidR="008B0AD6" w:rsidRPr="00C301B2">
              <w:t xml:space="preserve"> k=16 n=</w:t>
            </w:r>
            <w:r w:rsidR="008B0AD6">
              <w:t>1246</w:t>
            </w:r>
          </w:p>
        </w:tc>
        <w:tc>
          <w:tcPr>
            <w:tcW w:w="1465" w:type="pct"/>
            <w:tcBorders>
              <w:top w:val="single" w:sz="4" w:space="0" w:color="auto"/>
              <w:left w:val="single" w:sz="4" w:space="0" w:color="auto"/>
              <w:bottom w:val="single" w:sz="4" w:space="0" w:color="auto"/>
              <w:right w:val="single" w:sz="4" w:space="0" w:color="auto"/>
            </w:tcBorders>
          </w:tcPr>
          <w:p w14:paraId="6C28681D" w14:textId="77777777" w:rsidR="008B0AD6" w:rsidRPr="00C301B2" w:rsidRDefault="008B0AD6" w:rsidP="00266B3B">
            <w:pPr>
              <w:pStyle w:val="TableText"/>
              <w:keepNext/>
              <w:keepLines/>
            </w:pPr>
            <w:r>
              <w:t>N</w:t>
            </w:r>
            <w:r w:rsidRPr="008E71CB">
              <w:t>ine studies were considered low risk of bias. The other seven studies included only one domain with high risk of bias and the remaining three domains are low risk or unclear risk of bias.</w:t>
            </w:r>
          </w:p>
        </w:tc>
      </w:tr>
      <w:tr w:rsidR="008B0AD6" w:rsidRPr="00CE28E3" w14:paraId="43FD47B9" w14:textId="77777777">
        <w:tc>
          <w:tcPr>
            <w:tcW w:w="705" w:type="pct"/>
            <w:vMerge w:val="restart"/>
            <w:tcBorders>
              <w:top w:val="single" w:sz="4" w:space="0" w:color="auto"/>
              <w:left w:val="single" w:sz="4" w:space="0" w:color="auto"/>
              <w:right w:val="single" w:sz="4" w:space="0" w:color="auto"/>
            </w:tcBorders>
            <w:hideMark/>
          </w:tcPr>
          <w:p w14:paraId="5A053B7B" w14:textId="77777777" w:rsidR="008B0AD6" w:rsidRPr="00CE28E3" w:rsidRDefault="008B0AD6" w:rsidP="00266B3B">
            <w:pPr>
              <w:pStyle w:val="TableText"/>
              <w:keepNext/>
              <w:keepLines/>
            </w:pPr>
            <w:r w:rsidRPr="00CE28E3">
              <w:t>Prognostic evidence (longitudinal accuracy)</w:t>
            </w:r>
          </w:p>
        </w:tc>
        <w:tc>
          <w:tcPr>
            <w:tcW w:w="1887" w:type="pct"/>
            <w:tcBorders>
              <w:top w:val="single" w:sz="4" w:space="0" w:color="auto"/>
              <w:left w:val="single" w:sz="4" w:space="0" w:color="auto"/>
              <w:bottom w:val="single" w:sz="4" w:space="0" w:color="auto"/>
              <w:right w:val="single" w:sz="4" w:space="0" w:color="auto"/>
            </w:tcBorders>
            <w:hideMark/>
          </w:tcPr>
          <w:p w14:paraId="15C7BFD8" w14:textId="77777777" w:rsidR="008B0AD6" w:rsidRPr="00C301B2" w:rsidRDefault="008B0AD6" w:rsidP="00266B3B">
            <w:pPr>
              <w:pStyle w:val="TableText"/>
              <w:keepNext/>
              <w:keepLines/>
            </w:pPr>
            <w:r w:rsidRPr="00C301B2">
              <w:t xml:space="preserve">Systematic reviews and </w:t>
            </w:r>
            <w:r>
              <w:t xml:space="preserve">meta-analyses </w:t>
            </w:r>
          </w:p>
        </w:tc>
        <w:tc>
          <w:tcPr>
            <w:tcW w:w="943" w:type="pct"/>
            <w:tcBorders>
              <w:top w:val="single" w:sz="4" w:space="0" w:color="auto"/>
              <w:left w:val="single" w:sz="4" w:space="0" w:color="auto"/>
              <w:bottom w:val="single" w:sz="4" w:space="0" w:color="auto"/>
              <w:right w:val="single" w:sz="4" w:space="0" w:color="auto"/>
            </w:tcBorders>
            <w:hideMark/>
          </w:tcPr>
          <w:p w14:paraId="2B1772FF" w14:textId="1AE1FD94" w:rsidR="008B0AD6" w:rsidRPr="00CE28E3" w:rsidRDefault="007C4DC1" w:rsidP="00266B3B">
            <w:pPr>
              <w:pStyle w:val="TableText"/>
              <w:keepNext/>
              <w:keepLines/>
            </w:pPr>
            <w:sdt>
              <w:sdtPr>
                <w:rPr>
                  <w:lang w:val="en-US"/>
                </w:rPr>
                <w:id w:val="-1439366399"/>
                <w14:checkbox>
                  <w14:checked w14:val="1"/>
                  <w14:checkedState w14:val="2612" w14:font="MS Gothic"/>
                  <w14:uncheckedState w14:val="2610" w14:font="MS Gothic"/>
                </w14:checkbox>
              </w:sdtPr>
              <w:sdtEndPr/>
              <w:sdtContent>
                <w:r w:rsidR="00895144">
                  <w:rPr>
                    <w:rFonts w:ascii="MS Gothic" w:eastAsia="MS Gothic" w:hAnsi="MS Gothic" w:hint="eastAsia"/>
                    <w:lang w:val="en-US"/>
                  </w:rPr>
                  <w:t>☒</w:t>
                </w:r>
              </w:sdtContent>
            </w:sdt>
            <w:r w:rsidR="008B0AD6">
              <w:rPr>
                <w:lang w:val="en-US"/>
              </w:rPr>
              <w:t xml:space="preserve"> </w:t>
            </w:r>
            <w:r w:rsidR="008B0AD6" w:rsidRPr="00CE28E3">
              <w:t>k=</w:t>
            </w:r>
            <w:r w:rsidR="008B0AD6">
              <w:t xml:space="preserve">2   </w:t>
            </w:r>
            <w:r w:rsidR="008B0AD6" w:rsidRPr="00CE28E3">
              <w:t>n=</w:t>
            </w:r>
            <w:r w:rsidR="008B0AD6">
              <w:t>3647</w:t>
            </w:r>
          </w:p>
        </w:tc>
        <w:tc>
          <w:tcPr>
            <w:tcW w:w="1465" w:type="pct"/>
            <w:tcBorders>
              <w:top w:val="single" w:sz="4" w:space="0" w:color="auto"/>
              <w:left w:val="single" w:sz="4" w:space="0" w:color="auto"/>
              <w:bottom w:val="single" w:sz="4" w:space="0" w:color="auto"/>
              <w:right w:val="single" w:sz="4" w:space="0" w:color="auto"/>
            </w:tcBorders>
            <w:hideMark/>
          </w:tcPr>
          <w:p w14:paraId="3DA37CF3" w14:textId="77777777" w:rsidR="008B0AD6" w:rsidRPr="001D2E08" w:rsidRDefault="008B0AD6" w:rsidP="00266B3B">
            <w:pPr>
              <w:pStyle w:val="TableText"/>
              <w:keepNext/>
              <w:keepLines/>
            </w:pPr>
            <w:r w:rsidRPr="001D2E08">
              <w:t>Moderate</w:t>
            </w:r>
          </w:p>
        </w:tc>
      </w:tr>
      <w:tr w:rsidR="008B0AD6" w:rsidRPr="00CE28E3" w14:paraId="3B5BE342" w14:textId="77777777">
        <w:tc>
          <w:tcPr>
            <w:tcW w:w="705" w:type="pct"/>
            <w:vMerge/>
            <w:tcBorders>
              <w:left w:val="single" w:sz="4" w:space="0" w:color="auto"/>
              <w:bottom w:val="single" w:sz="4" w:space="0" w:color="auto"/>
              <w:right w:val="single" w:sz="4" w:space="0" w:color="auto"/>
            </w:tcBorders>
          </w:tcPr>
          <w:p w14:paraId="66B56F0E" w14:textId="77777777" w:rsidR="008B0AD6" w:rsidRPr="00CE28E3" w:rsidRDefault="008B0AD6" w:rsidP="00266B3B">
            <w:pPr>
              <w:pStyle w:val="TableText"/>
              <w:keepNext/>
              <w:keepLines/>
            </w:pPr>
          </w:p>
        </w:tc>
        <w:tc>
          <w:tcPr>
            <w:tcW w:w="1887" w:type="pct"/>
            <w:tcBorders>
              <w:top w:val="single" w:sz="4" w:space="0" w:color="auto"/>
              <w:left w:val="single" w:sz="4" w:space="0" w:color="auto"/>
              <w:bottom w:val="single" w:sz="4" w:space="0" w:color="auto"/>
              <w:right w:val="single" w:sz="4" w:space="0" w:color="auto"/>
            </w:tcBorders>
          </w:tcPr>
          <w:p w14:paraId="597246AC" w14:textId="77777777" w:rsidR="008B0AD6" w:rsidRPr="00C301B2" w:rsidRDefault="008B0AD6" w:rsidP="00266B3B">
            <w:pPr>
              <w:pStyle w:val="TableText"/>
              <w:keepNext/>
              <w:keepLines/>
            </w:pPr>
            <w:r w:rsidRPr="00C301B2">
              <w:t>9 individual studies</w:t>
            </w:r>
          </w:p>
        </w:tc>
        <w:tc>
          <w:tcPr>
            <w:tcW w:w="943" w:type="pct"/>
            <w:tcBorders>
              <w:top w:val="single" w:sz="4" w:space="0" w:color="auto"/>
              <w:left w:val="single" w:sz="4" w:space="0" w:color="auto"/>
              <w:bottom w:val="single" w:sz="4" w:space="0" w:color="auto"/>
              <w:right w:val="single" w:sz="4" w:space="0" w:color="auto"/>
            </w:tcBorders>
          </w:tcPr>
          <w:p w14:paraId="100E257B" w14:textId="77777777" w:rsidR="008B0AD6" w:rsidRPr="005A0C85" w:rsidRDefault="007C4DC1" w:rsidP="00266B3B">
            <w:pPr>
              <w:pStyle w:val="TableText"/>
              <w:keepNext/>
              <w:keepLines/>
              <w:rPr>
                <w:lang w:val="en-US"/>
              </w:rPr>
            </w:pPr>
            <w:sdt>
              <w:sdtPr>
                <w:rPr>
                  <w:lang w:val="en-US"/>
                </w:rPr>
                <w:id w:val="1955130645"/>
                <w14:checkbox>
                  <w14:checked w14:val="1"/>
                  <w14:checkedState w14:val="2612" w14:font="MS Gothic"/>
                  <w14:uncheckedState w14:val="2610" w14:font="MS Gothic"/>
                </w14:checkbox>
              </w:sdtPr>
              <w:sdtEndPr/>
              <w:sdtContent>
                <w:r w:rsidR="008B0AD6">
                  <w:rPr>
                    <w:rFonts w:ascii="MS Gothic" w:eastAsia="MS Gothic" w:hAnsi="MS Gothic" w:hint="eastAsia"/>
                    <w:lang w:val="en-US"/>
                  </w:rPr>
                  <w:t>☒</w:t>
                </w:r>
              </w:sdtContent>
            </w:sdt>
            <w:r w:rsidR="008B0AD6">
              <w:rPr>
                <w:lang w:val="en-US"/>
              </w:rPr>
              <w:t xml:space="preserve"> </w:t>
            </w:r>
            <w:r w:rsidR="008B0AD6" w:rsidRPr="00CE28E3">
              <w:t>k=</w:t>
            </w:r>
            <w:r w:rsidR="008B0AD6">
              <w:t xml:space="preserve">9   </w:t>
            </w:r>
            <w:r w:rsidR="008B0AD6" w:rsidRPr="00CE28E3">
              <w:t>n</w:t>
            </w:r>
            <w:r w:rsidR="008B0AD6">
              <w:t>=2139</w:t>
            </w:r>
          </w:p>
        </w:tc>
        <w:tc>
          <w:tcPr>
            <w:tcW w:w="1465" w:type="pct"/>
            <w:tcBorders>
              <w:top w:val="single" w:sz="4" w:space="0" w:color="auto"/>
              <w:left w:val="single" w:sz="4" w:space="0" w:color="auto"/>
              <w:bottom w:val="single" w:sz="4" w:space="0" w:color="auto"/>
              <w:right w:val="single" w:sz="4" w:space="0" w:color="auto"/>
            </w:tcBorders>
          </w:tcPr>
          <w:p w14:paraId="09C08FDE" w14:textId="77777777" w:rsidR="008B0AD6" w:rsidRPr="001D2E08" w:rsidRDefault="008B0AD6" w:rsidP="00266B3B">
            <w:pPr>
              <w:pStyle w:val="TableText"/>
              <w:keepNext/>
              <w:keepLines/>
            </w:pPr>
            <w:r>
              <w:t>Seven</w:t>
            </w:r>
            <w:r w:rsidRPr="001D2E08">
              <w:t xml:space="preserve"> out of </w:t>
            </w:r>
            <w:r>
              <w:t>nine</w:t>
            </w:r>
            <w:r w:rsidRPr="001D2E08">
              <w:t xml:space="preserve"> of studies </w:t>
            </w:r>
            <w:r>
              <w:t xml:space="preserve">were </w:t>
            </w:r>
            <w:r w:rsidRPr="001D2E08">
              <w:t>included in the above mentioned two systematic reviews</w:t>
            </w:r>
          </w:p>
        </w:tc>
      </w:tr>
      <w:tr w:rsidR="008B0AD6" w:rsidRPr="005A0C85" w14:paraId="0FEEB075" w14:textId="77777777">
        <w:tc>
          <w:tcPr>
            <w:tcW w:w="705" w:type="pct"/>
            <w:tcBorders>
              <w:top w:val="single" w:sz="4" w:space="0" w:color="auto"/>
              <w:left w:val="single" w:sz="4" w:space="0" w:color="auto"/>
              <w:bottom w:val="single" w:sz="4" w:space="0" w:color="auto"/>
              <w:right w:val="single" w:sz="4" w:space="0" w:color="auto"/>
            </w:tcBorders>
            <w:hideMark/>
          </w:tcPr>
          <w:p w14:paraId="4F2A29E0" w14:textId="77777777" w:rsidR="008B0AD6" w:rsidRPr="005A0C85" w:rsidRDefault="008B0AD6" w:rsidP="00266B3B">
            <w:pPr>
              <w:pStyle w:val="TableText"/>
              <w:keepNext/>
              <w:keepLines/>
            </w:pPr>
            <w:r w:rsidRPr="005A0C85">
              <w:t xml:space="preserve">Change in patient management </w:t>
            </w:r>
          </w:p>
        </w:tc>
        <w:tc>
          <w:tcPr>
            <w:tcW w:w="1887" w:type="pct"/>
            <w:tcBorders>
              <w:top w:val="single" w:sz="4" w:space="0" w:color="auto"/>
              <w:left w:val="single" w:sz="4" w:space="0" w:color="auto"/>
              <w:bottom w:val="single" w:sz="4" w:space="0" w:color="auto"/>
              <w:right w:val="single" w:sz="4" w:space="0" w:color="auto"/>
            </w:tcBorders>
          </w:tcPr>
          <w:p w14:paraId="1F955A7B" w14:textId="77777777" w:rsidR="008B0AD6" w:rsidRPr="005A0C85" w:rsidRDefault="008B0AD6" w:rsidP="00266B3B">
            <w:pPr>
              <w:pStyle w:val="TableText"/>
              <w:keepNext/>
              <w:keepLines/>
            </w:pPr>
            <w:r w:rsidRPr="003C3464">
              <w:t xml:space="preserve">No evidence specifically related to the impact on patient management of using </w:t>
            </w:r>
            <w:r>
              <w:t>cardiac MRI</w:t>
            </w:r>
            <w:r w:rsidRPr="003C3464">
              <w:t xml:space="preserve"> in patients with acute myocarditis identified in the scoping review</w:t>
            </w:r>
          </w:p>
        </w:tc>
        <w:tc>
          <w:tcPr>
            <w:tcW w:w="943" w:type="pct"/>
            <w:tcBorders>
              <w:top w:val="single" w:sz="4" w:space="0" w:color="auto"/>
              <w:left w:val="single" w:sz="4" w:space="0" w:color="auto"/>
              <w:bottom w:val="single" w:sz="4" w:space="0" w:color="auto"/>
              <w:right w:val="single" w:sz="4" w:space="0" w:color="auto"/>
            </w:tcBorders>
            <w:hideMark/>
          </w:tcPr>
          <w:p w14:paraId="3FBCEDEF" w14:textId="77777777" w:rsidR="008B0AD6" w:rsidRPr="005A0C85" w:rsidRDefault="007C4DC1" w:rsidP="00266B3B">
            <w:pPr>
              <w:pStyle w:val="TableText"/>
              <w:keepNext/>
              <w:keepLines/>
            </w:pPr>
            <w:sdt>
              <w:sdtPr>
                <w:rPr>
                  <w:lang w:val="en-US"/>
                </w:rPr>
                <w:id w:val="-1661763060"/>
                <w14:checkbox>
                  <w14:checked w14:val="0"/>
                  <w14:checkedState w14:val="2612" w14:font="MS Gothic"/>
                  <w14:uncheckedState w14:val="2610" w14:font="MS Gothic"/>
                </w14:checkbox>
              </w:sdtPr>
              <w:sdtEndPr/>
              <w:sdtContent>
                <w:r w:rsidR="008B0AD6">
                  <w:rPr>
                    <w:rFonts w:ascii="MS Gothic" w:eastAsia="MS Gothic" w:hAnsi="MS Gothic" w:hint="eastAsia"/>
                    <w:lang w:val="en-US"/>
                  </w:rPr>
                  <w:t>☐</w:t>
                </w:r>
              </w:sdtContent>
            </w:sdt>
            <w:r w:rsidR="008B0AD6">
              <w:rPr>
                <w:lang w:val="en-US"/>
              </w:rPr>
              <w:t xml:space="preserve"> </w:t>
            </w:r>
            <w:r w:rsidR="008B0AD6" w:rsidRPr="005A0C85">
              <w:t>k=0</w:t>
            </w:r>
            <w:r w:rsidR="008B0AD6">
              <w:t xml:space="preserve">   </w:t>
            </w:r>
            <w:r w:rsidR="008B0AD6" w:rsidRPr="005A0C85">
              <w:t>n=</w:t>
            </w:r>
            <w:r w:rsidR="008B0AD6">
              <w:t>0</w:t>
            </w:r>
          </w:p>
        </w:tc>
        <w:tc>
          <w:tcPr>
            <w:tcW w:w="1465" w:type="pct"/>
            <w:tcBorders>
              <w:top w:val="single" w:sz="4" w:space="0" w:color="auto"/>
              <w:left w:val="single" w:sz="4" w:space="0" w:color="auto"/>
              <w:bottom w:val="single" w:sz="4" w:space="0" w:color="auto"/>
              <w:right w:val="single" w:sz="4" w:space="0" w:color="auto"/>
            </w:tcBorders>
          </w:tcPr>
          <w:p w14:paraId="4E00CE14" w14:textId="77777777" w:rsidR="008B0AD6" w:rsidRPr="005A0C85" w:rsidRDefault="008B0AD6" w:rsidP="00266B3B">
            <w:pPr>
              <w:pStyle w:val="TableText"/>
              <w:keepNext/>
              <w:keepLines/>
            </w:pPr>
            <w:r w:rsidRPr="005A0C85">
              <w:t>NA</w:t>
            </w:r>
          </w:p>
        </w:tc>
      </w:tr>
      <w:tr w:rsidR="008B0AD6" w:rsidRPr="005A0C85" w14:paraId="29744851" w14:textId="77777777">
        <w:tc>
          <w:tcPr>
            <w:tcW w:w="705" w:type="pct"/>
            <w:tcBorders>
              <w:top w:val="single" w:sz="4" w:space="0" w:color="auto"/>
              <w:left w:val="single" w:sz="4" w:space="0" w:color="auto"/>
              <w:bottom w:val="single" w:sz="4" w:space="0" w:color="auto"/>
              <w:right w:val="single" w:sz="4" w:space="0" w:color="auto"/>
            </w:tcBorders>
            <w:hideMark/>
          </w:tcPr>
          <w:p w14:paraId="52F42E27" w14:textId="77777777" w:rsidR="008B0AD6" w:rsidRPr="005A0C85" w:rsidRDefault="008B0AD6" w:rsidP="00266B3B">
            <w:pPr>
              <w:pStyle w:val="TableText"/>
              <w:keepNext/>
              <w:keepLines/>
            </w:pPr>
            <w:r w:rsidRPr="005A0C85">
              <w:t xml:space="preserve">Health outcomes  </w:t>
            </w:r>
          </w:p>
        </w:tc>
        <w:tc>
          <w:tcPr>
            <w:tcW w:w="1887" w:type="pct"/>
            <w:tcBorders>
              <w:top w:val="single" w:sz="4" w:space="0" w:color="auto"/>
              <w:left w:val="single" w:sz="4" w:space="0" w:color="auto"/>
              <w:bottom w:val="single" w:sz="4" w:space="0" w:color="auto"/>
              <w:right w:val="single" w:sz="4" w:space="0" w:color="auto"/>
            </w:tcBorders>
          </w:tcPr>
          <w:p w14:paraId="7C9B6A1A" w14:textId="77777777" w:rsidR="008B0AD6" w:rsidRPr="005A0C85" w:rsidRDefault="008B0AD6" w:rsidP="00266B3B">
            <w:pPr>
              <w:pStyle w:val="TableText"/>
              <w:keepNext/>
              <w:keepLines/>
            </w:pPr>
            <w:r>
              <w:t>N</w:t>
            </w:r>
            <w:r w:rsidRPr="00C301B2">
              <w:t xml:space="preserve">o evidence specifically related to the impact on health outcomes of using </w:t>
            </w:r>
            <w:r>
              <w:t>cardiac MRI</w:t>
            </w:r>
            <w:r w:rsidRPr="00C301B2">
              <w:t xml:space="preserve"> in patients with acute myocarditis identified in the scoping review.</w:t>
            </w:r>
          </w:p>
        </w:tc>
        <w:tc>
          <w:tcPr>
            <w:tcW w:w="943" w:type="pct"/>
            <w:tcBorders>
              <w:top w:val="single" w:sz="4" w:space="0" w:color="auto"/>
              <w:left w:val="single" w:sz="4" w:space="0" w:color="auto"/>
              <w:bottom w:val="single" w:sz="4" w:space="0" w:color="auto"/>
              <w:right w:val="single" w:sz="4" w:space="0" w:color="auto"/>
            </w:tcBorders>
          </w:tcPr>
          <w:p w14:paraId="714262C6" w14:textId="77777777" w:rsidR="008B0AD6" w:rsidRPr="005A0C85" w:rsidRDefault="007C4DC1" w:rsidP="00266B3B">
            <w:pPr>
              <w:pStyle w:val="TableText"/>
              <w:keepNext/>
              <w:keepLines/>
            </w:pPr>
            <w:sdt>
              <w:sdtPr>
                <w:id w:val="1956511204"/>
                <w14:checkbox>
                  <w14:checked w14:val="0"/>
                  <w14:checkedState w14:val="2612" w14:font="MS Gothic"/>
                  <w14:uncheckedState w14:val="2610" w14:font="MS Gothic"/>
                </w14:checkbox>
              </w:sdtPr>
              <w:sdtEndPr/>
              <w:sdtContent>
                <w:r w:rsidR="008B0AD6" w:rsidRPr="005A0C85">
                  <w:rPr>
                    <w:rFonts w:ascii="MS Gothic" w:eastAsia="MS Gothic" w:hAnsi="MS Gothic" w:hint="eastAsia"/>
                    <w:lang w:val="en-US"/>
                  </w:rPr>
                  <w:t>☐</w:t>
                </w:r>
              </w:sdtContent>
            </w:sdt>
            <w:r w:rsidR="008B0AD6">
              <w:t xml:space="preserve"> </w:t>
            </w:r>
            <w:r w:rsidR="008B0AD6" w:rsidRPr="005A0C85">
              <w:t>k=0</w:t>
            </w:r>
            <w:r w:rsidR="008B0AD6">
              <w:t xml:space="preserve">   </w:t>
            </w:r>
            <w:r w:rsidR="008B0AD6" w:rsidRPr="005A0C85">
              <w:t>n=0</w:t>
            </w:r>
          </w:p>
          <w:p w14:paraId="1AD44589" w14:textId="77777777" w:rsidR="008B0AD6" w:rsidRPr="005A0C85" w:rsidRDefault="008B0AD6" w:rsidP="00266B3B">
            <w:pPr>
              <w:pStyle w:val="TableText"/>
              <w:keepNext/>
              <w:keepLines/>
            </w:pPr>
          </w:p>
        </w:tc>
        <w:tc>
          <w:tcPr>
            <w:tcW w:w="1465" w:type="pct"/>
            <w:tcBorders>
              <w:top w:val="single" w:sz="4" w:space="0" w:color="auto"/>
              <w:left w:val="single" w:sz="4" w:space="0" w:color="auto"/>
              <w:bottom w:val="single" w:sz="4" w:space="0" w:color="auto"/>
              <w:right w:val="single" w:sz="4" w:space="0" w:color="auto"/>
            </w:tcBorders>
          </w:tcPr>
          <w:p w14:paraId="5C7C5922" w14:textId="77777777" w:rsidR="008B0AD6" w:rsidRPr="005A0C85" w:rsidRDefault="008B0AD6" w:rsidP="00266B3B">
            <w:pPr>
              <w:pStyle w:val="TableText"/>
              <w:keepNext/>
              <w:keepLines/>
            </w:pPr>
            <w:r w:rsidRPr="005A0C85">
              <w:t>NA</w:t>
            </w:r>
          </w:p>
        </w:tc>
      </w:tr>
    </w:tbl>
    <w:p w14:paraId="6D071288" w14:textId="77777777" w:rsidR="008B0AD6" w:rsidRPr="009B51F0" w:rsidRDefault="008B0AD6" w:rsidP="00266B3B">
      <w:pPr>
        <w:pStyle w:val="TableFooter"/>
        <w:keepNext/>
        <w:keepLines/>
      </w:pPr>
      <w:r>
        <w:t xml:space="preserve">k </w:t>
      </w:r>
      <w:r w:rsidRPr="009B51F0">
        <w:t>=</w:t>
      </w:r>
      <w:r>
        <w:t xml:space="preserve"> </w:t>
      </w:r>
      <w:r w:rsidRPr="009B51F0">
        <w:t>number of studies; n</w:t>
      </w:r>
      <w:r>
        <w:t xml:space="preserve"> </w:t>
      </w:r>
      <w:r w:rsidRPr="009B51F0">
        <w:t>=</w:t>
      </w:r>
      <w:r>
        <w:t xml:space="preserve"> </w:t>
      </w:r>
      <w:r w:rsidRPr="009B51F0">
        <w:t>number of patients; NA</w:t>
      </w:r>
      <w:r>
        <w:t xml:space="preserve"> </w:t>
      </w:r>
      <w:r w:rsidRPr="009B51F0">
        <w:t>=</w:t>
      </w:r>
      <w:r>
        <w:t xml:space="preserve"> </w:t>
      </w:r>
      <w:r w:rsidRPr="009B51F0">
        <w:t>not applicable</w:t>
      </w:r>
    </w:p>
    <w:p w14:paraId="7B57945E" w14:textId="14B99803" w:rsidR="007F45AD" w:rsidRPr="00010E35" w:rsidRDefault="007F45AD" w:rsidP="00AE1DF5">
      <w:pPr>
        <w:pStyle w:val="Heading3"/>
      </w:pPr>
      <w:bookmarkStart w:id="21" w:name="_Toc155189738"/>
      <w:r w:rsidRPr="00010E35">
        <w:t xml:space="preserve">The diagnostic accuracy of </w:t>
      </w:r>
      <w:r w:rsidR="003009E7" w:rsidRPr="00010E35">
        <w:t>cardiac MRI</w:t>
      </w:r>
      <w:r w:rsidRPr="00010E35">
        <w:t xml:space="preserve"> compared with EMB/clinical criteria (Cross sectional accuracy)</w:t>
      </w:r>
      <w:bookmarkEnd w:id="21"/>
    </w:p>
    <w:p w14:paraId="216CC5C8" w14:textId="5DC21935" w:rsidR="00520A80" w:rsidRDefault="0059745D" w:rsidP="00867E94">
      <w:r>
        <w:rPr>
          <w:color w:val="000000" w:themeColor="text1"/>
        </w:rPr>
        <w:t>The evidence for the cross</w:t>
      </w:r>
      <w:r w:rsidR="000A539F">
        <w:rPr>
          <w:color w:val="000000" w:themeColor="text1"/>
        </w:rPr>
        <w:t>-</w:t>
      </w:r>
      <w:r>
        <w:rPr>
          <w:color w:val="000000" w:themeColor="text1"/>
        </w:rPr>
        <w:t xml:space="preserve">sectional accuracy were provided using </w:t>
      </w:r>
      <w:r>
        <w:t xml:space="preserve">an updated systematic review </w:t>
      </w:r>
      <w:r w:rsidR="00520A80">
        <w:t xml:space="preserve">(SR) </w:t>
      </w:r>
      <w:r>
        <w:t xml:space="preserve">based on </w:t>
      </w:r>
      <w:proofErr w:type="spellStart"/>
      <w:r>
        <w:t>Kotanidis</w:t>
      </w:r>
      <w:proofErr w:type="spellEnd"/>
      <w:r>
        <w:t xml:space="preserve"> et al. (2018)</w:t>
      </w:r>
      <w:r>
        <w:rPr>
          <w:rStyle w:val="FootnoteReference"/>
        </w:rPr>
        <w:footnoteReference w:id="5"/>
      </w:r>
      <w:r w:rsidR="009E1BFC" w:rsidRPr="009E1BFC">
        <w:t xml:space="preserve"> </w:t>
      </w:r>
      <w:r w:rsidR="009E1BFC">
        <w:t xml:space="preserve">, which included </w:t>
      </w:r>
      <w:r w:rsidR="009E1BFC" w:rsidRPr="009E1BFC">
        <w:t xml:space="preserve">cardiac MRI </w:t>
      </w:r>
      <w:r w:rsidR="00520A80" w:rsidRPr="009E1BFC">
        <w:t xml:space="preserve">studies </w:t>
      </w:r>
      <w:r w:rsidR="009E1BFC" w:rsidRPr="009E1BFC">
        <w:t>for the diagnosis of acute myocarditis in adult patients up to 2017.</w:t>
      </w:r>
      <w:r w:rsidR="009E1BFC">
        <w:t xml:space="preserve"> </w:t>
      </w:r>
      <w:r>
        <w:t xml:space="preserve">The updated </w:t>
      </w:r>
      <w:r w:rsidR="00520A80">
        <w:t>SR</w:t>
      </w:r>
      <w:r>
        <w:t xml:space="preserve"> by the Assessment group</w:t>
      </w:r>
      <w:r w:rsidR="009E1BFC">
        <w:t xml:space="preserve"> identified a</w:t>
      </w:r>
      <w:r w:rsidR="009E1BFC" w:rsidRPr="00CE28E3">
        <w:t xml:space="preserve"> total of </w:t>
      </w:r>
      <w:r w:rsidR="009E1BFC">
        <w:t>21</w:t>
      </w:r>
      <w:r w:rsidR="009E1BFC" w:rsidRPr="00CE28E3">
        <w:t xml:space="preserve"> </w:t>
      </w:r>
      <w:r w:rsidR="00E042B1">
        <w:t xml:space="preserve">additional studies </w:t>
      </w:r>
      <w:r w:rsidR="009E1BFC">
        <w:t xml:space="preserve">(16 studies and 5 </w:t>
      </w:r>
      <w:r w:rsidR="00520A80">
        <w:t>SRs</w:t>
      </w:r>
      <w:r w:rsidR="009E1BFC">
        <w:t>) from 2017 to 2023</w:t>
      </w:r>
      <w:r w:rsidR="00520A80">
        <w:t>.</w:t>
      </w:r>
      <w:r w:rsidR="009E1BFC">
        <w:t xml:space="preserve"> </w:t>
      </w:r>
      <w:r w:rsidR="00BF3877">
        <w:t xml:space="preserve">All five </w:t>
      </w:r>
      <w:r w:rsidR="00E042B1">
        <w:t>SRs identified in the updated SR</w:t>
      </w:r>
      <w:r w:rsidR="00BF3877">
        <w:t xml:space="preserve"> had critical weakness in one or more domains, </w:t>
      </w:r>
      <w:r w:rsidR="00520A80">
        <w:t xml:space="preserve">therefore, </w:t>
      </w:r>
      <w:r w:rsidR="00BF3877">
        <w:t xml:space="preserve">all five SRs were considered high risk of bias based on the </w:t>
      </w:r>
      <w:r w:rsidR="00BF3877" w:rsidRPr="000E6750">
        <w:t xml:space="preserve">AMSTAR </w:t>
      </w:r>
      <w:r w:rsidR="00BF3877" w:rsidRPr="00DD7359">
        <w:t>(A Measurement Tool to Assess systematic Reviews)</w:t>
      </w:r>
      <w:r w:rsidR="00BF3877">
        <w:t xml:space="preserve"> </w:t>
      </w:r>
      <w:r w:rsidR="00BF3877" w:rsidRPr="000E6750">
        <w:t>checklist</w:t>
      </w:r>
      <w:r w:rsidR="00BF3877">
        <w:rPr>
          <w:rStyle w:val="FootnoteReference"/>
        </w:rPr>
        <w:footnoteReference w:id="6"/>
      </w:r>
      <w:r w:rsidR="00BF3877">
        <w:t>.</w:t>
      </w:r>
      <w:r w:rsidR="00BF3877">
        <w:rPr>
          <w:color w:val="000000" w:themeColor="text1"/>
        </w:rPr>
        <w:t xml:space="preserve"> </w:t>
      </w:r>
      <w:r w:rsidR="00BF3877" w:rsidRPr="009320FF">
        <w:rPr>
          <w:color w:val="000000" w:themeColor="text1"/>
        </w:rPr>
        <w:t xml:space="preserve">All 16 </w:t>
      </w:r>
      <w:r w:rsidR="00BF3877">
        <w:rPr>
          <w:color w:val="000000" w:themeColor="text1"/>
        </w:rPr>
        <w:t xml:space="preserve">individual </w:t>
      </w:r>
      <w:r w:rsidR="00BF3877" w:rsidRPr="009320FF">
        <w:rPr>
          <w:color w:val="000000" w:themeColor="text1"/>
        </w:rPr>
        <w:t xml:space="preserve">studies identified in the updated </w:t>
      </w:r>
      <w:r w:rsidR="00520A80">
        <w:rPr>
          <w:color w:val="000000" w:themeColor="text1"/>
        </w:rPr>
        <w:t>SR</w:t>
      </w:r>
      <w:r w:rsidR="00BF3877" w:rsidRPr="009320FF">
        <w:rPr>
          <w:color w:val="000000" w:themeColor="text1"/>
        </w:rPr>
        <w:t xml:space="preserve"> used 1.5-T or higher gadolinium</w:t>
      </w:r>
      <w:r w:rsidR="00BF3877">
        <w:rPr>
          <w:color w:val="000000" w:themeColor="text1"/>
        </w:rPr>
        <w:t>-</w:t>
      </w:r>
      <w:r w:rsidR="00BF3877" w:rsidRPr="009320FF">
        <w:rPr>
          <w:color w:val="000000" w:themeColor="text1"/>
        </w:rPr>
        <w:t xml:space="preserve">based MRI scanner systems. </w:t>
      </w:r>
      <w:r w:rsidR="00BF3877">
        <w:t>The key outcomes in all studies were sensitivity and specificity of cardiac MRI.</w:t>
      </w:r>
      <w:r w:rsidR="00BF3877" w:rsidRPr="0059745D">
        <w:t xml:space="preserve"> The risk of bias for these 16 studies was assessed using the Quality Assessment of Diagnostic Accuracy Studies-2 (QUADAS-2) tool. Based on the risk of bias analyses, nine studies were considered low risk of bias. The other seven studies included only one domain with high risk of bias and the remaining three domains were low risk or unclear risk of bias.</w:t>
      </w:r>
    </w:p>
    <w:p w14:paraId="05C73930" w14:textId="2801F26A" w:rsidR="007F45AD" w:rsidRDefault="007F45AD" w:rsidP="00895144">
      <w:pPr>
        <w:pStyle w:val="Heading3"/>
      </w:pPr>
      <w:bookmarkStart w:id="22" w:name="_Toc155189739"/>
      <w:r w:rsidRPr="00095E75">
        <w:t xml:space="preserve">Prognostic value (longitudinal accuracy) of </w:t>
      </w:r>
      <w:r w:rsidR="003843F3">
        <w:t>cardiac MRI</w:t>
      </w:r>
      <w:bookmarkEnd w:id="22"/>
      <w:r>
        <w:t xml:space="preserve"> </w:t>
      </w:r>
    </w:p>
    <w:p w14:paraId="4A7735B9" w14:textId="04D7E638" w:rsidR="00520A80" w:rsidRDefault="007F45AD" w:rsidP="00520A80">
      <w:r>
        <w:t xml:space="preserve">A scoping review of published literature was undertaken to identify the prognostic value (longitudinal accuracy) of </w:t>
      </w:r>
      <w:r w:rsidR="003843F3">
        <w:t>cardiac MRI</w:t>
      </w:r>
      <w:r>
        <w:t xml:space="preserve"> in patients with suspected or acute myocarditis. </w:t>
      </w:r>
      <w:r w:rsidR="00535ACD">
        <w:rPr>
          <w:color w:val="000000"/>
        </w:rPr>
        <w:t xml:space="preserve">Late </w:t>
      </w:r>
      <w:r w:rsidR="00535ACD">
        <w:rPr>
          <w:color w:val="000000"/>
        </w:rPr>
        <w:lastRenderedPageBreak/>
        <w:t>gadolinium enhancement</w:t>
      </w:r>
      <w:r w:rsidR="00E042B1">
        <w:t xml:space="preserve"> (</w:t>
      </w:r>
      <w:r>
        <w:t>LGE</w:t>
      </w:r>
      <w:r w:rsidR="00E042B1">
        <w:t>)</w:t>
      </w:r>
      <w:r>
        <w:t xml:space="preserve"> has been shown to be the strongest independent predictor of outcome with a </w:t>
      </w:r>
      <w:r w:rsidR="00220FAD">
        <w:t>hazard ratio (HR)</w:t>
      </w:r>
      <w:r>
        <w:t xml:space="preserve"> of 8.4 for all-cause mortality and 12.8 for cardiac mortality</w:t>
      </w:r>
      <w:r>
        <w:rPr>
          <w:rStyle w:val="FootnoteReference"/>
        </w:rPr>
        <w:footnoteReference w:id="7"/>
      </w:r>
      <w:r w:rsidR="00C9043C">
        <w:t>.</w:t>
      </w:r>
      <w:r>
        <w:t xml:space="preserve"> As a result, the scoping review focused on the prognostic value of LGE with </w:t>
      </w:r>
      <w:r w:rsidR="003843F3">
        <w:t>cardiac MRI</w:t>
      </w:r>
      <w:r>
        <w:t xml:space="preserve"> in patients with suspected or acute myocarditis. </w:t>
      </w:r>
      <w:bookmarkStart w:id="23" w:name="_Hlk68276301"/>
      <w:r w:rsidR="00520A80">
        <w:t>The scoping review identified nine studies and two systematic reviews. Most of the studies (7/9) identified in the scoping review were meta-analysed by two</w:t>
      </w:r>
      <w:r w:rsidR="00241A6E">
        <w:t xml:space="preserve"> </w:t>
      </w:r>
      <w:r w:rsidR="00520A80">
        <w:t>systematic reviews</w:t>
      </w:r>
      <w:r w:rsidR="00520A80">
        <w:rPr>
          <w:rStyle w:val="FootnoteReference"/>
        </w:rPr>
        <w:footnoteReference w:id="8"/>
      </w:r>
      <w:r w:rsidR="005B409F">
        <w:t xml:space="preserve"> </w:t>
      </w:r>
      <w:r w:rsidR="00077F10">
        <w:t>(</w:t>
      </w:r>
      <w:proofErr w:type="spellStart"/>
      <w:r w:rsidR="00077F10" w:rsidRPr="00AC6EB8">
        <w:t>Georgiopoulos</w:t>
      </w:r>
      <w:proofErr w:type="spellEnd"/>
      <w:r w:rsidR="00077F10" w:rsidRPr="00AC6EB8">
        <w:t>, G</w:t>
      </w:r>
      <w:r w:rsidR="00077F10">
        <w:t xml:space="preserve"> et al 2021)</w:t>
      </w:r>
      <w:r w:rsidR="00520A80">
        <w:t xml:space="preserve"> that provided summary statistics for the prognostic value of cardiac MRI for predicting health outcomes. </w:t>
      </w:r>
    </w:p>
    <w:p w14:paraId="60AABA29" w14:textId="123789C0" w:rsidR="007F45AD" w:rsidRPr="00D1464C" w:rsidRDefault="007F45AD" w:rsidP="00520A80">
      <w:pPr>
        <w:pStyle w:val="Heading3"/>
      </w:pPr>
      <w:bookmarkStart w:id="24" w:name="_Toc155189740"/>
      <w:r w:rsidRPr="00D1464C">
        <w:t>Linked evidence of change in management</w:t>
      </w:r>
      <w:bookmarkEnd w:id="24"/>
    </w:p>
    <w:p w14:paraId="10B4AA5D" w14:textId="0474ADBC" w:rsidR="007F45AD" w:rsidRDefault="007F45AD" w:rsidP="00867E94">
      <w:r>
        <w:rPr>
          <w:rStyle w:val="ui-provider"/>
        </w:rPr>
        <w:t xml:space="preserve">There was no evidence specifically related to the impact on patient management of using </w:t>
      </w:r>
      <w:r w:rsidR="003843F3">
        <w:rPr>
          <w:rStyle w:val="ui-provider"/>
        </w:rPr>
        <w:t>cardiac MRI</w:t>
      </w:r>
      <w:r>
        <w:rPr>
          <w:rStyle w:val="ui-provider"/>
        </w:rPr>
        <w:t xml:space="preserve"> in patients with acute myocarditis identified in the scoping review. </w:t>
      </w:r>
      <w:r>
        <w:t xml:space="preserve">The impairment of LVEF, the presence of extensive LGE, </w:t>
      </w:r>
      <w:r w:rsidR="009F7DAC">
        <w:t>oedema</w:t>
      </w:r>
      <w:r>
        <w:t xml:space="preserve">, and diffuse fibrosis on </w:t>
      </w:r>
      <w:r w:rsidR="003843F3">
        <w:t>cardiac MRI</w:t>
      </w:r>
      <w:r>
        <w:t xml:space="preserve"> all contribute to a heightened risk </w:t>
      </w:r>
      <w:r w:rsidR="01ADDF30">
        <w:t>of</w:t>
      </w:r>
      <w:r>
        <w:t xml:space="preserve"> adverse outcomes, thus findings of the </w:t>
      </w:r>
      <w:r w:rsidR="003843F3">
        <w:t>cardiac MRI</w:t>
      </w:r>
      <w:r>
        <w:t xml:space="preserve"> can help to risk stratify patients</w:t>
      </w:r>
      <w:r>
        <w:rPr>
          <w:rStyle w:val="FootnoteReference"/>
        </w:rPr>
        <w:footnoteReference w:id="9"/>
      </w:r>
      <w:r w:rsidR="00C9043C">
        <w:t>.</w:t>
      </w:r>
      <w:r>
        <w:t xml:space="preserve"> However, </w:t>
      </w:r>
      <w:r w:rsidR="000E5778">
        <w:t xml:space="preserve">the </w:t>
      </w:r>
      <w:r w:rsidR="00D95DF2">
        <w:t>assessment</w:t>
      </w:r>
      <w:r w:rsidR="00C862E0">
        <w:t xml:space="preserve"> group noted </w:t>
      </w:r>
      <w:r>
        <w:t xml:space="preserve">there </w:t>
      </w:r>
      <w:r w:rsidR="00C862E0">
        <w:t xml:space="preserve">were </w:t>
      </w:r>
      <w:r w:rsidR="0038187D">
        <w:t xml:space="preserve">no </w:t>
      </w:r>
      <w:r>
        <w:t>current clear guidelines on how myocarditis should be monitored, despite evidence showing that approximately 50% of patients with complicated myocarditis do not achieve a full recovery.</w:t>
      </w:r>
    </w:p>
    <w:p w14:paraId="7DF861BC" w14:textId="55BCE6FA" w:rsidR="007F45AD" w:rsidRDefault="007F45AD" w:rsidP="00867E94">
      <w:r>
        <w:t xml:space="preserve">For Population 1, </w:t>
      </w:r>
      <w:r w:rsidR="003843F3">
        <w:t>cardiac MRI</w:t>
      </w:r>
      <w:r>
        <w:t xml:space="preserve"> </w:t>
      </w:r>
      <w:r w:rsidR="00B46928">
        <w:t xml:space="preserve">informed </w:t>
      </w:r>
      <w:r>
        <w:t xml:space="preserve">the diagnosis and the presence of fibrosis, linked to </w:t>
      </w:r>
      <w:r w:rsidR="00051740" w:rsidRPr="00051740">
        <w:t>major adverse cardiovascular events (MACE)</w:t>
      </w:r>
      <w:r w:rsidR="00442C61">
        <w:t xml:space="preserve"> </w:t>
      </w:r>
      <w:r w:rsidR="00FC2C90">
        <w:t>(</w:t>
      </w:r>
      <w:proofErr w:type="spellStart"/>
      <w:r w:rsidR="00FC2C90">
        <w:t>Grani</w:t>
      </w:r>
      <w:proofErr w:type="spellEnd"/>
      <w:r w:rsidR="00FC2C90">
        <w:t xml:space="preserve"> et al. 2017)</w:t>
      </w:r>
      <w:r>
        <w:t xml:space="preserve">; however, </w:t>
      </w:r>
      <w:r w:rsidR="00C9043C">
        <w:t xml:space="preserve">there </w:t>
      </w:r>
      <w:r w:rsidR="00195EF0">
        <w:t xml:space="preserve">were </w:t>
      </w:r>
      <w:r>
        <w:t>no clear recommendations from existing guidelines about monitoring and or change of management</w:t>
      </w:r>
      <w:r w:rsidR="00C9043C">
        <w:t xml:space="preserve"> for patients with fibrosis</w:t>
      </w:r>
      <w:r w:rsidR="00C9043C">
        <w:rPr>
          <w:rStyle w:val="FootnoteReference"/>
        </w:rPr>
        <w:t>7</w:t>
      </w:r>
      <w:r>
        <w:t>.</w:t>
      </w:r>
    </w:p>
    <w:p w14:paraId="3CCA7317" w14:textId="70C5EE3B" w:rsidR="007F45AD" w:rsidRPr="00CE28E3" w:rsidRDefault="007F45AD" w:rsidP="00867E94">
      <w:r>
        <w:t xml:space="preserve">For Population 2, </w:t>
      </w:r>
      <w:r w:rsidR="003843F3">
        <w:t>cardiac MRI</w:t>
      </w:r>
      <w:r>
        <w:t xml:space="preserve"> could reduce the use of CTCA, a diagnostic procedure used in patients with signs and symptoms of ACS to rule out CAD and confirm the diagnosis of myocarditis through exclusion. </w:t>
      </w:r>
      <w:r w:rsidR="003843F3">
        <w:t>Cardiac MRI</w:t>
      </w:r>
      <w:r>
        <w:t xml:space="preserve"> may also help confirm myocarditis in patients who are suspected to have</w:t>
      </w:r>
      <w:r w:rsidR="00D10083">
        <w:t xml:space="preserve"> m</w:t>
      </w:r>
      <w:r w:rsidR="00D10083" w:rsidRPr="00D10083">
        <w:t>yocardial infarction with non-obstructive coronary arteries</w:t>
      </w:r>
      <w:r>
        <w:t xml:space="preserve"> </w:t>
      </w:r>
      <w:r w:rsidR="00D10083">
        <w:t>(</w:t>
      </w:r>
      <w:r>
        <w:t>MINOCA</w:t>
      </w:r>
      <w:r w:rsidR="00D10083">
        <w:t>)</w:t>
      </w:r>
      <w:r>
        <w:t>, thus eliminating the need for unnecessary medications and providing a more accurate diagnosis and tailored treatment approach</w:t>
      </w:r>
      <w:r w:rsidR="00C9043C">
        <w:rPr>
          <w:rStyle w:val="FootnoteReference"/>
        </w:rPr>
        <w:footnoteReference w:id="10"/>
      </w:r>
      <w:r>
        <w:t>.</w:t>
      </w:r>
    </w:p>
    <w:p w14:paraId="3DAE14B2" w14:textId="77777777" w:rsidR="007F45AD" w:rsidRPr="00D1464C" w:rsidRDefault="007F45AD" w:rsidP="00895144">
      <w:pPr>
        <w:pStyle w:val="Heading3"/>
      </w:pPr>
      <w:bookmarkStart w:id="25" w:name="_Toc155189741"/>
      <w:r w:rsidRPr="00D1464C">
        <w:t>Linked evidence of health outcomes</w:t>
      </w:r>
      <w:bookmarkEnd w:id="25"/>
    </w:p>
    <w:p w14:paraId="07E8C93E" w14:textId="1CECA626" w:rsidR="00C46EDE" w:rsidRDefault="007F45AD" w:rsidP="00867E94">
      <w:r w:rsidRPr="001C3D74">
        <w:t xml:space="preserve">There was no evidence specifically related to the impact on </w:t>
      </w:r>
      <w:r>
        <w:t>health outcomes</w:t>
      </w:r>
      <w:r w:rsidRPr="001C3D74">
        <w:t xml:space="preserve"> of using </w:t>
      </w:r>
      <w:r w:rsidR="003843F3">
        <w:t>cardiac MRI</w:t>
      </w:r>
      <w:r w:rsidRPr="001C3D74">
        <w:t xml:space="preserve"> in patients with acute myocarditis identified in the scoping review.</w:t>
      </w:r>
    </w:p>
    <w:p w14:paraId="76345100" w14:textId="56A4B516" w:rsidR="00A03B35" w:rsidRPr="00CE28E3" w:rsidRDefault="00F226F7" w:rsidP="00A03B35">
      <w:pPr>
        <w:pStyle w:val="Heading2"/>
        <w:numPr>
          <w:ilvl w:val="0"/>
          <w:numId w:val="0"/>
        </w:numPr>
      </w:pPr>
      <w:bookmarkStart w:id="26" w:name="_Toc155189742"/>
      <w:bookmarkEnd w:id="23"/>
      <w:r>
        <w:t>11</w:t>
      </w:r>
      <w:r w:rsidR="00C36633">
        <w:t>.</w:t>
      </w:r>
      <w:r w:rsidR="00C36633">
        <w:tab/>
      </w:r>
      <w:r w:rsidR="00A03B35" w:rsidRPr="00CE28E3">
        <w:t>Comparative safety</w:t>
      </w:r>
      <w:bookmarkEnd w:id="26"/>
    </w:p>
    <w:p w14:paraId="50145304" w14:textId="01B2AD5F" w:rsidR="00A03B35" w:rsidRPr="00377644" w:rsidRDefault="00A03B35" w:rsidP="00867E94">
      <w:pPr>
        <w:rPr>
          <w:rFonts w:ascii="Times New Roman" w:hAnsi="Times New Roman" w:cs="Times New Roman"/>
          <w:b/>
          <w:bCs/>
        </w:rPr>
      </w:pPr>
      <w:r w:rsidRPr="0017695F">
        <w:t xml:space="preserve">No comparative safety </w:t>
      </w:r>
      <w:r>
        <w:t>studies</w:t>
      </w:r>
      <w:r w:rsidRPr="0017695F">
        <w:t xml:space="preserve"> were identified in the literature search</w:t>
      </w:r>
      <w:r>
        <w:t xml:space="preserve"> for the safety of </w:t>
      </w:r>
      <w:r w:rsidR="003843F3">
        <w:t>cardiac MRI</w:t>
      </w:r>
      <w:r>
        <w:t xml:space="preserve"> </w:t>
      </w:r>
      <w:r w:rsidRPr="00377644">
        <w:t xml:space="preserve">imaging. The studies included in the updated systematic review comparing the diagnostic accuracy of </w:t>
      </w:r>
      <w:r w:rsidR="003843F3">
        <w:t>cardiac MRI</w:t>
      </w:r>
      <w:r w:rsidRPr="00377644">
        <w:t xml:space="preserve"> and EMB were mostly single modality studies, where the patients were only imaged once with </w:t>
      </w:r>
      <w:r w:rsidR="003843F3">
        <w:t>cardiac MRI</w:t>
      </w:r>
      <w:r w:rsidRPr="00377644">
        <w:t xml:space="preserve">. None of these studies reported adverse events due to </w:t>
      </w:r>
      <w:r w:rsidR="003843F3">
        <w:t>cardiac MRI</w:t>
      </w:r>
      <w:r w:rsidRPr="00377644">
        <w:t>.</w:t>
      </w:r>
      <w:r>
        <w:rPr>
          <w:rFonts w:ascii="Times New Roman" w:hAnsi="Times New Roman" w:cs="Times New Roman"/>
          <w:b/>
          <w:bCs/>
        </w:rPr>
        <w:t xml:space="preserve"> </w:t>
      </w:r>
      <w:r>
        <w:t>As</w:t>
      </w:r>
      <w:r w:rsidRPr="0017695F">
        <w:t xml:space="preserve"> there were no direct comparative studies relating to safety in this patient cohort, </w:t>
      </w:r>
      <w:r>
        <w:lastRenderedPageBreak/>
        <w:t>the</w:t>
      </w:r>
      <w:r w:rsidRPr="0017695F">
        <w:t xml:space="preserve"> </w:t>
      </w:r>
      <w:r w:rsidR="00CC4E40">
        <w:t>DCAR</w:t>
      </w:r>
      <w:r w:rsidR="00170A66">
        <w:t xml:space="preserve"> assessed </w:t>
      </w:r>
      <w:r w:rsidRPr="0017695F">
        <w:t>safety using general safety data available for MRI</w:t>
      </w:r>
      <w:r>
        <w:t xml:space="preserve"> and EMB</w:t>
      </w:r>
      <w:r w:rsidRPr="0017695F">
        <w:t>.</w:t>
      </w:r>
      <w:r w:rsidRPr="00326542">
        <w:rPr>
          <w:rFonts w:ascii="Times New Roman" w:hAnsi="Times New Roman" w:cs="Times New Roman"/>
          <w:b/>
          <w:bCs/>
        </w:rPr>
        <w:t xml:space="preserve"> </w:t>
      </w:r>
      <w:r w:rsidRPr="00A75E0E">
        <w:t>Information was sourced from authoritative information websites and clinical guidelines.</w:t>
      </w:r>
    </w:p>
    <w:p w14:paraId="36C192CD" w14:textId="06DCAC98" w:rsidR="00A03B35" w:rsidRPr="00476A4D" w:rsidRDefault="003843F3" w:rsidP="00867E94">
      <w:r>
        <w:t>Cardiac MRI</w:t>
      </w:r>
      <w:r w:rsidR="00A03B35" w:rsidRPr="00476A4D">
        <w:t xml:space="preserve"> is a safe and </w:t>
      </w:r>
      <w:r w:rsidR="00A03B35">
        <w:t>non-invasive</w:t>
      </w:r>
      <w:r w:rsidR="00A03B35" w:rsidRPr="00476A4D">
        <w:t xml:space="preserve"> test for most people. Being a non-invasive test without any associated radiation and limited nephrotoxicity, </w:t>
      </w:r>
      <w:r>
        <w:t>cardiac MRI</w:t>
      </w:r>
      <w:r w:rsidR="00A03B35" w:rsidRPr="00476A4D">
        <w:t xml:space="preserve"> has a good safety profile</w:t>
      </w:r>
      <w:r w:rsidR="00A03B35">
        <w:rPr>
          <w:rStyle w:val="FootnoteReference"/>
        </w:rPr>
        <w:footnoteReference w:id="11"/>
      </w:r>
      <w:r w:rsidR="009B51F0">
        <w:t>.</w:t>
      </w:r>
      <w:r w:rsidR="00A03B35">
        <w:t xml:space="preserve"> </w:t>
      </w:r>
      <w:r w:rsidR="00AE5F6F">
        <w:t>The o</w:t>
      </w:r>
      <w:r w:rsidR="00A03B35">
        <w:t>nly concern is that p</w:t>
      </w:r>
      <w:r w:rsidR="00A03B35" w:rsidRPr="00476A4D">
        <w:t>eople with any type of metal device</w:t>
      </w:r>
      <w:r w:rsidR="00A03B35">
        <w:t xml:space="preserve"> including cardiac devices</w:t>
      </w:r>
      <w:r w:rsidR="00A03B35" w:rsidRPr="00476A4D">
        <w:t xml:space="preserve"> (e.g.</w:t>
      </w:r>
      <w:r w:rsidR="00756ED0">
        <w:t>,</w:t>
      </w:r>
      <w:r w:rsidR="00A03B35" w:rsidRPr="00476A4D">
        <w:t xml:space="preserve"> pacemakers and defibrillators) inside their body </w:t>
      </w:r>
      <w:r w:rsidR="00A03B35">
        <w:t>should be evaluated for MRI compatibility of the device</w:t>
      </w:r>
      <w:r w:rsidR="00A03B35" w:rsidRPr="0050037F">
        <w:t xml:space="preserve"> </w:t>
      </w:r>
      <w:r w:rsidR="00A03B35">
        <w:t>p</w:t>
      </w:r>
      <w:r w:rsidR="00A03B35" w:rsidRPr="00476A4D">
        <w:t>rior to the procedure</w:t>
      </w:r>
      <w:r w:rsidR="00A03B35">
        <w:t>.</w:t>
      </w:r>
      <w:r w:rsidR="00A03B35" w:rsidRPr="0050037F">
        <w:t xml:space="preserve"> </w:t>
      </w:r>
      <w:r w:rsidR="00A03B35">
        <w:t xml:space="preserve">There are growing body of literature in recent past evaluating the safety of </w:t>
      </w:r>
      <w:r>
        <w:t>cardiac MRI</w:t>
      </w:r>
      <w:r w:rsidR="00A03B35">
        <w:t xml:space="preserve"> in the presence of other medical devices</w:t>
      </w:r>
      <w:r w:rsidR="00A03B35">
        <w:rPr>
          <w:rStyle w:val="FootnoteReference"/>
        </w:rPr>
        <w:footnoteReference w:id="12"/>
      </w:r>
      <w:r w:rsidR="00756ED0">
        <w:rPr>
          <w:vertAlign w:val="superscript"/>
        </w:rPr>
        <w:t>,</w:t>
      </w:r>
      <w:r w:rsidR="00A03B35">
        <w:rPr>
          <w:rStyle w:val="FootnoteReference"/>
        </w:rPr>
        <w:footnoteReference w:id="13"/>
      </w:r>
      <w:r w:rsidR="00C46EDE">
        <w:t xml:space="preserve">. </w:t>
      </w:r>
      <w:r w:rsidR="00A03B35" w:rsidRPr="00476A4D">
        <w:t xml:space="preserve">In Australia, </w:t>
      </w:r>
      <w:r w:rsidR="00A03B35">
        <w:t xml:space="preserve">MRI </w:t>
      </w:r>
      <w:r w:rsidR="00A03B35" w:rsidRPr="00476A4D">
        <w:t xml:space="preserve">safety related assessment of implants or devices is available via </w:t>
      </w:r>
      <w:hyperlink r:id="rId15" w:history="1">
        <w:r w:rsidR="00C46EDE" w:rsidRPr="00BB0085">
          <w:rPr>
            <w:rStyle w:val="Hyperlink"/>
          </w:rPr>
          <w:t>http://www.mrisafety.com/TMDL_list.php</w:t>
        </w:r>
      </w:hyperlink>
      <w:r w:rsidR="00A03B35" w:rsidRPr="00476A4D">
        <w:t>.</w:t>
      </w:r>
      <w:r w:rsidR="00DC1589">
        <w:t xml:space="preserve"> </w:t>
      </w:r>
    </w:p>
    <w:p w14:paraId="0E8182CB" w14:textId="71641E39" w:rsidR="00A03B35" w:rsidRDefault="00A03B35" w:rsidP="00867E94">
      <w:r w:rsidRPr="00476A4D">
        <w:t xml:space="preserve">In addition, </w:t>
      </w:r>
      <w:r>
        <w:t>gadolinium</w:t>
      </w:r>
      <w:r w:rsidR="00756ED0">
        <w:t>-b</w:t>
      </w:r>
      <w:r>
        <w:t>ased contrast agent (</w:t>
      </w:r>
      <w:r w:rsidRPr="00476A4D">
        <w:t>GBCA</w:t>
      </w:r>
      <w:r>
        <w:t>)</w:t>
      </w:r>
      <w:r w:rsidRPr="00476A4D">
        <w:t xml:space="preserve"> </w:t>
      </w:r>
      <w:r w:rsidR="00DC1589">
        <w:t>is</w:t>
      </w:r>
      <w:r w:rsidRPr="00C207D9">
        <w:t xml:space="preserve"> relatively safe</w:t>
      </w:r>
      <w:r w:rsidR="00DC1589">
        <w:t>;</w:t>
      </w:r>
      <w:r w:rsidRPr="00C207D9">
        <w:t xml:space="preserve"> </w:t>
      </w:r>
      <w:r>
        <w:t>however, a rare</w:t>
      </w:r>
      <w:r w:rsidRPr="00476A4D">
        <w:t xml:space="preserve"> acute allergy-like reaction can occur in approximately 0.07% of patients. </w:t>
      </w:r>
      <w:r>
        <w:t xml:space="preserve">Also, a small </w:t>
      </w:r>
      <w:r w:rsidRPr="00476A4D">
        <w:t>proportion</w:t>
      </w:r>
      <w:r w:rsidRPr="00C207D9">
        <w:t xml:space="preserve"> </w:t>
      </w:r>
      <w:r w:rsidRPr="00476A4D">
        <w:t xml:space="preserve">of patients who have claustrophobia may have difficulty undergoing </w:t>
      </w:r>
      <w:r w:rsidR="003843F3">
        <w:t>cardiac MRI</w:t>
      </w:r>
      <w:r w:rsidRPr="00476A4D">
        <w:t>, given the narrow diameter of the scanner and the long examination time</w:t>
      </w:r>
      <w:r>
        <w:t>.</w:t>
      </w:r>
      <w:r w:rsidRPr="00476A4D">
        <w:t xml:space="preserve"> </w:t>
      </w:r>
      <w:r w:rsidR="003843F3">
        <w:t>Cardiac MRI</w:t>
      </w:r>
      <w:r w:rsidRPr="00476A4D">
        <w:t xml:space="preserve"> </w:t>
      </w:r>
      <w:r w:rsidR="006D0C1D" w:rsidRPr="00476A4D">
        <w:t>is</w:t>
      </w:r>
      <w:r w:rsidRPr="00476A4D">
        <w:t xml:space="preserve"> superior in terms of safety compared to EMB as </w:t>
      </w:r>
      <w:r w:rsidR="003843F3">
        <w:t>cardiac MRI</w:t>
      </w:r>
      <w:r w:rsidRPr="00476A4D">
        <w:t xml:space="preserve"> is associated with decreased adverse effects</w:t>
      </w:r>
      <w:r>
        <w:rPr>
          <w:rStyle w:val="FootnoteReference"/>
        </w:rPr>
        <w:footnoteReference w:id="14"/>
      </w:r>
      <w:r w:rsidR="00C46EDE">
        <w:t>.</w:t>
      </w:r>
      <w:r w:rsidRPr="00476A4D">
        <w:t xml:space="preserve"> </w:t>
      </w:r>
      <w:r w:rsidRPr="0017695F">
        <w:t>CT</w:t>
      </w:r>
      <w:r w:rsidR="001D1CE4">
        <w:t>CA</w:t>
      </w:r>
      <w:r w:rsidRPr="0017695F">
        <w:t xml:space="preserve"> and MRI have similar safety implications relating to the use of contrast agents, but the main difference is that CT</w:t>
      </w:r>
      <w:r w:rsidR="001D1CE4">
        <w:t>CA</w:t>
      </w:r>
      <w:r w:rsidRPr="0017695F">
        <w:t xml:space="preserve"> exposes patients to ionising radiation, which increases the lifetime risk of radiation-induced cancer.</w:t>
      </w:r>
      <w:r>
        <w:t xml:space="preserve"> Therefore, </w:t>
      </w:r>
      <w:r w:rsidR="003843F3">
        <w:t>cardiac MRI</w:t>
      </w:r>
      <w:r>
        <w:t xml:space="preserve"> is safer </w:t>
      </w:r>
      <w:r w:rsidR="006D0C1D">
        <w:t>compared with CT</w:t>
      </w:r>
      <w:r w:rsidR="001D1CE4">
        <w:t>CA</w:t>
      </w:r>
      <w:r w:rsidR="006D0C1D">
        <w:t xml:space="preserve"> </w:t>
      </w:r>
      <w:r w:rsidRPr="0017695F">
        <w:t>because of the lack of ionising radiation and therefore lower associated cancer risk.</w:t>
      </w:r>
      <w:r w:rsidR="006D0C1D">
        <w:t xml:space="preserve"> </w:t>
      </w:r>
      <w:r>
        <w:t xml:space="preserve">Furthermore, </w:t>
      </w:r>
      <w:bookmarkStart w:id="27" w:name="_Hlk149914566"/>
      <w:r>
        <w:t>MRI</w:t>
      </w:r>
      <w:r w:rsidRPr="0017695F">
        <w:t xml:space="preserve"> imaging </w:t>
      </w:r>
      <w:r>
        <w:t>is</w:t>
      </w:r>
      <w:r w:rsidRPr="0017695F">
        <w:t xml:space="preserve"> undertaken widely in Australia </w:t>
      </w:r>
      <w:r>
        <w:t xml:space="preserve">for other conditions </w:t>
      </w:r>
      <w:r w:rsidRPr="0017695F">
        <w:t>and the safety profile for them is generally accepted</w:t>
      </w:r>
      <w:bookmarkEnd w:id="27"/>
      <w:r w:rsidRPr="0017695F">
        <w:t xml:space="preserve">, with individual clinicians responsible for assessing the risk-benefit ratio for their patient’s circumstances. </w:t>
      </w:r>
    </w:p>
    <w:p w14:paraId="19835208" w14:textId="50116BA3" w:rsidR="00A03B35" w:rsidRPr="00CE28E3" w:rsidRDefault="00F226F7" w:rsidP="00A03B35">
      <w:pPr>
        <w:pStyle w:val="Heading2"/>
        <w:numPr>
          <w:ilvl w:val="0"/>
          <w:numId w:val="0"/>
        </w:numPr>
      </w:pPr>
      <w:bookmarkStart w:id="28" w:name="_Toc155189743"/>
      <w:r>
        <w:t>12</w:t>
      </w:r>
      <w:r w:rsidR="00A03B35">
        <w:t>.</w:t>
      </w:r>
      <w:r w:rsidR="00A03B35">
        <w:tab/>
      </w:r>
      <w:r w:rsidR="00A03B35" w:rsidRPr="00CE28E3">
        <w:t>Comparative effectiveness</w:t>
      </w:r>
      <w:bookmarkEnd w:id="28"/>
    </w:p>
    <w:p w14:paraId="5DEEBDCB" w14:textId="70AA7C35" w:rsidR="00A03B35" w:rsidRPr="00C95F14" w:rsidRDefault="00A03B35" w:rsidP="00895144">
      <w:pPr>
        <w:pStyle w:val="Heading3"/>
      </w:pPr>
      <w:bookmarkStart w:id="29" w:name="_Toc155189744"/>
      <w:r>
        <w:t>T</w:t>
      </w:r>
      <w:r w:rsidRPr="00095E75">
        <w:t xml:space="preserve">he diagnostic accuracy of </w:t>
      </w:r>
      <w:r w:rsidR="003843F3">
        <w:t>cardiac MRI</w:t>
      </w:r>
      <w:r w:rsidRPr="00095E75">
        <w:t xml:space="preserve"> compared with EMB/clinical criteria </w:t>
      </w:r>
      <w:r>
        <w:t>(Cross sectional accuracy)</w:t>
      </w:r>
      <w:bookmarkEnd w:id="29"/>
    </w:p>
    <w:p w14:paraId="2AF3FA20" w14:textId="2534FCBC" w:rsidR="00A03B35" w:rsidRDefault="006D0C1D" w:rsidP="00756ED0">
      <w:pPr>
        <w:rPr>
          <w:color w:val="000000" w:themeColor="text1"/>
        </w:rPr>
      </w:pPr>
      <w:bookmarkStart w:id="30" w:name="_Hlk149565162"/>
      <w:r w:rsidRPr="00867E94">
        <w:t>F</w:t>
      </w:r>
      <w:r w:rsidR="00A03B35" w:rsidRPr="00867E94">
        <w:t xml:space="preserve">our </w:t>
      </w:r>
      <w:r w:rsidR="003843F3" w:rsidRPr="00867E94">
        <w:t>cardiac MRI</w:t>
      </w:r>
      <w:r w:rsidR="00A03B35" w:rsidRPr="00867E94">
        <w:t xml:space="preserve"> index tests </w:t>
      </w:r>
      <w:r w:rsidRPr="00867E94">
        <w:t>were considered:</w:t>
      </w:r>
      <w:r w:rsidR="00A03B35" w:rsidRPr="00867E94">
        <w:t xml:space="preserve"> T1 mapping, T2 mapping, LGE</w:t>
      </w:r>
      <w:r w:rsidR="00C46EDE" w:rsidRPr="00867E94">
        <w:t xml:space="preserve">, and </w:t>
      </w:r>
      <w:r w:rsidR="00A03B35" w:rsidRPr="00867E94">
        <w:t xml:space="preserve">LLC as interested in this application. The primary measures were sensitivity and specificity. All 5 systematic reviews and 16 individual studies identified in the updated systematic review </w:t>
      </w:r>
      <w:r w:rsidR="001D7E0B" w:rsidRPr="00867E94">
        <w:t>ha</w:t>
      </w:r>
      <w:r w:rsidR="001D7E0B">
        <w:t>d</w:t>
      </w:r>
      <w:r w:rsidR="001D7E0B" w:rsidRPr="00867E94">
        <w:t xml:space="preserve"> </w:t>
      </w:r>
      <w:r w:rsidR="00A03B35" w:rsidRPr="00867E94">
        <w:t>reported the sensitivity and specificity for the four index tests mentioned above and these values were obtained during data extraction</w:t>
      </w:r>
      <w:r w:rsidR="00A03B35">
        <w:rPr>
          <w:color w:val="000000" w:themeColor="text1"/>
        </w:rPr>
        <w:t xml:space="preserve">. </w:t>
      </w:r>
      <w:r w:rsidR="0059745D" w:rsidRPr="0059745D">
        <w:rPr>
          <w:color w:val="000000" w:themeColor="text1"/>
        </w:rPr>
        <w:t xml:space="preserve">No studies were identified that compared the diagnostic performance of cardiac MRI separately for Population 1 and 2 as specified in the ratified PICO. Instead, the study populations were defined broadly as patients suspected with acute myocarditis. Study details and results </w:t>
      </w:r>
      <w:r w:rsidR="00753C0D">
        <w:rPr>
          <w:color w:val="000000" w:themeColor="text1"/>
        </w:rPr>
        <w:t>we</w:t>
      </w:r>
      <w:r w:rsidR="0059745D" w:rsidRPr="0059745D">
        <w:rPr>
          <w:color w:val="000000" w:themeColor="text1"/>
        </w:rPr>
        <w:t>re therefore reported representing both Populations 1 and</w:t>
      </w:r>
      <w:r w:rsidR="00D1742B">
        <w:rPr>
          <w:color w:val="000000" w:themeColor="text1"/>
        </w:rPr>
        <w:t> </w:t>
      </w:r>
      <w:r w:rsidR="0059745D" w:rsidRPr="0059745D">
        <w:rPr>
          <w:color w:val="000000" w:themeColor="text1"/>
        </w:rPr>
        <w:t>2.</w:t>
      </w:r>
    </w:p>
    <w:p w14:paraId="6CCF6E3F" w14:textId="77777777" w:rsidR="00A03B35" w:rsidRDefault="00A03B35" w:rsidP="00266B3B">
      <w:pPr>
        <w:pStyle w:val="Instructionaltext"/>
        <w:keepNext/>
        <w:keepLines/>
        <w:rPr>
          <w:b/>
          <w:bCs/>
          <w:i/>
          <w:iCs/>
          <w:color w:val="000000" w:themeColor="text1"/>
        </w:rPr>
      </w:pPr>
      <w:r w:rsidRPr="00A21A68">
        <w:rPr>
          <w:b/>
          <w:bCs/>
          <w:i/>
          <w:iCs/>
          <w:color w:val="000000" w:themeColor="text1"/>
        </w:rPr>
        <w:lastRenderedPageBreak/>
        <w:t xml:space="preserve">Evidence from the </w:t>
      </w:r>
      <w:r>
        <w:rPr>
          <w:b/>
          <w:bCs/>
          <w:i/>
          <w:iCs/>
          <w:color w:val="000000" w:themeColor="text1"/>
        </w:rPr>
        <w:t xml:space="preserve">five systematic reviews </w:t>
      </w:r>
    </w:p>
    <w:bookmarkEnd w:id="30"/>
    <w:p w14:paraId="6CC551CF" w14:textId="7B6CC394" w:rsidR="00A03B35" w:rsidRDefault="00756ED0" w:rsidP="00266B3B">
      <w:pPr>
        <w:keepNext/>
        <w:keepLines/>
      </w:pPr>
      <w:r>
        <w:rPr>
          <w:highlight w:val="yellow"/>
        </w:rPr>
        <w:fldChar w:fldCharType="begin"/>
      </w:r>
      <w:r>
        <w:instrText xml:space="preserve"> REF _Ref150182524 \h </w:instrText>
      </w:r>
      <w:r w:rsidR="00867E94">
        <w:rPr>
          <w:highlight w:val="yellow"/>
        </w:rPr>
        <w:instrText xml:space="preserve"> \* MERGEFORMAT </w:instrText>
      </w:r>
      <w:r>
        <w:rPr>
          <w:highlight w:val="yellow"/>
        </w:rPr>
      </w:r>
      <w:r>
        <w:rPr>
          <w:highlight w:val="yellow"/>
        </w:rPr>
        <w:fldChar w:fldCharType="separate"/>
      </w:r>
      <w:r w:rsidR="00670648">
        <w:t xml:space="preserve">Table </w:t>
      </w:r>
      <w:r w:rsidR="00670648">
        <w:rPr>
          <w:noProof/>
        </w:rPr>
        <w:t>4</w:t>
      </w:r>
      <w:r>
        <w:rPr>
          <w:highlight w:val="yellow"/>
        </w:rPr>
        <w:fldChar w:fldCharType="end"/>
      </w:r>
      <w:r>
        <w:t xml:space="preserve"> </w:t>
      </w:r>
      <w:r w:rsidR="00A03B35" w:rsidRPr="00127ACA">
        <w:t>summarise</w:t>
      </w:r>
      <w:r>
        <w:t>s</w:t>
      </w:r>
      <w:r w:rsidR="00A03B35" w:rsidRPr="00127ACA">
        <w:t xml:space="preserve"> the results </w:t>
      </w:r>
      <w:r w:rsidR="00A03B35">
        <w:t xml:space="preserve">reported in the systematic reviews for diagnostic accuracy of each index test in </w:t>
      </w:r>
      <w:r w:rsidR="003843F3">
        <w:t>cardiac MRI</w:t>
      </w:r>
      <w:r w:rsidR="00A03B35">
        <w:t>.</w:t>
      </w:r>
      <w:r w:rsidR="00A03B35" w:rsidRPr="00127ACA">
        <w:t xml:space="preserve"> </w:t>
      </w:r>
    </w:p>
    <w:p w14:paraId="28EE42F1" w14:textId="16980439" w:rsidR="00A03B35" w:rsidRDefault="00A03B35" w:rsidP="009B51F0">
      <w:pPr>
        <w:pStyle w:val="Caption"/>
      </w:pPr>
      <w:bookmarkStart w:id="31" w:name="_Ref150182524"/>
      <w:bookmarkStart w:id="32" w:name="_Toc155173764"/>
      <w:r>
        <w:t xml:space="preserve">Table </w:t>
      </w:r>
      <w:r>
        <w:fldChar w:fldCharType="begin"/>
      </w:r>
      <w:r>
        <w:instrText>SEQ Table \* ARABIC</w:instrText>
      </w:r>
      <w:r>
        <w:fldChar w:fldCharType="separate"/>
      </w:r>
      <w:r w:rsidR="00EE5F4F">
        <w:rPr>
          <w:noProof/>
        </w:rPr>
        <w:t>4</w:t>
      </w:r>
      <w:r>
        <w:fldChar w:fldCharType="end"/>
      </w:r>
      <w:bookmarkEnd w:id="31"/>
      <w:r w:rsidR="00756ED0">
        <w:tab/>
        <w:t>R</w:t>
      </w:r>
      <w:r>
        <w:t xml:space="preserve">esults reported in the systematic </w:t>
      </w:r>
      <w:proofErr w:type="gramStart"/>
      <w:r>
        <w:t>reviews</w:t>
      </w:r>
      <w:bookmarkEnd w:id="32"/>
      <w:proofErr w:type="gramEnd"/>
    </w:p>
    <w:tbl>
      <w:tblPr>
        <w:tblStyle w:val="TableGrid"/>
        <w:tblW w:w="5000" w:type="pct"/>
        <w:tblLook w:val="04A0" w:firstRow="1" w:lastRow="0" w:firstColumn="1" w:lastColumn="0" w:noHBand="0" w:noVBand="1"/>
      </w:tblPr>
      <w:tblGrid>
        <w:gridCol w:w="979"/>
        <w:gridCol w:w="563"/>
        <w:gridCol w:w="581"/>
        <w:gridCol w:w="1159"/>
        <w:gridCol w:w="1131"/>
        <w:gridCol w:w="1127"/>
        <w:gridCol w:w="1269"/>
        <w:gridCol w:w="1168"/>
        <w:gridCol w:w="1039"/>
      </w:tblGrid>
      <w:tr w:rsidR="00C46EDE" w:rsidRPr="001C3D74" w14:paraId="7AFAF007" w14:textId="77777777" w:rsidTr="00416D48">
        <w:trPr>
          <w:tblHeader/>
        </w:trPr>
        <w:tc>
          <w:tcPr>
            <w:tcW w:w="543" w:type="pct"/>
            <w:vAlign w:val="center"/>
          </w:tcPr>
          <w:p w14:paraId="578ADFEE" w14:textId="77777777" w:rsidR="00A03B35" w:rsidRPr="00D33786" w:rsidRDefault="00A03B35" w:rsidP="00416D48">
            <w:pPr>
              <w:pStyle w:val="TableText"/>
              <w:jc w:val="center"/>
              <w:rPr>
                <w:b/>
                <w:bCs/>
              </w:rPr>
            </w:pPr>
            <w:r w:rsidRPr="00D33786">
              <w:rPr>
                <w:b/>
                <w:bCs/>
              </w:rPr>
              <w:t>Analysis</w:t>
            </w:r>
          </w:p>
        </w:tc>
        <w:tc>
          <w:tcPr>
            <w:tcW w:w="312" w:type="pct"/>
            <w:vAlign w:val="center"/>
          </w:tcPr>
          <w:p w14:paraId="05BD9923" w14:textId="7320FC19" w:rsidR="00A03B35" w:rsidRPr="00D33786" w:rsidRDefault="00416D48" w:rsidP="00416D48">
            <w:pPr>
              <w:pStyle w:val="TableText"/>
              <w:jc w:val="center"/>
              <w:rPr>
                <w:b/>
                <w:bCs/>
              </w:rPr>
            </w:pPr>
            <w:r>
              <w:rPr>
                <w:b/>
                <w:bCs/>
              </w:rPr>
              <w:t>K</w:t>
            </w:r>
          </w:p>
        </w:tc>
        <w:tc>
          <w:tcPr>
            <w:tcW w:w="322" w:type="pct"/>
            <w:vAlign w:val="center"/>
          </w:tcPr>
          <w:p w14:paraId="55A887DD" w14:textId="77777777" w:rsidR="00A03B35" w:rsidRPr="00D33786" w:rsidRDefault="00A03B35" w:rsidP="00416D48">
            <w:pPr>
              <w:pStyle w:val="TableText"/>
              <w:jc w:val="center"/>
              <w:rPr>
                <w:b/>
                <w:bCs/>
              </w:rPr>
            </w:pPr>
            <w:r w:rsidRPr="00D33786">
              <w:rPr>
                <w:b/>
                <w:bCs/>
              </w:rPr>
              <w:t>N</w:t>
            </w:r>
          </w:p>
        </w:tc>
        <w:tc>
          <w:tcPr>
            <w:tcW w:w="643" w:type="pct"/>
            <w:vAlign w:val="center"/>
          </w:tcPr>
          <w:p w14:paraId="3D71134F" w14:textId="77777777" w:rsidR="00A03B35" w:rsidRPr="00D33786" w:rsidRDefault="00A03B35" w:rsidP="00416D48">
            <w:pPr>
              <w:pStyle w:val="TableText"/>
              <w:jc w:val="center"/>
              <w:rPr>
                <w:b/>
                <w:bCs/>
              </w:rPr>
            </w:pPr>
            <w:r w:rsidRPr="00D33786">
              <w:rPr>
                <w:b/>
                <w:bCs/>
              </w:rPr>
              <w:t>Sensitivity</w:t>
            </w:r>
          </w:p>
        </w:tc>
        <w:tc>
          <w:tcPr>
            <w:tcW w:w="627" w:type="pct"/>
            <w:vAlign w:val="center"/>
          </w:tcPr>
          <w:p w14:paraId="35FE985D" w14:textId="77777777" w:rsidR="00A03B35" w:rsidRPr="00D33786" w:rsidRDefault="00A03B35" w:rsidP="00416D48">
            <w:pPr>
              <w:pStyle w:val="TableText"/>
              <w:jc w:val="center"/>
              <w:rPr>
                <w:b/>
                <w:bCs/>
              </w:rPr>
            </w:pPr>
            <w:r w:rsidRPr="00D33786">
              <w:rPr>
                <w:b/>
                <w:bCs/>
              </w:rPr>
              <w:t>Specificity</w:t>
            </w:r>
          </w:p>
        </w:tc>
        <w:tc>
          <w:tcPr>
            <w:tcW w:w="625" w:type="pct"/>
            <w:vAlign w:val="center"/>
          </w:tcPr>
          <w:p w14:paraId="0327F963" w14:textId="77777777" w:rsidR="00A03B35" w:rsidRPr="00D33786" w:rsidRDefault="00A03B35" w:rsidP="00416D48">
            <w:pPr>
              <w:pStyle w:val="TableText"/>
              <w:jc w:val="center"/>
              <w:rPr>
                <w:b/>
                <w:bCs/>
              </w:rPr>
            </w:pPr>
            <w:r w:rsidRPr="00D33786">
              <w:rPr>
                <w:b/>
                <w:bCs/>
              </w:rPr>
              <w:t>AUC</w:t>
            </w:r>
          </w:p>
        </w:tc>
        <w:tc>
          <w:tcPr>
            <w:tcW w:w="704" w:type="pct"/>
            <w:vAlign w:val="center"/>
          </w:tcPr>
          <w:p w14:paraId="2F96F706" w14:textId="77777777" w:rsidR="00A03B35" w:rsidRPr="00D33786" w:rsidRDefault="00A03B35" w:rsidP="00416D48">
            <w:pPr>
              <w:pStyle w:val="TableText"/>
              <w:jc w:val="center"/>
              <w:rPr>
                <w:b/>
                <w:bCs/>
              </w:rPr>
            </w:pPr>
            <w:r w:rsidRPr="00D33786">
              <w:rPr>
                <w:b/>
                <w:bCs/>
              </w:rPr>
              <w:t>Diagnostic Odds Ratio</w:t>
            </w:r>
          </w:p>
        </w:tc>
        <w:tc>
          <w:tcPr>
            <w:tcW w:w="648" w:type="pct"/>
            <w:vAlign w:val="center"/>
          </w:tcPr>
          <w:p w14:paraId="4D8F7387" w14:textId="77777777" w:rsidR="00A03B35" w:rsidRPr="00D33786" w:rsidRDefault="00A03B35" w:rsidP="00416D48">
            <w:pPr>
              <w:pStyle w:val="TableText"/>
              <w:jc w:val="center"/>
              <w:rPr>
                <w:b/>
                <w:bCs/>
              </w:rPr>
            </w:pPr>
            <w:r w:rsidRPr="00D33786">
              <w:rPr>
                <w:b/>
                <w:bCs/>
              </w:rPr>
              <w:t>Positive Likelihood Ratio</w:t>
            </w:r>
          </w:p>
        </w:tc>
        <w:tc>
          <w:tcPr>
            <w:tcW w:w="576" w:type="pct"/>
            <w:vAlign w:val="center"/>
          </w:tcPr>
          <w:p w14:paraId="134FE46D" w14:textId="77777777" w:rsidR="00A03B35" w:rsidRPr="00D33786" w:rsidRDefault="00A03B35" w:rsidP="00416D48">
            <w:pPr>
              <w:pStyle w:val="TableText"/>
              <w:jc w:val="center"/>
              <w:rPr>
                <w:b/>
                <w:bCs/>
              </w:rPr>
            </w:pPr>
            <w:r w:rsidRPr="00D33786">
              <w:rPr>
                <w:b/>
                <w:bCs/>
              </w:rPr>
              <w:t>Negative Likelihood Ratio</w:t>
            </w:r>
          </w:p>
        </w:tc>
      </w:tr>
      <w:tr w:rsidR="00A03B35" w:rsidRPr="001C3D74" w14:paraId="65C6CE34" w14:textId="77777777" w:rsidTr="0009418F">
        <w:trPr>
          <w:trHeight w:val="269"/>
        </w:trPr>
        <w:tc>
          <w:tcPr>
            <w:tcW w:w="5000" w:type="pct"/>
            <w:gridSpan w:val="9"/>
            <w:vAlign w:val="center"/>
          </w:tcPr>
          <w:p w14:paraId="07D732DC" w14:textId="77777777" w:rsidR="00A03B35" w:rsidRPr="00D33786" w:rsidRDefault="00A03B35" w:rsidP="007C0D37">
            <w:pPr>
              <w:pStyle w:val="TableText"/>
              <w:rPr>
                <w:b/>
                <w:bCs/>
              </w:rPr>
            </w:pPr>
            <w:r w:rsidRPr="00D33786">
              <w:rPr>
                <w:b/>
                <w:bCs/>
              </w:rPr>
              <w:t>Native T1 mapping</w:t>
            </w:r>
          </w:p>
        </w:tc>
      </w:tr>
      <w:tr w:rsidR="00C46EDE" w:rsidRPr="001C3D74" w14:paraId="431222F4" w14:textId="77777777" w:rsidTr="00416D48">
        <w:tc>
          <w:tcPr>
            <w:tcW w:w="543" w:type="pct"/>
            <w:vAlign w:val="center"/>
          </w:tcPr>
          <w:p w14:paraId="16E18825" w14:textId="0B09232C" w:rsidR="00A03B35" w:rsidRPr="001C3D74" w:rsidRDefault="00A03B35" w:rsidP="007C0D37">
            <w:pPr>
              <w:pStyle w:val="TableText"/>
            </w:pPr>
            <w:proofErr w:type="spellStart"/>
            <w:r w:rsidRPr="001C3D74">
              <w:t>Blissett</w:t>
            </w:r>
            <w:proofErr w:type="spellEnd"/>
            <w:r w:rsidRPr="001C3D74">
              <w:t xml:space="preserve"> et al. 2019</w:t>
            </w:r>
          </w:p>
        </w:tc>
        <w:tc>
          <w:tcPr>
            <w:tcW w:w="312" w:type="pct"/>
            <w:vAlign w:val="center"/>
          </w:tcPr>
          <w:p w14:paraId="6530B274" w14:textId="77777777" w:rsidR="00A03B35" w:rsidRPr="001C3D74" w:rsidRDefault="00A03B35" w:rsidP="00C46EDE">
            <w:pPr>
              <w:pStyle w:val="TableText"/>
              <w:jc w:val="center"/>
            </w:pPr>
            <w:r w:rsidRPr="001C3D74">
              <w:t>9</w:t>
            </w:r>
          </w:p>
        </w:tc>
        <w:tc>
          <w:tcPr>
            <w:tcW w:w="322" w:type="pct"/>
            <w:vAlign w:val="center"/>
          </w:tcPr>
          <w:p w14:paraId="183B0321" w14:textId="77777777" w:rsidR="00A03B35" w:rsidRPr="001C3D74" w:rsidRDefault="00A03B35" w:rsidP="00C46EDE">
            <w:pPr>
              <w:pStyle w:val="TableText"/>
              <w:jc w:val="center"/>
            </w:pPr>
            <w:r w:rsidRPr="001C3D74">
              <w:t>560</w:t>
            </w:r>
          </w:p>
        </w:tc>
        <w:tc>
          <w:tcPr>
            <w:tcW w:w="643" w:type="pct"/>
            <w:vAlign w:val="center"/>
          </w:tcPr>
          <w:p w14:paraId="2AF3CD8D" w14:textId="77777777" w:rsidR="00A03B35" w:rsidRPr="001C3D74" w:rsidRDefault="00A03B35" w:rsidP="00C46EDE">
            <w:pPr>
              <w:pStyle w:val="TableText"/>
              <w:jc w:val="center"/>
            </w:pPr>
            <w:r w:rsidRPr="001C3D74">
              <w:t>0.82</w:t>
            </w:r>
          </w:p>
        </w:tc>
        <w:tc>
          <w:tcPr>
            <w:tcW w:w="627" w:type="pct"/>
            <w:vAlign w:val="center"/>
          </w:tcPr>
          <w:p w14:paraId="6621556A" w14:textId="77777777" w:rsidR="00A03B35" w:rsidRPr="001C3D74" w:rsidRDefault="00A03B35" w:rsidP="00C46EDE">
            <w:pPr>
              <w:pStyle w:val="TableText"/>
              <w:jc w:val="center"/>
            </w:pPr>
            <w:r w:rsidRPr="001C3D74">
              <w:t>0.87</w:t>
            </w:r>
          </w:p>
        </w:tc>
        <w:tc>
          <w:tcPr>
            <w:tcW w:w="625" w:type="pct"/>
            <w:vAlign w:val="center"/>
          </w:tcPr>
          <w:p w14:paraId="27D6B061" w14:textId="0280DEAF" w:rsidR="00A03B35" w:rsidRPr="001C3D74" w:rsidRDefault="00A03B35" w:rsidP="00C46EDE">
            <w:pPr>
              <w:pStyle w:val="TableText"/>
              <w:jc w:val="center"/>
            </w:pPr>
            <w:r w:rsidRPr="001C3D74">
              <w:t>NR</w:t>
            </w:r>
          </w:p>
        </w:tc>
        <w:tc>
          <w:tcPr>
            <w:tcW w:w="704" w:type="pct"/>
            <w:vAlign w:val="center"/>
          </w:tcPr>
          <w:p w14:paraId="72395027" w14:textId="24EB802C" w:rsidR="00A03B35" w:rsidRPr="001C3D74" w:rsidRDefault="00A03B35" w:rsidP="00C46EDE">
            <w:pPr>
              <w:pStyle w:val="TableText"/>
              <w:jc w:val="center"/>
            </w:pPr>
            <w:r w:rsidRPr="001C3D74">
              <w:t>NR</w:t>
            </w:r>
          </w:p>
        </w:tc>
        <w:tc>
          <w:tcPr>
            <w:tcW w:w="648" w:type="pct"/>
            <w:vAlign w:val="center"/>
          </w:tcPr>
          <w:p w14:paraId="1BC4DCFC" w14:textId="79A0CBFC" w:rsidR="00A03B35" w:rsidRPr="001C3D74" w:rsidRDefault="00A03B35" w:rsidP="00C46EDE">
            <w:pPr>
              <w:pStyle w:val="TableText"/>
              <w:jc w:val="center"/>
            </w:pPr>
            <w:r w:rsidRPr="001C3D74">
              <w:t>NR</w:t>
            </w:r>
          </w:p>
        </w:tc>
        <w:tc>
          <w:tcPr>
            <w:tcW w:w="576" w:type="pct"/>
            <w:vAlign w:val="center"/>
          </w:tcPr>
          <w:p w14:paraId="6A5E69EA" w14:textId="28BE75A3" w:rsidR="00A03B35" w:rsidRPr="001C3D74" w:rsidRDefault="00A03B35" w:rsidP="00C46EDE">
            <w:pPr>
              <w:pStyle w:val="TableText"/>
              <w:jc w:val="center"/>
            </w:pPr>
            <w:r w:rsidRPr="001C3D74">
              <w:t>NR</w:t>
            </w:r>
          </w:p>
        </w:tc>
      </w:tr>
      <w:tr w:rsidR="00C46EDE" w:rsidRPr="001C3D74" w14:paraId="09587F4D" w14:textId="77777777" w:rsidTr="00416D48">
        <w:tc>
          <w:tcPr>
            <w:tcW w:w="543" w:type="pct"/>
            <w:vAlign w:val="center"/>
          </w:tcPr>
          <w:p w14:paraId="29D3C887" w14:textId="445F3087" w:rsidR="00A03B35" w:rsidRPr="001C3D74" w:rsidRDefault="00A03B35" w:rsidP="007C0D37">
            <w:pPr>
              <w:pStyle w:val="TableText"/>
            </w:pPr>
            <w:r w:rsidRPr="001C3D74">
              <w:t>Jia et al. 2019</w:t>
            </w:r>
          </w:p>
        </w:tc>
        <w:tc>
          <w:tcPr>
            <w:tcW w:w="312" w:type="pct"/>
            <w:vAlign w:val="center"/>
          </w:tcPr>
          <w:p w14:paraId="3CC0AD5F" w14:textId="77777777" w:rsidR="00A03B35" w:rsidRPr="001C3D74" w:rsidRDefault="00A03B35" w:rsidP="00C46EDE">
            <w:pPr>
              <w:pStyle w:val="TableText"/>
              <w:jc w:val="center"/>
            </w:pPr>
            <w:r w:rsidRPr="001C3D74">
              <w:t>8</w:t>
            </w:r>
          </w:p>
        </w:tc>
        <w:tc>
          <w:tcPr>
            <w:tcW w:w="322" w:type="pct"/>
            <w:vAlign w:val="center"/>
          </w:tcPr>
          <w:p w14:paraId="46C7F68B" w14:textId="77777777" w:rsidR="00A03B35" w:rsidRPr="001C3D74" w:rsidRDefault="00A03B35" w:rsidP="00C46EDE">
            <w:pPr>
              <w:pStyle w:val="TableText"/>
              <w:jc w:val="center"/>
            </w:pPr>
            <w:r w:rsidRPr="001C3D74">
              <w:t>582</w:t>
            </w:r>
          </w:p>
        </w:tc>
        <w:tc>
          <w:tcPr>
            <w:tcW w:w="643" w:type="pct"/>
            <w:vAlign w:val="center"/>
          </w:tcPr>
          <w:p w14:paraId="004A14F5" w14:textId="2DB3C80E" w:rsidR="00A03B35" w:rsidRDefault="00A03B35" w:rsidP="00C46EDE">
            <w:pPr>
              <w:pStyle w:val="TableText"/>
              <w:jc w:val="center"/>
            </w:pPr>
            <w:r w:rsidRPr="001C3D74">
              <w:t>0.84</w:t>
            </w:r>
          </w:p>
          <w:p w14:paraId="3512A20B" w14:textId="77777777" w:rsidR="00A03B35" w:rsidRPr="001C3D74" w:rsidRDefault="00A03B35" w:rsidP="00C46EDE">
            <w:pPr>
              <w:pStyle w:val="TableText"/>
              <w:jc w:val="center"/>
            </w:pPr>
            <w:r w:rsidRPr="001C3D74">
              <w:t>(0.78-0.88)</w:t>
            </w:r>
          </w:p>
        </w:tc>
        <w:tc>
          <w:tcPr>
            <w:tcW w:w="627" w:type="pct"/>
            <w:vAlign w:val="center"/>
          </w:tcPr>
          <w:p w14:paraId="26DF4BD4" w14:textId="650E92C1" w:rsidR="00A03B35" w:rsidRDefault="00A03B35" w:rsidP="00C46EDE">
            <w:pPr>
              <w:pStyle w:val="TableText"/>
              <w:jc w:val="center"/>
            </w:pPr>
            <w:r w:rsidRPr="001C3D74">
              <w:t>0.86</w:t>
            </w:r>
          </w:p>
          <w:p w14:paraId="5F6CBEFC" w14:textId="77777777" w:rsidR="00A03B35" w:rsidRPr="001C3D74" w:rsidRDefault="00A03B35" w:rsidP="00C46EDE">
            <w:pPr>
              <w:pStyle w:val="TableText"/>
              <w:jc w:val="center"/>
            </w:pPr>
            <w:r w:rsidRPr="001C3D74">
              <w:t>(0.69-0.95)</w:t>
            </w:r>
          </w:p>
        </w:tc>
        <w:tc>
          <w:tcPr>
            <w:tcW w:w="625" w:type="pct"/>
            <w:vAlign w:val="center"/>
          </w:tcPr>
          <w:p w14:paraId="69E7A183" w14:textId="7B20F5DD" w:rsidR="00A03B35" w:rsidRPr="001C3D74" w:rsidRDefault="00A03B35" w:rsidP="00C46EDE">
            <w:pPr>
              <w:pStyle w:val="TableText"/>
              <w:jc w:val="center"/>
            </w:pPr>
            <w:r w:rsidRPr="001C3D74">
              <w:t>NR</w:t>
            </w:r>
          </w:p>
        </w:tc>
        <w:tc>
          <w:tcPr>
            <w:tcW w:w="704" w:type="pct"/>
            <w:vAlign w:val="center"/>
          </w:tcPr>
          <w:p w14:paraId="762C01DE" w14:textId="3A8513E0" w:rsidR="00A03B35" w:rsidRPr="001C3D74" w:rsidRDefault="00A03B35" w:rsidP="00C46EDE">
            <w:pPr>
              <w:pStyle w:val="TableText"/>
              <w:jc w:val="center"/>
            </w:pPr>
            <w:r w:rsidRPr="001C3D74">
              <w:t>NR</w:t>
            </w:r>
          </w:p>
        </w:tc>
        <w:tc>
          <w:tcPr>
            <w:tcW w:w="648" w:type="pct"/>
            <w:vAlign w:val="center"/>
          </w:tcPr>
          <w:p w14:paraId="11509557" w14:textId="1E584421" w:rsidR="00A03B35" w:rsidRPr="001C3D74" w:rsidRDefault="00A03B35" w:rsidP="00C46EDE">
            <w:pPr>
              <w:pStyle w:val="TableText"/>
              <w:jc w:val="center"/>
            </w:pPr>
            <w:r w:rsidRPr="001C3D74">
              <w:t>NR</w:t>
            </w:r>
          </w:p>
        </w:tc>
        <w:tc>
          <w:tcPr>
            <w:tcW w:w="576" w:type="pct"/>
            <w:vAlign w:val="center"/>
          </w:tcPr>
          <w:p w14:paraId="5B7DEF77" w14:textId="3B3A71F7" w:rsidR="00A03B35" w:rsidRPr="001C3D74" w:rsidRDefault="00A03B35" w:rsidP="00C46EDE">
            <w:pPr>
              <w:pStyle w:val="TableText"/>
              <w:jc w:val="center"/>
            </w:pPr>
            <w:r w:rsidRPr="001C3D74">
              <w:t>NR</w:t>
            </w:r>
          </w:p>
        </w:tc>
      </w:tr>
      <w:tr w:rsidR="00C46EDE" w:rsidRPr="001C3D74" w14:paraId="4712E86E" w14:textId="77777777" w:rsidTr="00416D48">
        <w:tc>
          <w:tcPr>
            <w:tcW w:w="543" w:type="pct"/>
            <w:vAlign w:val="center"/>
          </w:tcPr>
          <w:p w14:paraId="23186300" w14:textId="5A4C6A0F" w:rsidR="00A03B35" w:rsidRPr="001C3D74" w:rsidRDefault="00A03B35" w:rsidP="007C0D37">
            <w:pPr>
              <w:pStyle w:val="TableText"/>
            </w:pPr>
            <w:proofErr w:type="spellStart"/>
            <w:r>
              <w:t>Kotanidis</w:t>
            </w:r>
            <w:proofErr w:type="spellEnd"/>
            <w:r>
              <w:t xml:space="preserve"> et al</w:t>
            </w:r>
            <w:r w:rsidR="00535567">
              <w:t xml:space="preserve">. </w:t>
            </w:r>
            <w:r>
              <w:t>2018</w:t>
            </w:r>
          </w:p>
        </w:tc>
        <w:tc>
          <w:tcPr>
            <w:tcW w:w="312" w:type="pct"/>
            <w:vAlign w:val="center"/>
          </w:tcPr>
          <w:p w14:paraId="799AA90D" w14:textId="77777777" w:rsidR="00A03B35" w:rsidRPr="001C3D74" w:rsidRDefault="00A03B35" w:rsidP="00C46EDE">
            <w:pPr>
              <w:pStyle w:val="TableText"/>
              <w:jc w:val="center"/>
            </w:pPr>
            <w:r>
              <w:t>7</w:t>
            </w:r>
          </w:p>
        </w:tc>
        <w:tc>
          <w:tcPr>
            <w:tcW w:w="322" w:type="pct"/>
            <w:vAlign w:val="center"/>
          </w:tcPr>
          <w:p w14:paraId="3D543E73" w14:textId="77777777" w:rsidR="00A03B35" w:rsidRPr="00DD3672" w:rsidRDefault="00A03B35" w:rsidP="00C46EDE">
            <w:pPr>
              <w:pStyle w:val="TableText"/>
              <w:jc w:val="center"/>
            </w:pPr>
            <w:r w:rsidRPr="00DD3672">
              <w:t>583</w:t>
            </w:r>
          </w:p>
        </w:tc>
        <w:tc>
          <w:tcPr>
            <w:tcW w:w="643" w:type="pct"/>
            <w:vAlign w:val="center"/>
          </w:tcPr>
          <w:p w14:paraId="63EC9CD0" w14:textId="4C32F19D" w:rsidR="00A03B35" w:rsidRPr="00DD3672" w:rsidRDefault="00A03B35" w:rsidP="00C46EDE">
            <w:pPr>
              <w:pStyle w:val="TableText"/>
              <w:jc w:val="center"/>
            </w:pPr>
            <w:r w:rsidRPr="00DD3672">
              <w:t>0.89</w:t>
            </w:r>
          </w:p>
          <w:p w14:paraId="0748CC01" w14:textId="596BE88E" w:rsidR="00A03B35" w:rsidRPr="00DD3672" w:rsidRDefault="00A03B35" w:rsidP="00C46EDE">
            <w:pPr>
              <w:pStyle w:val="TableText"/>
              <w:jc w:val="center"/>
            </w:pPr>
            <w:r w:rsidRPr="00DD3672">
              <w:t>(0.79–0.94)</w:t>
            </w:r>
          </w:p>
        </w:tc>
        <w:tc>
          <w:tcPr>
            <w:tcW w:w="627" w:type="pct"/>
            <w:vAlign w:val="center"/>
          </w:tcPr>
          <w:p w14:paraId="0EC7002F" w14:textId="1BC5653B" w:rsidR="00A03B35" w:rsidRPr="00DD3672" w:rsidRDefault="00A03B35" w:rsidP="00C46EDE">
            <w:pPr>
              <w:pStyle w:val="TableText"/>
              <w:jc w:val="center"/>
            </w:pPr>
            <w:r w:rsidRPr="00DD3672">
              <w:t>0.90</w:t>
            </w:r>
          </w:p>
          <w:p w14:paraId="035EB8EF" w14:textId="77777777" w:rsidR="00A03B35" w:rsidRPr="00DD3672" w:rsidRDefault="00A03B35" w:rsidP="00C46EDE">
            <w:pPr>
              <w:pStyle w:val="TableText"/>
              <w:jc w:val="center"/>
            </w:pPr>
            <w:r w:rsidRPr="00DD3672">
              <w:t>(0.78–0.96)</w:t>
            </w:r>
          </w:p>
        </w:tc>
        <w:tc>
          <w:tcPr>
            <w:tcW w:w="625" w:type="pct"/>
            <w:vAlign w:val="center"/>
          </w:tcPr>
          <w:p w14:paraId="637A700E" w14:textId="7EC95382" w:rsidR="00C46EDE" w:rsidRDefault="00A03B35" w:rsidP="00C46EDE">
            <w:pPr>
              <w:pStyle w:val="TableText"/>
              <w:jc w:val="center"/>
            </w:pPr>
            <w:r w:rsidRPr="00DD3672">
              <w:t>0.95</w:t>
            </w:r>
          </w:p>
          <w:p w14:paraId="0B783CC9" w14:textId="3B0C5735" w:rsidR="00A03B35" w:rsidRPr="00DD3672" w:rsidRDefault="00A03B35" w:rsidP="00C46EDE">
            <w:pPr>
              <w:pStyle w:val="TableText"/>
              <w:jc w:val="center"/>
            </w:pPr>
            <w:r w:rsidRPr="00DD3672">
              <w:t>(0.93–0.97)</w:t>
            </w:r>
          </w:p>
        </w:tc>
        <w:tc>
          <w:tcPr>
            <w:tcW w:w="704" w:type="pct"/>
            <w:vAlign w:val="center"/>
          </w:tcPr>
          <w:p w14:paraId="241345BF" w14:textId="0C95A295" w:rsidR="00C46EDE" w:rsidRDefault="00A03B35" w:rsidP="00C46EDE">
            <w:pPr>
              <w:pStyle w:val="TableText"/>
              <w:jc w:val="center"/>
            </w:pPr>
            <w:r w:rsidRPr="00DD3672">
              <w:t>71.31</w:t>
            </w:r>
          </w:p>
          <w:p w14:paraId="1EC09D26" w14:textId="011880D6" w:rsidR="00A03B35" w:rsidRPr="00DD3672" w:rsidRDefault="00A03B35" w:rsidP="00C46EDE">
            <w:pPr>
              <w:pStyle w:val="TableText"/>
              <w:jc w:val="center"/>
            </w:pPr>
            <w:r w:rsidRPr="00DD3672">
              <w:t>(17.7</w:t>
            </w:r>
            <w:r>
              <w:t>-</w:t>
            </w:r>
            <w:r w:rsidRPr="00DD3672">
              <w:t>287.22)</w:t>
            </w:r>
          </w:p>
        </w:tc>
        <w:tc>
          <w:tcPr>
            <w:tcW w:w="648" w:type="pct"/>
            <w:vAlign w:val="center"/>
          </w:tcPr>
          <w:p w14:paraId="371A939A" w14:textId="638AE772" w:rsidR="00C46EDE" w:rsidRDefault="00A03B35" w:rsidP="00C46EDE">
            <w:pPr>
              <w:pStyle w:val="TableText"/>
              <w:jc w:val="center"/>
            </w:pPr>
            <w:r w:rsidRPr="00DD3672">
              <w:t>8.87</w:t>
            </w:r>
          </w:p>
          <w:p w14:paraId="5E598223" w14:textId="019B1FAB" w:rsidR="00A03B35" w:rsidRPr="00DD3672" w:rsidRDefault="00A03B35" w:rsidP="00C46EDE">
            <w:pPr>
              <w:pStyle w:val="TableText"/>
              <w:jc w:val="center"/>
            </w:pPr>
            <w:r w:rsidRPr="00DD3672">
              <w:t>(3.69–21.34)</w:t>
            </w:r>
          </w:p>
        </w:tc>
        <w:tc>
          <w:tcPr>
            <w:tcW w:w="576" w:type="pct"/>
            <w:vAlign w:val="center"/>
          </w:tcPr>
          <w:p w14:paraId="6D3D1E37" w14:textId="62DDFEE4" w:rsidR="00C46EDE" w:rsidRDefault="00A03B35" w:rsidP="00C46EDE">
            <w:pPr>
              <w:pStyle w:val="TableText"/>
              <w:jc w:val="center"/>
            </w:pPr>
            <w:r w:rsidRPr="00DD3672">
              <w:t>0.12</w:t>
            </w:r>
          </w:p>
          <w:p w14:paraId="2AE24F8F" w14:textId="693D3C3F" w:rsidR="00A03B35" w:rsidRPr="00DD3672" w:rsidRDefault="00A03B35" w:rsidP="00C46EDE">
            <w:pPr>
              <w:pStyle w:val="TableText"/>
              <w:jc w:val="center"/>
            </w:pPr>
            <w:r w:rsidRPr="00DD3672">
              <w:t>(0.06-0.26)</w:t>
            </w:r>
          </w:p>
        </w:tc>
      </w:tr>
      <w:tr w:rsidR="00C46EDE" w:rsidRPr="001C3D74" w14:paraId="2A250F2D" w14:textId="77777777" w:rsidTr="00416D48">
        <w:tc>
          <w:tcPr>
            <w:tcW w:w="543" w:type="pct"/>
            <w:vAlign w:val="center"/>
          </w:tcPr>
          <w:p w14:paraId="3B6BA8BD" w14:textId="408DA87A" w:rsidR="00A03B35" w:rsidRPr="001C3D74" w:rsidRDefault="00A03B35" w:rsidP="007C0D37">
            <w:pPr>
              <w:pStyle w:val="TableText"/>
            </w:pPr>
            <w:r w:rsidRPr="001C3D74">
              <w:t>Pan et al. 2018</w:t>
            </w:r>
          </w:p>
        </w:tc>
        <w:tc>
          <w:tcPr>
            <w:tcW w:w="312" w:type="pct"/>
            <w:vAlign w:val="center"/>
          </w:tcPr>
          <w:p w14:paraId="2C354044" w14:textId="77777777" w:rsidR="00A03B35" w:rsidRPr="001C3D74" w:rsidRDefault="00A03B35" w:rsidP="00C46EDE">
            <w:pPr>
              <w:pStyle w:val="TableText"/>
              <w:jc w:val="center"/>
            </w:pPr>
            <w:r w:rsidRPr="001C3D74">
              <w:t>8</w:t>
            </w:r>
          </w:p>
        </w:tc>
        <w:tc>
          <w:tcPr>
            <w:tcW w:w="322" w:type="pct"/>
            <w:vAlign w:val="center"/>
          </w:tcPr>
          <w:p w14:paraId="11EF2FDF" w14:textId="77777777" w:rsidR="00A03B35" w:rsidRPr="001C3D74" w:rsidRDefault="00A03B35" w:rsidP="00C46EDE">
            <w:pPr>
              <w:pStyle w:val="TableText"/>
              <w:jc w:val="center"/>
            </w:pPr>
            <w:r w:rsidRPr="001C3D74">
              <w:t>694</w:t>
            </w:r>
          </w:p>
        </w:tc>
        <w:tc>
          <w:tcPr>
            <w:tcW w:w="643" w:type="pct"/>
            <w:vAlign w:val="center"/>
          </w:tcPr>
          <w:p w14:paraId="200C3636" w14:textId="7988620B" w:rsidR="00A03B35" w:rsidRDefault="00A03B35" w:rsidP="00C46EDE">
            <w:pPr>
              <w:pStyle w:val="TableText"/>
              <w:jc w:val="center"/>
            </w:pPr>
            <w:r w:rsidRPr="001C3D74">
              <w:t>0.83</w:t>
            </w:r>
          </w:p>
          <w:p w14:paraId="0F8871F0" w14:textId="77777777" w:rsidR="00A03B35" w:rsidRPr="001C3D74" w:rsidRDefault="00A03B35" w:rsidP="00C46EDE">
            <w:pPr>
              <w:pStyle w:val="TableText"/>
              <w:jc w:val="center"/>
            </w:pPr>
            <w:r w:rsidRPr="001C3D74">
              <w:t>(0.79-0.87)</w:t>
            </w:r>
          </w:p>
        </w:tc>
        <w:tc>
          <w:tcPr>
            <w:tcW w:w="627" w:type="pct"/>
            <w:vAlign w:val="center"/>
          </w:tcPr>
          <w:p w14:paraId="0087C022" w14:textId="77777777" w:rsidR="00A03B35" w:rsidRDefault="00A03B35" w:rsidP="00C46EDE">
            <w:pPr>
              <w:pStyle w:val="TableText"/>
              <w:jc w:val="center"/>
            </w:pPr>
            <w:r w:rsidRPr="001C3D74">
              <w:t>0.87</w:t>
            </w:r>
          </w:p>
          <w:p w14:paraId="72E297D0" w14:textId="77777777" w:rsidR="00A03B35" w:rsidRPr="001C3D74" w:rsidRDefault="00A03B35" w:rsidP="00C46EDE">
            <w:pPr>
              <w:pStyle w:val="TableText"/>
              <w:jc w:val="center"/>
            </w:pPr>
            <w:r w:rsidRPr="001C3D74">
              <w:t>(0.83-0.90)</w:t>
            </w:r>
          </w:p>
        </w:tc>
        <w:tc>
          <w:tcPr>
            <w:tcW w:w="625" w:type="pct"/>
            <w:vAlign w:val="center"/>
          </w:tcPr>
          <w:p w14:paraId="79E700FE" w14:textId="00262B73" w:rsidR="00A03B35" w:rsidRPr="001C3D74" w:rsidRDefault="00A03B35" w:rsidP="00C46EDE">
            <w:pPr>
              <w:pStyle w:val="TableText"/>
              <w:jc w:val="center"/>
            </w:pPr>
            <w:r w:rsidRPr="001C3D74">
              <w:t>NR</w:t>
            </w:r>
          </w:p>
        </w:tc>
        <w:tc>
          <w:tcPr>
            <w:tcW w:w="704" w:type="pct"/>
            <w:vAlign w:val="center"/>
          </w:tcPr>
          <w:p w14:paraId="2E1E1460" w14:textId="535D7A2C" w:rsidR="00A03B35" w:rsidRDefault="00A03B35" w:rsidP="00C46EDE">
            <w:pPr>
              <w:pStyle w:val="TableText"/>
              <w:jc w:val="center"/>
            </w:pPr>
            <w:r w:rsidRPr="001C3D74">
              <w:t>44.1</w:t>
            </w:r>
          </w:p>
          <w:p w14:paraId="53006357" w14:textId="77777777" w:rsidR="00A03B35" w:rsidRPr="001C3D74" w:rsidRDefault="00A03B35" w:rsidP="00C46EDE">
            <w:pPr>
              <w:pStyle w:val="TableText"/>
              <w:jc w:val="center"/>
            </w:pPr>
            <w:r w:rsidRPr="001C3D74">
              <w:t>(18.4-105.4)</w:t>
            </w:r>
          </w:p>
        </w:tc>
        <w:tc>
          <w:tcPr>
            <w:tcW w:w="648" w:type="pct"/>
            <w:vAlign w:val="center"/>
          </w:tcPr>
          <w:p w14:paraId="50EFF0D9" w14:textId="4424C7F2" w:rsidR="00A03B35" w:rsidRDefault="00A03B35" w:rsidP="00C46EDE">
            <w:pPr>
              <w:pStyle w:val="TableText"/>
              <w:jc w:val="center"/>
            </w:pPr>
            <w:r w:rsidRPr="001C3D74">
              <w:t>6.2</w:t>
            </w:r>
          </w:p>
          <w:p w14:paraId="1FF7926B" w14:textId="77777777" w:rsidR="00A03B35" w:rsidRPr="001C3D74" w:rsidRDefault="00A03B35" w:rsidP="00C46EDE">
            <w:pPr>
              <w:pStyle w:val="TableText"/>
              <w:jc w:val="center"/>
            </w:pPr>
            <w:r w:rsidRPr="001C3D74">
              <w:t>(3.4-11.0)</w:t>
            </w:r>
          </w:p>
        </w:tc>
        <w:tc>
          <w:tcPr>
            <w:tcW w:w="576" w:type="pct"/>
            <w:vAlign w:val="center"/>
          </w:tcPr>
          <w:p w14:paraId="77B8E7B0" w14:textId="52176E99" w:rsidR="00A03B35" w:rsidRDefault="00A03B35" w:rsidP="00C46EDE">
            <w:pPr>
              <w:pStyle w:val="TableText"/>
              <w:jc w:val="center"/>
            </w:pPr>
            <w:r w:rsidRPr="001C3D74">
              <w:t>0.15</w:t>
            </w:r>
          </w:p>
          <w:p w14:paraId="0B9D3C75" w14:textId="77777777" w:rsidR="00A03B35" w:rsidRPr="001C3D74" w:rsidRDefault="00A03B35" w:rsidP="00C46EDE">
            <w:pPr>
              <w:pStyle w:val="TableText"/>
              <w:jc w:val="center"/>
            </w:pPr>
            <w:r w:rsidRPr="001C3D74">
              <w:t>(0.07-0.32)</w:t>
            </w:r>
          </w:p>
        </w:tc>
      </w:tr>
      <w:tr w:rsidR="00A03B35" w:rsidRPr="001C3D74" w14:paraId="7978D573" w14:textId="77777777" w:rsidTr="0009418F">
        <w:tc>
          <w:tcPr>
            <w:tcW w:w="5000" w:type="pct"/>
            <w:gridSpan w:val="9"/>
            <w:vAlign w:val="center"/>
          </w:tcPr>
          <w:p w14:paraId="6AC3ED70" w14:textId="77777777" w:rsidR="00A03B35" w:rsidRPr="00D33786" w:rsidRDefault="00A03B35" w:rsidP="007C0D37">
            <w:pPr>
              <w:pStyle w:val="TableText"/>
              <w:rPr>
                <w:b/>
                <w:bCs/>
              </w:rPr>
            </w:pPr>
            <w:r w:rsidRPr="00D33786">
              <w:rPr>
                <w:b/>
                <w:bCs/>
              </w:rPr>
              <w:t>T2 mapping</w:t>
            </w:r>
          </w:p>
        </w:tc>
      </w:tr>
      <w:tr w:rsidR="00C46EDE" w:rsidRPr="001C3D74" w14:paraId="1DB7A656" w14:textId="77777777" w:rsidTr="00416D48">
        <w:tc>
          <w:tcPr>
            <w:tcW w:w="543" w:type="pct"/>
            <w:vAlign w:val="center"/>
          </w:tcPr>
          <w:p w14:paraId="2BA18EF8" w14:textId="158520CC" w:rsidR="00A03B35" w:rsidRPr="001C3D74" w:rsidRDefault="00A03B35" w:rsidP="007C0D37">
            <w:pPr>
              <w:pStyle w:val="TableText"/>
            </w:pPr>
            <w:proofErr w:type="spellStart"/>
            <w:r w:rsidRPr="001C3D74">
              <w:t>Blissett</w:t>
            </w:r>
            <w:proofErr w:type="spellEnd"/>
            <w:r w:rsidRPr="001C3D74">
              <w:t xml:space="preserve"> et al. 2019</w:t>
            </w:r>
          </w:p>
        </w:tc>
        <w:tc>
          <w:tcPr>
            <w:tcW w:w="312" w:type="pct"/>
            <w:vAlign w:val="center"/>
          </w:tcPr>
          <w:p w14:paraId="6FF69309" w14:textId="77777777" w:rsidR="00A03B35" w:rsidRPr="001C3D74" w:rsidRDefault="00A03B35" w:rsidP="00C46EDE">
            <w:pPr>
              <w:pStyle w:val="TableText"/>
              <w:jc w:val="center"/>
            </w:pPr>
            <w:r w:rsidRPr="001C3D74">
              <w:t>8</w:t>
            </w:r>
          </w:p>
        </w:tc>
        <w:tc>
          <w:tcPr>
            <w:tcW w:w="322" w:type="pct"/>
            <w:vAlign w:val="center"/>
          </w:tcPr>
          <w:p w14:paraId="6173C364" w14:textId="77777777" w:rsidR="00A03B35" w:rsidRPr="001C3D74" w:rsidRDefault="00A03B35" w:rsidP="00C46EDE">
            <w:pPr>
              <w:pStyle w:val="TableText"/>
              <w:jc w:val="center"/>
            </w:pPr>
            <w:r w:rsidRPr="001C3D74">
              <w:t>514</w:t>
            </w:r>
          </w:p>
        </w:tc>
        <w:tc>
          <w:tcPr>
            <w:tcW w:w="643" w:type="pct"/>
            <w:vAlign w:val="center"/>
          </w:tcPr>
          <w:p w14:paraId="311BCE96" w14:textId="77777777" w:rsidR="00A03B35" w:rsidRPr="001C3D74" w:rsidRDefault="00A03B35" w:rsidP="00C46EDE">
            <w:pPr>
              <w:pStyle w:val="TableText"/>
              <w:jc w:val="center"/>
            </w:pPr>
            <w:r w:rsidRPr="001C3D74">
              <w:t>0.75</w:t>
            </w:r>
          </w:p>
        </w:tc>
        <w:tc>
          <w:tcPr>
            <w:tcW w:w="627" w:type="pct"/>
            <w:vAlign w:val="center"/>
          </w:tcPr>
          <w:p w14:paraId="12D1229E" w14:textId="77777777" w:rsidR="00A03B35" w:rsidRPr="001C3D74" w:rsidRDefault="00A03B35" w:rsidP="00C46EDE">
            <w:pPr>
              <w:pStyle w:val="TableText"/>
              <w:jc w:val="center"/>
            </w:pPr>
            <w:r w:rsidRPr="001C3D74">
              <w:t>0.84</w:t>
            </w:r>
          </w:p>
        </w:tc>
        <w:tc>
          <w:tcPr>
            <w:tcW w:w="625" w:type="pct"/>
            <w:vAlign w:val="center"/>
          </w:tcPr>
          <w:p w14:paraId="7C29BDDE" w14:textId="33773E43" w:rsidR="00A03B35" w:rsidRPr="001C3D74" w:rsidRDefault="00A03B35" w:rsidP="00C46EDE">
            <w:pPr>
              <w:pStyle w:val="TableText"/>
              <w:jc w:val="center"/>
            </w:pPr>
            <w:r w:rsidRPr="001C3D74">
              <w:t>NR</w:t>
            </w:r>
          </w:p>
        </w:tc>
        <w:tc>
          <w:tcPr>
            <w:tcW w:w="704" w:type="pct"/>
            <w:vAlign w:val="center"/>
          </w:tcPr>
          <w:p w14:paraId="6865EFDF" w14:textId="009C69F5" w:rsidR="00A03B35" w:rsidRPr="001C3D74" w:rsidRDefault="00A03B35" w:rsidP="00C46EDE">
            <w:pPr>
              <w:pStyle w:val="TableText"/>
              <w:jc w:val="center"/>
            </w:pPr>
            <w:r w:rsidRPr="001C3D74">
              <w:t>NR</w:t>
            </w:r>
          </w:p>
        </w:tc>
        <w:tc>
          <w:tcPr>
            <w:tcW w:w="648" w:type="pct"/>
            <w:vAlign w:val="center"/>
          </w:tcPr>
          <w:p w14:paraId="29B03261" w14:textId="0B9998C6" w:rsidR="00A03B35" w:rsidRPr="001C3D74" w:rsidRDefault="00A03B35" w:rsidP="00C46EDE">
            <w:pPr>
              <w:pStyle w:val="TableText"/>
              <w:jc w:val="center"/>
            </w:pPr>
            <w:r w:rsidRPr="001C3D74">
              <w:t>NR</w:t>
            </w:r>
          </w:p>
        </w:tc>
        <w:tc>
          <w:tcPr>
            <w:tcW w:w="576" w:type="pct"/>
            <w:vAlign w:val="center"/>
          </w:tcPr>
          <w:p w14:paraId="67896A15" w14:textId="1E86A353" w:rsidR="00A03B35" w:rsidRPr="001C3D74" w:rsidRDefault="00A03B35" w:rsidP="00C46EDE">
            <w:pPr>
              <w:pStyle w:val="TableText"/>
              <w:jc w:val="center"/>
            </w:pPr>
            <w:r w:rsidRPr="001C3D74">
              <w:t>NR</w:t>
            </w:r>
          </w:p>
        </w:tc>
      </w:tr>
      <w:tr w:rsidR="00C46EDE" w:rsidRPr="001C3D74" w14:paraId="276D8EF0" w14:textId="77777777" w:rsidTr="00416D48">
        <w:tc>
          <w:tcPr>
            <w:tcW w:w="543" w:type="pct"/>
            <w:vAlign w:val="center"/>
          </w:tcPr>
          <w:p w14:paraId="2974EAA4" w14:textId="5A3EED0E" w:rsidR="00A03B35" w:rsidRPr="001C3D74" w:rsidRDefault="00A03B35" w:rsidP="007C0D37">
            <w:pPr>
              <w:pStyle w:val="TableText"/>
            </w:pPr>
            <w:r w:rsidRPr="001C3D74">
              <w:t>Jia et al</w:t>
            </w:r>
            <w:r w:rsidR="00535567">
              <w:t>.</w:t>
            </w:r>
            <w:r w:rsidRPr="001C3D74">
              <w:t xml:space="preserve"> 2019</w:t>
            </w:r>
          </w:p>
        </w:tc>
        <w:tc>
          <w:tcPr>
            <w:tcW w:w="312" w:type="pct"/>
            <w:vAlign w:val="center"/>
          </w:tcPr>
          <w:p w14:paraId="055A4E4E" w14:textId="77777777" w:rsidR="00A03B35" w:rsidRPr="001C3D74" w:rsidRDefault="00A03B35" w:rsidP="00C46EDE">
            <w:pPr>
              <w:pStyle w:val="TableText"/>
              <w:jc w:val="center"/>
            </w:pPr>
            <w:r w:rsidRPr="001C3D74">
              <w:t>7</w:t>
            </w:r>
          </w:p>
        </w:tc>
        <w:tc>
          <w:tcPr>
            <w:tcW w:w="322" w:type="pct"/>
            <w:vAlign w:val="center"/>
          </w:tcPr>
          <w:p w14:paraId="747AA6B4" w14:textId="77777777" w:rsidR="00A03B35" w:rsidRPr="001C3D74" w:rsidRDefault="00A03B35" w:rsidP="00C46EDE">
            <w:pPr>
              <w:pStyle w:val="TableText"/>
              <w:jc w:val="center"/>
            </w:pPr>
            <w:r w:rsidRPr="001C3D74">
              <w:t>455</w:t>
            </w:r>
          </w:p>
        </w:tc>
        <w:tc>
          <w:tcPr>
            <w:tcW w:w="643" w:type="pct"/>
            <w:vAlign w:val="center"/>
          </w:tcPr>
          <w:p w14:paraId="205A3337" w14:textId="2E345965" w:rsidR="00A03B35" w:rsidRDefault="00A03B35" w:rsidP="00C46EDE">
            <w:pPr>
              <w:pStyle w:val="TableText"/>
              <w:jc w:val="center"/>
            </w:pPr>
            <w:r w:rsidRPr="001C3D74">
              <w:t>0.77</w:t>
            </w:r>
          </w:p>
          <w:p w14:paraId="3F6B8724" w14:textId="77777777" w:rsidR="00A03B35" w:rsidRPr="001C3D74" w:rsidRDefault="00A03B35" w:rsidP="00C46EDE">
            <w:pPr>
              <w:pStyle w:val="TableText"/>
              <w:jc w:val="center"/>
            </w:pPr>
            <w:r w:rsidRPr="001C3D74">
              <w:t>(0.69-0.83)</w:t>
            </w:r>
          </w:p>
        </w:tc>
        <w:tc>
          <w:tcPr>
            <w:tcW w:w="627" w:type="pct"/>
            <w:vAlign w:val="center"/>
          </w:tcPr>
          <w:p w14:paraId="1B2C58D5" w14:textId="2956364C" w:rsidR="00A03B35" w:rsidRDefault="00A03B35" w:rsidP="00C46EDE">
            <w:pPr>
              <w:pStyle w:val="TableText"/>
              <w:jc w:val="center"/>
            </w:pPr>
            <w:r w:rsidRPr="001C3D74">
              <w:t>0.83</w:t>
            </w:r>
          </w:p>
          <w:p w14:paraId="0F58944F" w14:textId="77777777" w:rsidR="00A03B35" w:rsidRPr="001C3D74" w:rsidRDefault="00A03B35" w:rsidP="00C46EDE">
            <w:pPr>
              <w:pStyle w:val="TableText"/>
              <w:jc w:val="center"/>
            </w:pPr>
            <w:r w:rsidRPr="001C3D74">
              <w:t>(0.73-0.89)</w:t>
            </w:r>
          </w:p>
        </w:tc>
        <w:tc>
          <w:tcPr>
            <w:tcW w:w="625" w:type="pct"/>
            <w:vAlign w:val="center"/>
          </w:tcPr>
          <w:p w14:paraId="543E65A0" w14:textId="6B6DBF16" w:rsidR="00A03B35" w:rsidRPr="001C3D74" w:rsidRDefault="00A03B35" w:rsidP="00C46EDE">
            <w:pPr>
              <w:pStyle w:val="TableText"/>
              <w:jc w:val="center"/>
            </w:pPr>
            <w:r w:rsidRPr="001C3D74">
              <w:t>NR</w:t>
            </w:r>
          </w:p>
        </w:tc>
        <w:tc>
          <w:tcPr>
            <w:tcW w:w="704" w:type="pct"/>
            <w:vAlign w:val="center"/>
          </w:tcPr>
          <w:p w14:paraId="78CD9D8A" w14:textId="6C489D66" w:rsidR="00A03B35" w:rsidRPr="001C3D74" w:rsidRDefault="00A03B35" w:rsidP="00C46EDE">
            <w:pPr>
              <w:pStyle w:val="TableText"/>
              <w:jc w:val="center"/>
            </w:pPr>
            <w:r w:rsidRPr="001C3D74">
              <w:t>NR</w:t>
            </w:r>
          </w:p>
        </w:tc>
        <w:tc>
          <w:tcPr>
            <w:tcW w:w="648" w:type="pct"/>
            <w:vAlign w:val="center"/>
          </w:tcPr>
          <w:p w14:paraId="03219EFD" w14:textId="38CB3197" w:rsidR="00A03B35" w:rsidRPr="001C3D74" w:rsidRDefault="00A03B35" w:rsidP="00C46EDE">
            <w:pPr>
              <w:pStyle w:val="TableText"/>
              <w:jc w:val="center"/>
            </w:pPr>
            <w:r w:rsidRPr="001C3D74">
              <w:t>NR</w:t>
            </w:r>
          </w:p>
        </w:tc>
        <w:tc>
          <w:tcPr>
            <w:tcW w:w="576" w:type="pct"/>
            <w:vAlign w:val="center"/>
          </w:tcPr>
          <w:p w14:paraId="3BDCF9F2" w14:textId="663A381B" w:rsidR="00A03B35" w:rsidRPr="001C3D74" w:rsidRDefault="00A03B35" w:rsidP="00C46EDE">
            <w:pPr>
              <w:pStyle w:val="TableText"/>
              <w:jc w:val="center"/>
            </w:pPr>
            <w:r w:rsidRPr="001C3D74">
              <w:t>NR</w:t>
            </w:r>
          </w:p>
        </w:tc>
      </w:tr>
      <w:tr w:rsidR="00C46EDE" w:rsidRPr="001C3D74" w14:paraId="620E7432" w14:textId="77777777" w:rsidTr="00416D48">
        <w:tc>
          <w:tcPr>
            <w:tcW w:w="543" w:type="pct"/>
            <w:vAlign w:val="center"/>
          </w:tcPr>
          <w:p w14:paraId="31114563" w14:textId="38042A96" w:rsidR="00A03B35" w:rsidRPr="001C3D74" w:rsidRDefault="00A03B35" w:rsidP="007C0D37">
            <w:pPr>
              <w:pStyle w:val="TableText"/>
            </w:pPr>
            <w:proofErr w:type="spellStart"/>
            <w:r w:rsidRPr="008765B1">
              <w:t>Kotanidis</w:t>
            </w:r>
            <w:proofErr w:type="spellEnd"/>
            <w:r w:rsidRPr="008765B1">
              <w:t xml:space="preserve"> et al</w:t>
            </w:r>
            <w:r w:rsidR="00535567">
              <w:t xml:space="preserve">. </w:t>
            </w:r>
            <w:r w:rsidRPr="008765B1">
              <w:t>2018</w:t>
            </w:r>
          </w:p>
        </w:tc>
        <w:tc>
          <w:tcPr>
            <w:tcW w:w="312" w:type="pct"/>
            <w:vAlign w:val="center"/>
          </w:tcPr>
          <w:p w14:paraId="7E9FA347" w14:textId="77777777" w:rsidR="00A03B35" w:rsidRPr="001C3D74" w:rsidRDefault="00A03B35" w:rsidP="00C46EDE">
            <w:pPr>
              <w:pStyle w:val="TableText"/>
              <w:jc w:val="center"/>
            </w:pPr>
            <w:r>
              <w:t>6</w:t>
            </w:r>
          </w:p>
        </w:tc>
        <w:tc>
          <w:tcPr>
            <w:tcW w:w="322" w:type="pct"/>
            <w:vAlign w:val="center"/>
          </w:tcPr>
          <w:p w14:paraId="4D47E376" w14:textId="77777777" w:rsidR="00A03B35" w:rsidRPr="001C3D74" w:rsidRDefault="00A03B35" w:rsidP="00C46EDE">
            <w:pPr>
              <w:pStyle w:val="TableText"/>
              <w:jc w:val="center"/>
            </w:pPr>
            <w:r>
              <w:t>381</w:t>
            </w:r>
          </w:p>
        </w:tc>
        <w:tc>
          <w:tcPr>
            <w:tcW w:w="643" w:type="pct"/>
            <w:vAlign w:val="center"/>
          </w:tcPr>
          <w:p w14:paraId="59EE0BB2" w14:textId="6287643C" w:rsidR="00A03B35" w:rsidRDefault="00A03B35" w:rsidP="00C46EDE">
            <w:pPr>
              <w:pStyle w:val="TableText"/>
              <w:jc w:val="center"/>
            </w:pPr>
            <w:r w:rsidRPr="008765B1">
              <w:t>0.78</w:t>
            </w:r>
          </w:p>
          <w:p w14:paraId="1C437FBC" w14:textId="77777777" w:rsidR="00A03B35" w:rsidRPr="001C3D74" w:rsidRDefault="00A03B35" w:rsidP="00C46EDE">
            <w:pPr>
              <w:pStyle w:val="TableText"/>
              <w:jc w:val="center"/>
            </w:pPr>
            <w:r w:rsidRPr="008765B1">
              <w:t>(0.65–0.87)</w:t>
            </w:r>
          </w:p>
        </w:tc>
        <w:tc>
          <w:tcPr>
            <w:tcW w:w="627" w:type="pct"/>
            <w:vAlign w:val="center"/>
          </w:tcPr>
          <w:p w14:paraId="6488217E" w14:textId="7F1D385F" w:rsidR="00A03B35" w:rsidRDefault="00A03B35" w:rsidP="00C46EDE">
            <w:pPr>
              <w:pStyle w:val="TableText"/>
              <w:jc w:val="center"/>
            </w:pPr>
            <w:r w:rsidRPr="008765B1">
              <w:t>0.84</w:t>
            </w:r>
          </w:p>
          <w:p w14:paraId="5579C294" w14:textId="77777777" w:rsidR="00A03B35" w:rsidRPr="001C3D74" w:rsidRDefault="00A03B35" w:rsidP="00C46EDE">
            <w:pPr>
              <w:pStyle w:val="TableText"/>
              <w:jc w:val="center"/>
            </w:pPr>
            <w:r w:rsidRPr="008765B1">
              <w:t>(0.72–0.92)</w:t>
            </w:r>
          </w:p>
        </w:tc>
        <w:tc>
          <w:tcPr>
            <w:tcW w:w="625" w:type="pct"/>
            <w:vAlign w:val="center"/>
          </w:tcPr>
          <w:p w14:paraId="3B2A7F82" w14:textId="1F0887E7" w:rsidR="00A03B35" w:rsidRDefault="00A03B35" w:rsidP="00C46EDE">
            <w:pPr>
              <w:pStyle w:val="TableText"/>
              <w:jc w:val="center"/>
            </w:pPr>
            <w:r w:rsidRPr="008765B1">
              <w:t>0.88</w:t>
            </w:r>
          </w:p>
          <w:p w14:paraId="686A6C99" w14:textId="77777777" w:rsidR="00A03B35" w:rsidRPr="001C3D74" w:rsidRDefault="00A03B35" w:rsidP="00C46EDE">
            <w:pPr>
              <w:pStyle w:val="TableText"/>
              <w:jc w:val="center"/>
            </w:pPr>
            <w:r w:rsidRPr="008765B1">
              <w:t>(0.85–0.91)</w:t>
            </w:r>
          </w:p>
        </w:tc>
        <w:tc>
          <w:tcPr>
            <w:tcW w:w="704" w:type="pct"/>
            <w:vAlign w:val="center"/>
          </w:tcPr>
          <w:p w14:paraId="72B1CA0B" w14:textId="77777777" w:rsidR="009C4C59" w:rsidRDefault="00A03B35" w:rsidP="00C46EDE">
            <w:pPr>
              <w:pStyle w:val="TableText"/>
              <w:jc w:val="center"/>
            </w:pPr>
            <w:r w:rsidRPr="008765B1">
              <w:t>19.19</w:t>
            </w:r>
            <w:r>
              <w:t xml:space="preserve"> </w:t>
            </w:r>
          </w:p>
          <w:p w14:paraId="55D529A2" w14:textId="59AA3B4C" w:rsidR="00A03B35" w:rsidRPr="001C3D74" w:rsidRDefault="00A03B35" w:rsidP="00C46EDE">
            <w:pPr>
              <w:pStyle w:val="TableText"/>
              <w:jc w:val="center"/>
            </w:pPr>
            <w:r w:rsidRPr="008765B1">
              <w:t>(10.37</w:t>
            </w:r>
            <w:r>
              <w:t>-</w:t>
            </w:r>
            <w:r w:rsidRPr="008765B1">
              <w:t>5.46)</w:t>
            </w:r>
          </w:p>
        </w:tc>
        <w:tc>
          <w:tcPr>
            <w:tcW w:w="648" w:type="pct"/>
            <w:vAlign w:val="center"/>
          </w:tcPr>
          <w:p w14:paraId="00688734" w14:textId="77777777" w:rsidR="00C46EDE" w:rsidRDefault="00A03B35" w:rsidP="00C46EDE">
            <w:pPr>
              <w:pStyle w:val="TableText"/>
              <w:jc w:val="center"/>
            </w:pPr>
            <w:r w:rsidRPr="008765B1">
              <w:t>4.97</w:t>
            </w:r>
            <w:r>
              <w:t xml:space="preserve"> </w:t>
            </w:r>
          </w:p>
          <w:p w14:paraId="6DAB15F3" w14:textId="776F359C" w:rsidR="00A03B35" w:rsidRPr="001C3D74" w:rsidRDefault="00A03B35" w:rsidP="00C46EDE">
            <w:pPr>
              <w:pStyle w:val="TableText"/>
              <w:jc w:val="center"/>
            </w:pPr>
            <w:r w:rsidRPr="008765B1">
              <w:t>(2.92–8.44)</w:t>
            </w:r>
          </w:p>
        </w:tc>
        <w:tc>
          <w:tcPr>
            <w:tcW w:w="576" w:type="pct"/>
            <w:vAlign w:val="center"/>
          </w:tcPr>
          <w:p w14:paraId="5775ECE8" w14:textId="72053811" w:rsidR="00A03B35" w:rsidRPr="001C3D74" w:rsidRDefault="00A03B35" w:rsidP="00C46EDE">
            <w:pPr>
              <w:pStyle w:val="TableText"/>
              <w:jc w:val="center"/>
            </w:pPr>
            <w:r w:rsidRPr="008765B1">
              <w:t>0.26 (0.16–.41)</w:t>
            </w:r>
          </w:p>
        </w:tc>
      </w:tr>
      <w:tr w:rsidR="00C46EDE" w:rsidRPr="001C3D74" w14:paraId="52D77E9E" w14:textId="77777777" w:rsidTr="00416D48">
        <w:tc>
          <w:tcPr>
            <w:tcW w:w="543" w:type="pct"/>
            <w:vAlign w:val="center"/>
          </w:tcPr>
          <w:p w14:paraId="5F8C7BED" w14:textId="45A0CB0A" w:rsidR="00A03B35" w:rsidRPr="001C3D74" w:rsidRDefault="00A03B35" w:rsidP="007C0D37">
            <w:pPr>
              <w:pStyle w:val="TableText"/>
            </w:pPr>
            <w:r w:rsidRPr="001C3D74">
              <w:t>Pan et al.</w:t>
            </w:r>
            <w:r w:rsidR="00535567">
              <w:t xml:space="preserve"> </w:t>
            </w:r>
            <w:r w:rsidRPr="001C3D74">
              <w:t>2018</w:t>
            </w:r>
          </w:p>
        </w:tc>
        <w:tc>
          <w:tcPr>
            <w:tcW w:w="312" w:type="pct"/>
            <w:vAlign w:val="center"/>
          </w:tcPr>
          <w:p w14:paraId="2B7B242B" w14:textId="77777777" w:rsidR="00A03B35" w:rsidRPr="001C3D74" w:rsidRDefault="00A03B35" w:rsidP="00C46EDE">
            <w:pPr>
              <w:pStyle w:val="TableText"/>
              <w:jc w:val="center"/>
            </w:pPr>
            <w:r w:rsidRPr="001C3D74">
              <w:t>6</w:t>
            </w:r>
          </w:p>
        </w:tc>
        <w:tc>
          <w:tcPr>
            <w:tcW w:w="322" w:type="pct"/>
            <w:vAlign w:val="center"/>
          </w:tcPr>
          <w:p w14:paraId="2E273CC5" w14:textId="77777777" w:rsidR="00A03B35" w:rsidRPr="001C3D74" w:rsidRDefault="00A03B35" w:rsidP="00C46EDE">
            <w:pPr>
              <w:pStyle w:val="TableText"/>
              <w:jc w:val="center"/>
            </w:pPr>
            <w:r w:rsidRPr="001C3D74">
              <w:t>421</w:t>
            </w:r>
          </w:p>
        </w:tc>
        <w:tc>
          <w:tcPr>
            <w:tcW w:w="643" w:type="pct"/>
            <w:vAlign w:val="center"/>
          </w:tcPr>
          <w:p w14:paraId="32531F6B" w14:textId="25527845" w:rsidR="00A03B35" w:rsidRDefault="00A03B35" w:rsidP="00C46EDE">
            <w:pPr>
              <w:pStyle w:val="TableText"/>
              <w:jc w:val="center"/>
            </w:pPr>
            <w:r w:rsidRPr="001C3D74">
              <w:t>0.71</w:t>
            </w:r>
          </w:p>
          <w:p w14:paraId="39E91B25" w14:textId="77777777" w:rsidR="00A03B35" w:rsidRPr="001C3D74" w:rsidRDefault="00A03B35" w:rsidP="00C46EDE">
            <w:pPr>
              <w:pStyle w:val="TableText"/>
              <w:jc w:val="center"/>
            </w:pPr>
            <w:r w:rsidRPr="001C3D74">
              <w:t>(0.65-0.76)</w:t>
            </w:r>
          </w:p>
        </w:tc>
        <w:tc>
          <w:tcPr>
            <w:tcW w:w="627" w:type="pct"/>
            <w:vAlign w:val="center"/>
          </w:tcPr>
          <w:p w14:paraId="3EC33B06" w14:textId="67DCB040" w:rsidR="00A03B35" w:rsidRDefault="00A03B35" w:rsidP="00C46EDE">
            <w:pPr>
              <w:pStyle w:val="TableText"/>
              <w:jc w:val="center"/>
            </w:pPr>
            <w:r w:rsidRPr="001C3D74">
              <w:t>0.84</w:t>
            </w:r>
          </w:p>
          <w:p w14:paraId="62BC3430" w14:textId="77777777" w:rsidR="00A03B35" w:rsidRPr="001C3D74" w:rsidRDefault="00A03B35" w:rsidP="00C46EDE">
            <w:pPr>
              <w:pStyle w:val="TableText"/>
              <w:jc w:val="center"/>
            </w:pPr>
            <w:r w:rsidRPr="001C3D74">
              <w:t>(0.76-0.89)</w:t>
            </w:r>
          </w:p>
        </w:tc>
        <w:tc>
          <w:tcPr>
            <w:tcW w:w="625" w:type="pct"/>
            <w:vAlign w:val="center"/>
          </w:tcPr>
          <w:p w14:paraId="692AFB90" w14:textId="18628881" w:rsidR="00A03B35" w:rsidRPr="001C3D74" w:rsidRDefault="00A03B35" w:rsidP="00C46EDE">
            <w:pPr>
              <w:pStyle w:val="TableText"/>
              <w:jc w:val="center"/>
            </w:pPr>
            <w:r w:rsidRPr="001C3D74">
              <w:t>NR</w:t>
            </w:r>
          </w:p>
        </w:tc>
        <w:tc>
          <w:tcPr>
            <w:tcW w:w="704" w:type="pct"/>
            <w:vAlign w:val="center"/>
          </w:tcPr>
          <w:p w14:paraId="3101B342" w14:textId="171B7D01" w:rsidR="00A03B35" w:rsidRDefault="00A03B35" w:rsidP="00C46EDE">
            <w:pPr>
              <w:pStyle w:val="TableText"/>
              <w:jc w:val="center"/>
            </w:pPr>
            <w:r w:rsidRPr="001C3D74">
              <w:t>18.6</w:t>
            </w:r>
          </w:p>
          <w:p w14:paraId="2946ACB1" w14:textId="77777777" w:rsidR="00A03B35" w:rsidRPr="001C3D74" w:rsidRDefault="00A03B35" w:rsidP="00C46EDE">
            <w:pPr>
              <w:pStyle w:val="TableText"/>
              <w:jc w:val="center"/>
            </w:pPr>
            <w:r w:rsidRPr="001C3D74">
              <w:t>(10.0-34.5)</w:t>
            </w:r>
          </w:p>
        </w:tc>
        <w:tc>
          <w:tcPr>
            <w:tcW w:w="648" w:type="pct"/>
            <w:vAlign w:val="center"/>
          </w:tcPr>
          <w:p w14:paraId="175BC13E" w14:textId="77777777" w:rsidR="00A03B35" w:rsidRDefault="00A03B35" w:rsidP="00C46EDE">
            <w:pPr>
              <w:pStyle w:val="TableText"/>
              <w:jc w:val="center"/>
            </w:pPr>
            <w:r w:rsidRPr="001C3D74">
              <w:t>4.1</w:t>
            </w:r>
          </w:p>
          <w:p w14:paraId="3611312E" w14:textId="77777777" w:rsidR="00A03B35" w:rsidRPr="001C3D74" w:rsidRDefault="00A03B35" w:rsidP="00C46EDE">
            <w:pPr>
              <w:pStyle w:val="TableText"/>
              <w:jc w:val="center"/>
            </w:pPr>
            <w:r w:rsidRPr="001C3D74">
              <w:t>(2.4-7.0)</w:t>
            </w:r>
          </w:p>
        </w:tc>
        <w:tc>
          <w:tcPr>
            <w:tcW w:w="576" w:type="pct"/>
            <w:vAlign w:val="center"/>
          </w:tcPr>
          <w:p w14:paraId="4C987A64" w14:textId="1497556D" w:rsidR="00A03B35" w:rsidRDefault="00A03B35" w:rsidP="00C46EDE">
            <w:pPr>
              <w:pStyle w:val="TableText"/>
              <w:jc w:val="center"/>
            </w:pPr>
            <w:r w:rsidRPr="001C3D74">
              <w:t>0.29</w:t>
            </w:r>
          </w:p>
          <w:p w14:paraId="109C2F83" w14:textId="77777777" w:rsidR="00A03B35" w:rsidRPr="001C3D74" w:rsidRDefault="00A03B35" w:rsidP="00C46EDE">
            <w:pPr>
              <w:pStyle w:val="TableText"/>
              <w:jc w:val="center"/>
            </w:pPr>
            <w:r w:rsidRPr="001C3D74">
              <w:t>(0.18-0.47)</w:t>
            </w:r>
          </w:p>
        </w:tc>
      </w:tr>
      <w:tr w:rsidR="00A03B35" w:rsidRPr="001C3D74" w14:paraId="0B435051" w14:textId="77777777" w:rsidTr="0009418F">
        <w:tc>
          <w:tcPr>
            <w:tcW w:w="5000" w:type="pct"/>
            <w:gridSpan w:val="9"/>
            <w:vAlign w:val="center"/>
          </w:tcPr>
          <w:p w14:paraId="30215EEC" w14:textId="77777777" w:rsidR="00A03B35" w:rsidRPr="00D33786" w:rsidRDefault="00A03B35" w:rsidP="007C0D37">
            <w:pPr>
              <w:pStyle w:val="TableText"/>
              <w:rPr>
                <w:b/>
                <w:bCs/>
              </w:rPr>
            </w:pPr>
            <w:r w:rsidRPr="00D33786">
              <w:rPr>
                <w:b/>
                <w:bCs/>
              </w:rPr>
              <w:t>Late gadolinium enhancement</w:t>
            </w:r>
          </w:p>
        </w:tc>
      </w:tr>
      <w:tr w:rsidR="00C46EDE" w:rsidRPr="001C3D74" w14:paraId="76DEAB0A" w14:textId="77777777" w:rsidTr="00416D48">
        <w:tc>
          <w:tcPr>
            <w:tcW w:w="543" w:type="pct"/>
            <w:vAlign w:val="center"/>
          </w:tcPr>
          <w:p w14:paraId="306CD8F7" w14:textId="449A1E8B" w:rsidR="00A03B35" w:rsidRPr="001C3D74" w:rsidRDefault="00A03B35" w:rsidP="007C0D37">
            <w:pPr>
              <w:pStyle w:val="TableText"/>
            </w:pPr>
            <w:proofErr w:type="spellStart"/>
            <w:r w:rsidRPr="001C3D74">
              <w:t>Blissett</w:t>
            </w:r>
            <w:proofErr w:type="spellEnd"/>
            <w:r w:rsidRPr="001C3D74">
              <w:t xml:space="preserve"> et al. 2019</w:t>
            </w:r>
          </w:p>
        </w:tc>
        <w:tc>
          <w:tcPr>
            <w:tcW w:w="312" w:type="pct"/>
            <w:vAlign w:val="center"/>
          </w:tcPr>
          <w:p w14:paraId="5ACC55A5" w14:textId="77777777" w:rsidR="00A03B35" w:rsidRPr="001C3D74" w:rsidRDefault="00A03B35" w:rsidP="00C46EDE">
            <w:pPr>
              <w:pStyle w:val="TableText"/>
              <w:jc w:val="center"/>
            </w:pPr>
            <w:r w:rsidRPr="001C3D74">
              <w:t>52</w:t>
            </w:r>
          </w:p>
        </w:tc>
        <w:tc>
          <w:tcPr>
            <w:tcW w:w="322" w:type="pct"/>
            <w:vAlign w:val="center"/>
          </w:tcPr>
          <w:p w14:paraId="6BFE7394" w14:textId="77777777" w:rsidR="00A03B35" w:rsidRPr="001C3D74" w:rsidRDefault="00A03B35" w:rsidP="00C46EDE">
            <w:pPr>
              <w:pStyle w:val="TableText"/>
              <w:jc w:val="center"/>
            </w:pPr>
            <w:r w:rsidRPr="001C3D74">
              <w:t>3557</w:t>
            </w:r>
          </w:p>
        </w:tc>
        <w:tc>
          <w:tcPr>
            <w:tcW w:w="643" w:type="pct"/>
            <w:vAlign w:val="center"/>
          </w:tcPr>
          <w:p w14:paraId="1BA4F066" w14:textId="77777777" w:rsidR="00A03B35" w:rsidRPr="001C3D74" w:rsidRDefault="00A03B35" w:rsidP="00C46EDE">
            <w:pPr>
              <w:pStyle w:val="TableText"/>
              <w:jc w:val="center"/>
            </w:pPr>
            <w:r w:rsidRPr="001C3D74">
              <w:t>0.69</w:t>
            </w:r>
          </w:p>
        </w:tc>
        <w:tc>
          <w:tcPr>
            <w:tcW w:w="627" w:type="pct"/>
            <w:vAlign w:val="center"/>
          </w:tcPr>
          <w:p w14:paraId="21A747A8" w14:textId="77777777" w:rsidR="00A03B35" w:rsidRPr="001C3D74" w:rsidRDefault="00A03B35" w:rsidP="00C46EDE">
            <w:pPr>
              <w:pStyle w:val="TableText"/>
              <w:jc w:val="center"/>
            </w:pPr>
            <w:r w:rsidRPr="001C3D74">
              <w:t>0.95</w:t>
            </w:r>
          </w:p>
        </w:tc>
        <w:tc>
          <w:tcPr>
            <w:tcW w:w="625" w:type="pct"/>
            <w:vAlign w:val="center"/>
          </w:tcPr>
          <w:p w14:paraId="2974C044" w14:textId="2E7657B1" w:rsidR="00A03B35" w:rsidRPr="001C3D74" w:rsidRDefault="00A03B35" w:rsidP="00C46EDE">
            <w:pPr>
              <w:pStyle w:val="TableText"/>
              <w:jc w:val="center"/>
            </w:pPr>
            <w:r w:rsidRPr="001C3D74">
              <w:t>NR</w:t>
            </w:r>
          </w:p>
        </w:tc>
        <w:tc>
          <w:tcPr>
            <w:tcW w:w="704" w:type="pct"/>
            <w:vAlign w:val="center"/>
          </w:tcPr>
          <w:p w14:paraId="7F00A812" w14:textId="0D0EE890" w:rsidR="00A03B35" w:rsidRPr="001C3D74" w:rsidRDefault="00A03B35" w:rsidP="00C46EDE">
            <w:pPr>
              <w:pStyle w:val="TableText"/>
              <w:jc w:val="center"/>
            </w:pPr>
            <w:r w:rsidRPr="001C3D74">
              <w:t>NR</w:t>
            </w:r>
          </w:p>
        </w:tc>
        <w:tc>
          <w:tcPr>
            <w:tcW w:w="648" w:type="pct"/>
            <w:vAlign w:val="center"/>
          </w:tcPr>
          <w:p w14:paraId="573CC3A8" w14:textId="0FFC85D3" w:rsidR="00A03B35" w:rsidRPr="001C3D74" w:rsidRDefault="00A03B35" w:rsidP="00C46EDE">
            <w:pPr>
              <w:pStyle w:val="TableText"/>
              <w:jc w:val="center"/>
            </w:pPr>
            <w:r w:rsidRPr="001C3D74">
              <w:t>NR</w:t>
            </w:r>
          </w:p>
        </w:tc>
        <w:tc>
          <w:tcPr>
            <w:tcW w:w="576" w:type="pct"/>
            <w:vAlign w:val="center"/>
          </w:tcPr>
          <w:p w14:paraId="512AED4E" w14:textId="65A6BB41" w:rsidR="00A03B35" w:rsidRPr="001C3D74" w:rsidRDefault="00A03B35" w:rsidP="00C46EDE">
            <w:pPr>
              <w:pStyle w:val="TableText"/>
              <w:jc w:val="center"/>
            </w:pPr>
            <w:r w:rsidRPr="001C3D74">
              <w:t>NR</w:t>
            </w:r>
          </w:p>
        </w:tc>
      </w:tr>
      <w:tr w:rsidR="00C46EDE" w:rsidRPr="001C3D74" w14:paraId="3048A6F1" w14:textId="77777777" w:rsidTr="00416D48">
        <w:tc>
          <w:tcPr>
            <w:tcW w:w="543" w:type="pct"/>
            <w:vAlign w:val="center"/>
          </w:tcPr>
          <w:p w14:paraId="57549970" w14:textId="5E7F1D72" w:rsidR="00A03B35" w:rsidRPr="001C3D74" w:rsidRDefault="00A03B35" w:rsidP="007C0D37">
            <w:pPr>
              <w:pStyle w:val="TableText"/>
            </w:pPr>
            <w:proofErr w:type="spellStart"/>
            <w:r w:rsidRPr="008765B1">
              <w:t>Kotanidis</w:t>
            </w:r>
            <w:proofErr w:type="spellEnd"/>
            <w:r w:rsidRPr="008765B1">
              <w:t xml:space="preserve"> et al</w:t>
            </w:r>
            <w:r w:rsidR="00535567">
              <w:t xml:space="preserve">. </w:t>
            </w:r>
            <w:r w:rsidRPr="008765B1">
              <w:t>2018</w:t>
            </w:r>
          </w:p>
        </w:tc>
        <w:tc>
          <w:tcPr>
            <w:tcW w:w="312" w:type="pct"/>
            <w:vAlign w:val="center"/>
          </w:tcPr>
          <w:p w14:paraId="638F52CC" w14:textId="77777777" w:rsidR="00A03B35" w:rsidRPr="001C3D74" w:rsidRDefault="00A03B35" w:rsidP="00C46EDE">
            <w:pPr>
              <w:pStyle w:val="TableText"/>
              <w:jc w:val="center"/>
            </w:pPr>
            <w:r>
              <w:t>17</w:t>
            </w:r>
          </w:p>
        </w:tc>
        <w:tc>
          <w:tcPr>
            <w:tcW w:w="322" w:type="pct"/>
            <w:vAlign w:val="center"/>
          </w:tcPr>
          <w:p w14:paraId="0C6858A5" w14:textId="77777777" w:rsidR="00A03B35" w:rsidRPr="001C3D74" w:rsidRDefault="00A03B35" w:rsidP="00C46EDE">
            <w:pPr>
              <w:pStyle w:val="TableText"/>
              <w:jc w:val="center"/>
            </w:pPr>
            <w:r>
              <w:t>1308</w:t>
            </w:r>
          </w:p>
        </w:tc>
        <w:tc>
          <w:tcPr>
            <w:tcW w:w="643" w:type="pct"/>
            <w:vAlign w:val="center"/>
          </w:tcPr>
          <w:p w14:paraId="62ED1945" w14:textId="486A9104" w:rsidR="00C46EDE" w:rsidRDefault="00A03B35" w:rsidP="00C46EDE">
            <w:pPr>
              <w:pStyle w:val="TableText"/>
              <w:jc w:val="center"/>
            </w:pPr>
            <w:r w:rsidRPr="008765B1">
              <w:t>0.68</w:t>
            </w:r>
          </w:p>
          <w:p w14:paraId="1A1D6113" w14:textId="35CBB50A" w:rsidR="00A03B35" w:rsidRPr="001C3D74" w:rsidRDefault="00A03B35" w:rsidP="00C46EDE">
            <w:pPr>
              <w:pStyle w:val="TableText"/>
              <w:jc w:val="center"/>
            </w:pPr>
            <w:r w:rsidRPr="008765B1">
              <w:t>(0.56–0.77)</w:t>
            </w:r>
          </w:p>
        </w:tc>
        <w:tc>
          <w:tcPr>
            <w:tcW w:w="627" w:type="pct"/>
            <w:vAlign w:val="center"/>
          </w:tcPr>
          <w:p w14:paraId="4D225648" w14:textId="3B4A2F94" w:rsidR="00C46EDE" w:rsidRDefault="00A03B35" w:rsidP="00C46EDE">
            <w:pPr>
              <w:pStyle w:val="TableText"/>
              <w:jc w:val="center"/>
            </w:pPr>
            <w:r w:rsidRPr="008765B1">
              <w:t>0.96</w:t>
            </w:r>
          </w:p>
          <w:p w14:paraId="7421D30A" w14:textId="2810148A" w:rsidR="00A03B35" w:rsidRPr="001C3D74" w:rsidRDefault="00A03B35" w:rsidP="00C46EDE">
            <w:pPr>
              <w:pStyle w:val="TableText"/>
              <w:jc w:val="center"/>
            </w:pPr>
            <w:r w:rsidRPr="008765B1">
              <w:t>(0.87–0.99)</w:t>
            </w:r>
          </w:p>
        </w:tc>
        <w:tc>
          <w:tcPr>
            <w:tcW w:w="625" w:type="pct"/>
            <w:vAlign w:val="center"/>
          </w:tcPr>
          <w:p w14:paraId="5764889D" w14:textId="0BF0A876" w:rsidR="00C46EDE" w:rsidRDefault="00A03B35" w:rsidP="00C46EDE">
            <w:pPr>
              <w:pStyle w:val="TableText"/>
              <w:jc w:val="center"/>
            </w:pPr>
            <w:r w:rsidRPr="008765B1">
              <w:t>0.87</w:t>
            </w:r>
          </w:p>
          <w:p w14:paraId="50AA2F3A" w14:textId="3FA27B64" w:rsidR="00A03B35" w:rsidRPr="001C3D74" w:rsidRDefault="00A03B35" w:rsidP="00C46EDE">
            <w:pPr>
              <w:pStyle w:val="TableText"/>
              <w:jc w:val="center"/>
            </w:pPr>
            <w:r w:rsidRPr="008765B1">
              <w:t>(0.84–0.90)</w:t>
            </w:r>
          </w:p>
        </w:tc>
        <w:tc>
          <w:tcPr>
            <w:tcW w:w="704" w:type="pct"/>
            <w:vAlign w:val="center"/>
          </w:tcPr>
          <w:p w14:paraId="387E2D95" w14:textId="77777777" w:rsidR="009C4C59" w:rsidRDefault="00A03B35" w:rsidP="00C46EDE">
            <w:pPr>
              <w:pStyle w:val="TableText"/>
              <w:jc w:val="center"/>
            </w:pPr>
            <w:r w:rsidRPr="008765B1">
              <w:t xml:space="preserve">54.26 </w:t>
            </w:r>
          </w:p>
          <w:p w14:paraId="2BE2A302" w14:textId="244CFC77" w:rsidR="00A03B35" w:rsidRPr="001C3D74" w:rsidRDefault="00A03B35" w:rsidP="00C46EDE">
            <w:pPr>
              <w:pStyle w:val="TableText"/>
              <w:jc w:val="center"/>
            </w:pPr>
            <w:r w:rsidRPr="008765B1">
              <w:t>(12.38–237.78)</w:t>
            </w:r>
          </w:p>
        </w:tc>
        <w:tc>
          <w:tcPr>
            <w:tcW w:w="648" w:type="pct"/>
            <w:vAlign w:val="center"/>
          </w:tcPr>
          <w:p w14:paraId="44A18981" w14:textId="77777777" w:rsidR="00C46EDE" w:rsidRDefault="00A03B35" w:rsidP="00C46EDE">
            <w:pPr>
              <w:pStyle w:val="TableText"/>
              <w:jc w:val="center"/>
            </w:pPr>
            <w:r w:rsidRPr="008765B1">
              <w:t>18.64</w:t>
            </w:r>
            <w:r>
              <w:t xml:space="preserve"> </w:t>
            </w:r>
          </w:p>
          <w:p w14:paraId="30943C86" w14:textId="265FCF54" w:rsidR="00A03B35" w:rsidRPr="001C3D74" w:rsidRDefault="00A03B35" w:rsidP="00C46EDE">
            <w:pPr>
              <w:pStyle w:val="TableText"/>
              <w:jc w:val="center"/>
            </w:pPr>
            <w:r w:rsidRPr="008765B1">
              <w:t>(4.93–70.43)</w:t>
            </w:r>
          </w:p>
        </w:tc>
        <w:tc>
          <w:tcPr>
            <w:tcW w:w="576" w:type="pct"/>
            <w:vAlign w:val="center"/>
          </w:tcPr>
          <w:p w14:paraId="41E2AE61" w14:textId="4B3BEAFF" w:rsidR="00A03B35" w:rsidRPr="001C3D74" w:rsidRDefault="00A03B35" w:rsidP="00C46EDE">
            <w:pPr>
              <w:pStyle w:val="TableText"/>
              <w:jc w:val="center"/>
            </w:pPr>
            <w:r w:rsidRPr="008765B1">
              <w:t>0.34 (0.24–.47)</w:t>
            </w:r>
          </w:p>
        </w:tc>
      </w:tr>
      <w:tr w:rsidR="00C46EDE" w:rsidRPr="001C3D74" w14:paraId="4478C0CE" w14:textId="77777777" w:rsidTr="00416D48">
        <w:tc>
          <w:tcPr>
            <w:tcW w:w="543" w:type="pct"/>
            <w:vAlign w:val="center"/>
          </w:tcPr>
          <w:p w14:paraId="6E392E02" w14:textId="4D998464" w:rsidR="00A03B35" w:rsidRPr="001C3D74" w:rsidRDefault="00A03B35" w:rsidP="007C0D37">
            <w:pPr>
              <w:pStyle w:val="TableText"/>
            </w:pPr>
            <w:r w:rsidRPr="001C3D74">
              <w:t>Wei et al. 2017</w:t>
            </w:r>
          </w:p>
        </w:tc>
        <w:tc>
          <w:tcPr>
            <w:tcW w:w="312" w:type="pct"/>
            <w:vAlign w:val="center"/>
          </w:tcPr>
          <w:p w14:paraId="22A7075A" w14:textId="77777777" w:rsidR="00A03B35" w:rsidRPr="001C3D74" w:rsidRDefault="00A03B35" w:rsidP="00C46EDE">
            <w:pPr>
              <w:pStyle w:val="TableText"/>
              <w:jc w:val="center"/>
            </w:pPr>
            <w:r w:rsidRPr="001C3D74">
              <w:t>9</w:t>
            </w:r>
          </w:p>
        </w:tc>
        <w:tc>
          <w:tcPr>
            <w:tcW w:w="322" w:type="pct"/>
            <w:vAlign w:val="center"/>
          </w:tcPr>
          <w:p w14:paraId="7CD1CE80" w14:textId="77777777" w:rsidR="00A03B35" w:rsidRPr="001C3D74" w:rsidRDefault="00A03B35" w:rsidP="00C46EDE">
            <w:pPr>
              <w:pStyle w:val="TableText"/>
              <w:jc w:val="center"/>
            </w:pPr>
            <w:r w:rsidRPr="001C3D74">
              <w:t>614</w:t>
            </w:r>
          </w:p>
        </w:tc>
        <w:tc>
          <w:tcPr>
            <w:tcW w:w="643" w:type="pct"/>
            <w:vAlign w:val="center"/>
          </w:tcPr>
          <w:p w14:paraId="17EBF74B" w14:textId="154360BB" w:rsidR="00A03B35" w:rsidRDefault="00A03B35" w:rsidP="00C46EDE">
            <w:pPr>
              <w:pStyle w:val="TableText"/>
              <w:jc w:val="center"/>
            </w:pPr>
            <w:r w:rsidRPr="001C3D74">
              <w:t>0.70</w:t>
            </w:r>
          </w:p>
          <w:p w14:paraId="527AB636" w14:textId="77777777" w:rsidR="00A03B35" w:rsidRPr="001C3D74" w:rsidRDefault="00A03B35" w:rsidP="00C46EDE">
            <w:pPr>
              <w:pStyle w:val="TableText"/>
              <w:jc w:val="center"/>
            </w:pPr>
            <w:r w:rsidRPr="001C3D74">
              <w:t>(0.52-0.83)</w:t>
            </w:r>
          </w:p>
        </w:tc>
        <w:tc>
          <w:tcPr>
            <w:tcW w:w="627" w:type="pct"/>
            <w:vAlign w:val="center"/>
          </w:tcPr>
          <w:p w14:paraId="48AD17C6" w14:textId="54E2AE8A" w:rsidR="00A03B35" w:rsidRDefault="00A03B35" w:rsidP="00C46EDE">
            <w:pPr>
              <w:pStyle w:val="TableText"/>
              <w:jc w:val="center"/>
            </w:pPr>
            <w:r w:rsidRPr="001C3D74">
              <w:t>0.57</w:t>
            </w:r>
          </w:p>
          <w:p w14:paraId="3375DED2" w14:textId="77777777" w:rsidR="00A03B35" w:rsidRPr="001C3D74" w:rsidRDefault="00A03B35" w:rsidP="00C46EDE">
            <w:pPr>
              <w:pStyle w:val="TableText"/>
              <w:jc w:val="center"/>
            </w:pPr>
            <w:r w:rsidRPr="001C3D74">
              <w:t>(0.41-0.72)</w:t>
            </w:r>
          </w:p>
        </w:tc>
        <w:tc>
          <w:tcPr>
            <w:tcW w:w="625" w:type="pct"/>
            <w:vAlign w:val="center"/>
          </w:tcPr>
          <w:p w14:paraId="4BF1FA9A" w14:textId="174EBE59" w:rsidR="00A03B35" w:rsidRDefault="00A03B35" w:rsidP="00C46EDE">
            <w:pPr>
              <w:pStyle w:val="TableText"/>
              <w:jc w:val="center"/>
            </w:pPr>
            <w:r w:rsidRPr="001C3D74">
              <w:t>0.67</w:t>
            </w:r>
          </w:p>
          <w:p w14:paraId="1D27B765" w14:textId="77777777" w:rsidR="00A03B35" w:rsidRPr="001C3D74" w:rsidRDefault="00A03B35" w:rsidP="00C46EDE">
            <w:pPr>
              <w:pStyle w:val="TableText"/>
              <w:jc w:val="center"/>
            </w:pPr>
            <w:r w:rsidRPr="001C3D74">
              <w:t>(0.63-0.71)</w:t>
            </w:r>
          </w:p>
        </w:tc>
        <w:tc>
          <w:tcPr>
            <w:tcW w:w="704" w:type="pct"/>
            <w:vAlign w:val="center"/>
          </w:tcPr>
          <w:p w14:paraId="17B3622E" w14:textId="42E92A7B" w:rsidR="00A03B35" w:rsidRDefault="00A03B35" w:rsidP="00C46EDE">
            <w:pPr>
              <w:pStyle w:val="TableText"/>
              <w:jc w:val="center"/>
            </w:pPr>
            <w:r w:rsidRPr="001C3D74">
              <w:t>3.0</w:t>
            </w:r>
          </w:p>
          <w:p w14:paraId="57CA32EF" w14:textId="77777777" w:rsidR="00A03B35" w:rsidRPr="001C3D74" w:rsidRDefault="00A03B35" w:rsidP="00C46EDE">
            <w:pPr>
              <w:pStyle w:val="TableText"/>
              <w:jc w:val="center"/>
            </w:pPr>
            <w:r w:rsidRPr="001C3D74">
              <w:t>(1.0-8.0)</w:t>
            </w:r>
          </w:p>
        </w:tc>
        <w:tc>
          <w:tcPr>
            <w:tcW w:w="648" w:type="pct"/>
            <w:vAlign w:val="center"/>
          </w:tcPr>
          <w:p w14:paraId="0310EBD2" w14:textId="060F9BD6" w:rsidR="00A03B35" w:rsidRDefault="00A03B35" w:rsidP="00C46EDE">
            <w:pPr>
              <w:pStyle w:val="TableText"/>
              <w:jc w:val="center"/>
            </w:pPr>
            <w:r w:rsidRPr="001C3D74">
              <w:t>1.6</w:t>
            </w:r>
          </w:p>
          <w:p w14:paraId="3B338778" w14:textId="77777777" w:rsidR="00A03B35" w:rsidRPr="001C3D74" w:rsidRDefault="00A03B35" w:rsidP="00C46EDE">
            <w:pPr>
              <w:pStyle w:val="TableText"/>
              <w:jc w:val="center"/>
            </w:pPr>
            <w:r w:rsidRPr="001C3D74">
              <w:t>(1.1-2.4)</w:t>
            </w:r>
          </w:p>
        </w:tc>
        <w:tc>
          <w:tcPr>
            <w:tcW w:w="576" w:type="pct"/>
            <w:vAlign w:val="center"/>
          </w:tcPr>
          <w:p w14:paraId="42E0D891" w14:textId="1FDA0A7B" w:rsidR="00A03B35" w:rsidRDefault="00A03B35" w:rsidP="00C46EDE">
            <w:pPr>
              <w:pStyle w:val="TableText"/>
              <w:jc w:val="center"/>
            </w:pPr>
            <w:r w:rsidRPr="001C3D74">
              <w:t>0.52</w:t>
            </w:r>
          </w:p>
          <w:p w14:paraId="46E11894" w14:textId="77777777" w:rsidR="00A03B35" w:rsidRPr="001C3D74" w:rsidRDefault="00A03B35" w:rsidP="00C46EDE">
            <w:pPr>
              <w:pStyle w:val="TableText"/>
              <w:jc w:val="center"/>
            </w:pPr>
            <w:r w:rsidRPr="001C3D74">
              <w:t>(0.30-0.92)</w:t>
            </w:r>
          </w:p>
        </w:tc>
      </w:tr>
      <w:tr w:rsidR="00A03B35" w:rsidRPr="001C3D74" w14:paraId="1E240AD3" w14:textId="77777777" w:rsidTr="0009418F">
        <w:tc>
          <w:tcPr>
            <w:tcW w:w="5000" w:type="pct"/>
            <w:gridSpan w:val="9"/>
            <w:vAlign w:val="center"/>
          </w:tcPr>
          <w:p w14:paraId="67896CE9" w14:textId="77777777" w:rsidR="00A03B35" w:rsidRPr="00D33786" w:rsidRDefault="00A03B35" w:rsidP="007C0D37">
            <w:pPr>
              <w:pStyle w:val="TableText"/>
              <w:rPr>
                <w:b/>
                <w:bCs/>
              </w:rPr>
            </w:pPr>
            <w:r w:rsidRPr="00D33786">
              <w:rPr>
                <w:b/>
                <w:bCs/>
              </w:rPr>
              <w:t>Lake Louise criteria</w:t>
            </w:r>
          </w:p>
        </w:tc>
      </w:tr>
      <w:tr w:rsidR="00C46EDE" w:rsidRPr="001C3D74" w14:paraId="752E0C69" w14:textId="77777777" w:rsidTr="00416D48">
        <w:tc>
          <w:tcPr>
            <w:tcW w:w="543" w:type="pct"/>
            <w:vAlign w:val="center"/>
          </w:tcPr>
          <w:p w14:paraId="67C014DF" w14:textId="1578D256" w:rsidR="00A03B35" w:rsidRPr="001C3D74" w:rsidRDefault="00A03B35" w:rsidP="007C0D37">
            <w:pPr>
              <w:pStyle w:val="TableText"/>
            </w:pPr>
            <w:proofErr w:type="spellStart"/>
            <w:r w:rsidRPr="001C3D74">
              <w:t>Blissett</w:t>
            </w:r>
            <w:proofErr w:type="spellEnd"/>
            <w:r w:rsidRPr="001C3D74">
              <w:t xml:space="preserve"> et al. 2019</w:t>
            </w:r>
          </w:p>
        </w:tc>
        <w:tc>
          <w:tcPr>
            <w:tcW w:w="312" w:type="pct"/>
            <w:vAlign w:val="center"/>
          </w:tcPr>
          <w:p w14:paraId="4EED8F25" w14:textId="77777777" w:rsidR="00A03B35" w:rsidRPr="001C3D74" w:rsidRDefault="00A03B35" w:rsidP="00C46EDE">
            <w:pPr>
              <w:pStyle w:val="TableText"/>
              <w:jc w:val="center"/>
            </w:pPr>
            <w:r w:rsidRPr="001C3D74">
              <w:t>NR</w:t>
            </w:r>
          </w:p>
        </w:tc>
        <w:tc>
          <w:tcPr>
            <w:tcW w:w="322" w:type="pct"/>
            <w:vAlign w:val="center"/>
          </w:tcPr>
          <w:p w14:paraId="0A995A02" w14:textId="77777777" w:rsidR="00A03B35" w:rsidRPr="001C3D74" w:rsidRDefault="00A03B35" w:rsidP="00C46EDE">
            <w:pPr>
              <w:pStyle w:val="TableText"/>
              <w:jc w:val="center"/>
            </w:pPr>
            <w:r w:rsidRPr="001C3D74">
              <w:t>NR</w:t>
            </w:r>
          </w:p>
        </w:tc>
        <w:tc>
          <w:tcPr>
            <w:tcW w:w="643" w:type="pct"/>
            <w:vAlign w:val="center"/>
          </w:tcPr>
          <w:p w14:paraId="381EB0DB" w14:textId="77777777" w:rsidR="00A03B35" w:rsidRPr="001C3D74" w:rsidRDefault="00A03B35" w:rsidP="00C46EDE">
            <w:pPr>
              <w:pStyle w:val="TableText"/>
              <w:jc w:val="center"/>
            </w:pPr>
            <w:r w:rsidRPr="001C3D74">
              <w:t>0.78</w:t>
            </w:r>
          </w:p>
        </w:tc>
        <w:tc>
          <w:tcPr>
            <w:tcW w:w="627" w:type="pct"/>
            <w:vAlign w:val="center"/>
          </w:tcPr>
          <w:p w14:paraId="0C7388E5" w14:textId="77777777" w:rsidR="00A03B35" w:rsidRPr="001C3D74" w:rsidRDefault="00A03B35" w:rsidP="00C46EDE">
            <w:pPr>
              <w:pStyle w:val="TableText"/>
              <w:jc w:val="center"/>
            </w:pPr>
            <w:r w:rsidRPr="001C3D74">
              <w:t>0.74</w:t>
            </w:r>
          </w:p>
        </w:tc>
        <w:tc>
          <w:tcPr>
            <w:tcW w:w="625" w:type="pct"/>
            <w:vAlign w:val="center"/>
          </w:tcPr>
          <w:p w14:paraId="475769AB" w14:textId="1D148AC5" w:rsidR="00A03B35" w:rsidRPr="001C3D74" w:rsidRDefault="00A03B35" w:rsidP="00C46EDE">
            <w:pPr>
              <w:pStyle w:val="TableText"/>
              <w:jc w:val="center"/>
            </w:pPr>
            <w:r w:rsidRPr="001C3D74">
              <w:t>NR</w:t>
            </w:r>
          </w:p>
        </w:tc>
        <w:tc>
          <w:tcPr>
            <w:tcW w:w="704" w:type="pct"/>
            <w:vAlign w:val="center"/>
          </w:tcPr>
          <w:p w14:paraId="7F7DB2F6" w14:textId="5ECA6443" w:rsidR="00A03B35" w:rsidRPr="001C3D74" w:rsidRDefault="00A03B35" w:rsidP="00C46EDE">
            <w:pPr>
              <w:pStyle w:val="TableText"/>
              <w:jc w:val="center"/>
            </w:pPr>
            <w:r w:rsidRPr="001C3D74">
              <w:t>NR</w:t>
            </w:r>
          </w:p>
        </w:tc>
        <w:tc>
          <w:tcPr>
            <w:tcW w:w="648" w:type="pct"/>
            <w:vAlign w:val="center"/>
          </w:tcPr>
          <w:p w14:paraId="14479283" w14:textId="1575509C" w:rsidR="00A03B35" w:rsidRPr="001C3D74" w:rsidRDefault="00A03B35" w:rsidP="00C46EDE">
            <w:pPr>
              <w:pStyle w:val="TableText"/>
              <w:jc w:val="center"/>
            </w:pPr>
            <w:r w:rsidRPr="001C3D74">
              <w:t>NR</w:t>
            </w:r>
          </w:p>
        </w:tc>
        <w:tc>
          <w:tcPr>
            <w:tcW w:w="576" w:type="pct"/>
            <w:vAlign w:val="center"/>
          </w:tcPr>
          <w:p w14:paraId="18CC6AE8" w14:textId="50A22439" w:rsidR="00A03B35" w:rsidRPr="001C3D74" w:rsidRDefault="00A03B35" w:rsidP="00C46EDE">
            <w:pPr>
              <w:pStyle w:val="TableText"/>
              <w:jc w:val="center"/>
            </w:pPr>
            <w:r w:rsidRPr="001C3D74">
              <w:t>NR</w:t>
            </w:r>
          </w:p>
        </w:tc>
      </w:tr>
      <w:tr w:rsidR="00C46EDE" w:rsidRPr="001C3D74" w14:paraId="100ABF7D" w14:textId="77777777" w:rsidTr="00416D48">
        <w:tc>
          <w:tcPr>
            <w:tcW w:w="543" w:type="pct"/>
            <w:vAlign w:val="center"/>
          </w:tcPr>
          <w:p w14:paraId="029F18F3" w14:textId="5729F732" w:rsidR="00A03B35" w:rsidRPr="001C3D74" w:rsidRDefault="00A03B35" w:rsidP="007C0D37">
            <w:pPr>
              <w:pStyle w:val="TableText"/>
            </w:pPr>
            <w:r w:rsidRPr="001C3D74">
              <w:t>Pan et al. 2018</w:t>
            </w:r>
          </w:p>
        </w:tc>
        <w:tc>
          <w:tcPr>
            <w:tcW w:w="312" w:type="pct"/>
            <w:vAlign w:val="center"/>
          </w:tcPr>
          <w:p w14:paraId="2C8CDF0C" w14:textId="77777777" w:rsidR="00A03B35" w:rsidRPr="001C3D74" w:rsidRDefault="00A03B35" w:rsidP="00C46EDE">
            <w:pPr>
              <w:pStyle w:val="TableText"/>
              <w:jc w:val="center"/>
            </w:pPr>
            <w:r w:rsidRPr="001C3D74">
              <w:t>13</w:t>
            </w:r>
          </w:p>
        </w:tc>
        <w:tc>
          <w:tcPr>
            <w:tcW w:w="322" w:type="pct"/>
            <w:vAlign w:val="center"/>
          </w:tcPr>
          <w:p w14:paraId="33558EC1" w14:textId="77777777" w:rsidR="00A03B35" w:rsidRPr="001C3D74" w:rsidRDefault="00A03B35" w:rsidP="00C46EDE">
            <w:pPr>
              <w:pStyle w:val="TableText"/>
              <w:jc w:val="center"/>
            </w:pPr>
            <w:r w:rsidRPr="001C3D74">
              <w:t>1022</w:t>
            </w:r>
          </w:p>
        </w:tc>
        <w:tc>
          <w:tcPr>
            <w:tcW w:w="643" w:type="pct"/>
            <w:vAlign w:val="center"/>
          </w:tcPr>
          <w:p w14:paraId="74523FDA" w14:textId="77547758" w:rsidR="00A03B35" w:rsidRDefault="00A03B35" w:rsidP="00C46EDE">
            <w:pPr>
              <w:pStyle w:val="TableText"/>
              <w:jc w:val="center"/>
            </w:pPr>
            <w:r w:rsidRPr="001C3D74">
              <w:t>0.75</w:t>
            </w:r>
          </w:p>
          <w:p w14:paraId="126881D0" w14:textId="77777777" w:rsidR="00A03B35" w:rsidRPr="001C3D74" w:rsidRDefault="00A03B35" w:rsidP="00C46EDE">
            <w:pPr>
              <w:pStyle w:val="TableText"/>
              <w:jc w:val="center"/>
            </w:pPr>
            <w:r w:rsidRPr="001C3D74">
              <w:t>(0.71-0.78)</w:t>
            </w:r>
          </w:p>
        </w:tc>
        <w:tc>
          <w:tcPr>
            <w:tcW w:w="627" w:type="pct"/>
            <w:vAlign w:val="center"/>
          </w:tcPr>
          <w:p w14:paraId="4E48C687" w14:textId="7E736699" w:rsidR="00A03B35" w:rsidRDefault="00A03B35" w:rsidP="00C46EDE">
            <w:pPr>
              <w:pStyle w:val="TableText"/>
              <w:jc w:val="center"/>
            </w:pPr>
            <w:r w:rsidRPr="001C3D74">
              <w:t>0.87</w:t>
            </w:r>
          </w:p>
          <w:p w14:paraId="58F50B33" w14:textId="77777777" w:rsidR="00A03B35" w:rsidRPr="001C3D74" w:rsidRDefault="00A03B35" w:rsidP="00C46EDE">
            <w:pPr>
              <w:pStyle w:val="TableText"/>
              <w:jc w:val="center"/>
            </w:pPr>
            <w:r w:rsidRPr="001C3D74">
              <w:t>(0.84-0.90)</w:t>
            </w:r>
          </w:p>
        </w:tc>
        <w:tc>
          <w:tcPr>
            <w:tcW w:w="625" w:type="pct"/>
            <w:vAlign w:val="center"/>
          </w:tcPr>
          <w:p w14:paraId="4BBB7B6B" w14:textId="7D7E4B83" w:rsidR="00A03B35" w:rsidRPr="001C3D74" w:rsidRDefault="00A03B35" w:rsidP="00C46EDE">
            <w:pPr>
              <w:pStyle w:val="TableText"/>
              <w:jc w:val="center"/>
            </w:pPr>
            <w:r w:rsidRPr="001C3D74">
              <w:t>NR</w:t>
            </w:r>
          </w:p>
        </w:tc>
        <w:tc>
          <w:tcPr>
            <w:tcW w:w="704" w:type="pct"/>
            <w:vAlign w:val="center"/>
          </w:tcPr>
          <w:p w14:paraId="727A942E" w14:textId="2C33F0B2" w:rsidR="00A03B35" w:rsidRDefault="00A03B35" w:rsidP="00C46EDE">
            <w:pPr>
              <w:pStyle w:val="TableText"/>
              <w:jc w:val="center"/>
            </w:pPr>
            <w:r w:rsidRPr="001C3D74">
              <w:t>24.0</w:t>
            </w:r>
          </w:p>
          <w:p w14:paraId="6393A085" w14:textId="77777777" w:rsidR="00A03B35" w:rsidRPr="001C3D74" w:rsidRDefault="00A03B35" w:rsidP="00C46EDE">
            <w:pPr>
              <w:pStyle w:val="TableText"/>
              <w:jc w:val="center"/>
            </w:pPr>
            <w:r w:rsidRPr="001C3D74">
              <w:t>(10.1-56.8)</w:t>
            </w:r>
          </w:p>
        </w:tc>
        <w:tc>
          <w:tcPr>
            <w:tcW w:w="648" w:type="pct"/>
            <w:vAlign w:val="center"/>
          </w:tcPr>
          <w:p w14:paraId="3181F93E" w14:textId="5FA5B2E8" w:rsidR="00A03B35" w:rsidRDefault="00A03B35" w:rsidP="00C46EDE">
            <w:pPr>
              <w:pStyle w:val="TableText"/>
              <w:jc w:val="center"/>
            </w:pPr>
            <w:r w:rsidRPr="001C3D74">
              <w:t>6.2</w:t>
            </w:r>
          </w:p>
          <w:p w14:paraId="62437AB7" w14:textId="77777777" w:rsidR="00A03B35" w:rsidRPr="001C3D74" w:rsidRDefault="00A03B35" w:rsidP="00C46EDE">
            <w:pPr>
              <w:pStyle w:val="TableText"/>
              <w:jc w:val="center"/>
            </w:pPr>
            <w:r w:rsidRPr="001C3D74">
              <w:t>(3.1-12.3)</w:t>
            </w:r>
          </w:p>
        </w:tc>
        <w:tc>
          <w:tcPr>
            <w:tcW w:w="576" w:type="pct"/>
            <w:vAlign w:val="center"/>
          </w:tcPr>
          <w:p w14:paraId="51C7AB5A" w14:textId="72CD4ABD" w:rsidR="00A03B35" w:rsidRDefault="00A03B35" w:rsidP="00C46EDE">
            <w:pPr>
              <w:pStyle w:val="TableText"/>
              <w:jc w:val="center"/>
            </w:pPr>
            <w:r w:rsidRPr="001C3D74">
              <w:t>0.31</w:t>
            </w:r>
          </w:p>
          <w:p w14:paraId="7405729C" w14:textId="77777777" w:rsidR="00A03B35" w:rsidRPr="001C3D74" w:rsidRDefault="00A03B35" w:rsidP="00C46EDE">
            <w:pPr>
              <w:pStyle w:val="TableText"/>
              <w:jc w:val="center"/>
            </w:pPr>
            <w:r w:rsidRPr="001C3D74">
              <w:t>(0.25-0.39)</w:t>
            </w:r>
          </w:p>
        </w:tc>
      </w:tr>
      <w:tr w:rsidR="00C46EDE" w:rsidRPr="001C3D74" w14:paraId="6C0B0A34" w14:textId="77777777" w:rsidTr="00416D48">
        <w:tc>
          <w:tcPr>
            <w:tcW w:w="543" w:type="pct"/>
            <w:vAlign w:val="center"/>
          </w:tcPr>
          <w:p w14:paraId="0760D8C8" w14:textId="1A6E0F7D" w:rsidR="00A03B35" w:rsidRPr="001C3D74" w:rsidRDefault="00A03B35" w:rsidP="007C0D37">
            <w:pPr>
              <w:pStyle w:val="TableText"/>
            </w:pPr>
            <w:proofErr w:type="spellStart"/>
            <w:r w:rsidRPr="008765B1">
              <w:t>Kotanidis</w:t>
            </w:r>
            <w:proofErr w:type="spellEnd"/>
            <w:r w:rsidRPr="008765B1">
              <w:t xml:space="preserve"> et al</w:t>
            </w:r>
            <w:r w:rsidR="00535567">
              <w:t xml:space="preserve">. </w:t>
            </w:r>
            <w:r w:rsidRPr="008765B1">
              <w:t>2018</w:t>
            </w:r>
          </w:p>
        </w:tc>
        <w:tc>
          <w:tcPr>
            <w:tcW w:w="312" w:type="pct"/>
            <w:vAlign w:val="center"/>
          </w:tcPr>
          <w:p w14:paraId="2969373E" w14:textId="77777777" w:rsidR="00A03B35" w:rsidRPr="001C3D74" w:rsidRDefault="00A03B35" w:rsidP="00C46EDE">
            <w:pPr>
              <w:pStyle w:val="TableText"/>
              <w:jc w:val="center"/>
            </w:pPr>
            <w:r>
              <w:t>8</w:t>
            </w:r>
          </w:p>
        </w:tc>
        <w:tc>
          <w:tcPr>
            <w:tcW w:w="322" w:type="pct"/>
            <w:vAlign w:val="center"/>
          </w:tcPr>
          <w:p w14:paraId="4478FD0C" w14:textId="77777777" w:rsidR="00A03B35" w:rsidRPr="001C3D74" w:rsidRDefault="00A03B35" w:rsidP="00C46EDE">
            <w:pPr>
              <w:pStyle w:val="TableText"/>
              <w:jc w:val="center"/>
            </w:pPr>
            <w:r>
              <w:t>577</w:t>
            </w:r>
          </w:p>
        </w:tc>
        <w:tc>
          <w:tcPr>
            <w:tcW w:w="643" w:type="pct"/>
            <w:vAlign w:val="center"/>
          </w:tcPr>
          <w:p w14:paraId="70907FB0" w14:textId="48B93A68" w:rsidR="00A03B35" w:rsidRDefault="00A03B35" w:rsidP="00C46EDE">
            <w:pPr>
              <w:pStyle w:val="TableText"/>
              <w:jc w:val="center"/>
            </w:pPr>
            <w:r w:rsidRPr="008765B1">
              <w:t>0.78</w:t>
            </w:r>
          </w:p>
          <w:p w14:paraId="727F63F8" w14:textId="05028A77" w:rsidR="00A03B35" w:rsidRPr="001C3D74" w:rsidRDefault="00A03B35" w:rsidP="00C46EDE">
            <w:pPr>
              <w:pStyle w:val="TableText"/>
              <w:jc w:val="center"/>
            </w:pPr>
            <w:r w:rsidRPr="008765B1">
              <w:t>(0.72–0.83)</w:t>
            </w:r>
          </w:p>
        </w:tc>
        <w:tc>
          <w:tcPr>
            <w:tcW w:w="627" w:type="pct"/>
            <w:vAlign w:val="center"/>
          </w:tcPr>
          <w:p w14:paraId="1C2B03A1" w14:textId="4D86B32C" w:rsidR="00A03B35" w:rsidRDefault="00A03B35" w:rsidP="00C46EDE">
            <w:pPr>
              <w:pStyle w:val="TableText"/>
              <w:jc w:val="center"/>
            </w:pPr>
            <w:r w:rsidRPr="008765B1">
              <w:t>0.88</w:t>
            </w:r>
          </w:p>
          <w:p w14:paraId="3936E592" w14:textId="77777777" w:rsidR="00A03B35" w:rsidRPr="001C3D74" w:rsidRDefault="00A03B35" w:rsidP="00C46EDE">
            <w:pPr>
              <w:pStyle w:val="TableText"/>
              <w:jc w:val="center"/>
            </w:pPr>
            <w:r w:rsidRPr="008765B1">
              <w:t>(0.68–0.96)</w:t>
            </w:r>
          </w:p>
        </w:tc>
        <w:tc>
          <w:tcPr>
            <w:tcW w:w="625" w:type="pct"/>
            <w:vAlign w:val="center"/>
          </w:tcPr>
          <w:p w14:paraId="607A4F97" w14:textId="77777777" w:rsidR="00C46EDE" w:rsidRDefault="00A03B35" w:rsidP="00C46EDE">
            <w:pPr>
              <w:pStyle w:val="TableText"/>
              <w:jc w:val="center"/>
            </w:pPr>
            <w:r w:rsidRPr="008765B1">
              <w:t>0.83</w:t>
            </w:r>
          </w:p>
          <w:p w14:paraId="0A11E0B8" w14:textId="5DB41444" w:rsidR="00A03B35" w:rsidRPr="001C3D74" w:rsidRDefault="00A03B35" w:rsidP="00C46EDE">
            <w:pPr>
              <w:pStyle w:val="TableText"/>
              <w:jc w:val="center"/>
            </w:pPr>
            <w:r w:rsidRPr="008765B1">
              <w:t>(0.79–0.86)</w:t>
            </w:r>
          </w:p>
        </w:tc>
        <w:tc>
          <w:tcPr>
            <w:tcW w:w="704" w:type="pct"/>
            <w:vAlign w:val="center"/>
          </w:tcPr>
          <w:p w14:paraId="6AE69BAD" w14:textId="439484D0" w:rsidR="00A03B35" w:rsidRDefault="00A03B35" w:rsidP="00C46EDE">
            <w:pPr>
              <w:pStyle w:val="TableText"/>
              <w:jc w:val="center"/>
            </w:pPr>
            <w:r w:rsidRPr="008765B1">
              <w:t>26.78</w:t>
            </w:r>
          </w:p>
          <w:p w14:paraId="2BEF3BD4" w14:textId="32FB23BD" w:rsidR="00A03B35" w:rsidRPr="001C3D74" w:rsidRDefault="00A03B35" w:rsidP="00C46EDE">
            <w:pPr>
              <w:pStyle w:val="TableText"/>
              <w:jc w:val="center"/>
            </w:pPr>
            <w:r w:rsidRPr="008765B1">
              <w:t>(7.65–3.76)</w:t>
            </w:r>
          </w:p>
        </w:tc>
        <w:tc>
          <w:tcPr>
            <w:tcW w:w="648" w:type="pct"/>
            <w:vAlign w:val="center"/>
          </w:tcPr>
          <w:p w14:paraId="6D8DD33C" w14:textId="77777777" w:rsidR="00C46EDE" w:rsidRDefault="00A03B35" w:rsidP="00C46EDE">
            <w:pPr>
              <w:pStyle w:val="TableText"/>
              <w:jc w:val="center"/>
            </w:pPr>
            <w:r w:rsidRPr="008765B1">
              <w:t xml:space="preserve">6.64 </w:t>
            </w:r>
          </w:p>
          <w:p w14:paraId="13D6F0C9" w14:textId="5AB1AEDA" w:rsidR="00A03B35" w:rsidRPr="001C3D74" w:rsidRDefault="00A03B35" w:rsidP="00C46EDE">
            <w:pPr>
              <w:pStyle w:val="TableText"/>
              <w:jc w:val="center"/>
            </w:pPr>
            <w:r w:rsidRPr="008765B1">
              <w:t>(2.20–20.10)</w:t>
            </w:r>
          </w:p>
        </w:tc>
        <w:tc>
          <w:tcPr>
            <w:tcW w:w="576" w:type="pct"/>
            <w:vAlign w:val="center"/>
          </w:tcPr>
          <w:p w14:paraId="37E00E69" w14:textId="33B7F3A2" w:rsidR="00A03B35" w:rsidRDefault="00A03B35" w:rsidP="00C46EDE">
            <w:pPr>
              <w:pStyle w:val="TableText"/>
              <w:jc w:val="center"/>
            </w:pPr>
            <w:r w:rsidRPr="008765B1">
              <w:t>0.25</w:t>
            </w:r>
          </w:p>
          <w:p w14:paraId="29959F3F" w14:textId="3879A87D" w:rsidR="00A03B35" w:rsidRPr="001C3D74" w:rsidRDefault="00A03B35" w:rsidP="00C46EDE">
            <w:pPr>
              <w:pStyle w:val="TableText"/>
            </w:pPr>
            <w:r w:rsidRPr="008765B1">
              <w:t>(0.19–.32)</w:t>
            </w:r>
          </w:p>
        </w:tc>
      </w:tr>
      <w:tr w:rsidR="00C46EDE" w:rsidRPr="001C3D74" w14:paraId="58FDE10A" w14:textId="77777777" w:rsidTr="00416D48">
        <w:tc>
          <w:tcPr>
            <w:tcW w:w="543" w:type="pct"/>
            <w:vAlign w:val="center"/>
          </w:tcPr>
          <w:p w14:paraId="7E935051" w14:textId="0B54F12D" w:rsidR="00A03B35" w:rsidRPr="001C3D74" w:rsidRDefault="00A03B35" w:rsidP="007C0D37">
            <w:pPr>
              <w:pStyle w:val="TableText"/>
            </w:pPr>
            <w:r w:rsidRPr="001C3D74">
              <w:t>Wei et al. 2017</w:t>
            </w:r>
          </w:p>
        </w:tc>
        <w:tc>
          <w:tcPr>
            <w:tcW w:w="312" w:type="pct"/>
            <w:vAlign w:val="center"/>
          </w:tcPr>
          <w:p w14:paraId="747D3520" w14:textId="77777777" w:rsidR="00A03B35" w:rsidRPr="001C3D74" w:rsidRDefault="00A03B35" w:rsidP="00C46EDE">
            <w:pPr>
              <w:pStyle w:val="TableText"/>
              <w:jc w:val="center"/>
            </w:pPr>
            <w:r w:rsidRPr="001C3D74">
              <w:t>7</w:t>
            </w:r>
          </w:p>
        </w:tc>
        <w:tc>
          <w:tcPr>
            <w:tcW w:w="322" w:type="pct"/>
            <w:vAlign w:val="center"/>
          </w:tcPr>
          <w:p w14:paraId="026BF6A7" w14:textId="77777777" w:rsidR="00A03B35" w:rsidRPr="001C3D74" w:rsidRDefault="00A03B35" w:rsidP="00C46EDE">
            <w:pPr>
              <w:pStyle w:val="TableText"/>
              <w:jc w:val="center"/>
            </w:pPr>
            <w:r w:rsidRPr="001C3D74">
              <w:t>417</w:t>
            </w:r>
          </w:p>
        </w:tc>
        <w:tc>
          <w:tcPr>
            <w:tcW w:w="643" w:type="pct"/>
            <w:vAlign w:val="center"/>
          </w:tcPr>
          <w:p w14:paraId="02E2190C" w14:textId="330A600D" w:rsidR="00A03B35" w:rsidRDefault="00A03B35" w:rsidP="00C46EDE">
            <w:pPr>
              <w:pStyle w:val="TableText"/>
              <w:jc w:val="center"/>
            </w:pPr>
            <w:r w:rsidRPr="001C3D74">
              <w:t>0.70</w:t>
            </w:r>
          </w:p>
          <w:p w14:paraId="36E79391" w14:textId="77777777" w:rsidR="00A03B35" w:rsidRPr="001C3D74" w:rsidRDefault="00A03B35" w:rsidP="00C46EDE">
            <w:pPr>
              <w:pStyle w:val="TableText"/>
              <w:jc w:val="center"/>
            </w:pPr>
            <w:r w:rsidRPr="001C3D74">
              <w:t>(0.62-0.76)</w:t>
            </w:r>
          </w:p>
        </w:tc>
        <w:tc>
          <w:tcPr>
            <w:tcW w:w="627" w:type="pct"/>
            <w:vAlign w:val="center"/>
          </w:tcPr>
          <w:p w14:paraId="6D14E09C" w14:textId="3013902A" w:rsidR="00A03B35" w:rsidRDefault="00A03B35" w:rsidP="00C46EDE">
            <w:pPr>
              <w:pStyle w:val="TableText"/>
              <w:jc w:val="center"/>
            </w:pPr>
            <w:r w:rsidRPr="001C3D74">
              <w:t>0.56</w:t>
            </w:r>
          </w:p>
          <w:p w14:paraId="54F9A90C" w14:textId="77777777" w:rsidR="00A03B35" w:rsidRPr="001C3D74" w:rsidRDefault="00A03B35" w:rsidP="00C46EDE">
            <w:pPr>
              <w:pStyle w:val="TableText"/>
              <w:jc w:val="center"/>
            </w:pPr>
            <w:r w:rsidRPr="001C3D74">
              <w:t>(0.31-0.78)</w:t>
            </w:r>
          </w:p>
        </w:tc>
        <w:tc>
          <w:tcPr>
            <w:tcW w:w="625" w:type="pct"/>
            <w:vAlign w:val="center"/>
          </w:tcPr>
          <w:p w14:paraId="08D70C40" w14:textId="798E72FF" w:rsidR="00A03B35" w:rsidRDefault="00A03B35" w:rsidP="00C46EDE">
            <w:pPr>
              <w:pStyle w:val="TableText"/>
              <w:jc w:val="center"/>
            </w:pPr>
            <w:r w:rsidRPr="001C3D74">
              <w:t>0.70</w:t>
            </w:r>
          </w:p>
          <w:p w14:paraId="3CFDB364" w14:textId="77777777" w:rsidR="00A03B35" w:rsidRPr="001C3D74" w:rsidRDefault="00A03B35" w:rsidP="00C46EDE">
            <w:pPr>
              <w:pStyle w:val="TableText"/>
              <w:jc w:val="center"/>
            </w:pPr>
            <w:r w:rsidRPr="001C3D74">
              <w:t>(0.66-0.74)</w:t>
            </w:r>
          </w:p>
        </w:tc>
        <w:tc>
          <w:tcPr>
            <w:tcW w:w="704" w:type="pct"/>
            <w:vAlign w:val="center"/>
          </w:tcPr>
          <w:p w14:paraId="6BD7C962" w14:textId="77777777" w:rsidR="00A03B35" w:rsidRDefault="00A03B35" w:rsidP="00C46EDE">
            <w:pPr>
              <w:pStyle w:val="TableText"/>
              <w:jc w:val="center"/>
            </w:pPr>
            <w:r w:rsidRPr="001C3D74">
              <w:t>3.0</w:t>
            </w:r>
          </w:p>
          <w:p w14:paraId="5055AE6F" w14:textId="77777777" w:rsidR="00A03B35" w:rsidRPr="001C3D74" w:rsidRDefault="00A03B35" w:rsidP="00C46EDE">
            <w:pPr>
              <w:pStyle w:val="TableText"/>
              <w:jc w:val="center"/>
            </w:pPr>
            <w:r w:rsidRPr="001C3D74">
              <w:t>(1.0-8.0)</w:t>
            </w:r>
          </w:p>
        </w:tc>
        <w:tc>
          <w:tcPr>
            <w:tcW w:w="648" w:type="pct"/>
            <w:vAlign w:val="center"/>
          </w:tcPr>
          <w:p w14:paraId="0211BF81" w14:textId="68DE955F" w:rsidR="00A03B35" w:rsidRDefault="00A03B35" w:rsidP="00C46EDE">
            <w:pPr>
              <w:pStyle w:val="TableText"/>
              <w:jc w:val="center"/>
            </w:pPr>
            <w:r w:rsidRPr="001C3D74">
              <w:t>1.6</w:t>
            </w:r>
          </w:p>
          <w:p w14:paraId="7DEC6FE8" w14:textId="77777777" w:rsidR="00A03B35" w:rsidRPr="001C3D74" w:rsidRDefault="00A03B35" w:rsidP="00C46EDE">
            <w:pPr>
              <w:pStyle w:val="TableText"/>
              <w:jc w:val="center"/>
            </w:pPr>
            <w:r w:rsidRPr="001C3D74">
              <w:t>(0.9-2.8)</w:t>
            </w:r>
          </w:p>
        </w:tc>
        <w:tc>
          <w:tcPr>
            <w:tcW w:w="576" w:type="pct"/>
            <w:vAlign w:val="center"/>
          </w:tcPr>
          <w:p w14:paraId="728E1263" w14:textId="3E155DB7" w:rsidR="00A03B35" w:rsidRDefault="00A03B35" w:rsidP="00C46EDE">
            <w:pPr>
              <w:pStyle w:val="TableText"/>
              <w:jc w:val="center"/>
            </w:pPr>
            <w:r w:rsidRPr="001C3D74">
              <w:t>0.54</w:t>
            </w:r>
          </w:p>
          <w:p w14:paraId="4F646184" w14:textId="77777777" w:rsidR="00A03B35" w:rsidRPr="001C3D74" w:rsidRDefault="00A03B35" w:rsidP="00C46EDE">
            <w:pPr>
              <w:pStyle w:val="TableText"/>
              <w:jc w:val="center"/>
            </w:pPr>
            <w:r w:rsidRPr="001C3D74">
              <w:t>(0.35-0.84)</w:t>
            </w:r>
          </w:p>
        </w:tc>
      </w:tr>
    </w:tbl>
    <w:p w14:paraId="1EAF1F8A" w14:textId="0399DA8C" w:rsidR="00A03B35" w:rsidRPr="009B51F0" w:rsidRDefault="0016390E" w:rsidP="009B51F0">
      <w:pPr>
        <w:pStyle w:val="TableFooter"/>
      </w:pPr>
      <w:r w:rsidRPr="009B51F0">
        <w:t xml:space="preserve">AUC = area under curve; </w:t>
      </w:r>
      <w:r w:rsidR="00C46EDE" w:rsidRPr="009B51F0">
        <w:t xml:space="preserve">K = number of studies; </w:t>
      </w:r>
      <w:r w:rsidR="00A03B35" w:rsidRPr="009B51F0">
        <w:t>NR=not reported</w:t>
      </w:r>
    </w:p>
    <w:p w14:paraId="3F59C1FB" w14:textId="10D0FD7C" w:rsidR="00A03B35" w:rsidRPr="009B51F0" w:rsidRDefault="00A03B35" w:rsidP="009B51F0">
      <w:pPr>
        <w:pStyle w:val="TableFooter"/>
      </w:pPr>
      <w:r w:rsidRPr="009B51F0">
        <w:t>Notes: numbers in parenthes</w:t>
      </w:r>
      <w:r w:rsidR="00E272EE">
        <w:t>e</w:t>
      </w:r>
      <w:r w:rsidRPr="009B51F0">
        <w:t>s are 95% confidence interval</w:t>
      </w:r>
    </w:p>
    <w:p w14:paraId="24F62235" w14:textId="181E2A56" w:rsidR="00A03B35" w:rsidRDefault="00A03B35" w:rsidP="00DC1589">
      <w:r>
        <w:lastRenderedPageBreak/>
        <w:t>All systematic reviews reported higher sensitivity and specificity for each index test. The systematic review by Wei et al</w:t>
      </w:r>
      <w:r w:rsidR="00535567">
        <w:t>.</w:t>
      </w:r>
      <w:r>
        <w:t xml:space="preserve"> </w:t>
      </w:r>
      <w:r w:rsidR="0016390E">
        <w:t>(</w:t>
      </w:r>
      <w:r>
        <w:t>2017</w:t>
      </w:r>
      <w:r w:rsidR="0016390E">
        <w:t>)</w:t>
      </w:r>
      <w:r>
        <w:t xml:space="preserve"> included studies with EMB </w:t>
      </w:r>
      <w:r w:rsidR="00D33C4B">
        <w:t xml:space="preserve">only </w:t>
      </w:r>
      <w:r>
        <w:t xml:space="preserve">as reference standard. This systematic review reported </w:t>
      </w:r>
      <w:r w:rsidR="00D33C4B">
        <w:t xml:space="preserve">the </w:t>
      </w:r>
      <w:r>
        <w:t xml:space="preserve">lowest sensitivity and specificity values for </w:t>
      </w:r>
      <w:r w:rsidR="00D33C4B">
        <w:t>LLC</w:t>
      </w:r>
      <w:r>
        <w:t xml:space="preserve"> compared to the values reported in the other systematic reviews.</w:t>
      </w:r>
    </w:p>
    <w:p w14:paraId="118B1EA7" w14:textId="77777777" w:rsidR="00A03B35" w:rsidRDefault="00A03B35" w:rsidP="00A03B35">
      <w:pPr>
        <w:jc w:val="both"/>
        <w:rPr>
          <w:b/>
          <w:bCs/>
          <w:i/>
          <w:iCs/>
          <w:color w:val="000000" w:themeColor="text1"/>
        </w:rPr>
      </w:pPr>
      <w:r w:rsidRPr="00A21A68">
        <w:rPr>
          <w:b/>
          <w:bCs/>
          <w:i/>
          <w:iCs/>
          <w:color w:val="000000" w:themeColor="text1"/>
        </w:rPr>
        <w:t xml:space="preserve">Evidence from the </w:t>
      </w:r>
      <w:r>
        <w:rPr>
          <w:b/>
          <w:bCs/>
          <w:i/>
          <w:iCs/>
          <w:color w:val="000000" w:themeColor="text1"/>
        </w:rPr>
        <w:t>meta-analysis of individual studies</w:t>
      </w:r>
    </w:p>
    <w:p w14:paraId="6FB7D21E" w14:textId="6FB6DFC3" w:rsidR="00A03B35" w:rsidRDefault="00A03B35" w:rsidP="00867E94">
      <w:r>
        <w:t xml:space="preserve">The assessment group conducted a </w:t>
      </w:r>
      <w:r w:rsidR="0011662C">
        <w:t xml:space="preserve">meta-analysis </w:t>
      </w:r>
      <w:r>
        <w:t xml:space="preserve">to assess the diagnostic test accuracy of </w:t>
      </w:r>
      <w:r w:rsidR="003843F3">
        <w:t>cardiac MRI</w:t>
      </w:r>
      <w:r>
        <w:t xml:space="preserve"> related to the four index tests compared with clinical criteria/EMB in the diagnosis of acute myocarditis. This </w:t>
      </w:r>
      <w:r w:rsidR="0011662C">
        <w:t>meta-analysis</w:t>
      </w:r>
      <w:r>
        <w:t xml:space="preserve"> included the 16 studies identified from the updated systematic review and the 22 studies included in the</w:t>
      </w:r>
      <w:r w:rsidR="009C4C59">
        <w:t xml:space="preserve"> systematic review conducted by</w:t>
      </w:r>
      <w:r>
        <w:t xml:space="preserve"> </w:t>
      </w:r>
      <w:proofErr w:type="spellStart"/>
      <w:r>
        <w:t>Kotanidis</w:t>
      </w:r>
      <w:proofErr w:type="spellEnd"/>
      <w:r>
        <w:t xml:space="preserve"> et al</w:t>
      </w:r>
      <w:r w:rsidR="00756ED0">
        <w:t>.</w:t>
      </w:r>
      <w:r w:rsidR="009C4C59">
        <w:t xml:space="preserve"> (2018)</w:t>
      </w:r>
      <w:r>
        <w:t xml:space="preserve">. Results </w:t>
      </w:r>
      <w:r w:rsidR="00D95DF2">
        <w:t xml:space="preserve">were </w:t>
      </w:r>
      <w:r>
        <w:t xml:space="preserve">reported separately for the </w:t>
      </w:r>
      <w:r w:rsidRPr="009979FE">
        <w:t xml:space="preserve">16 </w:t>
      </w:r>
      <w:r>
        <w:t xml:space="preserve">individual </w:t>
      </w:r>
      <w:r w:rsidRPr="009979FE">
        <w:t>studies identified from the updated systematic review</w:t>
      </w:r>
      <w:r>
        <w:t xml:space="preserve"> and the combined analysis using both reviews (i.e., from the updated SR </w:t>
      </w:r>
      <w:r w:rsidR="00535567">
        <w:t xml:space="preserve">and </w:t>
      </w:r>
      <w:proofErr w:type="spellStart"/>
      <w:r w:rsidR="00535567">
        <w:t>Kotanidis</w:t>
      </w:r>
      <w:proofErr w:type="spellEnd"/>
      <w:r>
        <w:t xml:space="preserve"> et al. </w:t>
      </w:r>
      <w:r w:rsidR="0016390E">
        <w:t>(</w:t>
      </w:r>
      <w:r>
        <w:t>2018</w:t>
      </w:r>
      <w:r w:rsidR="0016390E">
        <w:t>)</w:t>
      </w:r>
      <w:r w:rsidR="009C4C59">
        <w:t>)</w:t>
      </w:r>
      <w:r>
        <w:t xml:space="preserve">. </w:t>
      </w:r>
      <w:r w:rsidR="00D33C4B">
        <w:t xml:space="preserve">Given that the included studies </w:t>
      </w:r>
      <w:r w:rsidR="00D95DF2">
        <w:t xml:space="preserve">had </w:t>
      </w:r>
      <w:r w:rsidR="00D33C4B">
        <w:t>used</w:t>
      </w:r>
      <w:r>
        <w:t xml:space="preserve"> </w:t>
      </w:r>
      <w:r w:rsidRPr="00650385">
        <w:t>different</w:t>
      </w:r>
      <w:r>
        <w:t xml:space="preserve"> </w:t>
      </w:r>
      <w:r w:rsidRPr="00650385">
        <w:t>thresholds to dichotomi</w:t>
      </w:r>
      <w:r>
        <w:t>s</w:t>
      </w:r>
      <w:r w:rsidRPr="00650385">
        <w:t>e test results</w:t>
      </w:r>
      <w:r>
        <w:t xml:space="preserve"> </w:t>
      </w:r>
      <w:r w:rsidRPr="00650385">
        <w:t>measured on a</w:t>
      </w:r>
      <w:r>
        <w:t xml:space="preserve"> </w:t>
      </w:r>
      <w:r w:rsidRPr="00650385">
        <w:t>continuous scale and therefore meta-analyses using hierarchical models to produce</w:t>
      </w:r>
      <w:r>
        <w:t xml:space="preserve"> </w:t>
      </w:r>
      <w:r w:rsidRPr="00650385">
        <w:t xml:space="preserve">summary </w:t>
      </w:r>
      <w:r w:rsidR="00416D48" w:rsidRPr="00416D48">
        <w:t xml:space="preserve">receiver operating curve </w:t>
      </w:r>
      <w:r w:rsidRPr="00650385">
        <w:t>(HSROC) curves and 95% prediction</w:t>
      </w:r>
      <w:r>
        <w:t xml:space="preserve"> </w:t>
      </w:r>
      <w:r w:rsidRPr="00650385">
        <w:t>regions</w:t>
      </w:r>
      <w:r>
        <w:t xml:space="preserve"> </w:t>
      </w:r>
      <w:r w:rsidRPr="00650385">
        <w:t>for each index test</w:t>
      </w:r>
      <w:r>
        <w:t xml:space="preserve"> were performed using </w:t>
      </w:r>
      <w:r w:rsidRPr="00650385">
        <w:t>Stata version 1</w:t>
      </w:r>
      <w:r>
        <w:t>7</w:t>
      </w:r>
      <w:r>
        <w:rPr>
          <w:rStyle w:val="FootnoteReference"/>
        </w:rPr>
        <w:footnoteReference w:id="15"/>
      </w:r>
      <w:r w:rsidR="009B51F0">
        <w:t>.</w:t>
      </w:r>
      <w:r>
        <w:t xml:space="preserve"> </w:t>
      </w:r>
      <w:r w:rsidR="00756ED0">
        <w:fldChar w:fldCharType="begin"/>
      </w:r>
      <w:r w:rsidR="00756ED0">
        <w:instrText xml:space="preserve"> REF _Ref150182564 \h </w:instrText>
      </w:r>
      <w:r w:rsidR="00867E94">
        <w:instrText xml:space="preserve"> \* MERGEFORMAT </w:instrText>
      </w:r>
      <w:r w:rsidR="00756ED0">
        <w:fldChar w:fldCharType="separate"/>
      </w:r>
      <w:r w:rsidR="00093FC7" w:rsidRPr="009B51F0">
        <w:t xml:space="preserve">Table </w:t>
      </w:r>
      <w:r w:rsidR="00093FC7">
        <w:rPr>
          <w:noProof/>
        </w:rPr>
        <w:t>5</w:t>
      </w:r>
      <w:r w:rsidR="00756ED0">
        <w:fldChar w:fldCharType="end"/>
      </w:r>
      <w:r w:rsidR="00756ED0">
        <w:t xml:space="preserve"> </w:t>
      </w:r>
      <w:r>
        <w:t>summarise</w:t>
      </w:r>
      <w:r w:rsidR="00756ED0">
        <w:t>s</w:t>
      </w:r>
      <w:r>
        <w:t xml:space="preserve"> the overall results of meta-analyses conducted using the individual papers identified in the updated systematic reviews and the papers included in the </w:t>
      </w:r>
      <w:proofErr w:type="spellStart"/>
      <w:r>
        <w:t>Kotanidis</w:t>
      </w:r>
      <w:proofErr w:type="spellEnd"/>
      <w:r>
        <w:t xml:space="preserve"> et al</w:t>
      </w:r>
      <w:r w:rsidR="009C4C59">
        <w:t>.</w:t>
      </w:r>
      <w:r>
        <w:t xml:space="preserve"> </w:t>
      </w:r>
      <w:r w:rsidR="0016390E">
        <w:t>(</w:t>
      </w:r>
      <w:r>
        <w:t>2018</w:t>
      </w:r>
      <w:r w:rsidR="0016390E">
        <w:t>)</w:t>
      </w:r>
      <w:r>
        <w:t>.</w:t>
      </w:r>
    </w:p>
    <w:p w14:paraId="7A04C3A1" w14:textId="55B330F4" w:rsidR="00A03B35" w:rsidRPr="009B51F0" w:rsidRDefault="00A03B35" w:rsidP="009B51F0">
      <w:pPr>
        <w:pStyle w:val="Caption"/>
      </w:pPr>
      <w:bookmarkStart w:id="33" w:name="_Ref150182564"/>
      <w:bookmarkStart w:id="34" w:name="_Toc155173765"/>
      <w:r w:rsidRPr="009B51F0">
        <w:t xml:space="preserve">Table </w:t>
      </w:r>
      <w:r>
        <w:fldChar w:fldCharType="begin"/>
      </w:r>
      <w:r>
        <w:instrText>SEQ Table \* ARABIC</w:instrText>
      </w:r>
      <w:r>
        <w:fldChar w:fldCharType="separate"/>
      </w:r>
      <w:r w:rsidR="00EE5F4F">
        <w:rPr>
          <w:noProof/>
        </w:rPr>
        <w:t>5</w:t>
      </w:r>
      <w:r>
        <w:fldChar w:fldCharType="end"/>
      </w:r>
      <w:bookmarkEnd w:id="33"/>
      <w:r w:rsidR="00756ED0" w:rsidRPr="009B51F0">
        <w:tab/>
      </w:r>
      <w:r w:rsidRPr="009B51F0">
        <w:t>Overall Results of Meta-Analyses Conducted</w:t>
      </w:r>
      <w:bookmarkEnd w:id="34"/>
    </w:p>
    <w:tbl>
      <w:tblPr>
        <w:tblStyle w:val="TableGrid"/>
        <w:tblW w:w="5000" w:type="pct"/>
        <w:tblLayout w:type="fixed"/>
        <w:tblLook w:val="04A0" w:firstRow="1" w:lastRow="0" w:firstColumn="1" w:lastColumn="0" w:noHBand="0" w:noVBand="1"/>
      </w:tblPr>
      <w:tblGrid>
        <w:gridCol w:w="979"/>
        <w:gridCol w:w="424"/>
        <w:gridCol w:w="703"/>
        <w:gridCol w:w="563"/>
        <w:gridCol w:w="563"/>
        <w:gridCol w:w="1125"/>
        <w:gridCol w:w="1136"/>
        <w:gridCol w:w="1262"/>
        <w:gridCol w:w="1125"/>
        <w:gridCol w:w="1136"/>
      </w:tblGrid>
      <w:tr w:rsidR="00416D48" w:rsidRPr="00F2657D" w14:paraId="045D4E95" w14:textId="77777777" w:rsidTr="00416D48">
        <w:trPr>
          <w:trHeight w:val="443"/>
          <w:tblHeader/>
        </w:trPr>
        <w:tc>
          <w:tcPr>
            <w:tcW w:w="543" w:type="pct"/>
            <w:hideMark/>
          </w:tcPr>
          <w:p w14:paraId="23D1E58F" w14:textId="77777777" w:rsidR="00A03B35" w:rsidRPr="00F2657D" w:rsidRDefault="00A03B35" w:rsidP="00416D48">
            <w:pPr>
              <w:pStyle w:val="TableHeading0"/>
              <w:jc w:val="center"/>
            </w:pPr>
            <w:bookmarkStart w:id="35" w:name="_Hlk149831819"/>
            <w:r w:rsidRPr="00F2657D">
              <w:t>Index Test</w:t>
            </w:r>
          </w:p>
        </w:tc>
        <w:tc>
          <w:tcPr>
            <w:tcW w:w="235" w:type="pct"/>
            <w:hideMark/>
          </w:tcPr>
          <w:p w14:paraId="46607258" w14:textId="3A33A483" w:rsidR="00A03B35" w:rsidRPr="00F2657D" w:rsidRDefault="00416D48" w:rsidP="00416D48">
            <w:pPr>
              <w:pStyle w:val="TableHeading0"/>
              <w:jc w:val="center"/>
            </w:pPr>
            <w:r>
              <w:t>K</w:t>
            </w:r>
          </w:p>
        </w:tc>
        <w:tc>
          <w:tcPr>
            <w:tcW w:w="390" w:type="pct"/>
            <w:hideMark/>
          </w:tcPr>
          <w:p w14:paraId="7D0F7A2C" w14:textId="42489956" w:rsidR="00A03B35" w:rsidRPr="00F2657D" w:rsidRDefault="00A03B35" w:rsidP="00416D48">
            <w:pPr>
              <w:pStyle w:val="TableHeading0"/>
              <w:jc w:val="center"/>
            </w:pPr>
            <w:r w:rsidRPr="00F2657D">
              <w:t>N</w:t>
            </w:r>
          </w:p>
        </w:tc>
        <w:tc>
          <w:tcPr>
            <w:tcW w:w="312" w:type="pct"/>
            <w:hideMark/>
          </w:tcPr>
          <w:p w14:paraId="55CEF2E1" w14:textId="77777777" w:rsidR="00A03B35" w:rsidRPr="00F2657D" w:rsidRDefault="00A03B35" w:rsidP="00416D48">
            <w:pPr>
              <w:pStyle w:val="TableHeading0"/>
              <w:jc w:val="center"/>
            </w:pPr>
            <w:r w:rsidRPr="00F2657D">
              <w:t>TP</w:t>
            </w:r>
          </w:p>
        </w:tc>
        <w:tc>
          <w:tcPr>
            <w:tcW w:w="312" w:type="pct"/>
            <w:hideMark/>
          </w:tcPr>
          <w:p w14:paraId="7F48762E" w14:textId="77777777" w:rsidR="00A03B35" w:rsidRPr="00F2657D" w:rsidRDefault="00A03B35" w:rsidP="00416D48">
            <w:pPr>
              <w:pStyle w:val="TableHeading0"/>
              <w:jc w:val="center"/>
            </w:pPr>
            <w:r w:rsidRPr="00F2657D">
              <w:t>TN</w:t>
            </w:r>
          </w:p>
        </w:tc>
        <w:tc>
          <w:tcPr>
            <w:tcW w:w="624" w:type="pct"/>
            <w:hideMark/>
          </w:tcPr>
          <w:p w14:paraId="19EAB7C0" w14:textId="762F40B2" w:rsidR="00A03B35" w:rsidRPr="00F2657D" w:rsidRDefault="00A03B35" w:rsidP="00416D48">
            <w:pPr>
              <w:pStyle w:val="TableHeading0"/>
              <w:jc w:val="center"/>
            </w:pPr>
            <w:r w:rsidRPr="00F2657D">
              <w:t>Sensitivity</w:t>
            </w:r>
          </w:p>
        </w:tc>
        <w:tc>
          <w:tcPr>
            <w:tcW w:w="630" w:type="pct"/>
            <w:hideMark/>
          </w:tcPr>
          <w:p w14:paraId="5C980FF3" w14:textId="77777777" w:rsidR="00A03B35" w:rsidRPr="00F2657D" w:rsidRDefault="00A03B35" w:rsidP="00416D48">
            <w:pPr>
              <w:pStyle w:val="TableHeading0"/>
              <w:jc w:val="center"/>
            </w:pPr>
            <w:r w:rsidRPr="00F2657D">
              <w:t>Specificity</w:t>
            </w:r>
          </w:p>
        </w:tc>
        <w:tc>
          <w:tcPr>
            <w:tcW w:w="700" w:type="pct"/>
            <w:hideMark/>
          </w:tcPr>
          <w:p w14:paraId="50A8B6E4" w14:textId="77777777" w:rsidR="00A03B35" w:rsidRPr="00F2657D" w:rsidRDefault="00A03B35" w:rsidP="00416D48">
            <w:pPr>
              <w:pStyle w:val="TableHeading0"/>
              <w:jc w:val="center"/>
            </w:pPr>
            <w:r w:rsidRPr="00F2657D">
              <w:t>Diagnostic Odds Ratio</w:t>
            </w:r>
          </w:p>
        </w:tc>
        <w:tc>
          <w:tcPr>
            <w:tcW w:w="624" w:type="pct"/>
            <w:hideMark/>
          </w:tcPr>
          <w:p w14:paraId="737D2BF5" w14:textId="77777777" w:rsidR="00A03B35" w:rsidRPr="00F2657D" w:rsidRDefault="00A03B35" w:rsidP="00416D48">
            <w:pPr>
              <w:pStyle w:val="TableHeading0"/>
              <w:jc w:val="center"/>
            </w:pPr>
            <w:r w:rsidRPr="00F2657D">
              <w:t>Positive Likelihood Ratio</w:t>
            </w:r>
          </w:p>
        </w:tc>
        <w:tc>
          <w:tcPr>
            <w:tcW w:w="629" w:type="pct"/>
            <w:hideMark/>
          </w:tcPr>
          <w:p w14:paraId="240C3BC2" w14:textId="77777777" w:rsidR="00A03B35" w:rsidRPr="00F2657D" w:rsidRDefault="00A03B35" w:rsidP="00416D48">
            <w:pPr>
              <w:pStyle w:val="TableHeading0"/>
              <w:jc w:val="center"/>
            </w:pPr>
            <w:r w:rsidRPr="00F2657D">
              <w:t>Negative Likelihood Ratio</w:t>
            </w:r>
          </w:p>
        </w:tc>
      </w:tr>
      <w:tr w:rsidR="00A03B35" w:rsidRPr="00F2657D" w14:paraId="2B38BB0F" w14:textId="77777777" w:rsidTr="00416D48">
        <w:trPr>
          <w:trHeight w:val="443"/>
        </w:trPr>
        <w:tc>
          <w:tcPr>
            <w:tcW w:w="5000" w:type="pct"/>
            <w:gridSpan w:val="10"/>
            <w:tcBorders>
              <w:right w:val="single" w:sz="4" w:space="0" w:color="auto"/>
            </w:tcBorders>
            <w:noWrap/>
          </w:tcPr>
          <w:p w14:paraId="0A9C5A16" w14:textId="77777777" w:rsidR="00A03B35" w:rsidRPr="00EB0EE0" w:rsidRDefault="00A03B35" w:rsidP="007C0D37">
            <w:pPr>
              <w:pStyle w:val="TableText"/>
            </w:pPr>
            <w:r w:rsidRPr="00463A98">
              <w:rPr>
                <w:b/>
                <w:bCs/>
              </w:rPr>
              <w:t>Native T1 mapping</w:t>
            </w:r>
          </w:p>
        </w:tc>
      </w:tr>
      <w:tr w:rsidR="00416D48" w:rsidRPr="00F2657D" w14:paraId="0CF98A4F" w14:textId="77777777" w:rsidTr="00416D48">
        <w:trPr>
          <w:trHeight w:val="443"/>
        </w:trPr>
        <w:tc>
          <w:tcPr>
            <w:tcW w:w="543" w:type="pct"/>
            <w:noWrap/>
          </w:tcPr>
          <w:p w14:paraId="3A6D09B6" w14:textId="77777777" w:rsidR="00A03B35" w:rsidRDefault="00A03B35" w:rsidP="007C0D37">
            <w:pPr>
              <w:pStyle w:val="TableText"/>
            </w:pPr>
            <w:r>
              <w:t>Studies from updated SR</w:t>
            </w:r>
          </w:p>
        </w:tc>
        <w:tc>
          <w:tcPr>
            <w:tcW w:w="235" w:type="pct"/>
            <w:noWrap/>
          </w:tcPr>
          <w:p w14:paraId="041A6E1A" w14:textId="77777777" w:rsidR="00A03B35" w:rsidRPr="00EB0EE0" w:rsidRDefault="00A03B35" w:rsidP="00416D48">
            <w:pPr>
              <w:pStyle w:val="TableText"/>
              <w:jc w:val="center"/>
            </w:pPr>
            <w:r w:rsidRPr="00EB0EE0">
              <w:t>9</w:t>
            </w:r>
          </w:p>
        </w:tc>
        <w:tc>
          <w:tcPr>
            <w:tcW w:w="390" w:type="pct"/>
            <w:noWrap/>
          </w:tcPr>
          <w:p w14:paraId="04FE8CE7" w14:textId="77777777" w:rsidR="00A03B35" w:rsidRDefault="00A03B35" w:rsidP="00416D48">
            <w:pPr>
              <w:pStyle w:val="TableText"/>
              <w:jc w:val="center"/>
            </w:pPr>
            <w:r>
              <w:t>618</w:t>
            </w:r>
          </w:p>
        </w:tc>
        <w:tc>
          <w:tcPr>
            <w:tcW w:w="312" w:type="pct"/>
            <w:noWrap/>
          </w:tcPr>
          <w:p w14:paraId="347028E6" w14:textId="77777777" w:rsidR="00A03B35" w:rsidRDefault="00A03B35" w:rsidP="00416D48">
            <w:pPr>
              <w:pStyle w:val="TableText"/>
              <w:jc w:val="center"/>
            </w:pPr>
            <w:r>
              <w:t>337</w:t>
            </w:r>
          </w:p>
        </w:tc>
        <w:tc>
          <w:tcPr>
            <w:tcW w:w="312" w:type="pct"/>
            <w:noWrap/>
          </w:tcPr>
          <w:p w14:paraId="4DDDD51F" w14:textId="77777777" w:rsidR="00A03B35" w:rsidRDefault="00A03B35" w:rsidP="00416D48">
            <w:pPr>
              <w:pStyle w:val="TableText"/>
              <w:jc w:val="center"/>
            </w:pPr>
            <w:r>
              <w:t>168</w:t>
            </w:r>
          </w:p>
        </w:tc>
        <w:tc>
          <w:tcPr>
            <w:tcW w:w="624" w:type="pct"/>
            <w:tcBorders>
              <w:top w:val="single" w:sz="4" w:space="0" w:color="auto"/>
              <w:left w:val="single" w:sz="4" w:space="0" w:color="auto"/>
              <w:bottom w:val="single" w:sz="4" w:space="0" w:color="auto"/>
              <w:right w:val="single" w:sz="4" w:space="0" w:color="auto"/>
            </w:tcBorders>
            <w:shd w:val="clear" w:color="auto" w:fill="auto"/>
            <w:noWrap/>
          </w:tcPr>
          <w:p w14:paraId="707C3FF5" w14:textId="77777777" w:rsidR="00416D48" w:rsidRDefault="00A03B35" w:rsidP="00416D48">
            <w:pPr>
              <w:pStyle w:val="TableText"/>
              <w:jc w:val="center"/>
            </w:pPr>
            <w:r w:rsidRPr="00463A98">
              <w:t xml:space="preserve">0.81 </w:t>
            </w:r>
          </w:p>
          <w:p w14:paraId="5245F0BC" w14:textId="18AE443B" w:rsidR="00A03B35" w:rsidRPr="00463A98" w:rsidRDefault="00A03B35" w:rsidP="00416D48">
            <w:pPr>
              <w:pStyle w:val="TableText"/>
              <w:jc w:val="center"/>
            </w:pPr>
            <w:r w:rsidRPr="00463A98">
              <w:t>(0.76-0.85)</w:t>
            </w:r>
          </w:p>
        </w:tc>
        <w:tc>
          <w:tcPr>
            <w:tcW w:w="630" w:type="pct"/>
            <w:tcBorders>
              <w:top w:val="single" w:sz="4" w:space="0" w:color="auto"/>
              <w:left w:val="nil"/>
              <w:bottom w:val="single" w:sz="4" w:space="0" w:color="auto"/>
              <w:right w:val="single" w:sz="4" w:space="0" w:color="auto"/>
            </w:tcBorders>
            <w:shd w:val="clear" w:color="auto" w:fill="auto"/>
            <w:noWrap/>
          </w:tcPr>
          <w:p w14:paraId="6399FB2B" w14:textId="77777777" w:rsidR="00416D48" w:rsidRDefault="00A03B35" w:rsidP="00416D48">
            <w:pPr>
              <w:pStyle w:val="TableText"/>
              <w:jc w:val="center"/>
            </w:pPr>
            <w:r w:rsidRPr="00463A98">
              <w:t xml:space="preserve">0.86 </w:t>
            </w:r>
          </w:p>
          <w:p w14:paraId="60313A68" w14:textId="34E22B0A" w:rsidR="00A03B35" w:rsidRPr="00463A98" w:rsidRDefault="00A03B35" w:rsidP="00416D48">
            <w:pPr>
              <w:pStyle w:val="TableText"/>
              <w:jc w:val="center"/>
            </w:pPr>
            <w:r w:rsidRPr="00463A98">
              <w:t>(0.75-0.85)</w:t>
            </w:r>
          </w:p>
        </w:tc>
        <w:tc>
          <w:tcPr>
            <w:tcW w:w="700" w:type="pct"/>
            <w:tcBorders>
              <w:top w:val="single" w:sz="4" w:space="0" w:color="auto"/>
              <w:left w:val="nil"/>
              <w:bottom w:val="single" w:sz="4" w:space="0" w:color="auto"/>
              <w:right w:val="single" w:sz="4" w:space="0" w:color="auto"/>
            </w:tcBorders>
            <w:shd w:val="clear" w:color="auto" w:fill="auto"/>
            <w:noWrap/>
          </w:tcPr>
          <w:p w14:paraId="618F74CC" w14:textId="77777777" w:rsidR="00416D48" w:rsidRDefault="00A03B35" w:rsidP="00416D48">
            <w:pPr>
              <w:pStyle w:val="TableText"/>
              <w:jc w:val="center"/>
            </w:pPr>
            <w:r w:rsidRPr="00463A98">
              <w:t xml:space="preserve">25.43 </w:t>
            </w:r>
          </w:p>
          <w:p w14:paraId="5B9A8704" w14:textId="5AEA175F" w:rsidR="00A03B35" w:rsidRPr="00463A98" w:rsidRDefault="00A03B35" w:rsidP="00416D48">
            <w:pPr>
              <w:pStyle w:val="TableText"/>
              <w:jc w:val="center"/>
            </w:pPr>
            <w:r w:rsidRPr="00463A98">
              <w:t>(10.62-60.90)</w:t>
            </w:r>
          </w:p>
        </w:tc>
        <w:tc>
          <w:tcPr>
            <w:tcW w:w="624" w:type="pct"/>
            <w:tcBorders>
              <w:top w:val="single" w:sz="4" w:space="0" w:color="auto"/>
              <w:left w:val="nil"/>
              <w:bottom w:val="single" w:sz="4" w:space="0" w:color="auto"/>
              <w:right w:val="single" w:sz="4" w:space="0" w:color="auto"/>
            </w:tcBorders>
            <w:shd w:val="clear" w:color="auto" w:fill="auto"/>
            <w:noWrap/>
          </w:tcPr>
          <w:p w14:paraId="7B3C8B38" w14:textId="77777777" w:rsidR="00416D48" w:rsidRDefault="00A03B35" w:rsidP="00416D48">
            <w:pPr>
              <w:pStyle w:val="TableText"/>
              <w:jc w:val="center"/>
            </w:pPr>
            <w:r w:rsidRPr="00463A98">
              <w:t xml:space="preserve">5.45 </w:t>
            </w:r>
          </w:p>
          <w:p w14:paraId="523A791F" w14:textId="4C3DD5B6" w:rsidR="00A03B35" w:rsidRPr="00463A98" w:rsidRDefault="00A03B35" w:rsidP="00416D48">
            <w:pPr>
              <w:pStyle w:val="TableText"/>
              <w:jc w:val="center"/>
            </w:pPr>
            <w:r w:rsidRPr="00463A98">
              <w:t>(3.01-10.61)</w:t>
            </w:r>
          </w:p>
        </w:tc>
        <w:tc>
          <w:tcPr>
            <w:tcW w:w="629" w:type="pct"/>
            <w:tcBorders>
              <w:top w:val="single" w:sz="4" w:space="0" w:color="auto"/>
              <w:left w:val="nil"/>
              <w:bottom w:val="single" w:sz="4" w:space="0" w:color="auto"/>
              <w:right w:val="single" w:sz="4" w:space="0" w:color="auto"/>
            </w:tcBorders>
            <w:shd w:val="clear" w:color="auto" w:fill="auto"/>
            <w:noWrap/>
          </w:tcPr>
          <w:p w14:paraId="350CE704" w14:textId="77777777" w:rsidR="00416D48" w:rsidRDefault="00A03B35" w:rsidP="00416D48">
            <w:pPr>
              <w:pStyle w:val="TableText"/>
              <w:jc w:val="center"/>
            </w:pPr>
            <w:r w:rsidRPr="00463A98">
              <w:t xml:space="preserve">0.22 </w:t>
            </w:r>
          </w:p>
          <w:p w14:paraId="28457DD8" w14:textId="2F4CEC2B" w:rsidR="00A03B35" w:rsidRPr="00463A98" w:rsidRDefault="00A03B35" w:rsidP="00416D48">
            <w:pPr>
              <w:pStyle w:val="TableText"/>
              <w:jc w:val="center"/>
            </w:pPr>
            <w:r w:rsidRPr="00463A98">
              <w:t>(0.16-0.30)</w:t>
            </w:r>
          </w:p>
        </w:tc>
      </w:tr>
      <w:tr w:rsidR="00416D48" w:rsidRPr="00F2657D" w14:paraId="579459ED" w14:textId="77777777" w:rsidTr="00416D48">
        <w:trPr>
          <w:trHeight w:val="443"/>
        </w:trPr>
        <w:tc>
          <w:tcPr>
            <w:tcW w:w="543" w:type="pct"/>
            <w:noWrap/>
          </w:tcPr>
          <w:p w14:paraId="5C3BAD13" w14:textId="77777777" w:rsidR="00A03B35" w:rsidRPr="00F2657D" w:rsidRDefault="00A03B35" w:rsidP="007C0D37">
            <w:pPr>
              <w:pStyle w:val="TableText"/>
            </w:pPr>
            <w:r>
              <w:t>Combined analysis</w:t>
            </w:r>
          </w:p>
        </w:tc>
        <w:tc>
          <w:tcPr>
            <w:tcW w:w="235" w:type="pct"/>
            <w:noWrap/>
          </w:tcPr>
          <w:p w14:paraId="786B8A77" w14:textId="77777777" w:rsidR="00A03B35" w:rsidRPr="00F2657D" w:rsidRDefault="00A03B35" w:rsidP="00416D48">
            <w:pPr>
              <w:pStyle w:val="TableText"/>
              <w:jc w:val="center"/>
            </w:pPr>
            <w:r w:rsidRPr="00F2657D">
              <w:t>16</w:t>
            </w:r>
          </w:p>
        </w:tc>
        <w:tc>
          <w:tcPr>
            <w:tcW w:w="390" w:type="pct"/>
            <w:noWrap/>
          </w:tcPr>
          <w:p w14:paraId="50ABEBE5" w14:textId="77777777" w:rsidR="00A03B35" w:rsidRPr="00F2657D" w:rsidRDefault="00A03B35" w:rsidP="00416D48">
            <w:pPr>
              <w:pStyle w:val="TableText"/>
              <w:jc w:val="center"/>
            </w:pPr>
            <w:r w:rsidRPr="00F2657D">
              <w:t>1236</w:t>
            </w:r>
          </w:p>
        </w:tc>
        <w:tc>
          <w:tcPr>
            <w:tcW w:w="312" w:type="pct"/>
            <w:noWrap/>
          </w:tcPr>
          <w:p w14:paraId="6E8582FC" w14:textId="77777777" w:rsidR="00A03B35" w:rsidRPr="00F2657D" w:rsidRDefault="00A03B35" w:rsidP="00416D48">
            <w:pPr>
              <w:pStyle w:val="TableText"/>
              <w:jc w:val="center"/>
            </w:pPr>
            <w:r w:rsidRPr="00F2657D">
              <w:t>623</w:t>
            </w:r>
          </w:p>
        </w:tc>
        <w:tc>
          <w:tcPr>
            <w:tcW w:w="312" w:type="pct"/>
            <w:noWrap/>
          </w:tcPr>
          <w:p w14:paraId="12FEF2BD" w14:textId="77777777" w:rsidR="00A03B35" w:rsidRPr="00F2657D" w:rsidRDefault="00A03B35" w:rsidP="00416D48">
            <w:pPr>
              <w:pStyle w:val="TableText"/>
              <w:jc w:val="center"/>
            </w:pPr>
            <w:r w:rsidRPr="00F2657D">
              <w:t>381</w:t>
            </w:r>
          </w:p>
        </w:tc>
        <w:tc>
          <w:tcPr>
            <w:tcW w:w="624" w:type="pct"/>
            <w:noWrap/>
          </w:tcPr>
          <w:p w14:paraId="59B2F36E" w14:textId="77777777" w:rsidR="00A03B35" w:rsidRDefault="00A03B35" w:rsidP="00416D48">
            <w:pPr>
              <w:pStyle w:val="TableText"/>
              <w:jc w:val="center"/>
            </w:pPr>
            <w:r w:rsidRPr="00F2657D">
              <w:t>0.85</w:t>
            </w:r>
          </w:p>
          <w:p w14:paraId="4131BAB2" w14:textId="77777777" w:rsidR="00A03B35" w:rsidRPr="00F2657D" w:rsidRDefault="00A03B35" w:rsidP="00416D48">
            <w:pPr>
              <w:pStyle w:val="TableText"/>
              <w:jc w:val="center"/>
            </w:pPr>
            <w:r w:rsidRPr="00F2657D">
              <w:t>(0.79-0.89)</w:t>
            </w:r>
          </w:p>
        </w:tc>
        <w:tc>
          <w:tcPr>
            <w:tcW w:w="630" w:type="pct"/>
            <w:noWrap/>
          </w:tcPr>
          <w:p w14:paraId="2BD4228C" w14:textId="53A09CDB" w:rsidR="00A03B35" w:rsidRDefault="00A03B35" w:rsidP="00416D48">
            <w:pPr>
              <w:pStyle w:val="TableText"/>
              <w:jc w:val="center"/>
            </w:pPr>
            <w:r w:rsidRPr="00F2657D">
              <w:t>0.88</w:t>
            </w:r>
          </w:p>
          <w:p w14:paraId="043E0D36" w14:textId="77777777" w:rsidR="00A03B35" w:rsidRPr="00F2657D" w:rsidRDefault="00A03B35" w:rsidP="00416D48">
            <w:pPr>
              <w:pStyle w:val="TableText"/>
              <w:jc w:val="center"/>
            </w:pPr>
            <w:r w:rsidRPr="00F2657D">
              <w:t>(0.80-0.93)</w:t>
            </w:r>
          </w:p>
        </w:tc>
        <w:tc>
          <w:tcPr>
            <w:tcW w:w="700" w:type="pct"/>
            <w:noWrap/>
          </w:tcPr>
          <w:p w14:paraId="5B8D7482" w14:textId="53AE608A" w:rsidR="00A03B35" w:rsidRDefault="00A03B35" w:rsidP="00416D48">
            <w:pPr>
              <w:pStyle w:val="TableText"/>
              <w:jc w:val="center"/>
            </w:pPr>
            <w:r w:rsidRPr="00F2657D">
              <w:t>39.75</w:t>
            </w:r>
          </w:p>
          <w:p w14:paraId="5CBB794A" w14:textId="77777777" w:rsidR="00A03B35" w:rsidRPr="00F2657D" w:rsidRDefault="00A03B35" w:rsidP="00416D48">
            <w:pPr>
              <w:pStyle w:val="TableText"/>
              <w:jc w:val="center"/>
            </w:pPr>
            <w:r w:rsidRPr="00F2657D">
              <w:t>(18.11-87.24)</w:t>
            </w:r>
          </w:p>
        </w:tc>
        <w:tc>
          <w:tcPr>
            <w:tcW w:w="624" w:type="pct"/>
            <w:noWrap/>
          </w:tcPr>
          <w:p w14:paraId="1F28F276" w14:textId="63BA65F2" w:rsidR="00A03B35" w:rsidRDefault="00A03B35" w:rsidP="00416D48">
            <w:pPr>
              <w:pStyle w:val="TableText"/>
              <w:jc w:val="center"/>
            </w:pPr>
            <w:r w:rsidRPr="00F2657D">
              <w:t>6.9</w:t>
            </w:r>
          </w:p>
          <w:p w14:paraId="00EA65E6" w14:textId="77777777" w:rsidR="00A03B35" w:rsidRPr="00F2657D" w:rsidRDefault="00A03B35" w:rsidP="00416D48">
            <w:pPr>
              <w:pStyle w:val="TableText"/>
              <w:jc w:val="center"/>
            </w:pPr>
            <w:r w:rsidRPr="00F2657D">
              <w:t>(4.07-11.71)</w:t>
            </w:r>
          </w:p>
        </w:tc>
        <w:tc>
          <w:tcPr>
            <w:tcW w:w="629" w:type="pct"/>
            <w:noWrap/>
          </w:tcPr>
          <w:p w14:paraId="3B53D18B" w14:textId="00E5F0A0" w:rsidR="00A03B35" w:rsidRDefault="00A03B35" w:rsidP="00416D48">
            <w:pPr>
              <w:pStyle w:val="TableText"/>
              <w:jc w:val="center"/>
            </w:pPr>
            <w:r w:rsidRPr="00F2657D">
              <w:t>0.17</w:t>
            </w:r>
          </w:p>
          <w:p w14:paraId="199A82B0" w14:textId="77777777" w:rsidR="00A03B35" w:rsidRPr="00F2657D" w:rsidRDefault="00A03B35" w:rsidP="00416D48">
            <w:pPr>
              <w:pStyle w:val="TableText"/>
              <w:jc w:val="center"/>
            </w:pPr>
            <w:r w:rsidRPr="00F2657D">
              <w:t>(0.12-0.24)</w:t>
            </w:r>
          </w:p>
        </w:tc>
      </w:tr>
      <w:tr w:rsidR="00A03B35" w:rsidRPr="00F2657D" w14:paraId="5A71AAD7" w14:textId="77777777" w:rsidTr="00416D48">
        <w:trPr>
          <w:trHeight w:val="443"/>
        </w:trPr>
        <w:tc>
          <w:tcPr>
            <w:tcW w:w="5000" w:type="pct"/>
            <w:gridSpan w:val="10"/>
            <w:tcBorders>
              <w:right w:val="single" w:sz="4" w:space="0" w:color="auto"/>
            </w:tcBorders>
            <w:noWrap/>
          </w:tcPr>
          <w:p w14:paraId="714AB794" w14:textId="77777777" w:rsidR="00A03B35" w:rsidRPr="00EB0EE0" w:rsidRDefault="00A03B35" w:rsidP="00416D48">
            <w:pPr>
              <w:pStyle w:val="TableText"/>
            </w:pPr>
            <w:r w:rsidRPr="00463A98">
              <w:rPr>
                <w:b/>
                <w:bCs/>
              </w:rPr>
              <w:t>T2 mapping</w:t>
            </w:r>
          </w:p>
        </w:tc>
      </w:tr>
      <w:tr w:rsidR="00416D48" w:rsidRPr="00F2657D" w14:paraId="16A6DC6C" w14:textId="77777777" w:rsidTr="00416D48">
        <w:trPr>
          <w:trHeight w:val="443"/>
        </w:trPr>
        <w:tc>
          <w:tcPr>
            <w:tcW w:w="543" w:type="pct"/>
            <w:noWrap/>
          </w:tcPr>
          <w:p w14:paraId="55B3E088" w14:textId="77777777" w:rsidR="00A03B35" w:rsidRDefault="00A03B35" w:rsidP="007C0D37">
            <w:pPr>
              <w:pStyle w:val="TableText"/>
            </w:pPr>
            <w:r>
              <w:t>Studies from updated SR</w:t>
            </w:r>
          </w:p>
        </w:tc>
        <w:tc>
          <w:tcPr>
            <w:tcW w:w="235" w:type="pct"/>
            <w:noWrap/>
          </w:tcPr>
          <w:p w14:paraId="70B9A6DB" w14:textId="77777777" w:rsidR="00A03B35" w:rsidRPr="00EB0EE0" w:rsidRDefault="00A03B35" w:rsidP="00416D48">
            <w:pPr>
              <w:pStyle w:val="TableText"/>
              <w:jc w:val="center"/>
            </w:pPr>
            <w:r w:rsidRPr="00EB0EE0">
              <w:t>10</w:t>
            </w:r>
          </w:p>
        </w:tc>
        <w:tc>
          <w:tcPr>
            <w:tcW w:w="390" w:type="pct"/>
            <w:noWrap/>
          </w:tcPr>
          <w:p w14:paraId="1D431D84" w14:textId="77777777" w:rsidR="00A03B35" w:rsidRDefault="00A03B35" w:rsidP="00416D48">
            <w:pPr>
              <w:pStyle w:val="TableText"/>
              <w:jc w:val="center"/>
            </w:pPr>
            <w:r>
              <w:t>663</w:t>
            </w:r>
          </w:p>
        </w:tc>
        <w:tc>
          <w:tcPr>
            <w:tcW w:w="312" w:type="pct"/>
            <w:noWrap/>
          </w:tcPr>
          <w:p w14:paraId="32D01178" w14:textId="77777777" w:rsidR="00A03B35" w:rsidRDefault="00A03B35" w:rsidP="00416D48">
            <w:pPr>
              <w:pStyle w:val="TableText"/>
              <w:jc w:val="center"/>
            </w:pPr>
            <w:r>
              <w:t>327</w:t>
            </w:r>
          </w:p>
        </w:tc>
        <w:tc>
          <w:tcPr>
            <w:tcW w:w="312" w:type="pct"/>
            <w:noWrap/>
          </w:tcPr>
          <w:p w14:paraId="733AEB21" w14:textId="77777777" w:rsidR="00A03B35" w:rsidRDefault="00A03B35" w:rsidP="00416D48">
            <w:pPr>
              <w:pStyle w:val="TableText"/>
              <w:jc w:val="center"/>
            </w:pPr>
            <w:r>
              <w:t>182</w:t>
            </w:r>
          </w:p>
        </w:tc>
        <w:tc>
          <w:tcPr>
            <w:tcW w:w="624" w:type="pct"/>
            <w:tcBorders>
              <w:top w:val="single" w:sz="4" w:space="0" w:color="auto"/>
              <w:left w:val="single" w:sz="4" w:space="0" w:color="auto"/>
              <w:bottom w:val="single" w:sz="4" w:space="0" w:color="auto"/>
              <w:right w:val="single" w:sz="4" w:space="0" w:color="auto"/>
            </w:tcBorders>
            <w:shd w:val="clear" w:color="auto" w:fill="auto"/>
            <w:noWrap/>
          </w:tcPr>
          <w:p w14:paraId="099805A7" w14:textId="77777777" w:rsidR="00416D48" w:rsidRDefault="00A03B35" w:rsidP="00416D48">
            <w:pPr>
              <w:pStyle w:val="TableText"/>
              <w:jc w:val="center"/>
            </w:pPr>
            <w:r w:rsidRPr="00463A98">
              <w:t xml:space="preserve">0.77 </w:t>
            </w:r>
          </w:p>
          <w:p w14:paraId="365B3638" w14:textId="63E95613" w:rsidR="00A03B35" w:rsidRPr="00463A98" w:rsidRDefault="00A03B35" w:rsidP="00416D48">
            <w:pPr>
              <w:pStyle w:val="TableText"/>
              <w:jc w:val="center"/>
            </w:pPr>
            <w:r w:rsidRPr="00463A98">
              <w:t>(0.67-0.84)</w:t>
            </w:r>
          </w:p>
        </w:tc>
        <w:tc>
          <w:tcPr>
            <w:tcW w:w="630" w:type="pct"/>
            <w:tcBorders>
              <w:top w:val="single" w:sz="4" w:space="0" w:color="auto"/>
              <w:left w:val="nil"/>
              <w:bottom w:val="single" w:sz="4" w:space="0" w:color="auto"/>
              <w:right w:val="single" w:sz="4" w:space="0" w:color="auto"/>
            </w:tcBorders>
            <w:shd w:val="clear" w:color="auto" w:fill="auto"/>
            <w:noWrap/>
          </w:tcPr>
          <w:p w14:paraId="6A77BDFA" w14:textId="77777777" w:rsidR="00416D48" w:rsidRDefault="00A03B35" w:rsidP="00416D48">
            <w:pPr>
              <w:pStyle w:val="TableText"/>
              <w:jc w:val="center"/>
            </w:pPr>
            <w:r w:rsidRPr="00463A98">
              <w:t xml:space="preserve">0.82 </w:t>
            </w:r>
          </w:p>
          <w:p w14:paraId="643BC51A" w14:textId="1E20C6CF" w:rsidR="00A03B35" w:rsidRPr="00463A98" w:rsidRDefault="00A03B35" w:rsidP="00416D48">
            <w:pPr>
              <w:pStyle w:val="TableText"/>
              <w:jc w:val="center"/>
            </w:pPr>
            <w:r w:rsidRPr="00463A98">
              <w:t>(0.74-0.87)</w:t>
            </w:r>
          </w:p>
        </w:tc>
        <w:tc>
          <w:tcPr>
            <w:tcW w:w="700" w:type="pct"/>
            <w:tcBorders>
              <w:top w:val="single" w:sz="4" w:space="0" w:color="auto"/>
              <w:left w:val="nil"/>
              <w:bottom w:val="single" w:sz="4" w:space="0" w:color="auto"/>
              <w:right w:val="single" w:sz="4" w:space="0" w:color="auto"/>
            </w:tcBorders>
            <w:shd w:val="clear" w:color="auto" w:fill="auto"/>
            <w:noWrap/>
          </w:tcPr>
          <w:p w14:paraId="4229F1D7" w14:textId="77777777" w:rsidR="00416D48" w:rsidRDefault="00A03B35" w:rsidP="00416D48">
            <w:pPr>
              <w:pStyle w:val="TableText"/>
              <w:jc w:val="center"/>
            </w:pPr>
            <w:r w:rsidRPr="00463A98">
              <w:t xml:space="preserve">14.59 </w:t>
            </w:r>
          </w:p>
          <w:p w14:paraId="64057094" w14:textId="36E9CB53" w:rsidR="00A03B35" w:rsidRPr="00463A98" w:rsidRDefault="00A03B35" w:rsidP="00416D48">
            <w:pPr>
              <w:pStyle w:val="TableText"/>
              <w:jc w:val="center"/>
            </w:pPr>
            <w:r w:rsidRPr="00463A98">
              <w:t>(6.72-31.67)</w:t>
            </w:r>
          </w:p>
        </w:tc>
        <w:tc>
          <w:tcPr>
            <w:tcW w:w="624" w:type="pct"/>
            <w:tcBorders>
              <w:top w:val="single" w:sz="4" w:space="0" w:color="auto"/>
              <w:left w:val="nil"/>
              <w:bottom w:val="single" w:sz="4" w:space="0" w:color="auto"/>
              <w:right w:val="single" w:sz="4" w:space="0" w:color="auto"/>
            </w:tcBorders>
            <w:shd w:val="clear" w:color="auto" w:fill="auto"/>
            <w:noWrap/>
          </w:tcPr>
          <w:p w14:paraId="23015122" w14:textId="77777777" w:rsidR="00416D48" w:rsidRDefault="00A03B35" w:rsidP="00416D48">
            <w:pPr>
              <w:pStyle w:val="TableText"/>
              <w:jc w:val="center"/>
            </w:pPr>
            <w:r w:rsidRPr="00463A98">
              <w:t xml:space="preserve">4.17 </w:t>
            </w:r>
          </w:p>
          <w:p w14:paraId="3FBCBA74" w14:textId="76BF4685" w:rsidR="00A03B35" w:rsidRPr="00463A98" w:rsidRDefault="00A03B35" w:rsidP="00416D48">
            <w:pPr>
              <w:pStyle w:val="TableText"/>
              <w:jc w:val="center"/>
            </w:pPr>
            <w:r w:rsidRPr="00463A98">
              <w:t>(2.75-6.32)</w:t>
            </w:r>
          </w:p>
        </w:tc>
        <w:tc>
          <w:tcPr>
            <w:tcW w:w="629" w:type="pct"/>
            <w:tcBorders>
              <w:top w:val="single" w:sz="4" w:space="0" w:color="auto"/>
              <w:left w:val="nil"/>
              <w:bottom w:val="single" w:sz="4" w:space="0" w:color="auto"/>
              <w:right w:val="single" w:sz="4" w:space="0" w:color="auto"/>
            </w:tcBorders>
            <w:shd w:val="clear" w:color="auto" w:fill="auto"/>
            <w:noWrap/>
          </w:tcPr>
          <w:p w14:paraId="376C5D2A" w14:textId="77777777" w:rsidR="00416D48" w:rsidRDefault="00A03B35" w:rsidP="00416D48">
            <w:pPr>
              <w:pStyle w:val="TableText"/>
              <w:jc w:val="center"/>
            </w:pPr>
            <w:r w:rsidRPr="00463A98">
              <w:t xml:space="preserve">0.28 </w:t>
            </w:r>
          </w:p>
          <w:p w14:paraId="4649C211" w14:textId="425AFB6D" w:rsidR="00A03B35" w:rsidRPr="00463A98" w:rsidRDefault="00A03B35" w:rsidP="00416D48">
            <w:pPr>
              <w:pStyle w:val="TableText"/>
              <w:jc w:val="center"/>
            </w:pPr>
            <w:r w:rsidRPr="00463A98">
              <w:t>(0.19-0.43)</w:t>
            </w:r>
          </w:p>
        </w:tc>
      </w:tr>
      <w:tr w:rsidR="00416D48" w:rsidRPr="00F2657D" w14:paraId="631127E3" w14:textId="77777777" w:rsidTr="00416D48">
        <w:trPr>
          <w:trHeight w:val="443"/>
        </w:trPr>
        <w:tc>
          <w:tcPr>
            <w:tcW w:w="543" w:type="pct"/>
            <w:noWrap/>
          </w:tcPr>
          <w:p w14:paraId="1A62D156" w14:textId="77777777" w:rsidR="00A03B35" w:rsidRPr="00F2657D" w:rsidRDefault="00A03B35" w:rsidP="007C0D37">
            <w:pPr>
              <w:pStyle w:val="TableText"/>
            </w:pPr>
            <w:r>
              <w:t>Combined analysis</w:t>
            </w:r>
          </w:p>
        </w:tc>
        <w:tc>
          <w:tcPr>
            <w:tcW w:w="235" w:type="pct"/>
            <w:noWrap/>
          </w:tcPr>
          <w:p w14:paraId="5C058943" w14:textId="77777777" w:rsidR="00A03B35" w:rsidRPr="00F2657D" w:rsidRDefault="00A03B35" w:rsidP="00416D48">
            <w:pPr>
              <w:pStyle w:val="TableText"/>
              <w:jc w:val="center"/>
            </w:pPr>
            <w:r w:rsidRPr="00F2657D">
              <w:t>16</w:t>
            </w:r>
          </w:p>
        </w:tc>
        <w:tc>
          <w:tcPr>
            <w:tcW w:w="390" w:type="pct"/>
            <w:noWrap/>
          </w:tcPr>
          <w:p w14:paraId="5B6FB1F2" w14:textId="77777777" w:rsidR="00A03B35" w:rsidRPr="00F2657D" w:rsidRDefault="00A03B35" w:rsidP="00416D48">
            <w:pPr>
              <w:pStyle w:val="TableText"/>
              <w:jc w:val="center"/>
            </w:pPr>
            <w:r w:rsidRPr="00F2657D">
              <w:t>1072</w:t>
            </w:r>
          </w:p>
        </w:tc>
        <w:tc>
          <w:tcPr>
            <w:tcW w:w="312" w:type="pct"/>
            <w:noWrap/>
          </w:tcPr>
          <w:p w14:paraId="670A6C40" w14:textId="77777777" w:rsidR="00A03B35" w:rsidRPr="00F2657D" w:rsidRDefault="00A03B35" w:rsidP="00416D48">
            <w:pPr>
              <w:pStyle w:val="TableText"/>
              <w:jc w:val="center"/>
            </w:pPr>
            <w:r w:rsidRPr="00F2657D">
              <w:t>492</w:t>
            </w:r>
          </w:p>
        </w:tc>
        <w:tc>
          <w:tcPr>
            <w:tcW w:w="312" w:type="pct"/>
            <w:noWrap/>
          </w:tcPr>
          <w:p w14:paraId="15E7BD34" w14:textId="77777777" w:rsidR="00A03B35" w:rsidRPr="00F2657D" w:rsidRDefault="00A03B35" w:rsidP="00416D48">
            <w:pPr>
              <w:pStyle w:val="TableText"/>
              <w:jc w:val="center"/>
            </w:pPr>
            <w:r w:rsidRPr="00F2657D">
              <w:t>310</w:t>
            </w:r>
          </w:p>
        </w:tc>
        <w:tc>
          <w:tcPr>
            <w:tcW w:w="624" w:type="pct"/>
            <w:noWrap/>
          </w:tcPr>
          <w:p w14:paraId="76522138" w14:textId="104CD955" w:rsidR="00A03B35" w:rsidRDefault="00A03B35" w:rsidP="00416D48">
            <w:pPr>
              <w:pStyle w:val="TableText"/>
              <w:jc w:val="center"/>
            </w:pPr>
            <w:r w:rsidRPr="00F2657D">
              <w:t>0.78</w:t>
            </w:r>
          </w:p>
          <w:p w14:paraId="47D15D6D" w14:textId="77777777" w:rsidR="00A03B35" w:rsidRPr="00F2657D" w:rsidRDefault="00A03B35" w:rsidP="00416D48">
            <w:pPr>
              <w:pStyle w:val="TableText"/>
              <w:jc w:val="center"/>
            </w:pPr>
            <w:r w:rsidRPr="00F2657D">
              <w:t>(0.70-0.83)</w:t>
            </w:r>
          </w:p>
        </w:tc>
        <w:tc>
          <w:tcPr>
            <w:tcW w:w="630" w:type="pct"/>
            <w:noWrap/>
          </w:tcPr>
          <w:p w14:paraId="45F9F0A5" w14:textId="6F3A55FD" w:rsidR="00A03B35" w:rsidRDefault="00A03B35" w:rsidP="00416D48">
            <w:pPr>
              <w:pStyle w:val="TableText"/>
              <w:jc w:val="center"/>
            </w:pPr>
            <w:r w:rsidRPr="00F2657D">
              <w:t>0.83</w:t>
            </w:r>
          </w:p>
          <w:p w14:paraId="2091BFD0" w14:textId="77777777" w:rsidR="00A03B35" w:rsidRPr="00F2657D" w:rsidRDefault="00A03B35" w:rsidP="00416D48">
            <w:pPr>
              <w:pStyle w:val="TableText"/>
              <w:jc w:val="center"/>
            </w:pPr>
            <w:r w:rsidRPr="00F2657D">
              <w:t>(0.77-0.87)</w:t>
            </w:r>
          </w:p>
        </w:tc>
        <w:tc>
          <w:tcPr>
            <w:tcW w:w="700" w:type="pct"/>
            <w:noWrap/>
          </w:tcPr>
          <w:p w14:paraId="1278482F" w14:textId="77777777" w:rsidR="00A03B35" w:rsidRDefault="00A03B35" w:rsidP="00416D48">
            <w:pPr>
              <w:pStyle w:val="TableText"/>
              <w:jc w:val="center"/>
            </w:pPr>
            <w:r w:rsidRPr="00F2657D">
              <w:t>16.47</w:t>
            </w:r>
          </w:p>
          <w:p w14:paraId="2B7600B4" w14:textId="2C01B486" w:rsidR="00A03B35" w:rsidRPr="00F2657D" w:rsidRDefault="00A03B35" w:rsidP="00416D48">
            <w:pPr>
              <w:pStyle w:val="TableText"/>
              <w:jc w:val="center"/>
            </w:pPr>
            <w:r w:rsidRPr="00F2657D">
              <w:t>(9.61-28.22)</w:t>
            </w:r>
          </w:p>
        </w:tc>
        <w:tc>
          <w:tcPr>
            <w:tcW w:w="624" w:type="pct"/>
            <w:noWrap/>
          </w:tcPr>
          <w:p w14:paraId="6905B3C2" w14:textId="318E4033" w:rsidR="00A03B35" w:rsidRDefault="00CC7F1D" w:rsidP="00416D48">
            <w:pPr>
              <w:pStyle w:val="TableText"/>
              <w:jc w:val="center"/>
            </w:pPr>
            <w:r>
              <w:t>4</w:t>
            </w:r>
            <w:r w:rsidR="00A03B35" w:rsidRPr="00F2657D">
              <w:t>.46</w:t>
            </w:r>
          </w:p>
          <w:p w14:paraId="1ACE066D" w14:textId="77777777" w:rsidR="00A03B35" w:rsidRPr="00F2657D" w:rsidRDefault="00A03B35" w:rsidP="00416D48">
            <w:pPr>
              <w:pStyle w:val="TableText"/>
              <w:jc w:val="center"/>
            </w:pPr>
            <w:r w:rsidRPr="00F2657D">
              <w:t>(3.25-6.13)</w:t>
            </w:r>
          </w:p>
        </w:tc>
        <w:tc>
          <w:tcPr>
            <w:tcW w:w="629" w:type="pct"/>
            <w:noWrap/>
          </w:tcPr>
          <w:p w14:paraId="6CD93B1E" w14:textId="5877403C" w:rsidR="00A03B35" w:rsidRDefault="00A03B35" w:rsidP="00416D48">
            <w:pPr>
              <w:pStyle w:val="TableText"/>
              <w:jc w:val="center"/>
            </w:pPr>
            <w:r w:rsidRPr="00F2657D">
              <w:t>0.27</w:t>
            </w:r>
          </w:p>
          <w:p w14:paraId="64BDDE97" w14:textId="77777777" w:rsidR="00A03B35" w:rsidRPr="00F2657D" w:rsidRDefault="00A03B35" w:rsidP="00416D48">
            <w:pPr>
              <w:pStyle w:val="TableText"/>
              <w:jc w:val="center"/>
            </w:pPr>
            <w:r w:rsidRPr="00F2657D">
              <w:t>(0.20-0.37)</w:t>
            </w:r>
          </w:p>
        </w:tc>
      </w:tr>
      <w:tr w:rsidR="00A03B35" w:rsidRPr="00F2657D" w14:paraId="7CA05822" w14:textId="77777777" w:rsidTr="00416D48">
        <w:trPr>
          <w:trHeight w:val="443"/>
        </w:trPr>
        <w:tc>
          <w:tcPr>
            <w:tcW w:w="5000" w:type="pct"/>
            <w:gridSpan w:val="10"/>
            <w:tcBorders>
              <w:right w:val="single" w:sz="4" w:space="0" w:color="auto"/>
            </w:tcBorders>
            <w:noWrap/>
          </w:tcPr>
          <w:p w14:paraId="243411EC" w14:textId="00EB3C8B" w:rsidR="00A03B35" w:rsidRPr="00EB0EE0" w:rsidRDefault="0016390E" w:rsidP="00416D48">
            <w:pPr>
              <w:pStyle w:val="TableText"/>
            </w:pPr>
            <w:r w:rsidRPr="00D33786">
              <w:rPr>
                <w:b/>
                <w:bCs/>
              </w:rPr>
              <w:t>Late gadolinium enhancement</w:t>
            </w:r>
          </w:p>
        </w:tc>
      </w:tr>
      <w:tr w:rsidR="00416D48" w:rsidRPr="00F2657D" w14:paraId="3BC7B290" w14:textId="77777777" w:rsidTr="00416D48">
        <w:trPr>
          <w:trHeight w:val="443"/>
        </w:trPr>
        <w:tc>
          <w:tcPr>
            <w:tcW w:w="543" w:type="pct"/>
            <w:noWrap/>
          </w:tcPr>
          <w:p w14:paraId="2E62028B" w14:textId="77777777" w:rsidR="00A03B35" w:rsidRDefault="00A03B35" w:rsidP="007C0D37">
            <w:pPr>
              <w:pStyle w:val="TableText"/>
            </w:pPr>
            <w:r>
              <w:t>Studies from updated SR</w:t>
            </w:r>
          </w:p>
        </w:tc>
        <w:tc>
          <w:tcPr>
            <w:tcW w:w="235" w:type="pct"/>
            <w:noWrap/>
          </w:tcPr>
          <w:p w14:paraId="01086172" w14:textId="77777777" w:rsidR="00A03B35" w:rsidRPr="00EB0EE0" w:rsidRDefault="00A03B35" w:rsidP="00416D48">
            <w:pPr>
              <w:pStyle w:val="TableText"/>
              <w:jc w:val="center"/>
            </w:pPr>
            <w:r w:rsidRPr="00EB0EE0">
              <w:t>9</w:t>
            </w:r>
          </w:p>
        </w:tc>
        <w:tc>
          <w:tcPr>
            <w:tcW w:w="390" w:type="pct"/>
            <w:noWrap/>
          </w:tcPr>
          <w:p w14:paraId="398F08D0" w14:textId="77777777" w:rsidR="00A03B35" w:rsidRDefault="00A03B35" w:rsidP="00416D48">
            <w:pPr>
              <w:pStyle w:val="TableText"/>
              <w:jc w:val="center"/>
            </w:pPr>
            <w:r>
              <w:t>718</w:t>
            </w:r>
          </w:p>
        </w:tc>
        <w:tc>
          <w:tcPr>
            <w:tcW w:w="312" w:type="pct"/>
            <w:noWrap/>
          </w:tcPr>
          <w:p w14:paraId="3F51E875" w14:textId="77777777" w:rsidR="00A03B35" w:rsidRDefault="00A03B35" w:rsidP="00416D48">
            <w:pPr>
              <w:pStyle w:val="TableText"/>
              <w:jc w:val="center"/>
            </w:pPr>
            <w:r>
              <w:t>331</w:t>
            </w:r>
          </w:p>
        </w:tc>
        <w:tc>
          <w:tcPr>
            <w:tcW w:w="312" w:type="pct"/>
            <w:noWrap/>
          </w:tcPr>
          <w:p w14:paraId="444FAE17" w14:textId="77777777" w:rsidR="00A03B35" w:rsidRDefault="00A03B35" w:rsidP="00416D48">
            <w:pPr>
              <w:pStyle w:val="TableText"/>
              <w:jc w:val="center"/>
            </w:pPr>
            <w:r>
              <w:t>188</w:t>
            </w:r>
          </w:p>
        </w:tc>
        <w:tc>
          <w:tcPr>
            <w:tcW w:w="624" w:type="pct"/>
            <w:tcBorders>
              <w:top w:val="single" w:sz="4" w:space="0" w:color="auto"/>
              <w:left w:val="single" w:sz="4" w:space="0" w:color="auto"/>
              <w:bottom w:val="single" w:sz="4" w:space="0" w:color="auto"/>
              <w:right w:val="single" w:sz="4" w:space="0" w:color="auto"/>
            </w:tcBorders>
            <w:shd w:val="clear" w:color="auto" w:fill="auto"/>
            <w:noWrap/>
          </w:tcPr>
          <w:p w14:paraId="3FD67D2D" w14:textId="77777777" w:rsidR="00A03B35" w:rsidRPr="00463A98" w:rsidRDefault="00A03B35" w:rsidP="00416D48">
            <w:pPr>
              <w:pStyle w:val="TableText"/>
              <w:jc w:val="center"/>
            </w:pPr>
            <w:r w:rsidRPr="00463A98">
              <w:t>0.75 (0.64-0.83)</w:t>
            </w:r>
          </w:p>
        </w:tc>
        <w:tc>
          <w:tcPr>
            <w:tcW w:w="630" w:type="pct"/>
            <w:tcBorders>
              <w:top w:val="single" w:sz="4" w:space="0" w:color="auto"/>
              <w:left w:val="nil"/>
              <w:bottom w:val="single" w:sz="4" w:space="0" w:color="auto"/>
              <w:right w:val="single" w:sz="4" w:space="0" w:color="auto"/>
            </w:tcBorders>
            <w:shd w:val="clear" w:color="auto" w:fill="auto"/>
            <w:noWrap/>
          </w:tcPr>
          <w:p w14:paraId="228CF281" w14:textId="77777777" w:rsidR="00A03B35" w:rsidRPr="00463A98" w:rsidRDefault="00A03B35" w:rsidP="00416D48">
            <w:pPr>
              <w:pStyle w:val="TableText"/>
              <w:jc w:val="center"/>
            </w:pPr>
            <w:r w:rsidRPr="00463A98">
              <w:t>0.94 (0.72-0.99)</w:t>
            </w:r>
          </w:p>
        </w:tc>
        <w:tc>
          <w:tcPr>
            <w:tcW w:w="700" w:type="pct"/>
            <w:tcBorders>
              <w:top w:val="single" w:sz="4" w:space="0" w:color="auto"/>
              <w:left w:val="nil"/>
              <w:bottom w:val="single" w:sz="4" w:space="0" w:color="auto"/>
              <w:right w:val="single" w:sz="4" w:space="0" w:color="auto"/>
            </w:tcBorders>
            <w:shd w:val="clear" w:color="auto" w:fill="auto"/>
            <w:noWrap/>
          </w:tcPr>
          <w:p w14:paraId="3507E87F" w14:textId="77777777" w:rsidR="00416D48" w:rsidRDefault="00A03B35" w:rsidP="00416D48">
            <w:pPr>
              <w:pStyle w:val="TableText"/>
              <w:jc w:val="center"/>
            </w:pPr>
            <w:r w:rsidRPr="00463A98">
              <w:t xml:space="preserve">48.24 </w:t>
            </w:r>
          </w:p>
          <w:p w14:paraId="143FF976" w14:textId="417EB58E" w:rsidR="00A03B35" w:rsidRPr="00463A98" w:rsidRDefault="00A03B35" w:rsidP="00416D48">
            <w:pPr>
              <w:pStyle w:val="TableText"/>
              <w:jc w:val="center"/>
            </w:pPr>
            <w:r w:rsidRPr="00463A98">
              <w:t>(9.78- 238.03)</w:t>
            </w:r>
          </w:p>
        </w:tc>
        <w:tc>
          <w:tcPr>
            <w:tcW w:w="624" w:type="pct"/>
            <w:tcBorders>
              <w:top w:val="single" w:sz="4" w:space="0" w:color="auto"/>
              <w:left w:val="nil"/>
              <w:bottom w:val="single" w:sz="4" w:space="0" w:color="auto"/>
              <w:right w:val="single" w:sz="4" w:space="0" w:color="auto"/>
            </w:tcBorders>
            <w:shd w:val="clear" w:color="auto" w:fill="auto"/>
            <w:noWrap/>
          </w:tcPr>
          <w:p w14:paraId="09B8E6C1" w14:textId="77777777" w:rsidR="00416D48" w:rsidRDefault="00A03B35" w:rsidP="00416D48">
            <w:pPr>
              <w:pStyle w:val="TableText"/>
              <w:jc w:val="center"/>
            </w:pPr>
            <w:r w:rsidRPr="00463A98">
              <w:t xml:space="preserve">12.89 </w:t>
            </w:r>
          </w:p>
          <w:p w14:paraId="7551D8FD" w14:textId="120FF865" w:rsidR="00A03B35" w:rsidRPr="00463A98" w:rsidRDefault="00A03B35" w:rsidP="00416D48">
            <w:pPr>
              <w:pStyle w:val="TableText"/>
              <w:jc w:val="center"/>
            </w:pPr>
            <w:r w:rsidRPr="00463A98">
              <w:t>(2.42-68.63)</w:t>
            </w:r>
          </w:p>
        </w:tc>
        <w:tc>
          <w:tcPr>
            <w:tcW w:w="629" w:type="pct"/>
            <w:tcBorders>
              <w:top w:val="single" w:sz="4" w:space="0" w:color="auto"/>
              <w:left w:val="nil"/>
              <w:bottom w:val="single" w:sz="4" w:space="0" w:color="auto"/>
              <w:right w:val="single" w:sz="4" w:space="0" w:color="auto"/>
            </w:tcBorders>
            <w:shd w:val="clear" w:color="auto" w:fill="auto"/>
            <w:noWrap/>
          </w:tcPr>
          <w:p w14:paraId="459C5B48" w14:textId="77777777" w:rsidR="00416D48" w:rsidRDefault="00A03B35" w:rsidP="00416D48">
            <w:pPr>
              <w:pStyle w:val="TableText"/>
              <w:jc w:val="center"/>
            </w:pPr>
            <w:r w:rsidRPr="00463A98">
              <w:t xml:space="preserve">0.27 </w:t>
            </w:r>
          </w:p>
          <w:p w14:paraId="5FFE59CB" w14:textId="41B13072" w:rsidR="00A03B35" w:rsidRPr="00463A98" w:rsidRDefault="00A03B35" w:rsidP="00416D48">
            <w:pPr>
              <w:pStyle w:val="TableText"/>
              <w:jc w:val="center"/>
            </w:pPr>
            <w:r w:rsidRPr="00463A98">
              <w:t>(0.19-0.37)</w:t>
            </w:r>
          </w:p>
        </w:tc>
      </w:tr>
      <w:tr w:rsidR="00416D48" w:rsidRPr="00F2657D" w14:paraId="3DBA90B4" w14:textId="77777777" w:rsidTr="00416D48">
        <w:trPr>
          <w:trHeight w:val="443"/>
        </w:trPr>
        <w:tc>
          <w:tcPr>
            <w:tcW w:w="543" w:type="pct"/>
            <w:noWrap/>
          </w:tcPr>
          <w:p w14:paraId="771A14C7" w14:textId="77777777" w:rsidR="00A03B35" w:rsidRDefault="00A03B35" w:rsidP="007C0D37">
            <w:pPr>
              <w:pStyle w:val="TableText"/>
            </w:pPr>
            <w:r>
              <w:t>Combined analysis</w:t>
            </w:r>
          </w:p>
        </w:tc>
        <w:tc>
          <w:tcPr>
            <w:tcW w:w="235" w:type="pct"/>
            <w:noWrap/>
          </w:tcPr>
          <w:p w14:paraId="3E9C07A9" w14:textId="77777777" w:rsidR="00A03B35" w:rsidRPr="00F2657D" w:rsidRDefault="00A03B35" w:rsidP="00416D48">
            <w:pPr>
              <w:pStyle w:val="TableText"/>
              <w:jc w:val="center"/>
            </w:pPr>
            <w:r w:rsidRPr="00F2657D">
              <w:t>26</w:t>
            </w:r>
          </w:p>
        </w:tc>
        <w:tc>
          <w:tcPr>
            <w:tcW w:w="390" w:type="pct"/>
            <w:noWrap/>
          </w:tcPr>
          <w:p w14:paraId="02DEB17E" w14:textId="77777777" w:rsidR="00A03B35" w:rsidRPr="00F2657D" w:rsidRDefault="00A03B35" w:rsidP="00416D48">
            <w:pPr>
              <w:pStyle w:val="TableText"/>
              <w:jc w:val="center"/>
            </w:pPr>
            <w:r w:rsidRPr="00F2657D">
              <w:t>2026</w:t>
            </w:r>
          </w:p>
        </w:tc>
        <w:tc>
          <w:tcPr>
            <w:tcW w:w="312" w:type="pct"/>
            <w:noWrap/>
          </w:tcPr>
          <w:p w14:paraId="344BF31C" w14:textId="77777777" w:rsidR="00A03B35" w:rsidRPr="00F2657D" w:rsidRDefault="00A03B35" w:rsidP="00416D48">
            <w:pPr>
              <w:pStyle w:val="TableText"/>
              <w:jc w:val="center"/>
            </w:pPr>
            <w:r w:rsidRPr="00F2657D">
              <w:t>862</w:t>
            </w:r>
          </w:p>
        </w:tc>
        <w:tc>
          <w:tcPr>
            <w:tcW w:w="312" w:type="pct"/>
            <w:noWrap/>
          </w:tcPr>
          <w:p w14:paraId="60BA45D3" w14:textId="77777777" w:rsidR="00A03B35" w:rsidRPr="00F2657D" w:rsidRDefault="00A03B35" w:rsidP="00416D48">
            <w:pPr>
              <w:pStyle w:val="TableText"/>
              <w:jc w:val="center"/>
            </w:pPr>
            <w:r w:rsidRPr="00F2657D">
              <w:t>632</w:t>
            </w:r>
          </w:p>
        </w:tc>
        <w:tc>
          <w:tcPr>
            <w:tcW w:w="624" w:type="pct"/>
            <w:noWrap/>
          </w:tcPr>
          <w:p w14:paraId="65159986" w14:textId="71E8298B" w:rsidR="00A03B35" w:rsidRDefault="00A03B35" w:rsidP="00416D48">
            <w:pPr>
              <w:pStyle w:val="TableText"/>
              <w:jc w:val="center"/>
            </w:pPr>
            <w:r w:rsidRPr="00F2657D">
              <w:t>0.70</w:t>
            </w:r>
          </w:p>
          <w:p w14:paraId="08AF9CC6" w14:textId="77777777" w:rsidR="00A03B35" w:rsidRPr="00F2657D" w:rsidRDefault="00A03B35" w:rsidP="00416D48">
            <w:pPr>
              <w:pStyle w:val="TableText"/>
              <w:jc w:val="center"/>
            </w:pPr>
            <w:r w:rsidRPr="00F2657D">
              <w:t>(0.62-0.78)</w:t>
            </w:r>
          </w:p>
        </w:tc>
        <w:tc>
          <w:tcPr>
            <w:tcW w:w="630" w:type="pct"/>
            <w:noWrap/>
          </w:tcPr>
          <w:p w14:paraId="541E0B68" w14:textId="728E9AFA" w:rsidR="00A03B35" w:rsidRDefault="00A03B35" w:rsidP="00416D48">
            <w:pPr>
              <w:pStyle w:val="TableText"/>
              <w:jc w:val="center"/>
            </w:pPr>
            <w:r w:rsidRPr="00F2657D">
              <w:t>0.96</w:t>
            </w:r>
          </w:p>
          <w:p w14:paraId="1FA86675" w14:textId="77777777" w:rsidR="00A03B35" w:rsidRPr="00F2657D" w:rsidRDefault="00A03B35" w:rsidP="00416D48">
            <w:pPr>
              <w:pStyle w:val="TableText"/>
              <w:jc w:val="center"/>
            </w:pPr>
            <w:r w:rsidRPr="00F2657D">
              <w:t>(0.88- 0.98)</w:t>
            </w:r>
          </w:p>
        </w:tc>
        <w:tc>
          <w:tcPr>
            <w:tcW w:w="700" w:type="pct"/>
            <w:noWrap/>
          </w:tcPr>
          <w:p w14:paraId="1A6F4988" w14:textId="63DC4ECC" w:rsidR="00A03B35" w:rsidRDefault="00A03B35" w:rsidP="00416D48">
            <w:pPr>
              <w:pStyle w:val="TableText"/>
              <w:jc w:val="center"/>
            </w:pPr>
            <w:r w:rsidRPr="00F2657D">
              <w:t>50.95</w:t>
            </w:r>
          </w:p>
          <w:p w14:paraId="3A64B4A2" w14:textId="1F3FFE98" w:rsidR="00A03B35" w:rsidRPr="00F2657D" w:rsidRDefault="00A03B35" w:rsidP="00416D48">
            <w:pPr>
              <w:pStyle w:val="TableText"/>
              <w:jc w:val="center"/>
            </w:pPr>
            <w:r w:rsidRPr="00F2657D">
              <w:t>(17.33</w:t>
            </w:r>
            <w:r w:rsidR="00416D48">
              <w:t>-</w:t>
            </w:r>
            <w:r w:rsidRPr="00F2657D">
              <w:t>149.76)</w:t>
            </w:r>
          </w:p>
        </w:tc>
        <w:tc>
          <w:tcPr>
            <w:tcW w:w="624" w:type="pct"/>
            <w:noWrap/>
          </w:tcPr>
          <w:p w14:paraId="4472769B" w14:textId="15C7CA32" w:rsidR="00A03B35" w:rsidRDefault="00A03B35" w:rsidP="00416D48">
            <w:pPr>
              <w:pStyle w:val="TableText"/>
              <w:jc w:val="center"/>
            </w:pPr>
            <w:r w:rsidRPr="00F2657D">
              <w:t>15.74</w:t>
            </w:r>
          </w:p>
          <w:p w14:paraId="763CE448" w14:textId="77777777" w:rsidR="00A03B35" w:rsidRPr="00F2657D" w:rsidRDefault="00A03B35" w:rsidP="00416D48">
            <w:pPr>
              <w:pStyle w:val="TableText"/>
              <w:jc w:val="center"/>
            </w:pPr>
            <w:r w:rsidRPr="00F2657D">
              <w:t>(5.83-42.49)</w:t>
            </w:r>
          </w:p>
        </w:tc>
        <w:tc>
          <w:tcPr>
            <w:tcW w:w="629" w:type="pct"/>
            <w:noWrap/>
          </w:tcPr>
          <w:p w14:paraId="190EA568" w14:textId="2CA48ABA" w:rsidR="00A03B35" w:rsidRDefault="00A03B35" w:rsidP="00416D48">
            <w:pPr>
              <w:pStyle w:val="TableText"/>
              <w:jc w:val="center"/>
            </w:pPr>
            <w:r w:rsidRPr="00F2657D">
              <w:t>0.30</w:t>
            </w:r>
          </w:p>
          <w:p w14:paraId="61EC3503" w14:textId="77777777" w:rsidR="00A03B35" w:rsidRPr="00F2657D" w:rsidRDefault="00A03B35" w:rsidP="00416D48">
            <w:pPr>
              <w:pStyle w:val="TableText"/>
              <w:jc w:val="center"/>
            </w:pPr>
            <w:r w:rsidRPr="00F2657D">
              <w:t>(0.24-4.19)</w:t>
            </w:r>
          </w:p>
        </w:tc>
      </w:tr>
      <w:tr w:rsidR="00A03B35" w:rsidRPr="00F2657D" w14:paraId="02D600B3" w14:textId="77777777" w:rsidTr="00416D48">
        <w:trPr>
          <w:trHeight w:val="443"/>
        </w:trPr>
        <w:tc>
          <w:tcPr>
            <w:tcW w:w="5000" w:type="pct"/>
            <w:gridSpan w:val="10"/>
            <w:tcBorders>
              <w:right w:val="single" w:sz="4" w:space="0" w:color="auto"/>
            </w:tcBorders>
            <w:noWrap/>
          </w:tcPr>
          <w:p w14:paraId="394E1059" w14:textId="238252B9" w:rsidR="00A03B35" w:rsidRPr="00EB0EE0" w:rsidRDefault="0016390E" w:rsidP="00416D48">
            <w:pPr>
              <w:pStyle w:val="TableText"/>
            </w:pPr>
            <w:r w:rsidRPr="00D33786">
              <w:rPr>
                <w:b/>
                <w:bCs/>
              </w:rPr>
              <w:lastRenderedPageBreak/>
              <w:t>Lake Louise criteria</w:t>
            </w:r>
          </w:p>
        </w:tc>
      </w:tr>
      <w:tr w:rsidR="00416D48" w:rsidRPr="00F2657D" w14:paraId="5277EADD" w14:textId="77777777" w:rsidTr="00416D48">
        <w:trPr>
          <w:trHeight w:val="443"/>
        </w:trPr>
        <w:tc>
          <w:tcPr>
            <w:tcW w:w="543" w:type="pct"/>
            <w:noWrap/>
          </w:tcPr>
          <w:p w14:paraId="66E588C0" w14:textId="77777777" w:rsidR="00A03B35" w:rsidRDefault="00A03B35" w:rsidP="007C0D37">
            <w:pPr>
              <w:pStyle w:val="TableText"/>
            </w:pPr>
            <w:r>
              <w:t>Studies from updated SR</w:t>
            </w:r>
          </w:p>
        </w:tc>
        <w:tc>
          <w:tcPr>
            <w:tcW w:w="235" w:type="pct"/>
            <w:noWrap/>
          </w:tcPr>
          <w:p w14:paraId="0EBC10A9" w14:textId="77777777" w:rsidR="00A03B35" w:rsidRPr="00EB0EE0" w:rsidRDefault="00A03B35" w:rsidP="00416D48">
            <w:pPr>
              <w:pStyle w:val="TableText"/>
              <w:jc w:val="center"/>
            </w:pPr>
            <w:r w:rsidRPr="00EB0EE0">
              <w:t>10</w:t>
            </w:r>
          </w:p>
        </w:tc>
        <w:tc>
          <w:tcPr>
            <w:tcW w:w="390" w:type="pct"/>
            <w:noWrap/>
          </w:tcPr>
          <w:p w14:paraId="5FD7E4E1" w14:textId="77777777" w:rsidR="00A03B35" w:rsidRDefault="00A03B35" w:rsidP="00416D48">
            <w:pPr>
              <w:pStyle w:val="TableText"/>
              <w:jc w:val="center"/>
            </w:pPr>
            <w:r>
              <w:t>736</w:t>
            </w:r>
          </w:p>
        </w:tc>
        <w:tc>
          <w:tcPr>
            <w:tcW w:w="312" w:type="pct"/>
            <w:noWrap/>
          </w:tcPr>
          <w:p w14:paraId="7874827F" w14:textId="77777777" w:rsidR="00A03B35" w:rsidRDefault="00A03B35" w:rsidP="00416D48">
            <w:pPr>
              <w:pStyle w:val="TableText"/>
              <w:jc w:val="center"/>
            </w:pPr>
            <w:r>
              <w:t>354</w:t>
            </w:r>
          </w:p>
        </w:tc>
        <w:tc>
          <w:tcPr>
            <w:tcW w:w="312" w:type="pct"/>
            <w:noWrap/>
          </w:tcPr>
          <w:p w14:paraId="28BF3E85" w14:textId="77777777" w:rsidR="00A03B35" w:rsidRDefault="00A03B35" w:rsidP="00416D48">
            <w:pPr>
              <w:pStyle w:val="TableText"/>
              <w:jc w:val="center"/>
            </w:pPr>
            <w:r>
              <w:t>206</w:t>
            </w:r>
          </w:p>
        </w:tc>
        <w:tc>
          <w:tcPr>
            <w:tcW w:w="624" w:type="pct"/>
            <w:tcBorders>
              <w:top w:val="single" w:sz="4" w:space="0" w:color="auto"/>
              <w:left w:val="single" w:sz="4" w:space="0" w:color="auto"/>
              <w:bottom w:val="single" w:sz="4" w:space="0" w:color="auto"/>
              <w:right w:val="single" w:sz="4" w:space="0" w:color="auto"/>
            </w:tcBorders>
            <w:shd w:val="clear" w:color="auto" w:fill="auto"/>
            <w:noWrap/>
          </w:tcPr>
          <w:p w14:paraId="4F1697B3" w14:textId="77777777" w:rsidR="009B51F0" w:rsidRDefault="00A03B35" w:rsidP="00416D48">
            <w:pPr>
              <w:pStyle w:val="TableText"/>
              <w:jc w:val="center"/>
            </w:pPr>
            <w:r w:rsidRPr="00463A98">
              <w:t xml:space="preserve">0.70 </w:t>
            </w:r>
          </w:p>
          <w:p w14:paraId="4BCE3BDF" w14:textId="0CBD23E4" w:rsidR="00A03B35" w:rsidRPr="00463A98" w:rsidRDefault="00A03B35" w:rsidP="00416D48">
            <w:pPr>
              <w:pStyle w:val="TableText"/>
              <w:jc w:val="center"/>
            </w:pPr>
            <w:r w:rsidRPr="00463A98">
              <w:t>(0.60-0.78)</w:t>
            </w:r>
          </w:p>
        </w:tc>
        <w:tc>
          <w:tcPr>
            <w:tcW w:w="630" w:type="pct"/>
            <w:tcBorders>
              <w:top w:val="single" w:sz="4" w:space="0" w:color="auto"/>
              <w:left w:val="nil"/>
              <w:bottom w:val="single" w:sz="4" w:space="0" w:color="auto"/>
              <w:right w:val="single" w:sz="4" w:space="0" w:color="auto"/>
            </w:tcBorders>
            <w:shd w:val="clear" w:color="auto" w:fill="auto"/>
            <w:noWrap/>
          </w:tcPr>
          <w:p w14:paraId="5A7501CE" w14:textId="77777777" w:rsidR="009B51F0" w:rsidRDefault="00A03B35" w:rsidP="00416D48">
            <w:pPr>
              <w:pStyle w:val="TableText"/>
              <w:jc w:val="center"/>
            </w:pPr>
            <w:r w:rsidRPr="00463A98">
              <w:t xml:space="preserve">0.94 </w:t>
            </w:r>
          </w:p>
          <w:p w14:paraId="41DBC5C2" w14:textId="00B5D33A" w:rsidR="00A03B35" w:rsidRPr="00463A98" w:rsidRDefault="00A03B35" w:rsidP="00416D48">
            <w:pPr>
              <w:pStyle w:val="TableText"/>
              <w:jc w:val="center"/>
            </w:pPr>
            <w:r w:rsidRPr="00463A98">
              <w:t>(0.82-0.98)</w:t>
            </w:r>
          </w:p>
        </w:tc>
        <w:tc>
          <w:tcPr>
            <w:tcW w:w="700" w:type="pct"/>
            <w:tcBorders>
              <w:top w:val="single" w:sz="4" w:space="0" w:color="auto"/>
              <w:left w:val="nil"/>
              <w:bottom w:val="single" w:sz="4" w:space="0" w:color="auto"/>
              <w:right w:val="single" w:sz="4" w:space="0" w:color="auto"/>
            </w:tcBorders>
            <w:shd w:val="clear" w:color="auto" w:fill="auto"/>
            <w:noWrap/>
          </w:tcPr>
          <w:p w14:paraId="3D495C85" w14:textId="77777777" w:rsidR="00416D48" w:rsidRDefault="00A03B35" w:rsidP="00416D48">
            <w:pPr>
              <w:pStyle w:val="TableText"/>
              <w:jc w:val="center"/>
            </w:pPr>
            <w:r w:rsidRPr="00463A98">
              <w:t xml:space="preserve">34.73 </w:t>
            </w:r>
          </w:p>
          <w:p w14:paraId="273E84F6" w14:textId="2C57BF0F" w:rsidR="00A03B35" w:rsidRPr="00463A98" w:rsidRDefault="00A03B35" w:rsidP="00416D48">
            <w:pPr>
              <w:pStyle w:val="TableText"/>
              <w:jc w:val="center"/>
            </w:pPr>
            <w:r w:rsidRPr="00463A98">
              <w:t>(9.91-121.63)</w:t>
            </w:r>
          </w:p>
        </w:tc>
        <w:tc>
          <w:tcPr>
            <w:tcW w:w="624" w:type="pct"/>
            <w:tcBorders>
              <w:top w:val="single" w:sz="4" w:space="0" w:color="auto"/>
              <w:left w:val="nil"/>
              <w:bottom w:val="single" w:sz="4" w:space="0" w:color="auto"/>
              <w:right w:val="single" w:sz="4" w:space="0" w:color="auto"/>
            </w:tcBorders>
            <w:shd w:val="clear" w:color="auto" w:fill="auto"/>
            <w:noWrap/>
          </w:tcPr>
          <w:p w14:paraId="315F84CF" w14:textId="77777777" w:rsidR="00416D48" w:rsidRDefault="00A03B35" w:rsidP="00416D48">
            <w:pPr>
              <w:pStyle w:val="TableText"/>
              <w:jc w:val="center"/>
            </w:pPr>
            <w:r w:rsidRPr="00463A98">
              <w:t xml:space="preserve">11.05 </w:t>
            </w:r>
          </w:p>
          <w:p w14:paraId="247F90E9" w14:textId="69C122C3" w:rsidR="00A03B35" w:rsidRPr="00463A98" w:rsidRDefault="00A03B35" w:rsidP="00416D48">
            <w:pPr>
              <w:pStyle w:val="TableText"/>
              <w:jc w:val="center"/>
            </w:pPr>
            <w:r w:rsidRPr="00463A98">
              <w:t>(3.74-32.63)</w:t>
            </w:r>
          </w:p>
        </w:tc>
        <w:tc>
          <w:tcPr>
            <w:tcW w:w="629" w:type="pct"/>
            <w:tcBorders>
              <w:top w:val="single" w:sz="4" w:space="0" w:color="auto"/>
              <w:left w:val="nil"/>
              <w:bottom w:val="single" w:sz="4" w:space="0" w:color="auto"/>
              <w:right w:val="single" w:sz="4" w:space="0" w:color="auto"/>
            </w:tcBorders>
            <w:shd w:val="clear" w:color="auto" w:fill="auto"/>
            <w:noWrap/>
          </w:tcPr>
          <w:p w14:paraId="54056CBB" w14:textId="77777777" w:rsidR="00416D48" w:rsidRDefault="00A03B35" w:rsidP="00416D48">
            <w:pPr>
              <w:pStyle w:val="TableText"/>
              <w:jc w:val="center"/>
            </w:pPr>
            <w:r w:rsidRPr="00463A98">
              <w:t xml:space="preserve">0.31 </w:t>
            </w:r>
          </w:p>
          <w:p w14:paraId="4CE6EF52" w14:textId="26E255E1" w:rsidR="00A03B35" w:rsidRPr="00463A98" w:rsidRDefault="00A03B35" w:rsidP="00416D48">
            <w:pPr>
              <w:pStyle w:val="TableText"/>
              <w:jc w:val="center"/>
            </w:pPr>
            <w:r w:rsidRPr="00463A98">
              <w:t>(0.23-0.44)</w:t>
            </w:r>
          </w:p>
        </w:tc>
      </w:tr>
      <w:tr w:rsidR="00416D48" w:rsidRPr="00F2657D" w14:paraId="6399E642" w14:textId="77777777" w:rsidTr="00416D48">
        <w:trPr>
          <w:trHeight w:val="443"/>
        </w:trPr>
        <w:tc>
          <w:tcPr>
            <w:tcW w:w="543" w:type="pct"/>
            <w:noWrap/>
          </w:tcPr>
          <w:p w14:paraId="5D7A0476" w14:textId="77777777" w:rsidR="00A03B35" w:rsidRDefault="00A03B35" w:rsidP="007C0D37">
            <w:pPr>
              <w:pStyle w:val="TableText"/>
            </w:pPr>
            <w:r>
              <w:t>Combined analysis</w:t>
            </w:r>
          </w:p>
        </w:tc>
        <w:tc>
          <w:tcPr>
            <w:tcW w:w="235" w:type="pct"/>
            <w:noWrap/>
          </w:tcPr>
          <w:p w14:paraId="2D0A1D74" w14:textId="77777777" w:rsidR="00A03B35" w:rsidRPr="00F2657D" w:rsidRDefault="00A03B35" w:rsidP="00416D48">
            <w:pPr>
              <w:pStyle w:val="TableText"/>
              <w:jc w:val="center"/>
            </w:pPr>
            <w:r w:rsidRPr="00F2657D">
              <w:t>18</w:t>
            </w:r>
          </w:p>
        </w:tc>
        <w:tc>
          <w:tcPr>
            <w:tcW w:w="390" w:type="pct"/>
            <w:noWrap/>
          </w:tcPr>
          <w:p w14:paraId="7818A4E8" w14:textId="77777777" w:rsidR="00A03B35" w:rsidRPr="00F2657D" w:rsidRDefault="00A03B35" w:rsidP="00416D48">
            <w:pPr>
              <w:pStyle w:val="TableText"/>
              <w:jc w:val="center"/>
            </w:pPr>
            <w:r w:rsidRPr="00F2657D">
              <w:t>1313</w:t>
            </w:r>
          </w:p>
        </w:tc>
        <w:tc>
          <w:tcPr>
            <w:tcW w:w="312" w:type="pct"/>
            <w:noWrap/>
          </w:tcPr>
          <w:p w14:paraId="647B5A34" w14:textId="77777777" w:rsidR="00A03B35" w:rsidRPr="00F2657D" w:rsidRDefault="00A03B35" w:rsidP="00416D48">
            <w:pPr>
              <w:pStyle w:val="TableText"/>
              <w:jc w:val="center"/>
            </w:pPr>
            <w:r w:rsidRPr="00F2657D">
              <w:t>637</w:t>
            </w:r>
          </w:p>
        </w:tc>
        <w:tc>
          <w:tcPr>
            <w:tcW w:w="312" w:type="pct"/>
            <w:noWrap/>
          </w:tcPr>
          <w:p w14:paraId="6B407BBE" w14:textId="77777777" w:rsidR="00A03B35" w:rsidRPr="00F2657D" w:rsidRDefault="00A03B35" w:rsidP="00416D48">
            <w:pPr>
              <w:pStyle w:val="TableText"/>
              <w:jc w:val="center"/>
            </w:pPr>
            <w:r w:rsidRPr="00F2657D">
              <w:t>387</w:t>
            </w:r>
          </w:p>
        </w:tc>
        <w:tc>
          <w:tcPr>
            <w:tcW w:w="624" w:type="pct"/>
            <w:noWrap/>
          </w:tcPr>
          <w:p w14:paraId="23D815B8" w14:textId="3F6ABBA4" w:rsidR="00A03B35" w:rsidRDefault="00A03B35" w:rsidP="00416D48">
            <w:pPr>
              <w:pStyle w:val="TableText"/>
              <w:jc w:val="center"/>
            </w:pPr>
            <w:r w:rsidRPr="00F2657D">
              <w:t>0.74</w:t>
            </w:r>
          </w:p>
          <w:p w14:paraId="33C60AB0" w14:textId="77777777" w:rsidR="00A03B35" w:rsidRPr="00F2657D" w:rsidRDefault="00A03B35" w:rsidP="00416D48">
            <w:pPr>
              <w:pStyle w:val="TableText"/>
              <w:jc w:val="center"/>
            </w:pPr>
            <w:r w:rsidRPr="00F2657D">
              <w:t>(0.68-0.79)</w:t>
            </w:r>
          </w:p>
        </w:tc>
        <w:tc>
          <w:tcPr>
            <w:tcW w:w="630" w:type="pct"/>
            <w:noWrap/>
          </w:tcPr>
          <w:p w14:paraId="4F94C96B" w14:textId="3BE7BAF8" w:rsidR="00A03B35" w:rsidRDefault="00A03B35" w:rsidP="00416D48">
            <w:pPr>
              <w:pStyle w:val="TableText"/>
              <w:jc w:val="center"/>
            </w:pPr>
            <w:r w:rsidRPr="00F2657D">
              <w:t>0.92</w:t>
            </w:r>
          </w:p>
          <w:p w14:paraId="19FFF2A7" w14:textId="77777777" w:rsidR="00A03B35" w:rsidRPr="00F2657D" w:rsidRDefault="00A03B35" w:rsidP="00416D48">
            <w:pPr>
              <w:pStyle w:val="TableText"/>
              <w:jc w:val="center"/>
            </w:pPr>
            <w:r w:rsidRPr="00F2657D">
              <w:t>(0.82-0.96)</w:t>
            </w:r>
          </w:p>
        </w:tc>
        <w:tc>
          <w:tcPr>
            <w:tcW w:w="700" w:type="pct"/>
            <w:noWrap/>
          </w:tcPr>
          <w:p w14:paraId="0B0CAFE9" w14:textId="206EF5AD" w:rsidR="00A03B35" w:rsidRDefault="00A03B35" w:rsidP="00416D48">
            <w:pPr>
              <w:pStyle w:val="TableText"/>
              <w:jc w:val="center"/>
            </w:pPr>
            <w:r w:rsidRPr="00F2657D">
              <w:t>31.76</w:t>
            </w:r>
          </w:p>
          <w:p w14:paraId="00C53CD0" w14:textId="77777777" w:rsidR="00A03B35" w:rsidRPr="00F2657D" w:rsidRDefault="00A03B35" w:rsidP="00416D48">
            <w:pPr>
              <w:pStyle w:val="TableText"/>
              <w:jc w:val="center"/>
            </w:pPr>
            <w:r w:rsidRPr="00F2657D">
              <w:t>(12.95-77.89)</w:t>
            </w:r>
          </w:p>
        </w:tc>
        <w:tc>
          <w:tcPr>
            <w:tcW w:w="624" w:type="pct"/>
            <w:noWrap/>
          </w:tcPr>
          <w:p w14:paraId="29BAAFC3" w14:textId="5BD3B6C0" w:rsidR="00A03B35" w:rsidRDefault="00A03B35" w:rsidP="00416D48">
            <w:pPr>
              <w:pStyle w:val="TableText"/>
              <w:jc w:val="center"/>
            </w:pPr>
            <w:r w:rsidRPr="00F2657D">
              <w:t>8.97</w:t>
            </w:r>
          </w:p>
          <w:p w14:paraId="79F58828" w14:textId="77777777" w:rsidR="00A03B35" w:rsidRPr="00F2657D" w:rsidRDefault="00A03B35" w:rsidP="00416D48">
            <w:pPr>
              <w:pStyle w:val="TableText"/>
              <w:jc w:val="center"/>
            </w:pPr>
            <w:r w:rsidRPr="00F2657D">
              <w:t>(4.04-19.91)</w:t>
            </w:r>
          </w:p>
        </w:tc>
        <w:tc>
          <w:tcPr>
            <w:tcW w:w="629" w:type="pct"/>
            <w:noWrap/>
          </w:tcPr>
          <w:p w14:paraId="5B755456" w14:textId="6416D9D6" w:rsidR="00A03B35" w:rsidRDefault="00A03B35" w:rsidP="00416D48">
            <w:pPr>
              <w:pStyle w:val="TableText"/>
              <w:jc w:val="center"/>
            </w:pPr>
            <w:r w:rsidRPr="00F2657D">
              <w:t>0.28</w:t>
            </w:r>
          </w:p>
          <w:p w14:paraId="3F315BC2" w14:textId="77777777" w:rsidR="00A03B35" w:rsidRPr="00F2657D" w:rsidRDefault="00A03B35" w:rsidP="00416D48">
            <w:pPr>
              <w:pStyle w:val="TableText"/>
              <w:jc w:val="center"/>
            </w:pPr>
            <w:r w:rsidRPr="00F2657D">
              <w:t>(0.22-0.35)</w:t>
            </w:r>
          </w:p>
        </w:tc>
      </w:tr>
    </w:tbl>
    <w:bookmarkEnd w:id="35"/>
    <w:p w14:paraId="68847951" w14:textId="5AC5D9E2" w:rsidR="00E44A5D" w:rsidRDefault="00416D48" w:rsidP="00757BA8">
      <w:pPr>
        <w:pStyle w:val="TableFooter"/>
      </w:pPr>
      <w:r>
        <w:t xml:space="preserve">K = number of studies; </w:t>
      </w:r>
      <w:r w:rsidR="00A03B35">
        <w:t>N</w:t>
      </w:r>
      <w:r w:rsidR="0016390E">
        <w:t xml:space="preserve"> </w:t>
      </w:r>
      <w:r w:rsidR="00A03B35">
        <w:t>=</w:t>
      </w:r>
      <w:r w:rsidR="0016390E">
        <w:t xml:space="preserve"> </w:t>
      </w:r>
      <w:r w:rsidR="00C22424">
        <w:t>n</w:t>
      </w:r>
      <w:r w:rsidR="00A03B35">
        <w:t xml:space="preserve">umber; </w:t>
      </w:r>
      <w:r>
        <w:t xml:space="preserve">SR = systematic review; </w:t>
      </w:r>
      <w:r w:rsidR="00A03B35">
        <w:t>TP</w:t>
      </w:r>
      <w:r w:rsidR="0016390E">
        <w:t xml:space="preserve"> </w:t>
      </w:r>
      <w:r w:rsidR="00A03B35">
        <w:t>=</w:t>
      </w:r>
      <w:r w:rsidR="0016390E">
        <w:t xml:space="preserve"> </w:t>
      </w:r>
      <w:r w:rsidR="00A03B35">
        <w:t>true positive; TN</w:t>
      </w:r>
      <w:r w:rsidR="0016390E">
        <w:t xml:space="preserve"> </w:t>
      </w:r>
      <w:r w:rsidR="00A03B35">
        <w:t>=</w:t>
      </w:r>
      <w:r w:rsidR="0016390E">
        <w:t xml:space="preserve"> </w:t>
      </w:r>
      <w:r w:rsidR="00A03B35">
        <w:t>true negative</w:t>
      </w:r>
      <w:r w:rsidR="0016390E">
        <w:t>.</w:t>
      </w:r>
    </w:p>
    <w:p w14:paraId="63729FE3" w14:textId="1BE5D1DD" w:rsidR="00177389" w:rsidRPr="009B51F0" w:rsidRDefault="00177389" w:rsidP="00177389">
      <w:pPr>
        <w:pStyle w:val="TableFooter"/>
      </w:pPr>
      <w:r w:rsidRPr="009B51F0">
        <w:t>Notes: numbers in parenthes</w:t>
      </w:r>
      <w:r w:rsidR="00A97A1E">
        <w:t>e</w:t>
      </w:r>
      <w:r w:rsidRPr="009B51F0">
        <w:t>s are 95% confidence interval</w:t>
      </w:r>
      <w:r w:rsidR="00683C25">
        <w:t>s</w:t>
      </w:r>
    </w:p>
    <w:p w14:paraId="436A7132" w14:textId="12B19F9D" w:rsidR="00A03B35" w:rsidRDefault="00A03B35" w:rsidP="00756ED0">
      <w:r w:rsidRPr="00ED17BE">
        <w:t xml:space="preserve">All index tests of </w:t>
      </w:r>
      <w:r w:rsidR="003843F3">
        <w:t>cardiac MRI</w:t>
      </w:r>
      <w:r w:rsidRPr="00ED17BE">
        <w:t xml:space="preserve"> reported positive likelihood ratio&gt;5 and negative likelihood ratio&lt;1, indicating stronger diagnostic a</w:t>
      </w:r>
      <w:r>
        <w:t>bi</w:t>
      </w:r>
      <w:r w:rsidRPr="00ED17BE">
        <w:t>lity.</w:t>
      </w:r>
    </w:p>
    <w:p w14:paraId="65856334" w14:textId="613FD673" w:rsidR="00A03B35" w:rsidRPr="00623DE0" w:rsidRDefault="00A03B35" w:rsidP="00A03B35">
      <w:pPr>
        <w:pStyle w:val="Instructionaltext"/>
        <w:jc w:val="both"/>
        <w:rPr>
          <w:b/>
          <w:bCs/>
          <w:i/>
          <w:iCs/>
          <w:color w:val="000000" w:themeColor="text1"/>
        </w:rPr>
      </w:pPr>
      <w:r w:rsidRPr="00623DE0">
        <w:rPr>
          <w:b/>
          <w:bCs/>
          <w:i/>
          <w:iCs/>
          <w:color w:val="000000" w:themeColor="text1"/>
        </w:rPr>
        <w:t>Summary of findings</w:t>
      </w:r>
      <w:r>
        <w:rPr>
          <w:b/>
          <w:bCs/>
          <w:i/>
          <w:iCs/>
          <w:color w:val="000000" w:themeColor="text1"/>
        </w:rPr>
        <w:t xml:space="preserve"> of </w:t>
      </w:r>
      <w:r w:rsidR="00D33C4B">
        <w:rPr>
          <w:b/>
          <w:bCs/>
          <w:i/>
          <w:iCs/>
          <w:color w:val="000000" w:themeColor="text1"/>
        </w:rPr>
        <w:t>cross-sectional</w:t>
      </w:r>
      <w:r>
        <w:rPr>
          <w:b/>
          <w:bCs/>
          <w:i/>
          <w:iCs/>
          <w:color w:val="000000" w:themeColor="text1"/>
        </w:rPr>
        <w:t xml:space="preserve"> accuracy</w:t>
      </w:r>
    </w:p>
    <w:p w14:paraId="1147AA49" w14:textId="4D13627A" w:rsidR="00A03B35" w:rsidRDefault="00A53DA1" w:rsidP="00867E94">
      <w:r>
        <w:t>The assessment group found c</w:t>
      </w:r>
      <w:r w:rsidR="003843F3">
        <w:t>ardiac MRI</w:t>
      </w:r>
      <w:r w:rsidR="00A03B35" w:rsidRPr="005D10CC">
        <w:t xml:space="preserve"> </w:t>
      </w:r>
      <w:r w:rsidR="0021256B">
        <w:t>wa</w:t>
      </w:r>
      <w:r w:rsidR="00A03B35" w:rsidRPr="005D10CC">
        <w:t>s reasonably good at diagnosing acute myocarditis</w:t>
      </w:r>
      <w:r w:rsidR="00A03B35">
        <w:t xml:space="preserve"> as</w:t>
      </w:r>
      <w:r w:rsidR="0021256B">
        <w:t xml:space="preserve"> it was</w:t>
      </w:r>
      <w:r w:rsidR="00A03B35">
        <w:t xml:space="preserve"> associated with high sensitivity and specificity. The </w:t>
      </w:r>
      <w:r w:rsidR="0011662C">
        <w:t xml:space="preserve">meta-analysis </w:t>
      </w:r>
      <w:r w:rsidR="00A03B35">
        <w:t>based on the 16 individual studies reported high sensitivity and specificity values and of these studies, nine studies were low risk of bias.</w:t>
      </w:r>
      <w:r w:rsidR="00A03B35" w:rsidRPr="00B005CA">
        <w:t xml:space="preserve"> Therefore, based on the </w:t>
      </w:r>
      <w:r w:rsidR="00416D48" w:rsidRPr="00416D48">
        <w:t xml:space="preserve">Grading of Recommendations, Assessment, Development, and Evaluations </w:t>
      </w:r>
      <w:r w:rsidR="00416D48">
        <w:t>(</w:t>
      </w:r>
      <w:r w:rsidR="00A03B35" w:rsidRPr="00B005CA">
        <w:t>GRADE</w:t>
      </w:r>
      <w:r w:rsidR="00416D48">
        <w:t>)</w:t>
      </w:r>
      <w:r w:rsidR="00A03B35" w:rsidRPr="00B005CA">
        <w:t xml:space="preserve"> tool, quality of evidence for diagnostic accuracy provided in </w:t>
      </w:r>
      <w:r w:rsidR="0011662C">
        <w:t>meta-analysis</w:t>
      </w:r>
      <w:r w:rsidR="00A03B35">
        <w:t xml:space="preserve"> of 16 individual studies </w:t>
      </w:r>
      <w:r w:rsidR="0021256B">
        <w:t>wa</w:t>
      </w:r>
      <w:r w:rsidR="00A03B35">
        <w:t xml:space="preserve">s moderate. Of note, the five systematic </w:t>
      </w:r>
      <w:r w:rsidR="009F7DAC">
        <w:t>reviews</w:t>
      </w:r>
      <w:r w:rsidR="00A03B35">
        <w:t xml:space="preserve"> including </w:t>
      </w:r>
      <w:proofErr w:type="spellStart"/>
      <w:r w:rsidR="00A03B35">
        <w:t>Kotanidis</w:t>
      </w:r>
      <w:proofErr w:type="spellEnd"/>
      <w:r w:rsidR="00A03B35">
        <w:t xml:space="preserve"> et al</w:t>
      </w:r>
      <w:r w:rsidR="0016390E">
        <w:t>.</w:t>
      </w:r>
      <w:r w:rsidR="00A03B35">
        <w:t xml:space="preserve"> </w:t>
      </w:r>
      <w:r w:rsidR="0016390E">
        <w:t>(</w:t>
      </w:r>
      <w:r w:rsidR="00A03B35">
        <w:t>2018</w:t>
      </w:r>
      <w:r w:rsidR="0016390E">
        <w:t>)</w:t>
      </w:r>
      <w:r w:rsidR="00A03B35">
        <w:t xml:space="preserve"> also reported high sensitivity and specificity for </w:t>
      </w:r>
      <w:r w:rsidR="003843F3">
        <w:t>cardiac MRI</w:t>
      </w:r>
      <w:r w:rsidR="00A03B35">
        <w:t>. However, these systematic review</w:t>
      </w:r>
      <w:r w:rsidR="00D33C4B">
        <w:t>s</w:t>
      </w:r>
      <w:r w:rsidR="00A03B35">
        <w:t xml:space="preserve"> and most of the studies included in the </w:t>
      </w:r>
      <w:proofErr w:type="spellStart"/>
      <w:r w:rsidR="00A03B35">
        <w:t>Kotanidis</w:t>
      </w:r>
      <w:proofErr w:type="spellEnd"/>
      <w:r w:rsidR="00A03B35">
        <w:t xml:space="preserve"> et al</w:t>
      </w:r>
      <w:r w:rsidR="00535567">
        <w:t>.</w:t>
      </w:r>
      <w:r w:rsidR="00A03B35">
        <w:t xml:space="preserve"> </w:t>
      </w:r>
      <w:r w:rsidR="001072D1">
        <w:t>(</w:t>
      </w:r>
      <w:r w:rsidR="00A03B35">
        <w:t>2018</w:t>
      </w:r>
      <w:r w:rsidR="001072D1">
        <w:t>)</w:t>
      </w:r>
      <w:r w:rsidR="00A03B35">
        <w:t xml:space="preserve"> were of high risk of bias. Therefore, based on the GRADE tool, quality of evidence for diagnostic accuracy provided in these systematic reviews and combined analysis </w:t>
      </w:r>
      <w:r w:rsidR="00F951BE">
        <w:t>wa</w:t>
      </w:r>
      <w:r w:rsidR="00A03B35">
        <w:t>s very low.</w:t>
      </w:r>
    </w:p>
    <w:p w14:paraId="055C77C2" w14:textId="45C0F489" w:rsidR="00A03B35" w:rsidRDefault="00A03B35" w:rsidP="00867E94">
      <w:r>
        <w:t>None of the included studies were conducted in the Australian setting. Study participants were predominantly male, with a mean age between 31 and 46 years for studies conducted in adults. The Australian Institute of Health and Welfare (AIHW) ha</w:t>
      </w:r>
      <w:r w:rsidR="002B5648">
        <w:t>d</w:t>
      </w:r>
      <w:r>
        <w:t xml:space="preserve"> not reported data on myocarditis patients specifically. In patients with cardiovascular disease, it reported that 15.7% </w:t>
      </w:r>
      <w:r w:rsidR="005D72C8">
        <w:t>we</w:t>
      </w:r>
      <w:r>
        <w:t xml:space="preserve">re between the aged of 18 and 54. Further, 44% of cardiovascular disease patients in Australia </w:t>
      </w:r>
      <w:r w:rsidR="005D72C8">
        <w:t>we</w:t>
      </w:r>
      <w:r>
        <w:t xml:space="preserve">re female, which </w:t>
      </w:r>
      <w:r w:rsidR="005D72C8">
        <w:t>wa</w:t>
      </w:r>
      <w:r>
        <w:t xml:space="preserve">s larger than the proportion of female patients in </w:t>
      </w:r>
      <w:r w:rsidR="009F7DAC">
        <w:t>most of</w:t>
      </w:r>
      <w:r>
        <w:t xml:space="preserve"> the studies. Only one study reported additional behavioural and health-related demographic information. In </w:t>
      </w:r>
      <w:proofErr w:type="spellStart"/>
      <w:r>
        <w:t>Baessler</w:t>
      </w:r>
      <w:proofErr w:type="spellEnd"/>
      <w:r>
        <w:t xml:space="preserve"> </w:t>
      </w:r>
      <w:r w:rsidR="00535567">
        <w:t xml:space="preserve">et al. </w:t>
      </w:r>
      <w:r>
        <w:t xml:space="preserve">(2019), 38% of patients were smokers and 57% had hypertension. This </w:t>
      </w:r>
      <w:r w:rsidR="005D72C8">
        <w:t>wa</w:t>
      </w:r>
      <w:r>
        <w:t xml:space="preserve">s comparable to the Australian population, in which these values </w:t>
      </w:r>
      <w:r w:rsidR="005D72C8">
        <w:t>we</w:t>
      </w:r>
      <w:r>
        <w:t>re 23% and 53% respectively, for individuals with cardiovascular disease</w:t>
      </w:r>
      <w:r>
        <w:rPr>
          <w:rStyle w:val="FootnoteReference"/>
        </w:rPr>
        <w:footnoteReference w:id="16"/>
      </w:r>
      <w:r w:rsidR="001072D1">
        <w:t>.</w:t>
      </w:r>
    </w:p>
    <w:p w14:paraId="476AFAA8" w14:textId="5A8F720C" w:rsidR="00A03B35" w:rsidRDefault="00A03B35" w:rsidP="00867E94">
      <w:r w:rsidRPr="00AC0EFF">
        <w:t>Globally, it is estimated that the worldwide prevalence of myocarditis is 1.5 million patients, with 10-22 new cases diagnosed per 100,000 population annually</w:t>
      </w:r>
      <w:r>
        <w:t>.</w:t>
      </w:r>
      <w:r>
        <w:rPr>
          <w:rStyle w:val="FootnoteReference"/>
        </w:rPr>
        <w:footnoteReference w:id="17"/>
      </w:r>
      <w:r w:rsidRPr="00AC0EFF">
        <w:t xml:space="preserve"> </w:t>
      </w:r>
      <w:r>
        <w:t xml:space="preserve">However, </w:t>
      </w:r>
      <w:r w:rsidR="00C2799B">
        <w:t xml:space="preserve">the assessment group noted </w:t>
      </w:r>
      <w:r>
        <w:t>t</w:t>
      </w:r>
      <w:r w:rsidRPr="00AC0EFF">
        <w:t xml:space="preserve">here </w:t>
      </w:r>
      <w:r w:rsidR="005D72C8">
        <w:t>wa</w:t>
      </w:r>
      <w:r w:rsidRPr="00AC0EFF">
        <w:t xml:space="preserve">s no detailed data on </w:t>
      </w:r>
      <w:r>
        <w:t>the incidence and prevalence of myocarditis among Australi</w:t>
      </w:r>
      <w:r w:rsidR="00416D48">
        <w:t>a</w:t>
      </w:r>
      <w:r>
        <w:t xml:space="preserve">n general population. The Australian data for myocarditis </w:t>
      </w:r>
      <w:r w:rsidR="00C2799B">
        <w:t xml:space="preserve">were </w:t>
      </w:r>
      <w:r>
        <w:t xml:space="preserve">mainly available for the </w:t>
      </w:r>
      <w:r w:rsidR="7AE3A387">
        <w:t>incidence</w:t>
      </w:r>
      <w:r>
        <w:t xml:space="preserve"> post </w:t>
      </w:r>
      <w:r w:rsidR="40D034CF">
        <w:t xml:space="preserve">mRNA </w:t>
      </w:r>
      <w:r>
        <w:t xml:space="preserve">COVID vaccine. </w:t>
      </w:r>
      <w:r w:rsidRPr="00AC0EFF">
        <w:t xml:space="preserve">According to the </w:t>
      </w:r>
      <w:r w:rsidR="00A54A50">
        <w:t>applicant</w:t>
      </w:r>
      <w:r w:rsidRPr="00AC0EFF">
        <w:t>, w</w:t>
      </w:r>
      <w:r w:rsidRPr="00AC0EFF">
        <w:rPr>
          <w:rFonts w:hint="eastAsia"/>
        </w:rPr>
        <w:t>hile</w:t>
      </w:r>
      <w:r w:rsidRPr="00AC0EFF">
        <w:t xml:space="preserve"> the Australian prevalence </w:t>
      </w:r>
      <w:r w:rsidRPr="00AC0EFF">
        <w:lastRenderedPageBreak/>
        <w:t xml:space="preserve">and incidence of myocarditis considered in the Application </w:t>
      </w:r>
      <w:r w:rsidR="00C2799B">
        <w:t>wa</w:t>
      </w:r>
      <w:r w:rsidRPr="00AC0EFF">
        <w:t>s uncertain, it ha</w:t>
      </w:r>
      <w:r w:rsidR="00C2799B">
        <w:t>d</w:t>
      </w:r>
      <w:r w:rsidRPr="00AC0EFF">
        <w:t xml:space="preserve"> been reasonably estimated that the overall incidence of myocarditis in the community </w:t>
      </w:r>
      <w:r w:rsidR="00C2799B">
        <w:t>wa</w:t>
      </w:r>
      <w:r w:rsidRPr="00AC0EFF">
        <w:t xml:space="preserve">s approximately 30 per </w:t>
      </w:r>
      <w:r w:rsidR="009F7DAC" w:rsidRPr="00AC0EFF">
        <w:t>100,000-person</w:t>
      </w:r>
      <w:r w:rsidRPr="00AC0EFF">
        <w:t xml:space="preserve"> years</w:t>
      </w:r>
      <w:r>
        <w:t>; a rate of 0.03%</w:t>
      </w:r>
      <w:r>
        <w:rPr>
          <w:rStyle w:val="FootnoteReference"/>
        </w:rPr>
        <w:footnoteReference w:id="18"/>
      </w:r>
      <w:r w:rsidR="001072D1">
        <w:t xml:space="preserve">. </w:t>
      </w:r>
      <w:r>
        <w:t>Considering the 26,473,055 Australi</w:t>
      </w:r>
      <w:r w:rsidR="00416D48">
        <w:t>a</w:t>
      </w:r>
      <w:r>
        <w:t xml:space="preserve">n population in 2023 based on Australian </w:t>
      </w:r>
      <w:r w:rsidR="00186053">
        <w:t>B</w:t>
      </w:r>
      <w:r>
        <w:t xml:space="preserve">ureau of Statistics </w:t>
      </w:r>
      <w:r w:rsidR="00186053">
        <w:t xml:space="preserve">(ABS) </w:t>
      </w:r>
      <w:r>
        <w:t xml:space="preserve">data, there would be </w:t>
      </w:r>
      <w:r w:rsidR="00186053">
        <w:t xml:space="preserve">a </w:t>
      </w:r>
      <w:r>
        <w:t>possible 7</w:t>
      </w:r>
      <w:r w:rsidR="00416D48">
        <w:t>,</w:t>
      </w:r>
      <w:r>
        <w:t xml:space="preserve">941 myocarditis cases per year. The </w:t>
      </w:r>
      <w:r w:rsidR="00A54A50">
        <w:t>applicant</w:t>
      </w:r>
      <w:r>
        <w:t xml:space="preserve"> estimation </w:t>
      </w:r>
      <w:r w:rsidR="00C2799B">
        <w:t>wa</w:t>
      </w:r>
      <w:r>
        <w:t xml:space="preserve">s close to the values reported for the myocarditis incidence cases </w:t>
      </w:r>
      <w:r w:rsidRPr="003444BB">
        <w:t>6</w:t>
      </w:r>
      <w:r w:rsidR="00416D48">
        <w:t>,</w:t>
      </w:r>
      <w:r w:rsidRPr="003444BB">
        <w:t>22</w:t>
      </w:r>
      <w:r>
        <w:t>2</w:t>
      </w:r>
      <w:r w:rsidRPr="003444BB">
        <w:t xml:space="preserve"> (5</w:t>
      </w:r>
      <w:r w:rsidR="00416D48">
        <w:t>,</w:t>
      </w:r>
      <w:r>
        <w:t>000</w:t>
      </w:r>
      <w:r w:rsidRPr="003444BB">
        <w:t>-7</w:t>
      </w:r>
      <w:r w:rsidR="00416D48">
        <w:t>,</w:t>
      </w:r>
      <w:r w:rsidRPr="003444BB">
        <w:t>53</w:t>
      </w:r>
      <w:r>
        <w:t>0</w:t>
      </w:r>
      <w:r w:rsidRPr="003444BB">
        <w:t>)</w:t>
      </w:r>
      <w:r>
        <w:t xml:space="preserve"> in Australasia region in 2019</w:t>
      </w:r>
      <w:r w:rsidR="00A3583C">
        <w:rPr>
          <w:rStyle w:val="FootnoteReference"/>
        </w:rPr>
        <w:t xml:space="preserve"> </w:t>
      </w:r>
      <w:r w:rsidR="00A3583C" w:rsidRPr="006B6110">
        <w:rPr>
          <w:rStyle w:val="FootnoteReference"/>
          <w:vertAlign w:val="baseline"/>
        </w:rPr>
        <w:t>(</w:t>
      </w:r>
      <w:r w:rsidR="00A3583C" w:rsidRPr="00B96DC5">
        <w:t>Wang, Y.-W.-Y</w:t>
      </w:r>
      <w:r w:rsidR="0053472A">
        <w:t xml:space="preserve"> et al 2023)</w:t>
      </w:r>
      <w:r w:rsidR="00A3583C">
        <w:t xml:space="preserve"> </w:t>
      </w:r>
      <w:r>
        <w:t xml:space="preserve">As myocarditis is </w:t>
      </w:r>
      <w:r w:rsidR="5FF5136D">
        <w:t xml:space="preserve">usually </w:t>
      </w:r>
      <w:r>
        <w:t xml:space="preserve">self-limiting and resolves within </w:t>
      </w:r>
      <w:r w:rsidR="00186053">
        <w:t xml:space="preserve">a </w:t>
      </w:r>
      <w:r>
        <w:t>few months</w:t>
      </w:r>
      <w:r w:rsidR="1580B0FC">
        <w:t xml:space="preserve"> for most patients</w:t>
      </w:r>
      <w:r>
        <w:t xml:space="preserve">, it </w:t>
      </w:r>
      <w:r w:rsidR="00D1274E">
        <w:t>wa</w:t>
      </w:r>
      <w:r>
        <w:t xml:space="preserve">s considerable to assume that the incidence rate is approximate to the prevalence rate. </w:t>
      </w:r>
    </w:p>
    <w:p w14:paraId="4027A937" w14:textId="29859893" w:rsidR="002964AF" w:rsidRDefault="00A03B35" w:rsidP="00756ED0">
      <w:r>
        <w:t xml:space="preserve">The updated systematic review did not identify any individual studies conducted in </w:t>
      </w:r>
      <w:r w:rsidR="00186053">
        <w:t xml:space="preserve">the </w:t>
      </w:r>
      <w:r>
        <w:t xml:space="preserve">Australian setting. However, </w:t>
      </w:r>
      <w:r w:rsidR="00D1274E">
        <w:t xml:space="preserve">the assessment noted that </w:t>
      </w:r>
      <w:r>
        <w:t>the application of meta-analysis data from the individual studies of updated systematic review (the most recent papers) and the 0.03% prevalence for the Australi</w:t>
      </w:r>
      <w:r w:rsidR="00756ED0">
        <w:t>a</w:t>
      </w:r>
      <w:r>
        <w:t xml:space="preserve">n setting, all four index tests of </w:t>
      </w:r>
      <w:r w:rsidR="003843F3">
        <w:t>cardiac MRI</w:t>
      </w:r>
      <w:r>
        <w:t xml:space="preserve"> yielded high sensitivity and specificity</w:t>
      </w:r>
      <w:r w:rsidR="00756ED0">
        <w:t xml:space="preserve"> </w:t>
      </w:r>
      <w:r w:rsidR="00756ED0">
        <w:fldChar w:fldCharType="begin"/>
      </w:r>
      <w:r w:rsidR="00756ED0">
        <w:instrText xml:space="preserve"> REF _Ref150182637 \h </w:instrText>
      </w:r>
      <w:r w:rsidR="00867E94">
        <w:instrText xml:space="preserve"> \* MERGEFORMAT </w:instrText>
      </w:r>
      <w:r w:rsidR="00756ED0">
        <w:fldChar w:fldCharType="separate"/>
      </w:r>
      <w:r w:rsidR="00093FC7">
        <w:t xml:space="preserve">Table </w:t>
      </w:r>
      <w:r w:rsidR="00093FC7">
        <w:rPr>
          <w:noProof/>
        </w:rPr>
        <w:t>6</w:t>
      </w:r>
      <w:r w:rsidR="00756ED0">
        <w:fldChar w:fldCharType="end"/>
      </w:r>
      <w:r w:rsidR="00756ED0">
        <w:t>.</w:t>
      </w:r>
      <w:r>
        <w:t xml:space="preserve"> </w:t>
      </w:r>
      <w:r w:rsidR="00E72A03">
        <w:t xml:space="preserve">The assessment </w:t>
      </w:r>
      <w:r w:rsidR="006A3E7E">
        <w:t>group considered t</w:t>
      </w:r>
      <w:r>
        <w:t>his indicated that even with the low prevalence in</w:t>
      </w:r>
      <w:r w:rsidR="000629E0">
        <w:t xml:space="preserve"> </w:t>
      </w:r>
      <w:r>
        <w:t>Australi</w:t>
      </w:r>
      <w:r w:rsidR="00756ED0">
        <w:t>a</w:t>
      </w:r>
      <w:r>
        <w:t xml:space="preserve">n setting, </w:t>
      </w:r>
      <w:r w:rsidR="003843F3">
        <w:t>cardiac MRI</w:t>
      </w:r>
      <w:r>
        <w:t xml:space="preserve"> yielded high sensitivity and specificity. </w:t>
      </w:r>
    </w:p>
    <w:p w14:paraId="337DB1A3" w14:textId="053B1413" w:rsidR="00A03B35" w:rsidRDefault="00A03B35" w:rsidP="00A03B35">
      <w:pPr>
        <w:pStyle w:val="Caption"/>
      </w:pPr>
      <w:bookmarkStart w:id="36" w:name="_Ref150182637"/>
      <w:bookmarkStart w:id="37" w:name="_Toc155173766"/>
      <w:r>
        <w:t xml:space="preserve">Table </w:t>
      </w:r>
      <w:r>
        <w:fldChar w:fldCharType="begin"/>
      </w:r>
      <w:r>
        <w:instrText>SEQ Table \* ARABIC</w:instrText>
      </w:r>
      <w:r>
        <w:fldChar w:fldCharType="separate"/>
      </w:r>
      <w:r w:rsidR="00EE5F4F">
        <w:rPr>
          <w:noProof/>
        </w:rPr>
        <w:t>6</w:t>
      </w:r>
      <w:r>
        <w:fldChar w:fldCharType="end"/>
      </w:r>
      <w:bookmarkEnd w:id="36"/>
      <w:r w:rsidR="00756ED0">
        <w:tab/>
      </w:r>
      <w:r>
        <w:t xml:space="preserve">Application of </w:t>
      </w:r>
      <w:r w:rsidR="003843F3">
        <w:t>cardiac MRI</w:t>
      </w:r>
      <w:r>
        <w:t xml:space="preserve"> in the Australi</w:t>
      </w:r>
      <w:r w:rsidR="00756ED0">
        <w:t>a</w:t>
      </w:r>
      <w:r>
        <w:t xml:space="preserve">n setting based on the meta-analysis results of 16 individual </w:t>
      </w:r>
      <w:proofErr w:type="gramStart"/>
      <w:r>
        <w:t>studies</w:t>
      </w:r>
      <w:bookmarkEnd w:id="37"/>
      <w:proofErr w:type="gramEnd"/>
      <w:r>
        <w:t xml:space="preserve"> </w:t>
      </w:r>
    </w:p>
    <w:tbl>
      <w:tblPr>
        <w:tblStyle w:val="TableGrid"/>
        <w:tblW w:w="0" w:type="auto"/>
        <w:tblLayout w:type="fixed"/>
        <w:tblLook w:val="04A0" w:firstRow="1" w:lastRow="0" w:firstColumn="1" w:lastColumn="0" w:noHBand="0" w:noVBand="1"/>
      </w:tblPr>
      <w:tblGrid>
        <w:gridCol w:w="988"/>
        <w:gridCol w:w="531"/>
        <w:gridCol w:w="532"/>
        <w:gridCol w:w="531"/>
        <w:gridCol w:w="532"/>
        <w:gridCol w:w="1205"/>
        <w:gridCol w:w="1205"/>
        <w:gridCol w:w="779"/>
        <w:gridCol w:w="780"/>
        <w:gridCol w:w="966"/>
        <w:gridCol w:w="967"/>
      </w:tblGrid>
      <w:tr w:rsidR="00962380" w:rsidRPr="00F2657D" w14:paraId="204331B5" w14:textId="77777777" w:rsidTr="009B51F0">
        <w:trPr>
          <w:trHeight w:val="298"/>
          <w:tblHeader/>
        </w:trPr>
        <w:tc>
          <w:tcPr>
            <w:tcW w:w="988" w:type="dxa"/>
            <w:vAlign w:val="center"/>
            <w:hideMark/>
          </w:tcPr>
          <w:p w14:paraId="78148F68" w14:textId="77777777" w:rsidR="00A03B35" w:rsidRPr="002E14E0" w:rsidRDefault="00A03B35" w:rsidP="009B51F0">
            <w:pPr>
              <w:pStyle w:val="TableText"/>
              <w:ind w:right="-106"/>
              <w:rPr>
                <w:b/>
                <w:bCs/>
              </w:rPr>
            </w:pPr>
            <w:r w:rsidRPr="002E14E0">
              <w:rPr>
                <w:b/>
                <w:bCs/>
              </w:rPr>
              <w:t>Index Test</w:t>
            </w:r>
          </w:p>
        </w:tc>
        <w:tc>
          <w:tcPr>
            <w:tcW w:w="531" w:type="dxa"/>
            <w:vAlign w:val="center"/>
            <w:hideMark/>
          </w:tcPr>
          <w:p w14:paraId="47CE76C7" w14:textId="068481C3" w:rsidR="00A03B35" w:rsidRPr="002E14E0" w:rsidRDefault="00416D48" w:rsidP="00962380">
            <w:pPr>
              <w:pStyle w:val="TableText"/>
              <w:jc w:val="center"/>
              <w:rPr>
                <w:b/>
                <w:bCs/>
              </w:rPr>
            </w:pPr>
            <w:r>
              <w:rPr>
                <w:b/>
                <w:bCs/>
              </w:rPr>
              <w:t>K</w:t>
            </w:r>
          </w:p>
        </w:tc>
        <w:tc>
          <w:tcPr>
            <w:tcW w:w="532" w:type="dxa"/>
            <w:vAlign w:val="center"/>
            <w:hideMark/>
          </w:tcPr>
          <w:p w14:paraId="56AF7CA5" w14:textId="0F312C15" w:rsidR="00A03B35" w:rsidRPr="002E14E0" w:rsidRDefault="00A03B35" w:rsidP="00962380">
            <w:pPr>
              <w:pStyle w:val="TableText"/>
              <w:jc w:val="center"/>
              <w:rPr>
                <w:b/>
                <w:bCs/>
              </w:rPr>
            </w:pPr>
            <w:r w:rsidRPr="002E14E0">
              <w:rPr>
                <w:b/>
                <w:bCs/>
              </w:rPr>
              <w:t>N</w:t>
            </w:r>
          </w:p>
        </w:tc>
        <w:tc>
          <w:tcPr>
            <w:tcW w:w="531" w:type="dxa"/>
            <w:vAlign w:val="center"/>
            <w:hideMark/>
          </w:tcPr>
          <w:p w14:paraId="254DA34E" w14:textId="77777777" w:rsidR="00A03B35" w:rsidRPr="002E14E0" w:rsidRDefault="00A03B35" w:rsidP="00962380">
            <w:pPr>
              <w:pStyle w:val="TableText"/>
              <w:jc w:val="center"/>
              <w:rPr>
                <w:b/>
                <w:bCs/>
              </w:rPr>
            </w:pPr>
            <w:r w:rsidRPr="002E14E0">
              <w:rPr>
                <w:b/>
                <w:bCs/>
              </w:rPr>
              <w:t>TP</w:t>
            </w:r>
          </w:p>
        </w:tc>
        <w:tc>
          <w:tcPr>
            <w:tcW w:w="532" w:type="dxa"/>
            <w:vAlign w:val="center"/>
            <w:hideMark/>
          </w:tcPr>
          <w:p w14:paraId="2E7EA740" w14:textId="77777777" w:rsidR="00A03B35" w:rsidRPr="002E14E0" w:rsidRDefault="00A03B35" w:rsidP="00962380">
            <w:pPr>
              <w:pStyle w:val="TableText"/>
              <w:jc w:val="center"/>
              <w:rPr>
                <w:b/>
                <w:bCs/>
              </w:rPr>
            </w:pPr>
            <w:r w:rsidRPr="002E14E0">
              <w:rPr>
                <w:b/>
                <w:bCs/>
              </w:rPr>
              <w:t>TN</w:t>
            </w:r>
          </w:p>
        </w:tc>
        <w:tc>
          <w:tcPr>
            <w:tcW w:w="1205" w:type="dxa"/>
            <w:vAlign w:val="center"/>
            <w:hideMark/>
          </w:tcPr>
          <w:p w14:paraId="4BE319C4" w14:textId="45359F0E" w:rsidR="00A03B35" w:rsidRPr="002E14E0" w:rsidRDefault="00A03B35" w:rsidP="00962380">
            <w:pPr>
              <w:pStyle w:val="TableText"/>
              <w:jc w:val="center"/>
              <w:rPr>
                <w:b/>
                <w:bCs/>
              </w:rPr>
            </w:pPr>
            <w:r w:rsidRPr="002E14E0">
              <w:rPr>
                <w:b/>
                <w:bCs/>
              </w:rPr>
              <w:t>Sens</w:t>
            </w:r>
            <w:r w:rsidR="0016390E">
              <w:rPr>
                <w:b/>
                <w:bCs/>
              </w:rPr>
              <w:t>itivity</w:t>
            </w:r>
          </w:p>
        </w:tc>
        <w:tc>
          <w:tcPr>
            <w:tcW w:w="1205" w:type="dxa"/>
            <w:vAlign w:val="center"/>
            <w:hideMark/>
          </w:tcPr>
          <w:p w14:paraId="62605409" w14:textId="77777777" w:rsidR="00A03B35" w:rsidRPr="002E14E0" w:rsidRDefault="00A03B35" w:rsidP="00962380">
            <w:pPr>
              <w:pStyle w:val="TableText"/>
              <w:jc w:val="center"/>
              <w:rPr>
                <w:b/>
                <w:bCs/>
              </w:rPr>
            </w:pPr>
            <w:r w:rsidRPr="002E14E0">
              <w:rPr>
                <w:b/>
                <w:bCs/>
              </w:rPr>
              <w:t>Specificity</w:t>
            </w:r>
          </w:p>
        </w:tc>
        <w:tc>
          <w:tcPr>
            <w:tcW w:w="779" w:type="dxa"/>
            <w:vAlign w:val="center"/>
            <w:hideMark/>
          </w:tcPr>
          <w:p w14:paraId="2484C353" w14:textId="641CC08C" w:rsidR="00A03B35" w:rsidRPr="002E14E0" w:rsidRDefault="00962380" w:rsidP="00962380">
            <w:pPr>
              <w:pStyle w:val="TableText"/>
              <w:jc w:val="center"/>
              <w:rPr>
                <w:b/>
                <w:bCs/>
              </w:rPr>
            </w:pPr>
            <w:r>
              <w:rPr>
                <w:b/>
                <w:bCs/>
              </w:rPr>
              <w:t>PPV</w:t>
            </w:r>
          </w:p>
        </w:tc>
        <w:tc>
          <w:tcPr>
            <w:tcW w:w="780" w:type="dxa"/>
            <w:vAlign w:val="center"/>
          </w:tcPr>
          <w:p w14:paraId="144609C4" w14:textId="42890FFB" w:rsidR="00A03B35" w:rsidRPr="002E14E0" w:rsidRDefault="00962380" w:rsidP="00962380">
            <w:pPr>
              <w:pStyle w:val="TableText"/>
              <w:jc w:val="center"/>
              <w:rPr>
                <w:b/>
                <w:bCs/>
              </w:rPr>
            </w:pPr>
            <w:r>
              <w:rPr>
                <w:b/>
                <w:bCs/>
              </w:rPr>
              <w:t>NPV</w:t>
            </w:r>
          </w:p>
        </w:tc>
        <w:tc>
          <w:tcPr>
            <w:tcW w:w="966" w:type="dxa"/>
            <w:vAlign w:val="center"/>
            <w:hideMark/>
          </w:tcPr>
          <w:p w14:paraId="5DF16A09" w14:textId="0016D0FE" w:rsidR="00A03B35" w:rsidRPr="002E14E0" w:rsidRDefault="00A03B35" w:rsidP="00962380">
            <w:pPr>
              <w:pStyle w:val="TableText"/>
              <w:jc w:val="center"/>
              <w:rPr>
                <w:b/>
                <w:bCs/>
              </w:rPr>
            </w:pPr>
            <w:r w:rsidRPr="002E14E0">
              <w:rPr>
                <w:b/>
                <w:bCs/>
              </w:rPr>
              <w:t xml:space="preserve">Positive </w:t>
            </w:r>
            <w:r w:rsidR="00962380">
              <w:rPr>
                <w:b/>
                <w:bCs/>
              </w:rPr>
              <w:t>LR</w:t>
            </w:r>
          </w:p>
        </w:tc>
        <w:tc>
          <w:tcPr>
            <w:tcW w:w="967" w:type="dxa"/>
            <w:vAlign w:val="center"/>
            <w:hideMark/>
          </w:tcPr>
          <w:p w14:paraId="117DC033" w14:textId="2D2F945D" w:rsidR="00A03B35" w:rsidRPr="002E14E0" w:rsidRDefault="00A03B35" w:rsidP="00962380">
            <w:pPr>
              <w:pStyle w:val="TableText"/>
              <w:jc w:val="center"/>
              <w:rPr>
                <w:b/>
                <w:bCs/>
              </w:rPr>
            </w:pPr>
            <w:r w:rsidRPr="002E14E0">
              <w:rPr>
                <w:b/>
                <w:bCs/>
              </w:rPr>
              <w:t xml:space="preserve">Negative </w:t>
            </w:r>
            <w:r w:rsidR="00962380">
              <w:rPr>
                <w:b/>
                <w:bCs/>
              </w:rPr>
              <w:t>LR</w:t>
            </w:r>
          </w:p>
        </w:tc>
      </w:tr>
      <w:tr w:rsidR="00962380" w:rsidRPr="00F2657D" w14:paraId="28CFB7E1" w14:textId="77777777" w:rsidTr="009B51F0">
        <w:trPr>
          <w:trHeight w:val="298"/>
        </w:trPr>
        <w:tc>
          <w:tcPr>
            <w:tcW w:w="988" w:type="dxa"/>
            <w:noWrap/>
            <w:vAlign w:val="center"/>
          </w:tcPr>
          <w:p w14:paraId="4CD6A3AD" w14:textId="4ECEAC9F" w:rsidR="00A03B35" w:rsidRDefault="00A03B35" w:rsidP="009B51F0">
            <w:pPr>
              <w:pStyle w:val="TableText"/>
            </w:pPr>
            <w:r w:rsidRPr="00463A98">
              <w:rPr>
                <w:b/>
                <w:bCs/>
              </w:rPr>
              <w:t>Native T1 mapping</w:t>
            </w:r>
          </w:p>
        </w:tc>
        <w:tc>
          <w:tcPr>
            <w:tcW w:w="531" w:type="dxa"/>
            <w:noWrap/>
          </w:tcPr>
          <w:p w14:paraId="61520328" w14:textId="77777777" w:rsidR="00A03B35" w:rsidRPr="00EB0EE0" w:rsidRDefault="00A03B35" w:rsidP="00962380">
            <w:pPr>
              <w:pStyle w:val="TableText"/>
              <w:jc w:val="center"/>
            </w:pPr>
            <w:r w:rsidRPr="00EB0EE0">
              <w:t>9</w:t>
            </w:r>
          </w:p>
        </w:tc>
        <w:tc>
          <w:tcPr>
            <w:tcW w:w="532" w:type="dxa"/>
            <w:noWrap/>
          </w:tcPr>
          <w:p w14:paraId="224FF12C" w14:textId="77777777" w:rsidR="00A03B35" w:rsidRDefault="00A03B35" w:rsidP="00962380">
            <w:pPr>
              <w:pStyle w:val="TableText"/>
              <w:jc w:val="center"/>
            </w:pPr>
            <w:r>
              <w:t>618</w:t>
            </w:r>
          </w:p>
        </w:tc>
        <w:tc>
          <w:tcPr>
            <w:tcW w:w="531" w:type="dxa"/>
            <w:noWrap/>
          </w:tcPr>
          <w:p w14:paraId="6FE3DE14" w14:textId="77777777" w:rsidR="00A03B35" w:rsidRDefault="00A03B35" w:rsidP="00962380">
            <w:pPr>
              <w:pStyle w:val="TableText"/>
              <w:jc w:val="center"/>
            </w:pPr>
            <w:r>
              <w:t>337</w:t>
            </w:r>
          </w:p>
        </w:tc>
        <w:tc>
          <w:tcPr>
            <w:tcW w:w="532" w:type="dxa"/>
            <w:noWrap/>
          </w:tcPr>
          <w:p w14:paraId="13CB8ED8" w14:textId="77777777" w:rsidR="00A03B35" w:rsidRDefault="00A03B35" w:rsidP="00962380">
            <w:pPr>
              <w:pStyle w:val="TableText"/>
              <w:jc w:val="center"/>
            </w:pPr>
            <w:r>
              <w:t>168</w:t>
            </w:r>
          </w:p>
        </w:tc>
        <w:tc>
          <w:tcPr>
            <w:tcW w:w="1205" w:type="dxa"/>
            <w:tcBorders>
              <w:top w:val="single" w:sz="4" w:space="0" w:color="auto"/>
              <w:left w:val="single" w:sz="4" w:space="0" w:color="auto"/>
              <w:bottom w:val="single" w:sz="4" w:space="0" w:color="auto"/>
              <w:right w:val="single" w:sz="4" w:space="0" w:color="auto"/>
            </w:tcBorders>
            <w:shd w:val="clear" w:color="auto" w:fill="auto"/>
            <w:noWrap/>
          </w:tcPr>
          <w:p w14:paraId="2B55FE8A" w14:textId="7AC18637" w:rsidR="0016390E" w:rsidRDefault="00A03B35" w:rsidP="00962380">
            <w:pPr>
              <w:pStyle w:val="TableText"/>
              <w:jc w:val="center"/>
              <w:rPr>
                <w:szCs w:val="20"/>
              </w:rPr>
            </w:pPr>
            <w:r w:rsidRPr="002E14E0">
              <w:rPr>
                <w:szCs w:val="20"/>
              </w:rPr>
              <w:t>0.80</w:t>
            </w:r>
          </w:p>
          <w:p w14:paraId="0333A567" w14:textId="6D24797F" w:rsidR="00A03B35" w:rsidRPr="002E14E0" w:rsidRDefault="00A03B35" w:rsidP="00962380">
            <w:pPr>
              <w:pStyle w:val="TableText"/>
              <w:jc w:val="center"/>
              <w:rPr>
                <w:szCs w:val="20"/>
              </w:rPr>
            </w:pPr>
            <w:r w:rsidRPr="002E14E0">
              <w:rPr>
                <w:szCs w:val="20"/>
              </w:rPr>
              <w:t>(0.76-0.84)</w:t>
            </w:r>
          </w:p>
        </w:tc>
        <w:tc>
          <w:tcPr>
            <w:tcW w:w="1205" w:type="dxa"/>
            <w:tcBorders>
              <w:top w:val="single" w:sz="4" w:space="0" w:color="auto"/>
              <w:left w:val="nil"/>
              <w:bottom w:val="single" w:sz="4" w:space="0" w:color="auto"/>
              <w:right w:val="single" w:sz="4" w:space="0" w:color="auto"/>
            </w:tcBorders>
            <w:shd w:val="clear" w:color="auto" w:fill="auto"/>
            <w:noWrap/>
          </w:tcPr>
          <w:p w14:paraId="27F00802" w14:textId="6D46DBC5" w:rsidR="00DC1589" w:rsidRDefault="00A03B35" w:rsidP="00962380">
            <w:pPr>
              <w:pStyle w:val="TableText"/>
              <w:jc w:val="center"/>
              <w:rPr>
                <w:szCs w:val="20"/>
              </w:rPr>
            </w:pPr>
            <w:r w:rsidRPr="002E14E0">
              <w:rPr>
                <w:szCs w:val="20"/>
              </w:rPr>
              <w:t>0.84</w:t>
            </w:r>
          </w:p>
          <w:p w14:paraId="6F5D04FB" w14:textId="57425CD4" w:rsidR="00A03B35" w:rsidRPr="002E14E0" w:rsidRDefault="00A03B35" w:rsidP="00962380">
            <w:pPr>
              <w:pStyle w:val="TableText"/>
              <w:jc w:val="center"/>
              <w:rPr>
                <w:szCs w:val="20"/>
              </w:rPr>
            </w:pPr>
            <w:r w:rsidRPr="002E14E0">
              <w:rPr>
                <w:szCs w:val="20"/>
              </w:rPr>
              <w:t>(0.79-0.89)</w:t>
            </w:r>
          </w:p>
        </w:tc>
        <w:tc>
          <w:tcPr>
            <w:tcW w:w="779" w:type="dxa"/>
            <w:tcBorders>
              <w:top w:val="single" w:sz="4" w:space="0" w:color="auto"/>
              <w:left w:val="nil"/>
              <w:bottom w:val="single" w:sz="4" w:space="0" w:color="auto"/>
              <w:right w:val="single" w:sz="4" w:space="0" w:color="auto"/>
            </w:tcBorders>
            <w:shd w:val="clear" w:color="auto" w:fill="auto"/>
            <w:noWrap/>
          </w:tcPr>
          <w:p w14:paraId="39499769" w14:textId="40B0DA4E" w:rsidR="00DC1589" w:rsidRDefault="00A03B35" w:rsidP="00962380">
            <w:pPr>
              <w:pStyle w:val="TableText"/>
              <w:jc w:val="center"/>
              <w:rPr>
                <w:szCs w:val="20"/>
              </w:rPr>
            </w:pPr>
            <w:r w:rsidRPr="002E14E0">
              <w:rPr>
                <w:szCs w:val="20"/>
              </w:rPr>
              <w:t>0.</w:t>
            </w:r>
            <w:r>
              <w:rPr>
                <w:szCs w:val="20"/>
              </w:rPr>
              <w:t>00</w:t>
            </w:r>
            <w:r w:rsidRPr="002E14E0">
              <w:rPr>
                <w:szCs w:val="20"/>
              </w:rPr>
              <w:t>1</w:t>
            </w:r>
          </w:p>
          <w:p w14:paraId="5E95039A" w14:textId="58E3E15D" w:rsidR="00A03B35" w:rsidRPr="002E14E0" w:rsidRDefault="00A03B35" w:rsidP="00962380">
            <w:pPr>
              <w:pStyle w:val="TableText"/>
              <w:jc w:val="center"/>
              <w:rPr>
                <w:szCs w:val="20"/>
              </w:rPr>
            </w:pPr>
            <w:r w:rsidRPr="002E14E0">
              <w:rPr>
                <w:szCs w:val="20"/>
              </w:rPr>
              <w:t>(0.</w:t>
            </w:r>
            <w:r>
              <w:rPr>
                <w:szCs w:val="20"/>
              </w:rPr>
              <w:t>00</w:t>
            </w:r>
            <w:r w:rsidRPr="002E14E0">
              <w:rPr>
                <w:szCs w:val="20"/>
              </w:rPr>
              <w:t>1 -0.</w:t>
            </w:r>
            <w:r>
              <w:rPr>
                <w:szCs w:val="20"/>
              </w:rPr>
              <w:t>00</w:t>
            </w:r>
            <w:r w:rsidRPr="002E14E0">
              <w:rPr>
                <w:szCs w:val="20"/>
              </w:rPr>
              <w:t>2)</w:t>
            </w:r>
          </w:p>
        </w:tc>
        <w:tc>
          <w:tcPr>
            <w:tcW w:w="780" w:type="dxa"/>
            <w:tcBorders>
              <w:top w:val="single" w:sz="4" w:space="0" w:color="auto"/>
              <w:left w:val="nil"/>
              <w:bottom w:val="single" w:sz="4" w:space="0" w:color="auto"/>
              <w:right w:val="single" w:sz="4" w:space="0" w:color="auto"/>
            </w:tcBorders>
          </w:tcPr>
          <w:p w14:paraId="1736DE3D" w14:textId="5BB3BB0D" w:rsidR="0016390E" w:rsidRDefault="00A03B35" w:rsidP="00962380">
            <w:pPr>
              <w:pStyle w:val="TableText"/>
              <w:jc w:val="center"/>
              <w:rPr>
                <w:szCs w:val="20"/>
              </w:rPr>
            </w:pPr>
            <w:r>
              <w:rPr>
                <w:szCs w:val="20"/>
              </w:rPr>
              <w:t>0.</w:t>
            </w:r>
            <w:r w:rsidRPr="002E14E0">
              <w:rPr>
                <w:szCs w:val="20"/>
              </w:rPr>
              <w:t>99</w:t>
            </w:r>
          </w:p>
          <w:p w14:paraId="15B80370" w14:textId="39C00970" w:rsidR="00A03B35" w:rsidRPr="002E14E0" w:rsidRDefault="00A03B35" w:rsidP="00962380">
            <w:pPr>
              <w:pStyle w:val="TableText"/>
              <w:jc w:val="center"/>
              <w:rPr>
                <w:szCs w:val="20"/>
              </w:rPr>
            </w:pPr>
            <w:r w:rsidRPr="002E14E0">
              <w:rPr>
                <w:szCs w:val="20"/>
              </w:rPr>
              <w:t>(</w:t>
            </w:r>
            <w:r>
              <w:rPr>
                <w:szCs w:val="20"/>
              </w:rPr>
              <w:t>0.</w:t>
            </w:r>
            <w:r w:rsidRPr="002E14E0">
              <w:rPr>
                <w:szCs w:val="20"/>
              </w:rPr>
              <w:t>99-</w:t>
            </w:r>
            <w:r>
              <w:rPr>
                <w:szCs w:val="20"/>
              </w:rPr>
              <w:t>0</w:t>
            </w:r>
            <w:r w:rsidRPr="002E14E0">
              <w:rPr>
                <w:szCs w:val="20"/>
              </w:rPr>
              <w:t>.99)</w:t>
            </w:r>
          </w:p>
        </w:tc>
        <w:tc>
          <w:tcPr>
            <w:tcW w:w="966" w:type="dxa"/>
            <w:tcBorders>
              <w:top w:val="single" w:sz="4" w:space="0" w:color="auto"/>
              <w:left w:val="single" w:sz="4" w:space="0" w:color="auto"/>
              <w:bottom w:val="single" w:sz="4" w:space="0" w:color="auto"/>
              <w:right w:val="single" w:sz="4" w:space="0" w:color="auto"/>
            </w:tcBorders>
            <w:shd w:val="clear" w:color="auto" w:fill="auto"/>
            <w:noWrap/>
          </w:tcPr>
          <w:p w14:paraId="5B3EA0FD" w14:textId="191BC96D" w:rsidR="0016390E" w:rsidRDefault="00A03B35" w:rsidP="00962380">
            <w:pPr>
              <w:pStyle w:val="TableText"/>
              <w:jc w:val="center"/>
              <w:rPr>
                <w:szCs w:val="20"/>
              </w:rPr>
            </w:pPr>
            <w:r w:rsidRPr="002E14E0">
              <w:rPr>
                <w:szCs w:val="20"/>
              </w:rPr>
              <w:t>5.3</w:t>
            </w:r>
          </w:p>
          <w:p w14:paraId="4F68A705" w14:textId="1339514C" w:rsidR="00A03B35" w:rsidRPr="002E14E0" w:rsidRDefault="00A03B35" w:rsidP="00962380">
            <w:pPr>
              <w:pStyle w:val="TableText"/>
              <w:jc w:val="center"/>
              <w:rPr>
                <w:szCs w:val="20"/>
              </w:rPr>
            </w:pPr>
            <w:r w:rsidRPr="002E14E0">
              <w:rPr>
                <w:szCs w:val="20"/>
              </w:rPr>
              <w:t>(3.80-7.39)</w:t>
            </w:r>
          </w:p>
        </w:tc>
        <w:tc>
          <w:tcPr>
            <w:tcW w:w="967" w:type="dxa"/>
            <w:tcBorders>
              <w:top w:val="single" w:sz="4" w:space="0" w:color="auto"/>
              <w:left w:val="nil"/>
              <w:bottom w:val="single" w:sz="4" w:space="0" w:color="auto"/>
              <w:right w:val="single" w:sz="4" w:space="0" w:color="auto"/>
            </w:tcBorders>
            <w:shd w:val="clear" w:color="auto" w:fill="auto"/>
            <w:noWrap/>
          </w:tcPr>
          <w:p w14:paraId="7ADC1A85" w14:textId="77777777" w:rsidR="0016390E" w:rsidRDefault="00A03B35" w:rsidP="00962380">
            <w:pPr>
              <w:pStyle w:val="TableText"/>
              <w:jc w:val="center"/>
              <w:rPr>
                <w:szCs w:val="20"/>
              </w:rPr>
            </w:pPr>
            <w:r w:rsidRPr="002E14E0">
              <w:rPr>
                <w:szCs w:val="20"/>
              </w:rPr>
              <w:t>0.23</w:t>
            </w:r>
          </w:p>
          <w:p w14:paraId="7CDC41A8" w14:textId="5EB489E7" w:rsidR="00A03B35" w:rsidRPr="002E14E0" w:rsidRDefault="00A03B35" w:rsidP="00962380">
            <w:pPr>
              <w:pStyle w:val="TableText"/>
              <w:jc w:val="center"/>
              <w:rPr>
                <w:szCs w:val="20"/>
              </w:rPr>
            </w:pPr>
            <w:r w:rsidRPr="002E14E0">
              <w:rPr>
                <w:szCs w:val="20"/>
              </w:rPr>
              <w:t>(0.19-0.28)</w:t>
            </w:r>
          </w:p>
        </w:tc>
      </w:tr>
      <w:tr w:rsidR="00962380" w:rsidRPr="00F2657D" w14:paraId="288A9E9F" w14:textId="77777777" w:rsidTr="009B51F0">
        <w:trPr>
          <w:trHeight w:val="298"/>
        </w:trPr>
        <w:tc>
          <w:tcPr>
            <w:tcW w:w="988" w:type="dxa"/>
            <w:noWrap/>
            <w:vAlign w:val="center"/>
          </w:tcPr>
          <w:p w14:paraId="43CDF127" w14:textId="13A3AC08" w:rsidR="00A03B35" w:rsidRDefault="00A03B35" w:rsidP="009B51F0">
            <w:pPr>
              <w:pStyle w:val="TableText"/>
            </w:pPr>
            <w:r w:rsidRPr="00463A98">
              <w:rPr>
                <w:b/>
                <w:bCs/>
              </w:rPr>
              <w:t>T2 mapping</w:t>
            </w:r>
          </w:p>
        </w:tc>
        <w:tc>
          <w:tcPr>
            <w:tcW w:w="531" w:type="dxa"/>
            <w:noWrap/>
          </w:tcPr>
          <w:p w14:paraId="4EA94AC5" w14:textId="77777777" w:rsidR="00A03B35" w:rsidRPr="00EB0EE0" w:rsidRDefault="00A03B35" w:rsidP="00962380">
            <w:pPr>
              <w:pStyle w:val="TableText"/>
              <w:jc w:val="center"/>
            </w:pPr>
            <w:r w:rsidRPr="00EB0EE0">
              <w:t>10</w:t>
            </w:r>
          </w:p>
        </w:tc>
        <w:tc>
          <w:tcPr>
            <w:tcW w:w="532" w:type="dxa"/>
            <w:noWrap/>
          </w:tcPr>
          <w:p w14:paraId="4FA64D18" w14:textId="77777777" w:rsidR="00A03B35" w:rsidRDefault="00A03B35" w:rsidP="00962380">
            <w:pPr>
              <w:pStyle w:val="TableText"/>
              <w:jc w:val="center"/>
            </w:pPr>
            <w:r>
              <w:t>663</w:t>
            </w:r>
          </w:p>
        </w:tc>
        <w:tc>
          <w:tcPr>
            <w:tcW w:w="531" w:type="dxa"/>
            <w:noWrap/>
          </w:tcPr>
          <w:p w14:paraId="39E87047" w14:textId="77777777" w:rsidR="00A03B35" w:rsidRDefault="00A03B35" w:rsidP="00962380">
            <w:pPr>
              <w:pStyle w:val="TableText"/>
              <w:jc w:val="center"/>
            </w:pPr>
            <w:r>
              <w:t>327</w:t>
            </w:r>
          </w:p>
        </w:tc>
        <w:tc>
          <w:tcPr>
            <w:tcW w:w="532" w:type="dxa"/>
            <w:noWrap/>
          </w:tcPr>
          <w:p w14:paraId="2528367A" w14:textId="77777777" w:rsidR="00A03B35" w:rsidRDefault="00A03B35" w:rsidP="00962380">
            <w:pPr>
              <w:pStyle w:val="TableText"/>
              <w:jc w:val="center"/>
            </w:pPr>
            <w:r>
              <w:t>182</w:t>
            </w:r>
          </w:p>
        </w:tc>
        <w:tc>
          <w:tcPr>
            <w:tcW w:w="1205" w:type="dxa"/>
            <w:tcBorders>
              <w:top w:val="single" w:sz="4" w:space="0" w:color="auto"/>
              <w:left w:val="single" w:sz="4" w:space="0" w:color="auto"/>
              <w:bottom w:val="single" w:sz="4" w:space="0" w:color="auto"/>
              <w:right w:val="single" w:sz="4" w:space="0" w:color="auto"/>
            </w:tcBorders>
            <w:shd w:val="clear" w:color="auto" w:fill="auto"/>
            <w:noWrap/>
          </w:tcPr>
          <w:p w14:paraId="73B42F4D" w14:textId="526A1511" w:rsidR="0016390E" w:rsidRDefault="00A03B35" w:rsidP="00962380">
            <w:pPr>
              <w:pStyle w:val="TableText"/>
              <w:jc w:val="center"/>
              <w:rPr>
                <w:szCs w:val="20"/>
              </w:rPr>
            </w:pPr>
            <w:r w:rsidRPr="002E14E0">
              <w:rPr>
                <w:szCs w:val="20"/>
              </w:rPr>
              <w:t>0.75</w:t>
            </w:r>
          </w:p>
          <w:p w14:paraId="12BEA244" w14:textId="1D12C249" w:rsidR="00A03B35" w:rsidRPr="002E14E0" w:rsidRDefault="00A03B35" w:rsidP="00962380">
            <w:pPr>
              <w:pStyle w:val="TableText"/>
              <w:jc w:val="center"/>
              <w:rPr>
                <w:szCs w:val="20"/>
              </w:rPr>
            </w:pPr>
            <w:r w:rsidRPr="002E14E0">
              <w:rPr>
                <w:szCs w:val="20"/>
              </w:rPr>
              <w:t>(0.70-0.78)</w:t>
            </w:r>
          </w:p>
        </w:tc>
        <w:tc>
          <w:tcPr>
            <w:tcW w:w="1205" w:type="dxa"/>
            <w:tcBorders>
              <w:top w:val="single" w:sz="4" w:space="0" w:color="auto"/>
              <w:left w:val="nil"/>
              <w:bottom w:val="single" w:sz="4" w:space="0" w:color="auto"/>
              <w:right w:val="single" w:sz="4" w:space="0" w:color="auto"/>
            </w:tcBorders>
            <w:shd w:val="clear" w:color="auto" w:fill="auto"/>
            <w:noWrap/>
          </w:tcPr>
          <w:p w14:paraId="6B4209FA" w14:textId="4AB71ACC" w:rsidR="00DC1589" w:rsidRDefault="00A03B35" w:rsidP="00962380">
            <w:pPr>
              <w:pStyle w:val="TableText"/>
              <w:jc w:val="center"/>
              <w:rPr>
                <w:szCs w:val="20"/>
              </w:rPr>
            </w:pPr>
            <w:r w:rsidRPr="002E14E0">
              <w:rPr>
                <w:szCs w:val="20"/>
              </w:rPr>
              <w:t>0.81</w:t>
            </w:r>
          </w:p>
          <w:p w14:paraId="3663CA2B" w14:textId="3E700A25" w:rsidR="00A03B35" w:rsidRPr="002E14E0" w:rsidRDefault="00A03B35" w:rsidP="00962380">
            <w:pPr>
              <w:pStyle w:val="TableText"/>
              <w:jc w:val="center"/>
              <w:rPr>
                <w:szCs w:val="20"/>
              </w:rPr>
            </w:pPr>
            <w:r w:rsidRPr="002E14E0">
              <w:rPr>
                <w:szCs w:val="20"/>
              </w:rPr>
              <w:t>(0.75-0.86)</w:t>
            </w:r>
          </w:p>
        </w:tc>
        <w:tc>
          <w:tcPr>
            <w:tcW w:w="779" w:type="dxa"/>
            <w:shd w:val="clear" w:color="auto" w:fill="FFFFFF" w:themeFill="background1"/>
            <w:noWrap/>
          </w:tcPr>
          <w:p w14:paraId="2D4FA7B1" w14:textId="02899A9E" w:rsidR="00A03B35" w:rsidRPr="002E14E0" w:rsidRDefault="00A03B35" w:rsidP="00962380">
            <w:pPr>
              <w:pStyle w:val="TableText"/>
              <w:jc w:val="center"/>
              <w:rPr>
                <w:szCs w:val="20"/>
              </w:rPr>
            </w:pPr>
            <w:r w:rsidRPr="002E14E0">
              <w:rPr>
                <w:rFonts w:cs="Arial"/>
                <w:color w:val="000000"/>
                <w:szCs w:val="20"/>
              </w:rPr>
              <w:t>0.</w:t>
            </w:r>
            <w:r>
              <w:t xml:space="preserve"> </w:t>
            </w:r>
            <w:r w:rsidRPr="00D2375C">
              <w:rPr>
                <w:rFonts w:cs="Arial"/>
                <w:color w:val="000000"/>
                <w:szCs w:val="20"/>
              </w:rPr>
              <w:t>001</w:t>
            </w:r>
            <w:r w:rsidRPr="002E14E0">
              <w:rPr>
                <w:rFonts w:cs="Arial"/>
                <w:color w:val="000000"/>
                <w:szCs w:val="20"/>
              </w:rPr>
              <w:t xml:space="preserve"> (0.</w:t>
            </w:r>
            <w:r>
              <w:rPr>
                <w:rFonts w:cs="Arial"/>
                <w:color w:val="000000"/>
                <w:szCs w:val="20"/>
              </w:rPr>
              <w:t>0009</w:t>
            </w:r>
            <w:r w:rsidRPr="002E14E0">
              <w:rPr>
                <w:rFonts w:cs="Arial"/>
                <w:color w:val="000000"/>
                <w:szCs w:val="20"/>
              </w:rPr>
              <w:t xml:space="preserve"> -0.</w:t>
            </w:r>
            <w:r>
              <w:rPr>
                <w:rFonts w:cs="Arial"/>
                <w:color w:val="000000"/>
                <w:szCs w:val="20"/>
              </w:rPr>
              <w:t>001</w:t>
            </w:r>
            <w:r w:rsidRPr="002E14E0">
              <w:rPr>
                <w:rFonts w:cs="Arial"/>
                <w:color w:val="000000"/>
                <w:szCs w:val="20"/>
              </w:rPr>
              <w:t>)</w:t>
            </w:r>
          </w:p>
        </w:tc>
        <w:tc>
          <w:tcPr>
            <w:tcW w:w="780" w:type="dxa"/>
            <w:tcBorders>
              <w:left w:val="dotted" w:sz="6" w:space="0" w:color="A0A0A0"/>
            </w:tcBorders>
            <w:shd w:val="clear" w:color="auto" w:fill="FFFFFF" w:themeFill="background1"/>
          </w:tcPr>
          <w:p w14:paraId="0F7CB66E" w14:textId="5A0B1D0F" w:rsidR="0016390E" w:rsidRDefault="00A03B35" w:rsidP="00962380">
            <w:pPr>
              <w:pStyle w:val="TableText"/>
              <w:jc w:val="center"/>
              <w:rPr>
                <w:szCs w:val="20"/>
              </w:rPr>
            </w:pPr>
            <w:r>
              <w:rPr>
                <w:szCs w:val="20"/>
              </w:rPr>
              <w:t>0.</w:t>
            </w:r>
            <w:r w:rsidRPr="002E14E0">
              <w:rPr>
                <w:szCs w:val="20"/>
              </w:rPr>
              <w:t>99</w:t>
            </w:r>
          </w:p>
          <w:p w14:paraId="63E1037F" w14:textId="2EF887C1" w:rsidR="00A03B35" w:rsidRPr="002E14E0" w:rsidRDefault="00A03B35" w:rsidP="00962380">
            <w:pPr>
              <w:pStyle w:val="TableText"/>
              <w:jc w:val="center"/>
              <w:rPr>
                <w:szCs w:val="20"/>
              </w:rPr>
            </w:pPr>
            <w:r w:rsidRPr="002E14E0">
              <w:rPr>
                <w:szCs w:val="20"/>
              </w:rPr>
              <w:t>(</w:t>
            </w:r>
            <w:r>
              <w:rPr>
                <w:szCs w:val="20"/>
              </w:rPr>
              <w:t>0.</w:t>
            </w:r>
            <w:r w:rsidRPr="002E14E0">
              <w:rPr>
                <w:szCs w:val="20"/>
              </w:rPr>
              <w:t>99-</w:t>
            </w:r>
            <w:r>
              <w:rPr>
                <w:szCs w:val="20"/>
              </w:rPr>
              <w:t>0</w:t>
            </w:r>
            <w:r w:rsidRPr="002E14E0">
              <w:rPr>
                <w:szCs w:val="20"/>
              </w:rPr>
              <w:t>.99)</w:t>
            </w:r>
          </w:p>
        </w:tc>
        <w:tc>
          <w:tcPr>
            <w:tcW w:w="966" w:type="dxa"/>
            <w:tcBorders>
              <w:top w:val="single" w:sz="4" w:space="0" w:color="auto"/>
              <w:left w:val="single" w:sz="4" w:space="0" w:color="auto"/>
              <w:bottom w:val="single" w:sz="4" w:space="0" w:color="auto"/>
              <w:right w:val="single" w:sz="4" w:space="0" w:color="auto"/>
            </w:tcBorders>
            <w:shd w:val="clear" w:color="auto" w:fill="auto"/>
            <w:noWrap/>
          </w:tcPr>
          <w:p w14:paraId="4A9237FA" w14:textId="7766A6B5" w:rsidR="0016390E" w:rsidRDefault="00A03B35" w:rsidP="00962380">
            <w:pPr>
              <w:pStyle w:val="TableText"/>
              <w:jc w:val="center"/>
              <w:rPr>
                <w:szCs w:val="20"/>
              </w:rPr>
            </w:pPr>
            <w:r w:rsidRPr="002E14E0">
              <w:rPr>
                <w:szCs w:val="20"/>
              </w:rPr>
              <w:t>3.97</w:t>
            </w:r>
          </w:p>
          <w:p w14:paraId="4A5002F1" w14:textId="752F22D7" w:rsidR="00A03B35" w:rsidRPr="002E14E0" w:rsidRDefault="00A03B35" w:rsidP="00962380">
            <w:pPr>
              <w:pStyle w:val="TableText"/>
              <w:jc w:val="center"/>
              <w:rPr>
                <w:szCs w:val="20"/>
              </w:rPr>
            </w:pPr>
            <w:r w:rsidRPr="002E14E0">
              <w:rPr>
                <w:szCs w:val="20"/>
              </w:rPr>
              <w:t>(3.0</w:t>
            </w:r>
            <w:r w:rsidR="00962380">
              <w:rPr>
                <w:szCs w:val="20"/>
              </w:rPr>
              <w:t>0</w:t>
            </w:r>
            <w:r w:rsidRPr="002E14E0">
              <w:rPr>
                <w:szCs w:val="20"/>
              </w:rPr>
              <w:t>-5.25)</w:t>
            </w:r>
          </w:p>
        </w:tc>
        <w:tc>
          <w:tcPr>
            <w:tcW w:w="967" w:type="dxa"/>
            <w:tcBorders>
              <w:top w:val="single" w:sz="4" w:space="0" w:color="auto"/>
              <w:left w:val="nil"/>
              <w:bottom w:val="single" w:sz="4" w:space="0" w:color="auto"/>
              <w:right w:val="single" w:sz="4" w:space="0" w:color="auto"/>
            </w:tcBorders>
            <w:shd w:val="clear" w:color="auto" w:fill="auto"/>
            <w:noWrap/>
          </w:tcPr>
          <w:p w14:paraId="717C0C2E" w14:textId="38165AED" w:rsidR="0016390E" w:rsidRDefault="00A03B35" w:rsidP="00962380">
            <w:pPr>
              <w:pStyle w:val="TableText"/>
              <w:jc w:val="center"/>
              <w:rPr>
                <w:szCs w:val="20"/>
              </w:rPr>
            </w:pPr>
            <w:r w:rsidRPr="002E14E0">
              <w:rPr>
                <w:szCs w:val="20"/>
              </w:rPr>
              <w:t>0.31</w:t>
            </w:r>
          </w:p>
          <w:p w14:paraId="7A8DAF4A" w14:textId="6615CC32" w:rsidR="00A03B35" w:rsidRPr="002E14E0" w:rsidRDefault="00A03B35" w:rsidP="00962380">
            <w:pPr>
              <w:pStyle w:val="TableText"/>
              <w:jc w:val="center"/>
              <w:rPr>
                <w:szCs w:val="20"/>
              </w:rPr>
            </w:pPr>
            <w:r w:rsidRPr="002E14E0">
              <w:rPr>
                <w:szCs w:val="20"/>
              </w:rPr>
              <w:t>(0.26-0.37)</w:t>
            </w:r>
          </w:p>
        </w:tc>
      </w:tr>
      <w:tr w:rsidR="00962380" w:rsidRPr="00F2657D" w14:paraId="62B519A4" w14:textId="77777777" w:rsidTr="009B51F0">
        <w:trPr>
          <w:trHeight w:val="298"/>
        </w:trPr>
        <w:tc>
          <w:tcPr>
            <w:tcW w:w="988" w:type="dxa"/>
            <w:noWrap/>
            <w:vAlign w:val="center"/>
          </w:tcPr>
          <w:p w14:paraId="68F41373" w14:textId="3CCC5849" w:rsidR="00A03B35" w:rsidRDefault="00A03B35" w:rsidP="009B51F0">
            <w:pPr>
              <w:pStyle w:val="TableText"/>
            </w:pPr>
            <w:r w:rsidRPr="00463A98">
              <w:rPr>
                <w:b/>
                <w:bCs/>
              </w:rPr>
              <w:t>LGE</w:t>
            </w:r>
          </w:p>
        </w:tc>
        <w:tc>
          <w:tcPr>
            <w:tcW w:w="531" w:type="dxa"/>
            <w:noWrap/>
          </w:tcPr>
          <w:p w14:paraId="769B0CDF" w14:textId="77777777" w:rsidR="00A03B35" w:rsidRPr="00EB0EE0" w:rsidRDefault="00A03B35" w:rsidP="00962380">
            <w:pPr>
              <w:pStyle w:val="TableText"/>
              <w:jc w:val="center"/>
            </w:pPr>
            <w:r w:rsidRPr="00EB0EE0">
              <w:t>9</w:t>
            </w:r>
          </w:p>
        </w:tc>
        <w:tc>
          <w:tcPr>
            <w:tcW w:w="532" w:type="dxa"/>
            <w:noWrap/>
          </w:tcPr>
          <w:p w14:paraId="3549CF02" w14:textId="77777777" w:rsidR="00A03B35" w:rsidRPr="00EB0EE0" w:rsidRDefault="00A03B35" w:rsidP="00962380">
            <w:pPr>
              <w:pStyle w:val="TableText"/>
              <w:jc w:val="center"/>
            </w:pPr>
            <w:r>
              <w:t>718</w:t>
            </w:r>
          </w:p>
        </w:tc>
        <w:tc>
          <w:tcPr>
            <w:tcW w:w="531" w:type="dxa"/>
            <w:noWrap/>
          </w:tcPr>
          <w:p w14:paraId="6B974D46" w14:textId="77777777" w:rsidR="00A03B35" w:rsidRPr="00EB0EE0" w:rsidRDefault="00A03B35" w:rsidP="00962380">
            <w:pPr>
              <w:pStyle w:val="TableText"/>
              <w:jc w:val="center"/>
            </w:pPr>
            <w:r>
              <w:t>331</w:t>
            </w:r>
          </w:p>
        </w:tc>
        <w:tc>
          <w:tcPr>
            <w:tcW w:w="532" w:type="dxa"/>
            <w:noWrap/>
          </w:tcPr>
          <w:p w14:paraId="267C768F" w14:textId="77777777" w:rsidR="00A03B35" w:rsidRPr="00EB0EE0" w:rsidRDefault="00A03B35" w:rsidP="00962380">
            <w:pPr>
              <w:pStyle w:val="TableText"/>
              <w:jc w:val="center"/>
            </w:pPr>
            <w:r>
              <w:t>188</w:t>
            </w:r>
          </w:p>
        </w:tc>
        <w:tc>
          <w:tcPr>
            <w:tcW w:w="1205" w:type="dxa"/>
            <w:tcBorders>
              <w:top w:val="single" w:sz="4" w:space="0" w:color="auto"/>
              <w:left w:val="single" w:sz="4" w:space="0" w:color="auto"/>
              <w:bottom w:val="single" w:sz="4" w:space="0" w:color="auto"/>
              <w:right w:val="single" w:sz="4" w:space="0" w:color="auto"/>
            </w:tcBorders>
            <w:shd w:val="clear" w:color="auto" w:fill="auto"/>
            <w:noWrap/>
          </w:tcPr>
          <w:p w14:paraId="354A0A5C" w14:textId="77777777" w:rsidR="0016390E" w:rsidRDefault="00A03B35" w:rsidP="00962380">
            <w:pPr>
              <w:pStyle w:val="TableText"/>
              <w:jc w:val="center"/>
              <w:rPr>
                <w:szCs w:val="20"/>
              </w:rPr>
            </w:pPr>
            <w:r w:rsidRPr="002E14E0">
              <w:rPr>
                <w:szCs w:val="20"/>
              </w:rPr>
              <w:t>0.68</w:t>
            </w:r>
          </w:p>
          <w:p w14:paraId="0FDD16A8" w14:textId="30A14112" w:rsidR="00A03B35" w:rsidRPr="002E14E0" w:rsidRDefault="00A03B35" w:rsidP="00962380">
            <w:pPr>
              <w:pStyle w:val="TableText"/>
              <w:jc w:val="center"/>
              <w:rPr>
                <w:szCs w:val="20"/>
              </w:rPr>
            </w:pPr>
            <w:r w:rsidRPr="002E14E0">
              <w:rPr>
                <w:szCs w:val="20"/>
              </w:rPr>
              <w:t>(0.64-0.72)</w:t>
            </w:r>
          </w:p>
        </w:tc>
        <w:tc>
          <w:tcPr>
            <w:tcW w:w="1205" w:type="dxa"/>
            <w:tcBorders>
              <w:top w:val="single" w:sz="4" w:space="0" w:color="auto"/>
              <w:left w:val="nil"/>
              <w:bottom w:val="single" w:sz="4" w:space="0" w:color="auto"/>
              <w:right w:val="single" w:sz="4" w:space="0" w:color="auto"/>
            </w:tcBorders>
            <w:shd w:val="clear" w:color="auto" w:fill="auto"/>
            <w:noWrap/>
          </w:tcPr>
          <w:p w14:paraId="24AB509F" w14:textId="6D8BD3FB" w:rsidR="00DC1589" w:rsidRDefault="00A03B35" w:rsidP="00962380">
            <w:pPr>
              <w:pStyle w:val="TableText"/>
              <w:jc w:val="center"/>
              <w:rPr>
                <w:szCs w:val="20"/>
              </w:rPr>
            </w:pPr>
            <w:r w:rsidRPr="002E14E0">
              <w:rPr>
                <w:szCs w:val="20"/>
              </w:rPr>
              <w:t>0.80</w:t>
            </w:r>
          </w:p>
          <w:p w14:paraId="2FBAE22E" w14:textId="5F85A22C" w:rsidR="00A03B35" w:rsidRPr="002E14E0" w:rsidRDefault="00A03B35" w:rsidP="00962380">
            <w:pPr>
              <w:pStyle w:val="TableText"/>
              <w:jc w:val="center"/>
              <w:rPr>
                <w:szCs w:val="20"/>
              </w:rPr>
            </w:pPr>
            <w:r w:rsidRPr="002E14E0">
              <w:rPr>
                <w:szCs w:val="20"/>
              </w:rPr>
              <w:t>(0.75-0.85)</w:t>
            </w:r>
          </w:p>
        </w:tc>
        <w:tc>
          <w:tcPr>
            <w:tcW w:w="779" w:type="dxa"/>
            <w:tcBorders>
              <w:top w:val="single" w:sz="4" w:space="0" w:color="auto"/>
              <w:left w:val="nil"/>
              <w:bottom w:val="single" w:sz="4" w:space="0" w:color="auto"/>
              <w:right w:val="single" w:sz="4" w:space="0" w:color="auto"/>
            </w:tcBorders>
            <w:shd w:val="clear" w:color="auto" w:fill="auto"/>
            <w:noWrap/>
          </w:tcPr>
          <w:p w14:paraId="2F83CC90" w14:textId="77777777" w:rsidR="00A03B35" w:rsidRPr="002E14E0" w:rsidRDefault="00A03B35" w:rsidP="00962380">
            <w:pPr>
              <w:pStyle w:val="TableText"/>
              <w:jc w:val="center"/>
              <w:rPr>
                <w:szCs w:val="20"/>
              </w:rPr>
            </w:pPr>
            <w:r w:rsidRPr="002E14E0">
              <w:rPr>
                <w:szCs w:val="20"/>
              </w:rPr>
              <w:t>0.</w:t>
            </w:r>
            <w:r>
              <w:rPr>
                <w:szCs w:val="20"/>
              </w:rPr>
              <w:t>00</w:t>
            </w:r>
            <w:r w:rsidRPr="002E14E0">
              <w:rPr>
                <w:szCs w:val="20"/>
              </w:rPr>
              <w:t>1 (0.0</w:t>
            </w:r>
            <w:r>
              <w:rPr>
                <w:szCs w:val="20"/>
              </w:rPr>
              <w:t>008-</w:t>
            </w:r>
            <w:r w:rsidRPr="002E14E0">
              <w:rPr>
                <w:szCs w:val="20"/>
              </w:rPr>
              <w:t>0.</w:t>
            </w:r>
            <w:r>
              <w:rPr>
                <w:szCs w:val="20"/>
              </w:rPr>
              <w:t>001</w:t>
            </w:r>
            <w:r w:rsidRPr="002E14E0">
              <w:rPr>
                <w:szCs w:val="20"/>
              </w:rPr>
              <w:t>)</w:t>
            </w:r>
          </w:p>
        </w:tc>
        <w:tc>
          <w:tcPr>
            <w:tcW w:w="780" w:type="dxa"/>
            <w:tcBorders>
              <w:top w:val="single" w:sz="4" w:space="0" w:color="auto"/>
              <w:left w:val="nil"/>
              <w:bottom w:val="single" w:sz="4" w:space="0" w:color="auto"/>
              <w:right w:val="single" w:sz="4" w:space="0" w:color="auto"/>
            </w:tcBorders>
          </w:tcPr>
          <w:p w14:paraId="51C65328" w14:textId="4CAB0299" w:rsidR="0016390E" w:rsidRDefault="00A03B35" w:rsidP="00962380">
            <w:pPr>
              <w:pStyle w:val="TableText"/>
              <w:jc w:val="center"/>
              <w:rPr>
                <w:szCs w:val="20"/>
              </w:rPr>
            </w:pPr>
            <w:r>
              <w:rPr>
                <w:szCs w:val="20"/>
              </w:rPr>
              <w:t>0.</w:t>
            </w:r>
            <w:r w:rsidRPr="002E14E0">
              <w:rPr>
                <w:szCs w:val="20"/>
              </w:rPr>
              <w:t>99</w:t>
            </w:r>
          </w:p>
          <w:p w14:paraId="6E4B7F96" w14:textId="64DBF965" w:rsidR="00A03B35" w:rsidRPr="002E14E0" w:rsidRDefault="00A03B35" w:rsidP="00962380">
            <w:pPr>
              <w:pStyle w:val="TableText"/>
              <w:jc w:val="center"/>
              <w:rPr>
                <w:szCs w:val="20"/>
              </w:rPr>
            </w:pPr>
            <w:r w:rsidRPr="002E14E0">
              <w:rPr>
                <w:szCs w:val="20"/>
              </w:rPr>
              <w:t>(</w:t>
            </w:r>
            <w:r>
              <w:rPr>
                <w:szCs w:val="20"/>
              </w:rPr>
              <w:t>0.</w:t>
            </w:r>
            <w:r w:rsidRPr="002E14E0">
              <w:rPr>
                <w:szCs w:val="20"/>
              </w:rPr>
              <w:t>99-</w:t>
            </w:r>
            <w:r>
              <w:rPr>
                <w:szCs w:val="20"/>
              </w:rPr>
              <w:t>0</w:t>
            </w:r>
            <w:r w:rsidRPr="002E14E0">
              <w:rPr>
                <w:szCs w:val="20"/>
              </w:rPr>
              <w:t>.99)</w:t>
            </w:r>
          </w:p>
        </w:tc>
        <w:tc>
          <w:tcPr>
            <w:tcW w:w="966" w:type="dxa"/>
            <w:tcBorders>
              <w:top w:val="single" w:sz="4" w:space="0" w:color="auto"/>
              <w:left w:val="single" w:sz="4" w:space="0" w:color="auto"/>
              <w:bottom w:val="single" w:sz="4" w:space="0" w:color="auto"/>
              <w:right w:val="single" w:sz="4" w:space="0" w:color="auto"/>
            </w:tcBorders>
            <w:shd w:val="clear" w:color="auto" w:fill="auto"/>
            <w:noWrap/>
          </w:tcPr>
          <w:p w14:paraId="7B5993B6" w14:textId="578F92E1" w:rsidR="0016390E" w:rsidRDefault="00A03B35" w:rsidP="00962380">
            <w:pPr>
              <w:pStyle w:val="TableText"/>
              <w:jc w:val="center"/>
              <w:rPr>
                <w:szCs w:val="20"/>
              </w:rPr>
            </w:pPr>
            <w:r w:rsidRPr="002E14E0">
              <w:rPr>
                <w:szCs w:val="20"/>
              </w:rPr>
              <w:t>3.48</w:t>
            </w:r>
          </w:p>
          <w:p w14:paraId="616A7E13" w14:textId="6A6BAD71" w:rsidR="00A03B35" w:rsidRPr="002E14E0" w:rsidRDefault="00A03B35" w:rsidP="00962380">
            <w:pPr>
              <w:pStyle w:val="TableText"/>
              <w:jc w:val="center"/>
              <w:rPr>
                <w:szCs w:val="20"/>
              </w:rPr>
            </w:pPr>
            <w:r w:rsidRPr="002E14E0">
              <w:rPr>
                <w:szCs w:val="20"/>
              </w:rPr>
              <w:t>(2.67-4.54)</w:t>
            </w:r>
          </w:p>
        </w:tc>
        <w:tc>
          <w:tcPr>
            <w:tcW w:w="967" w:type="dxa"/>
            <w:tcBorders>
              <w:top w:val="single" w:sz="4" w:space="0" w:color="auto"/>
              <w:left w:val="nil"/>
              <w:bottom w:val="single" w:sz="4" w:space="0" w:color="auto"/>
              <w:right w:val="single" w:sz="4" w:space="0" w:color="auto"/>
            </w:tcBorders>
            <w:shd w:val="clear" w:color="auto" w:fill="auto"/>
            <w:noWrap/>
          </w:tcPr>
          <w:p w14:paraId="03F41744" w14:textId="3A029FC6" w:rsidR="0016390E" w:rsidRDefault="00A03B35" w:rsidP="00962380">
            <w:pPr>
              <w:pStyle w:val="TableText"/>
              <w:jc w:val="center"/>
              <w:rPr>
                <w:szCs w:val="20"/>
              </w:rPr>
            </w:pPr>
            <w:r w:rsidRPr="002E14E0">
              <w:rPr>
                <w:szCs w:val="20"/>
              </w:rPr>
              <w:t>0.39</w:t>
            </w:r>
          </w:p>
          <w:p w14:paraId="4D737DFC" w14:textId="34B915EA" w:rsidR="00A03B35" w:rsidRPr="002E14E0" w:rsidRDefault="00A03B35" w:rsidP="00962380">
            <w:pPr>
              <w:pStyle w:val="TableText"/>
              <w:jc w:val="center"/>
              <w:rPr>
                <w:szCs w:val="20"/>
              </w:rPr>
            </w:pPr>
            <w:r w:rsidRPr="002E14E0">
              <w:rPr>
                <w:szCs w:val="20"/>
              </w:rPr>
              <w:t>(0.34-0.46)</w:t>
            </w:r>
          </w:p>
        </w:tc>
      </w:tr>
      <w:tr w:rsidR="00962380" w:rsidRPr="00F2657D" w14:paraId="1B23C9FD" w14:textId="77777777" w:rsidTr="009B51F0">
        <w:trPr>
          <w:trHeight w:val="298"/>
        </w:trPr>
        <w:tc>
          <w:tcPr>
            <w:tcW w:w="988" w:type="dxa"/>
            <w:noWrap/>
            <w:vAlign w:val="center"/>
          </w:tcPr>
          <w:p w14:paraId="58A59466" w14:textId="36922A40" w:rsidR="00A03B35" w:rsidRDefault="00A03B35" w:rsidP="009B51F0">
            <w:pPr>
              <w:pStyle w:val="TableText"/>
            </w:pPr>
            <w:r w:rsidRPr="00463A98">
              <w:rPr>
                <w:b/>
                <w:bCs/>
              </w:rPr>
              <w:t>LLC</w:t>
            </w:r>
          </w:p>
        </w:tc>
        <w:tc>
          <w:tcPr>
            <w:tcW w:w="531" w:type="dxa"/>
            <w:noWrap/>
          </w:tcPr>
          <w:p w14:paraId="633AF581" w14:textId="77777777" w:rsidR="00A03B35" w:rsidRPr="00EB0EE0" w:rsidRDefault="00A03B35" w:rsidP="00962380">
            <w:pPr>
              <w:pStyle w:val="TableText"/>
              <w:jc w:val="center"/>
            </w:pPr>
            <w:r w:rsidRPr="00EB0EE0">
              <w:t>10</w:t>
            </w:r>
          </w:p>
        </w:tc>
        <w:tc>
          <w:tcPr>
            <w:tcW w:w="532" w:type="dxa"/>
            <w:noWrap/>
          </w:tcPr>
          <w:p w14:paraId="67E937A5" w14:textId="77777777" w:rsidR="00A03B35" w:rsidRPr="00EB0EE0" w:rsidRDefault="00A03B35" w:rsidP="00962380">
            <w:pPr>
              <w:pStyle w:val="TableText"/>
              <w:jc w:val="center"/>
            </w:pPr>
            <w:r>
              <w:t>736</w:t>
            </w:r>
          </w:p>
        </w:tc>
        <w:tc>
          <w:tcPr>
            <w:tcW w:w="531" w:type="dxa"/>
            <w:noWrap/>
          </w:tcPr>
          <w:p w14:paraId="7908905A" w14:textId="77777777" w:rsidR="00A03B35" w:rsidRPr="00EB0EE0" w:rsidRDefault="00A03B35" w:rsidP="00962380">
            <w:pPr>
              <w:pStyle w:val="TableText"/>
              <w:jc w:val="center"/>
            </w:pPr>
            <w:r>
              <w:t>354</w:t>
            </w:r>
          </w:p>
        </w:tc>
        <w:tc>
          <w:tcPr>
            <w:tcW w:w="532" w:type="dxa"/>
            <w:noWrap/>
          </w:tcPr>
          <w:p w14:paraId="5896BD9C" w14:textId="77777777" w:rsidR="00A03B35" w:rsidRPr="00EB0EE0" w:rsidRDefault="00A03B35" w:rsidP="00962380">
            <w:pPr>
              <w:pStyle w:val="TableText"/>
              <w:jc w:val="center"/>
            </w:pPr>
            <w:r>
              <w:t>206</w:t>
            </w:r>
          </w:p>
        </w:tc>
        <w:tc>
          <w:tcPr>
            <w:tcW w:w="1205" w:type="dxa"/>
            <w:tcBorders>
              <w:top w:val="single" w:sz="4" w:space="0" w:color="auto"/>
              <w:left w:val="single" w:sz="4" w:space="0" w:color="auto"/>
              <w:bottom w:val="single" w:sz="4" w:space="0" w:color="auto"/>
              <w:right w:val="single" w:sz="4" w:space="0" w:color="auto"/>
            </w:tcBorders>
            <w:shd w:val="clear" w:color="auto" w:fill="auto"/>
            <w:noWrap/>
          </w:tcPr>
          <w:p w14:paraId="376B86BC" w14:textId="77777777" w:rsidR="0016390E" w:rsidRDefault="00A03B35" w:rsidP="00962380">
            <w:pPr>
              <w:pStyle w:val="TableText"/>
              <w:jc w:val="center"/>
              <w:rPr>
                <w:szCs w:val="20"/>
              </w:rPr>
            </w:pPr>
            <w:r w:rsidRPr="002E14E0">
              <w:rPr>
                <w:szCs w:val="20"/>
              </w:rPr>
              <w:t>0.69</w:t>
            </w:r>
          </w:p>
          <w:p w14:paraId="29F4FFB0" w14:textId="3523BF38" w:rsidR="00A03B35" w:rsidRPr="002E14E0" w:rsidRDefault="00A03B35" w:rsidP="00962380">
            <w:pPr>
              <w:pStyle w:val="TableText"/>
              <w:jc w:val="center"/>
              <w:rPr>
                <w:szCs w:val="20"/>
              </w:rPr>
            </w:pPr>
            <w:r w:rsidRPr="002E14E0">
              <w:rPr>
                <w:szCs w:val="20"/>
              </w:rPr>
              <w:t>(0.65 -0.73)</w:t>
            </w:r>
          </w:p>
        </w:tc>
        <w:tc>
          <w:tcPr>
            <w:tcW w:w="1205" w:type="dxa"/>
            <w:tcBorders>
              <w:top w:val="single" w:sz="4" w:space="0" w:color="auto"/>
              <w:left w:val="nil"/>
              <w:bottom w:val="single" w:sz="4" w:space="0" w:color="auto"/>
              <w:right w:val="single" w:sz="4" w:space="0" w:color="auto"/>
            </w:tcBorders>
            <w:shd w:val="clear" w:color="auto" w:fill="auto"/>
            <w:noWrap/>
          </w:tcPr>
          <w:p w14:paraId="5A55558B" w14:textId="28503627" w:rsidR="00DC1589" w:rsidRDefault="00A03B35" w:rsidP="00962380">
            <w:pPr>
              <w:pStyle w:val="TableText"/>
              <w:jc w:val="center"/>
              <w:rPr>
                <w:szCs w:val="20"/>
              </w:rPr>
            </w:pPr>
            <w:r w:rsidRPr="002E14E0">
              <w:rPr>
                <w:szCs w:val="20"/>
              </w:rPr>
              <w:t>0.92</w:t>
            </w:r>
          </w:p>
          <w:p w14:paraId="3701B9A3" w14:textId="5B40A70C" w:rsidR="00A03B35" w:rsidRPr="002E14E0" w:rsidRDefault="00A03B35" w:rsidP="00962380">
            <w:pPr>
              <w:pStyle w:val="TableText"/>
              <w:jc w:val="center"/>
              <w:rPr>
                <w:szCs w:val="20"/>
              </w:rPr>
            </w:pPr>
            <w:r w:rsidRPr="002E14E0">
              <w:rPr>
                <w:szCs w:val="20"/>
              </w:rPr>
              <w:t>(0.87-0.95)</w:t>
            </w:r>
          </w:p>
        </w:tc>
        <w:tc>
          <w:tcPr>
            <w:tcW w:w="779" w:type="dxa"/>
            <w:tcBorders>
              <w:top w:val="single" w:sz="4" w:space="0" w:color="auto"/>
              <w:left w:val="nil"/>
              <w:bottom w:val="single" w:sz="4" w:space="0" w:color="auto"/>
              <w:right w:val="single" w:sz="4" w:space="0" w:color="auto"/>
            </w:tcBorders>
            <w:shd w:val="clear" w:color="auto" w:fill="auto"/>
            <w:noWrap/>
          </w:tcPr>
          <w:p w14:paraId="0289E881" w14:textId="654FECAB" w:rsidR="0016390E" w:rsidRDefault="00A03B35" w:rsidP="00962380">
            <w:pPr>
              <w:pStyle w:val="TableText"/>
              <w:jc w:val="center"/>
              <w:rPr>
                <w:szCs w:val="20"/>
              </w:rPr>
            </w:pPr>
            <w:r w:rsidRPr="002E14E0">
              <w:rPr>
                <w:szCs w:val="20"/>
              </w:rPr>
              <w:t>0.</w:t>
            </w:r>
            <w:r>
              <w:rPr>
                <w:szCs w:val="20"/>
              </w:rPr>
              <w:t>002</w:t>
            </w:r>
          </w:p>
          <w:p w14:paraId="583B6C9E" w14:textId="33CA3A88" w:rsidR="00A03B35" w:rsidRPr="002E14E0" w:rsidRDefault="00A03B35" w:rsidP="00962380">
            <w:pPr>
              <w:pStyle w:val="TableText"/>
              <w:jc w:val="center"/>
              <w:rPr>
                <w:szCs w:val="20"/>
              </w:rPr>
            </w:pPr>
            <w:r w:rsidRPr="002E14E0">
              <w:rPr>
                <w:szCs w:val="20"/>
              </w:rPr>
              <w:t>(0.</w:t>
            </w:r>
            <w:r>
              <w:rPr>
                <w:szCs w:val="20"/>
              </w:rPr>
              <w:t>001</w:t>
            </w:r>
            <w:r w:rsidRPr="002E14E0">
              <w:rPr>
                <w:szCs w:val="20"/>
              </w:rPr>
              <w:t xml:space="preserve"> -0.</w:t>
            </w:r>
            <w:r>
              <w:rPr>
                <w:szCs w:val="20"/>
              </w:rPr>
              <w:t>003)</w:t>
            </w:r>
          </w:p>
        </w:tc>
        <w:tc>
          <w:tcPr>
            <w:tcW w:w="780" w:type="dxa"/>
            <w:tcBorders>
              <w:top w:val="single" w:sz="4" w:space="0" w:color="auto"/>
              <w:left w:val="nil"/>
              <w:bottom w:val="single" w:sz="4" w:space="0" w:color="auto"/>
              <w:right w:val="single" w:sz="4" w:space="0" w:color="auto"/>
            </w:tcBorders>
          </w:tcPr>
          <w:p w14:paraId="4B634147" w14:textId="46373A9B" w:rsidR="0016390E" w:rsidRDefault="00A03B35" w:rsidP="00962380">
            <w:pPr>
              <w:pStyle w:val="TableText"/>
              <w:jc w:val="center"/>
              <w:rPr>
                <w:szCs w:val="20"/>
              </w:rPr>
            </w:pPr>
            <w:r>
              <w:rPr>
                <w:szCs w:val="20"/>
              </w:rPr>
              <w:t>0.</w:t>
            </w:r>
            <w:r w:rsidRPr="002E14E0">
              <w:rPr>
                <w:szCs w:val="20"/>
              </w:rPr>
              <w:t>99</w:t>
            </w:r>
          </w:p>
          <w:p w14:paraId="7AC2D165" w14:textId="39CC1204" w:rsidR="00A03B35" w:rsidRPr="002E14E0" w:rsidRDefault="00A03B35" w:rsidP="00962380">
            <w:pPr>
              <w:pStyle w:val="TableText"/>
              <w:jc w:val="center"/>
              <w:rPr>
                <w:szCs w:val="20"/>
              </w:rPr>
            </w:pPr>
            <w:r w:rsidRPr="002E14E0">
              <w:rPr>
                <w:szCs w:val="20"/>
              </w:rPr>
              <w:t>(</w:t>
            </w:r>
            <w:r>
              <w:rPr>
                <w:szCs w:val="20"/>
              </w:rPr>
              <w:t>0.</w:t>
            </w:r>
            <w:r w:rsidRPr="002E14E0">
              <w:rPr>
                <w:szCs w:val="20"/>
              </w:rPr>
              <w:t>99-</w:t>
            </w:r>
            <w:r>
              <w:rPr>
                <w:szCs w:val="20"/>
              </w:rPr>
              <w:t>0</w:t>
            </w:r>
            <w:r w:rsidRPr="002E14E0">
              <w:rPr>
                <w:szCs w:val="20"/>
              </w:rPr>
              <w:t>.99)</w:t>
            </w:r>
          </w:p>
        </w:tc>
        <w:tc>
          <w:tcPr>
            <w:tcW w:w="966" w:type="dxa"/>
            <w:tcBorders>
              <w:top w:val="single" w:sz="4" w:space="0" w:color="auto"/>
              <w:left w:val="single" w:sz="4" w:space="0" w:color="auto"/>
              <w:bottom w:val="single" w:sz="4" w:space="0" w:color="auto"/>
              <w:right w:val="single" w:sz="4" w:space="0" w:color="auto"/>
            </w:tcBorders>
            <w:shd w:val="clear" w:color="auto" w:fill="auto"/>
            <w:noWrap/>
          </w:tcPr>
          <w:p w14:paraId="1AE5D55E" w14:textId="4FD02805" w:rsidR="0016390E" w:rsidRDefault="00A03B35" w:rsidP="00962380">
            <w:pPr>
              <w:pStyle w:val="TableText"/>
              <w:jc w:val="center"/>
              <w:rPr>
                <w:szCs w:val="20"/>
              </w:rPr>
            </w:pPr>
            <w:r w:rsidRPr="002E14E0">
              <w:rPr>
                <w:szCs w:val="20"/>
              </w:rPr>
              <w:t>8.20</w:t>
            </w:r>
          </w:p>
          <w:p w14:paraId="1EE81464" w14:textId="29AC7CC9" w:rsidR="00A03B35" w:rsidRPr="002E14E0" w:rsidRDefault="00A03B35" w:rsidP="00962380">
            <w:pPr>
              <w:pStyle w:val="TableText"/>
              <w:jc w:val="center"/>
              <w:rPr>
                <w:szCs w:val="20"/>
              </w:rPr>
            </w:pPr>
            <w:r w:rsidRPr="002E14E0">
              <w:rPr>
                <w:szCs w:val="20"/>
              </w:rPr>
              <w:t>(5.31-12.66)</w:t>
            </w:r>
          </w:p>
        </w:tc>
        <w:tc>
          <w:tcPr>
            <w:tcW w:w="967" w:type="dxa"/>
            <w:tcBorders>
              <w:top w:val="single" w:sz="4" w:space="0" w:color="auto"/>
              <w:left w:val="nil"/>
              <w:bottom w:val="single" w:sz="4" w:space="0" w:color="auto"/>
              <w:right w:val="single" w:sz="4" w:space="0" w:color="auto"/>
            </w:tcBorders>
            <w:shd w:val="clear" w:color="auto" w:fill="auto"/>
            <w:noWrap/>
          </w:tcPr>
          <w:p w14:paraId="4F9E87BD" w14:textId="7F9C2E3D" w:rsidR="0016390E" w:rsidRDefault="00A03B35" w:rsidP="00962380">
            <w:pPr>
              <w:pStyle w:val="TableText"/>
              <w:jc w:val="center"/>
              <w:rPr>
                <w:szCs w:val="20"/>
              </w:rPr>
            </w:pPr>
            <w:r w:rsidRPr="002E14E0">
              <w:rPr>
                <w:szCs w:val="20"/>
              </w:rPr>
              <w:t>0.34</w:t>
            </w:r>
          </w:p>
          <w:p w14:paraId="48630E2E" w14:textId="4904E4F7" w:rsidR="00A03B35" w:rsidRPr="002E14E0" w:rsidRDefault="00A03B35" w:rsidP="00962380">
            <w:pPr>
              <w:pStyle w:val="TableText"/>
              <w:jc w:val="center"/>
              <w:rPr>
                <w:szCs w:val="20"/>
              </w:rPr>
            </w:pPr>
            <w:r w:rsidRPr="002E14E0">
              <w:rPr>
                <w:szCs w:val="20"/>
              </w:rPr>
              <w:t>(0.29-0.38)</w:t>
            </w:r>
          </w:p>
        </w:tc>
      </w:tr>
    </w:tbl>
    <w:p w14:paraId="324D3600" w14:textId="2EA07811" w:rsidR="00A03B35" w:rsidRDefault="00A03B35" w:rsidP="001072D1">
      <w:pPr>
        <w:pStyle w:val="TableFooter"/>
      </w:pPr>
      <w:r>
        <w:t>L</w:t>
      </w:r>
      <w:r w:rsidR="00756ED0">
        <w:t>LC</w:t>
      </w:r>
      <w:r w:rsidR="0016390E">
        <w:t xml:space="preserve"> </w:t>
      </w:r>
      <w:r>
        <w:t>=</w:t>
      </w:r>
      <w:r w:rsidR="0016390E">
        <w:t xml:space="preserve"> </w:t>
      </w:r>
      <w:r>
        <w:t>Lake Louise criteria; LGE</w:t>
      </w:r>
      <w:r w:rsidR="0016390E">
        <w:t xml:space="preserve"> </w:t>
      </w:r>
      <w:r>
        <w:t>=</w:t>
      </w:r>
      <w:r w:rsidR="0016390E">
        <w:t xml:space="preserve"> </w:t>
      </w:r>
      <w:r>
        <w:t xml:space="preserve">Late gadolinium </w:t>
      </w:r>
      <w:r w:rsidRPr="00962380">
        <w:t>enhancement</w:t>
      </w:r>
      <w:r w:rsidR="00962380" w:rsidRPr="00962380">
        <w:t>; LR = likelihood ratio</w:t>
      </w:r>
      <w:r w:rsidR="00962380">
        <w:t>; NPV = negative predictive value; PPV = positive predictive value.</w:t>
      </w:r>
    </w:p>
    <w:p w14:paraId="49B03534" w14:textId="0CD30912" w:rsidR="001E40EA" w:rsidRDefault="0048714B" w:rsidP="001072D1">
      <w:pPr>
        <w:pStyle w:val="TableFooter"/>
      </w:pPr>
      <w:r w:rsidRPr="009B51F0">
        <w:t xml:space="preserve">Notes: numbers in </w:t>
      </w:r>
      <w:r w:rsidR="00884AAC" w:rsidRPr="009B51F0">
        <w:t>parenthes</w:t>
      </w:r>
      <w:r w:rsidR="00884AAC">
        <w:t>e</w:t>
      </w:r>
      <w:r w:rsidR="00884AAC" w:rsidRPr="009B51F0">
        <w:t xml:space="preserve">s </w:t>
      </w:r>
      <w:r w:rsidRPr="009B51F0">
        <w:t>are 95% confidence interval</w:t>
      </w:r>
      <w:r w:rsidR="00884AAC">
        <w:t>s</w:t>
      </w:r>
    </w:p>
    <w:p w14:paraId="571D5DC3" w14:textId="48A6647C" w:rsidR="00A03B35" w:rsidRDefault="00A03B35" w:rsidP="00895144">
      <w:pPr>
        <w:pStyle w:val="Heading3"/>
      </w:pPr>
      <w:bookmarkStart w:id="38" w:name="_Toc155189745"/>
      <w:r w:rsidRPr="00095E75">
        <w:t xml:space="preserve">Prognostic value (longitudinal accuracy) of </w:t>
      </w:r>
      <w:r w:rsidR="003843F3">
        <w:t>cardiac MRI</w:t>
      </w:r>
      <w:bookmarkEnd w:id="38"/>
      <w:r>
        <w:t xml:space="preserve"> </w:t>
      </w:r>
    </w:p>
    <w:p w14:paraId="1CA2F1C9" w14:textId="33027628" w:rsidR="00A03B35" w:rsidRDefault="00A03B35" w:rsidP="00867E94">
      <w:r>
        <w:t>The scoping review identified</w:t>
      </w:r>
      <w:r w:rsidR="00C40E2F">
        <w:t xml:space="preserve"> nine</w:t>
      </w:r>
      <w:r>
        <w:t xml:space="preserve"> studies and two systematic reviews. Most of the studies (7/9) identified in the scoping review were meta-analysed by two systematic reviews </w:t>
      </w:r>
      <w:r w:rsidR="00D1589E">
        <w:t>(</w:t>
      </w:r>
      <w:proofErr w:type="spellStart"/>
      <w:r w:rsidR="00D1589E" w:rsidRPr="00F81721">
        <w:t>Georgiopoulos</w:t>
      </w:r>
      <w:proofErr w:type="spellEnd"/>
      <w:r w:rsidR="00D1589E">
        <w:t xml:space="preserve"> et al. 2021 and </w:t>
      </w:r>
      <w:r w:rsidR="00D1589E" w:rsidRPr="00F81721">
        <w:t>Yang,</w:t>
      </w:r>
      <w:r w:rsidR="00D1589E">
        <w:t xml:space="preserve"> et al </w:t>
      </w:r>
      <w:r w:rsidR="00AE260C">
        <w:t>2020)</w:t>
      </w:r>
      <w:r w:rsidR="00FC2C90">
        <w:t xml:space="preserve"> </w:t>
      </w:r>
      <w:r>
        <w:t xml:space="preserve">that provided summary statistics for the prognostic value of </w:t>
      </w:r>
      <w:r w:rsidR="003843F3">
        <w:t>cardiac MRI</w:t>
      </w:r>
      <w:r>
        <w:t xml:space="preserve"> for predicting health outcomes. </w:t>
      </w:r>
    </w:p>
    <w:p w14:paraId="32226DBC" w14:textId="3F9CAAEB" w:rsidR="00A03B35" w:rsidRDefault="00A03B35" w:rsidP="00867E94">
      <w:proofErr w:type="spellStart"/>
      <w:r>
        <w:t>Georgiopoulos</w:t>
      </w:r>
      <w:proofErr w:type="spellEnd"/>
      <w:r>
        <w:t xml:space="preserve"> et al. (2021) conducted a systematic review and meta-analysis of 11 articles, assessing the prognosis of 2,328 patients with acute myocarditis. Among these articles, six reported data on the presence of LGE. Overall, patients with acute myocarditis and LGE-</w:t>
      </w:r>
      <w:r w:rsidR="003843F3">
        <w:t>cardiac MRI</w:t>
      </w:r>
      <w:r>
        <w:t xml:space="preserve"> conducted early after clinical presentation (within 2 weeks from symptom onset) had a three-fold increased risk of dying or developing major cardiovascular events (MACE) during a </w:t>
      </w:r>
      <w:r>
        <w:lastRenderedPageBreak/>
        <w:t>mean 2-year follow-up, compared to those without LGE. The systematic review reported an overall incidence of mortality, life-threatening ventricular arrythmias, heart failure, and a disease recurrence rate to be 11.5% over a mean follow-up of two years.</w:t>
      </w:r>
    </w:p>
    <w:p w14:paraId="47C4D7AE" w14:textId="0ACF2C9F" w:rsidR="00A03B35" w:rsidRDefault="00A03B35" w:rsidP="00867E94">
      <w:r>
        <w:t xml:space="preserve">The results of the meta-analysis, presented in </w:t>
      </w:r>
      <w:r w:rsidR="00895144">
        <w:fldChar w:fldCharType="begin"/>
      </w:r>
      <w:r w:rsidR="00895144">
        <w:instrText xml:space="preserve"> REF  _Ref150342190 \h  \* MERGEFORMAT </w:instrText>
      </w:r>
      <w:r w:rsidR="00895144">
        <w:fldChar w:fldCharType="separate"/>
      </w:r>
      <w:r w:rsidR="00895144">
        <w:t xml:space="preserve">Figure </w:t>
      </w:r>
      <w:r w:rsidR="00895144">
        <w:rPr>
          <w:noProof/>
        </w:rPr>
        <w:t>1</w:t>
      </w:r>
      <w:r w:rsidR="00895144">
        <w:fldChar w:fldCharType="end"/>
      </w:r>
      <w:r>
        <w:t xml:space="preserve">, show that presence of LGE on baseline </w:t>
      </w:r>
      <w:r w:rsidR="003843F3">
        <w:t>cardiac MRI</w:t>
      </w:r>
      <w:r>
        <w:t xml:space="preserve"> is an important independent prognostic marker that portend</w:t>
      </w:r>
      <w:r w:rsidR="00780BD7">
        <w:t>s</w:t>
      </w:r>
      <w:r>
        <w:t xml:space="preserve"> an increased risk of MACE.</w:t>
      </w:r>
    </w:p>
    <w:p w14:paraId="14493BF2" w14:textId="77777777" w:rsidR="002E3C54" w:rsidRDefault="00A03B35" w:rsidP="002E3C54">
      <w:pPr>
        <w:pStyle w:val="TableFigureHeading"/>
      </w:pPr>
      <w:r>
        <w:rPr>
          <w:noProof/>
        </w:rPr>
        <w:drawing>
          <wp:inline distT="0" distB="0" distL="0" distR="0" wp14:anchorId="21BAFF28" wp14:editId="69492587">
            <wp:extent cx="5242560" cy="2420620"/>
            <wp:effectExtent l="0" t="0" r="0" b="0"/>
            <wp:docPr id="1677653798" name="Picture 1677653798" descr="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50890" cy="2424466"/>
                    </a:xfrm>
                    <a:prstGeom prst="rect">
                      <a:avLst/>
                    </a:prstGeom>
                    <a:noFill/>
                    <a:ln>
                      <a:noFill/>
                    </a:ln>
                  </pic:spPr>
                </pic:pic>
              </a:graphicData>
            </a:graphic>
          </wp:inline>
        </w:drawing>
      </w:r>
    </w:p>
    <w:p w14:paraId="6593165C" w14:textId="64691867" w:rsidR="00A03B35" w:rsidRDefault="002E3C54" w:rsidP="002E3C54">
      <w:pPr>
        <w:pStyle w:val="Caption"/>
      </w:pPr>
      <w:bookmarkStart w:id="39" w:name="_Ref150342190"/>
      <w:bookmarkStart w:id="40" w:name="_Toc155173818"/>
      <w:r>
        <w:t xml:space="preserve">Figure </w:t>
      </w:r>
      <w:r>
        <w:fldChar w:fldCharType="begin"/>
      </w:r>
      <w:r>
        <w:instrText>SEQ Figure \* ARABIC</w:instrText>
      </w:r>
      <w:r>
        <w:fldChar w:fldCharType="separate"/>
      </w:r>
      <w:r w:rsidR="00883135">
        <w:rPr>
          <w:noProof/>
        </w:rPr>
        <w:t>1</w:t>
      </w:r>
      <w:r>
        <w:fldChar w:fldCharType="end"/>
      </w:r>
      <w:bookmarkEnd w:id="39"/>
      <w:r w:rsidR="00FD23D4">
        <w:tab/>
      </w:r>
      <w:r w:rsidRPr="002E3C54">
        <w:t>Pooled estimates for presence of LGE and the incidence of the combined endpoint</w:t>
      </w:r>
      <w:bookmarkEnd w:id="40"/>
    </w:p>
    <w:p w14:paraId="56CDB3B1" w14:textId="77777777" w:rsidR="00A03B35" w:rsidRPr="001072D1" w:rsidRDefault="00A03B35" w:rsidP="001072D1">
      <w:pPr>
        <w:pStyle w:val="TableFooter"/>
      </w:pPr>
      <w:r w:rsidRPr="001072D1">
        <w:t xml:space="preserve">Source: Figure 2, p61 of </w:t>
      </w:r>
      <w:proofErr w:type="spellStart"/>
      <w:r w:rsidRPr="001072D1">
        <w:t>Georgiopoulos</w:t>
      </w:r>
      <w:proofErr w:type="spellEnd"/>
      <w:r w:rsidRPr="001072D1">
        <w:t xml:space="preserve"> et al. (2021)</w:t>
      </w:r>
    </w:p>
    <w:p w14:paraId="2C737933" w14:textId="77777777" w:rsidR="00A03B35" w:rsidRPr="001072D1" w:rsidRDefault="00A03B35" w:rsidP="001072D1">
      <w:pPr>
        <w:pStyle w:val="TableFooter"/>
      </w:pPr>
      <w:r w:rsidRPr="001072D1">
        <w:t>CI = confidence interval; HR = hazard ratio; LGE = late gadolinium enhancement.</w:t>
      </w:r>
    </w:p>
    <w:p w14:paraId="5C1D0F01" w14:textId="1EA263AD" w:rsidR="009B51F0" w:rsidRDefault="00A03B35" w:rsidP="00867E94">
      <w:r>
        <w:t xml:space="preserve">Yang et al. (2020) reviewed 8 articles that assessed the prognosis of 1,319 patients, comprising of both patients with clinically suspected myocarditis (44.3%) and confirmed cases of myocarditis (55.7%). </w:t>
      </w:r>
      <w:r w:rsidR="00401BAB">
        <w:t>T</w:t>
      </w:r>
      <w:r>
        <w:t>he meta-analysis showed that the presence of LGE was significantly associated with an increased risk of combined outcome</w:t>
      </w:r>
      <w:r>
        <w:rPr>
          <w:rStyle w:val="FootnoteReference"/>
        </w:rPr>
        <w:footnoteReference w:id="19"/>
      </w:r>
      <w:r>
        <w:t xml:space="preserve"> (pooled OR, 5.85; 95% CI, 2.88 to 11.86) and MACE</w:t>
      </w:r>
      <w:r>
        <w:rPr>
          <w:rStyle w:val="FootnoteReference"/>
        </w:rPr>
        <w:footnoteReference w:id="20"/>
      </w:r>
      <w:r>
        <w:t xml:space="preserve"> (pooled OR, 4.57; 95% CI, 2.18 to 9.59). However, the presence of LGE was not associated with the endpoint of sudden cardiac death (SCD) or aborted SCD. </w:t>
      </w:r>
      <w:r w:rsidR="009B51F0">
        <w:t xml:space="preserve">In summary, </w:t>
      </w:r>
      <w:r w:rsidR="006F25C0">
        <w:t xml:space="preserve">the assessment group noted that </w:t>
      </w:r>
      <w:r w:rsidR="009B51F0">
        <w:t>the meta-analyses demonstrated</w:t>
      </w:r>
      <w:r w:rsidR="00186053">
        <w:t xml:space="preserve"> the</w:t>
      </w:r>
      <w:r w:rsidR="009B51F0">
        <w:t xml:space="preserve"> role of LGE with cardiac MRI as an important independent prognostic marker that portend</w:t>
      </w:r>
      <w:r w:rsidR="00702254">
        <w:t>s</w:t>
      </w:r>
      <w:r w:rsidR="009B51F0">
        <w:t xml:space="preserve"> an increased risk of MACE and for risk stratification and planning of follow-up for patients with myocarditis or clinically suspected myocarditis.</w:t>
      </w:r>
    </w:p>
    <w:p w14:paraId="67BBCBCA" w14:textId="60CECCC0" w:rsidR="00A03B35" w:rsidRDefault="00AF69F5" w:rsidP="00867E94">
      <w:r>
        <w:t xml:space="preserve">During the scoping review, a study was identified that followed patients </w:t>
      </w:r>
      <w:proofErr w:type="gramStart"/>
      <w:r>
        <w:t>similar to</w:t>
      </w:r>
      <w:proofErr w:type="gramEnd"/>
      <w:r>
        <w:t xml:space="preserve"> the population proposed in the application for a median follow-up period of 4.7 years (interquartile range [IQR]: 2.3 -7.3 years)</w:t>
      </w:r>
      <w:r w:rsidR="00B139F0">
        <w:t xml:space="preserve"> </w:t>
      </w:r>
      <w:proofErr w:type="spellStart"/>
      <w:r w:rsidR="00B139F0" w:rsidRPr="00F81721">
        <w:t>Gräni</w:t>
      </w:r>
      <w:proofErr w:type="spellEnd"/>
      <w:r w:rsidR="00B139F0">
        <w:t xml:space="preserve"> et al 2017. </w:t>
      </w:r>
      <w:r w:rsidR="00F8666D">
        <w:t>The</w:t>
      </w:r>
      <w:r>
        <w:t xml:space="preserve"> </w:t>
      </w:r>
      <w:proofErr w:type="spellStart"/>
      <w:r w:rsidR="009B51F0">
        <w:t>Gr</w:t>
      </w:r>
      <w:r>
        <w:t>ä</w:t>
      </w:r>
      <w:r w:rsidR="009B51F0">
        <w:t>ni</w:t>
      </w:r>
      <w:proofErr w:type="spellEnd"/>
      <w:r w:rsidR="009B51F0">
        <w:t xml:space="preserve"> et al. (2017)</w:t>
      </w:r>
      <w:r w:rsidR="00F8666D">
        <w:t xml:space="preserve"> study</w:t>
      </w:r>
      <w:r w:rsidR="009B51F0">
        <w:t xml:space="preserve"> assessed 670 patients with suspected myocarditis who underwent cardiac MRI. The study reported that the presence of LGE was significantly associated with risk of MACE (HR, 2.22; 95% CI: 1.47 to 3.35) and death (HR, 1.99; 95% CI: 1.05 to 3.75). There were significant differences in the annualised rate for MACE (4.8% vs 2.1%) and death (1.7% vs 0.9%) between patients with LGE and those without LGE.</w:t>
      </w:r>
      <w:r w:rsidR="009D0D63">
        <w:t xml:space="preserve"> Patients with LVEF &lt;40% and LGE presence experienced markedly higher cardiac events. </w:t>
      </w:r>
      <w:r w:rsidR="00895144">
        <w:lastRenderedPageBreak/>
        <w:fldChar w:fldCharType="begin"/>
      </w:r>
      <w:r w:rsidR="00895144">
        <w:instrText xml:space="preserve"> REF  _Ref150342217 \h  \* MERGEFORMAT </w:instrText>
      </w:r>
      <w:r w:rsidR="00895144">
        <w:fldChar w:fldCharType="separate"/>
      </w:r>
      <w:r w:rsidR="00895144">
        <w:t>Figure</w:t>
      </w:r>
      <w:r w:rsidR="00B56589">
        <w:t> </w:t>
      </w:r>
      <w:r w:rsidR="00895144">
        <w:rPr>
          <w:noProof/>
        </w:rPr>
        <w:t>2</w:t>
      </w:r>
      <w:r w:rsidR="00895144">
        <w:fldChar w:fldCharType="end"/>
      </w:r>
      <w:r w:rsidR="009D0D63" w:rsidRPr="00AF69F5">
        <w:t xml:space="preserve"> </w:t>
      </w:r>
      <w:r w:rsidR="009D0D63">
        <w:t>presents the annualized event rates stratified by LGE presence and LVEF dichotomized by a 40% cutoff.</w:t>
      </w:r>
    </w:p>
    <w:p w14:paraId="67E96C55" w14:textId="77777777" w:rsidR="002E3C54" w:rsidRDefault="00AF69F5" w:rsidP="002E3C54">
      <w:pPr>
        <w:keepNext/>
        <w:spacing w:after="0"/>
        <w:jc w:val="both"/>
      </w:pPr>
      <w:r w:rsidRPr="00AF69F5">
        <w:rPr>
          <w:noProof/>
        </w:rPr>
        <w:drawing>
          <wp:inline distT="0" distB="0" distL="0" distR="0" wp14:anchorId="5CD493D4" wp14:editId="5A8E83E1">
            <wp:extent cx="5731443" cy="2465070"/>
            <wp:effectExtent l="0" t="0" r="3175" b="0"/>
            <wp:docPr id="1248199058" name="Picture 1248199058" descr="Bar graph showing Annualized Event Rates Between LGE Presence and LGE Absence and LVEF in Patients with Suspected Myocardi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199058" name="Picture 1248199058" descr="Bar graph showing Annualized Event Rates Between LGE Presence and LGE Absence and LVEF in Patients with Suspected Myocarditis"/>
                    <pic:cNvPicPr/>
                  </pic:nvPicPr>
                  <pic:blipFill rotWithShape="1">
                    <a:blip r:embed="rId17"/>
                    <a:srcRect t="3215"/>
                    <a:stretch/>
                  </pic:blipFill>
                  <pic:spPr bwMode="auto">
                    <a:xfrm>
                      <a:off x="0" y="0"/>
                      <a:ext cx="5737218" cy="2467554"/>
                    </a:xfrm>
                    <a:prstGeom prst="rect">
                      <a:avLst/>
                    </a:prstGeom>
                    <a:ln>
                      <a:noFill/>
                    </a:ln>
                    <a:extLst>
                      <a:ext uri="{53640926-AAD7-44D8-BBD7-CCE9431645EC}">
                        <a14:shadowObscured xmlns:a14="http://schemas.microsoft.com/office/drawing/2010/main"/>
                      </a:ext>
                    </a:extLst>
                  </pic:spPr>
                </pic:pic>
              </a:graphicData>
            </a:graphic>
          </wp:inline>
        </w:drawing>
      </w:r>
    </w:p>
    <w:p w14:paraId="2A85E02C" w14:textId="48CA945A" w:rsidR="00A03B35" w:rsidRDefault="002E3C54" w:rsidP="002E3C54">
      <w:pPr>
        <w:pStyle w:val="Caption"/>
        <w:jc w:val="both"/>
      </w:pPr>
      <w:bookmarkStart w:id="41" w:name="_Ref150342217"/>
      <w:bookmarkStart w:id="42" w:name="_Toc155173819"/>
      <w:r>
        <w:t xml:space="preserve">Figure </w:t>
      </w:r>
      <w:r>
        <w:fldChar w:fldCharType="begin"/>
      </w:r>
      <w:r>
        <w:instrText>SEQ Figure \* ARABIC</w:instrText>
      </w:r>
      <w:r>
        <w:fldChar w:fldCharType="separate"/>
      </w:r>
      <w:r w:rsidR="00883135">
        <w:rPr>
          <w:noProof/>
        </w:rPr>
        <w:t>2</w:t>
      </w:r>
      <w:r>
        <w:fldChar w:fldCharType="end"/>
      </w:r>
      <w:bookmarkEnd w:id="41"/>
      <w:r w:rsidR="003F25ED">
        <w:tab/>
      </w:r>
      <w:r w:rsidRPr="00FC64AE">
        <w:t xml:space="preserve">Annualized Event Rates Between LGE Presence and LGE Absence and LVEF in Patients </w:t>
      </w:r>
      <w:r w:rsidR="00DE029F">
        <w:t>w</w:t>
      </w:r>
      <w:r w:rsidRPr="00FC64AE">
        <w:t>ith Suspected Myocarditis</w:t>
      </w:r>
      <w:bookmarkEnd w:id="42"/>
    </w:p>
    <w:p w14:paraId="6CF5BF04" w14:textId="0F95D9D3" w:rsidR="00A03B35" w:rsidRDefault="00A03B35" w:rsidP="00D5703B">
      <w:pPr>
        <w:pStyle w:val="TableFooter"/>
      </w:pPr>
      <w:r>
        <w:t xml:space="preserve">Source: Figure </w:t>
      </w:r>
      <w:r w:rsidR="00AF69F5">
        <w:t>5</w:t>
      </w:r>
      <w:r>
        <w:t>, p</w:t>
      </w:r>
      <w:r w:rsidR="00AF69F5">
        <w:t>1794</w:t>
      </w:r>
      <w:r>
        <w:t xml:space="preserve"> of </w:t>
      </w:r>
      <w:proofErr w:type="spellStart"/>
      <w:r w:rsidR="00AF69F5">
        <w:t>Gräni</w:t>
      </w:r>
      <w:proofErr w:type="spellEnd"/>
      <w:r w:rsidR="00AF69F5">
        <w:t xml:space="preserve"> et al. (2017)</w:t>
      </w:r>
    </w:p>
    <w:p w14:paraId="3E65AB0E" w14:textId="53E1F6C1" w:rsidR="00AF69F5" w:rsidRDefault="00AF69F5" w:rsidP="00D5703B">
      <w:pPr>
        <w:pStyle w:val="TableFooter"/>
      </w:pPr>
      <w:r>
        <w:t>LGE = late gadolinium enhancement; LVEF = left ventricular ejection fraction; MACE = major cardiovascular adverse event.</w:t>
      </w:r>
    </w:p>
    <w:p w14:paraId="56E3C13B" w14:textId="77777777" w:rsidR="00A03B35" w:rsidRPr="00223664" w:rsidRDefault="00A03B35" w:rsidP="00895144">
      <w:pPr>
        <w:pStyle w:val="Heading3"/>
      </w:pPr>
      <w:bookmarkStart w:id="43" w:name="_Toc155189746"/>
      <w:r w:rsidRPr="00223664">
        <w:t>Clinical claim</w:t>
      </w:r>
      <w:bookmarkEnd w:id="43"/>
    </w:p>
    <w:p w14:paraId="0A376674" w14:textId="00BE54A1" w:rsidR="00A03B35" w:rsidRDefault="00A03B35" w:rsidP="00867E94">
      <w:bookmarkStart w:id="44" w:name="_Hlk149919888"/>
      <w:r>
        <w:t xml:space="preserve">The overall clinical claim made in the application </w:t>
      </w:r>
      <w:r w:rsidR="00931C10">
        <w:t>wa</w:t>
      </w:r>
      <w:r>
        <w:t xml:space="preserve">s that </w:t>
      </w:r>
      <w:r w:rsidR="003843F3">
        <w:t>cardiac MRI</w:t>
      </w:r>
      <w:r>
        <w:t xml:space="preserve"> provide</w:t>
      </w:r>
      <w:r w:rsidR="00931C10">
        <w:t>d</w:t>
      </w:r>
      <w:r>
        <w:t xml:space="preserve"> a more accurate diagnosis of myocarditis whilst avoiding a </w:t>
      </w:r>
      <w:r w:rsidR="00D33C4B">
        <w:t>potentially risky invasive procedure (e.g., EMB)</w:t>
      </w:r>
      <w:r>
        <w:t xml:space="preserve">. </w:t>
      </w:r>
      <w:bookmarkStart w:id="45" w:name="_Hlk149917142"/>
      <w:r w:rsidR="009D45E8">
        <w:t>The assessment group considered that t</w:t>
      </w:r>
      <w:r w:rsidRPr="00CE28E3">
        <w:t xml:space="preserve">he </w:t>
      </w:r>
      <w:r w:rsidR="00296FF0">
        <w:t xml:space="preserve">claim that the </w:t>
      </w:r>
      <w:r w:rsidRPr="00CE28E3">
        <w:t xml:space="preserve">use of </w:t>
      </w:r>
      <w:r w:rsidR="003843F3">
        <w:t>cardiac MRI</w:t>
      </w:r>
      <w:r>
        <w:t xml:space="preserve"> </w:t>
      </w:r>
      <w:r w:rsidRPr="00CE28E3">
        <w:t xml:space="preserve">results </w:t>
      </w:r>
      <w:r w:rsidRPr="00655513">
        <w:t>in superior</w:t>
      </w:r>
      <w:r w:rsidRPr="00CE28E3">
        <w:t xml:space="preserve"> effectiveness</w:t>
      </w:r>
      <w:r>
        <w:t xml:space="preserve"> in terms of diagnostic accuracy</w:t>
      </w:r>
      <w:r w:rsidRPr="00CE28E3">
        <w:t xml:space="preserve"> compared with </w:t>
      </w:r>
      <w:r>
        <w:t xml:space="preserve">clinical criteria/EMB </w:t>
      </w:r>
      <w:r w:rsidR="00931C10">
        <w:t>wa</w:t>
      </w:r>
      <w:r>
        <w:t>s reasonable because</w:t>
      </w:r>
      <w:r w:rsidR="00D5703B">
        <w:t>:</w:t>
      </w:r>
    </w:p>
    <w:p w14:paraId="6E817F1E" w14:textId="20C14FF3" w:rsidR="00D5703B" w:rsidRPr="00CE28E3" w:rsidRDefault="003843F3" w:rsidP="00DE0CD5">
      <w:pPr>
        <w:pStyle w:val="ListParagraph"/>
        <w:numPr>
          <w:ilvl w:val="0"/>
          <w:numId w:val="12"/>
        </w:numPr>
      </w:pPr>
      <w:r>
        <w:t>Cardiac MRI</w:t>
      </w:r>
      <w:r w:rsidR="00A03B35" w:rsidRPr="005D10CC">
        <w:t xml:space="preserve"> is reasonably good at diagnosing acute myocarditis</w:t>
      </w:r>
      <w:r w:rsidR="00A03B35">
        <w:t xml:space="preserve"> as associated with high sensitivity and specificity. The </w:t>
      </w:r>
      <w:r w:rsidR="0011662C">
        <w:t>meta-analysis</w:t>
      </w:r>
      <w:r w:rsidR="00A03B35">
        <w:t xml:space="preserve"> based on the 16 individual studies of updated systematic review reported high sensitivity and specificity values and of these studies, nine studies were low risk of bias. Therefore, based on the GRADE tool, quality of evidence for diagnostic accuracy </w:t>
      </w:r>
      <w:r w:rsidR="006933D2">
        <w:t>wa</w:t>
      </w:r>
      <w:r w:rsidR="00A03B35">
        <w:t>s moderate</w:t>
      </w:r>
      <w:r w:rsidR="00D95CE8">
        <w:t>.</w:t>
      </w:r>
      <w:bookmarkEnd w:id="45"/>
    </w:p>
    <w:p w14:paraId="7A3A94E9" w14:textId="3324DE3E" w:rsidR="00A03B35" w:rsidRDefault="00A03B35" w:rsidP="00DE0CD5">
      <w:pPr>
        <w:pStyle w:val="ListParagraph"/>
        <w:numPr>
          <w:ilvl w:val="0"/>
          <w:numId w:val="12"/>
        </w:numPr>
      </w:pPr>
      <w:r w:rsidRPr="00F15D57">
        <w:t>LGE</w:t>
      </w:r>
      <w:r w:rsidR="003009E7">
        <w:t xml:space="preserve"> with </w:t>
      </w:r>
      <w:r w:rsidR="003843F3">
        <w:t>cardiac MRI</w:t>
      </w:r>
      <w:r w:rsidRPr="00F15D57">
        <w:t xml:space="preserve"> is an important independent prognostic marker of increased risk of MACE and is useful for risk stratification and planning of follow-up for patients with myocarditis or clinically suspected myocarditis.</w:t>
      </w:r>
      <w:r>
        <w:t xml:space="preserve"> The quality of evidence available for the prognostic utility </w:t>
      </w:r>
      <w:r w:rsidR="006933D2">
        <w:t>wa</w:t>
      </w:r>
      <w:r>
        <w:t>s moderate.</w:t>
      </w:r>
    </w:p>
    <w:p w14:paraId="346FA8EE" w14:textId="3C15A1E1" w:rsidR="00A03B35" w:rsidRDefault="00A03B35" w:rsidP="00D5703B">
      <w:r>
        <w:t xml:space="preserve">It is expected that a more accurate diagnosis for myocarditis would increase the number of patients who receive the appropriate therapy for myocarditis leading to better resolution of symptoms and a lower incidence of potential lifelong anti-atherosclerotic therapies in these incorrectly diagnosed as symptomatic </w:t>
      </w:r>
      <w:r w:rsidR="00D95CE8">
        <w:t>CAD</w:t>
      </w:r>
      <w:r>
        <w:t xml:space="preserve">. However, there </w:t>
      </w:r>
      <w:r w:rsidR="005C5F1F">
        <w:t>wa</w:t>
      </w:r>
      <w:r>
        <w:t>s no specific evidence identified in the c</w:t>
      </w:r>
      <w:r w:rsidRPr="00CE28E3">
        <w:t xml:space="preserve">hange in </w:t>
      </w:r>
      <w:r>
        <w:t xml:space="preserve">management or health outcomes related to the use of </w:t>
      </w:r>
      <w:r w:rsidR="003843F3">
        <w:t>cardiac MRI</w:t>
      </w:r>
      <w:r>
        <w:t xml:space="preserve"> to diagnose acute myocarditis. Hence, evidence </w:t>
      </w:r>
      <w:r w:rsidR="00C27861">
        <w:t>wa</w:t>
      </w:r>
      <w:r>
        <w:t>s uncertain.</w:t>
      </w:r>
    </w:p>
    <w:p w14:paraId="3AB076B9" w14:textId="24EFFA16" w:rsidR="00A03B35" w:rsidRDefault="00A03B35" w:rsidP="00D5703B">
      <w:r w:rsidRPr="00CE28E3">
        <w:t xml:space="preserve">The use of </w:t>
      </w:r>
      <w:r w:rsidR="003843F3">
        <w:t>cardiac MRI</w:t>
      </w:r>
      <w:r w:rsidRPr="00CE28E3">
        <w:t xml:space="preserve"> results in</w:t>
      </w:r>
      <w:r>
        <w:t xml:space="preserve"> superior</w:t>
      </w:r>
      <w:r w:rsidRPr="00CE28E3">
        <w:t xml:space="preserve"> safety compared with </w:t>
      </w:r>
      <w:r>
        <w:t xml:space="preserve">EMB in terms of less adverse events </w:t>
      </w:r>
      <w:r w:rsidR="00C27861">
        <w:t>wa</w:t>
      </w:r>
      <w:r>
        <w:t>s reasonable because</w:t>
      </w:r>
      <w:r w:rsidR="00D5703B">
        <w:t>:</w:t>
      </w:r>
    </w:p>
    <w:p w14:paraId="1EC75CE5" w14:textId="2559E8C6" w:rsidR="00A03B35" w:rsidRDefault="003843F3" w:rsidP="00DE0CD5">
      <w:pPr>
        <w:pStyle w:val="ListParagraph"/>
        <w:numPr>
          <w:ilvl w:val="0"/>
          <w:numId w:val="11"/>
        </w:numPr>
      </w:pPr>
      <w:r>
        <w:t>Cardiac MRI</w:t>
      </w:r>
      <w:r w:rsidR="00A03B35">
        <w:t xml:space="preserve"> is a non-invasive test which utilizes a non-nephrotoxic contrast agent, so its safety profile is superior to current comparators such as invasive myocardial </w:t>
      </w:r>
      <w:r w:rsidR="00A03B35">
        <w:lastRenderedPageBreak/>
        <w:t xml:space="preserve">biopsy and invasive coronary angiography, though there </w:t>
      </w:r>
      <w:r w:rsidR="00C27861">
        <w:t>we</w:t>
      </w:r>
      <w:r w:rsidR="00A03B35">
        <w:t xml:space="preserve">re no direct comparative evidence related to the safety of </w:t>
      </w:r>
      <w:r>
        <w:t>cardiac MRI</w:t>
      </w:r>
      <w:r w:rsidR="00A03B35">
        <w:t xml:space="preserve"> and these invasive comparators.</w:t>
      </w:r>
    </w:p>
    <w:p w14:paraId="61436DD1" w14:textId="77777777" w:rsidR="00A03B35" w:rsidRDefault="00A03B35" w:rsidP="00DE0CD5">
      <w:pPr>
        <w:pStyle w:val="ListParagraph"/>
        <w:numPr>
          <w:ilvl w:val="0"/>
          <w:numId w:val="11"/>
        </w:numPr>
      </w:pPr>
      <w:r w:rsidRPr="004E5D61">
        <w:t>MRI imaging is undertaken widely in Australia for other conditions and the safety profile for them is generally accepted</w:t>
      </w:r>
      <w:r>
        <w:t>.</w:t>
      </w:r>
    </w:p>
    <w:p w14:paraId="72D8E6B4" w14:textId="6746E9C0" w:rsidR="00A03B35" w:rsidRDefault="00A03B35" w:rsidP="00D5703B">
      <w:r>
        <w:t xml:space="preserve">The available evidence related to diagnostic accuracy, prognostic accuracy and safety are reported generally as myocarditis patients </w:t>
      </w:r>
      <w:r w:rsidR="00AA5623">
        <w:t xml:space="preserve">with </w:t>
      </w:r>
      <w:r>
        <w:t>no</w:t>
      </w:r>
      <w:r w:rsidR="00AA5623">
        <w:t xml:space="preserve"> separate</w:t>
      </w:r>
      <w:r>
        <w:t xml:space="preserve"> evidence relevant </w:t>
      </w:r>
      <w:r w:rsidR="00AA5623">
        <w:t>to</w:t>
      </w:r>
      <w:r>
        <w:t xml:space="preserve"> </w:t>
      </w:r>
      <w:r w:rsidR="00500B37">
        <w:t>Population</w:t>
      </w:r>
      <w:r w:rsidR="00AA5623">
        <w:t>s</w:t>
      </w:r>
      <w:r>
        <w:t xml:space="preserve"> 1 and 2 </w:t>
      </w:r>
      <w:r w:rsidR="00AA5623">
        <w:t xml:space="preserve">as </w:t>
      </w:r>
      <w:r>
        <w:t xml:space="preserve">specified in the ratified PICO. Therefore, </w:t>
      </w:r>
      <w:r w:rsidR="00AA5623">
        <w:t xml:space="preserve">the clinical claim </w:t>
      </w:r>
      <w:r>
        <w:t>was unable to</w:t>
      </w:r>
      <w:r w:rsidR="00AA5623">
        <w:t xml:space="preserve"> be</w:t>
      </w:r>
      <w:r>
        <w:t xml:space="preserve"> assess</w:t>
      </w:r>
      <w:r w:rsidR="00AA5623">
        <w:t>ed</w:t>
      </w:r>
      <w:r>
        <w:t xml:space="preserve"> for each population separately.  </w:t>
      </w:r>
    </w:p>
    <w:p w14:paraId="0D09C9E4" w14:textId="0EA77A92" w:rsidR="00772829" w:rsidRPr="00CE28E3" w:rsidRDefault="00C36633" w:rsidP="002A18BE">
      <w:pPr>
        <w:pStyle w:val="Heading2"/>
        <w:numPr>
          <w:ilvl w:val="0"/>
          <w:numId w:val="0"/>
        </w:numPr>
      </w:pPr>
      <w:bookmarkStart w:id="46" w:name="_Toc155189747"/>
      <w:bookmarkEnd w:id="44"/>
      <w:r>
        <w:t>1</w:t>
      </w:r>
      <w:r w:rsidR="00F226F7">
        <w:t>3</w:t>
      </w:r>
      <w:r>
        <w:t>.</w:t>
      </w:r>
      <w:r>
        <w:tab/>
      </w:r>
      <w:r w:rsidR="00772829" w:rsidRPr="00CE28E3">
        <w:t>Economic evaluation</w:t>
      </w:r>
      <w:bookmarkEnd w:id="46"/>
    </w:p>
    <w:p w14:paraId="7A2D9980" w14:textId="6718D82C" w:rsidR="00603B21" w:rsidRPr="00603B21" w:rsidRDefault="00603B21" w:rsidP="00867E94">
      <w:bookmarkStart w:id="47" w:name="_Ref69725820"/>
      <w:r w:rsidRPr="00603B21">
        <w:t xml:space="preserve">The economic evaluation </w:t>
      </w:r>
      <w:r w:rsidR="00BB5D78">
        <w:t>wa</w:t>
      </w:r>
      <w:r w:rsidRPr="00603B21">
        <w:t xml:space="preserve">s a </w:t>
      </w:r>
      <w:r w:rsidR="00051740">
        <w:t>cost-effectiveness analysis (</w:t>
      </w:r>
      <w:r w:rsidRPr="00603B21">
        <w:t>CEA</w:t>
      </w:r>
      <w:r w:rsidR="00051740">
        <w:t>)</w:t>
      </w:r>
      <w:r w:rsidRPr="00603B21">
        <w:t>, using a modelled cost-utility analysis (CUA) of the proposed MBS listing in the two populations of interest.</w:t>
      </w:r>
    </w:p>
    <w:p w14:paraId="4266B444" w14:textId="77777777" w:rsidR="00603B21" w:rsidRPr="00603B21" w:rsidRDefault="00603B21" w:rsidP="00867E94">
      <w:r w:rsidRPr="00603B21">
        <w:t>Population 1: Patients with suspected myocarditis and signs and symptoms of acute onset cardiomyopathy (acute heart failure and/or arrythmia).</w:t>
      </w:r>
    </w:p>
    <w:p w14:paraId="7C6DF247" w14:textId="2164EAAC" w:rsidR="008D7220" w:rsidRDefault="00603B21" w:rsidP="00867E94">
      <w:r w:rsidRPr="00603B21">
        <w:t>Population 2: Patients with suspected myocarditis and signs and symptoms of acute coronary syndrome with an intermediate risk of obstructive coronary disease.</w:t>
      </w:r>
      <w:r w:rsidR="008D7220">
        <w:t xml:space="preserve"> </w:t>
      </w:r>
      <w:r w:rsidRPr="00603B21">
        <w:t xml:space="preserve">The overall approach was to </w:t>
      </w:r>
      <w:r w:rsidR="008D7220">
        <w:t>construct</w:t>
      </w:r>
      <w:r w:rsidR="008D7220" w:rsidRPr="00603B21">
        <w:t xml:space="preserve"> two</w:t>
      </w:r>
      <w:r w:rsidRPr="00603B21">
        <w:t xml:space="preserve"> separate decision models based on proposed management algorithms for the two populations, </w:t>
      </w:r>
      <w:r w:rsidR="009F7DAC" w:rsidRPr="00603B21">
        <w:t>to</w:t>
      </w:r>
      <w:r w:rsidRPr="00603B21">
        <w:t xml:space="preserve"> assess the costs and benefits of </w:t>
      </w:r>
      <w:r w:rsidR="000E5457">
        <w:t>cardiac MRI</w:t>
      </w:r>
      <w:r w:rsidRPr="00603B21">
        <w:t xml:space="preserve"> </w:t>
      </w:r>
      <w:r w:rsidR="008D7220">
        <w:t>in diagnosing acute myocarditis.</w:t>
      </w:r>
    </w:p>
    <w:p w14:paraId="6F4D8E3C" w14:textId="5EF24351" w:rsidR="00603B21" w:rsidRDefault="00603B21" w:rsidP="00867E94">
      <w:r w:rsidRPr="00603B21">
        <w:t xml:space="preserve">For </w:t>
      </w:r>
      <w:r w:rsidR="00500B37">
        <w:t>Population</w:t>
      </w:r>
      <w:r w:rsidRPr="00603B21">
        <w:t xml:space="preserve"> 1, </w:t>
      </w:r>
      <w:r w:rsidR="000E5457">
        <w:t>cardiac MRI</w:t>
      </w:r>
      <w:r w:rsidRPr="00603B21">
        <w:t xml:space="preserve"> </w:t>
      </w:r>
      <w:r w:rsidR="00BB5D78">
        <w:t>wa</w:t>
      </w:r>
      <w:r w:rsidRPr="00603B21">
        <w:t xml:space="preserve">s not expected to improve accuracy of diagnosis or replace EMB but rather inform the prognosis based on the presence/absence of LGE, and how LGE is associated with MACE. In </w:t>
      </w:r>
      <w:r w:rsidR="00500B37">
        <w:t>Population</w:t>
      </w:r>
      <w:r w:rsidRPr="00603B21">
        <w:t xml:space="preserve"> 2, </w:t>
      </w:r>
      <w:r w:rsidR="000E5457">
        <w:t>cardiac MRI</w:t>
      </w:r>
      <w:r w:rsidRPr="00603B21">
        <w:t xml:space="preserve"> </w:t>
      </w:r>
      <w:r w:rsidR="00C640BB">
        <w:t>wa</w:t>
      </w:r>
      <w:r w:rsidRPr="00603B21">
        <w:t xml:space="preserve">s expected to reduce the utilisation of CTCA with/without TTE, avoid invasive procedures such as ICA and inform long-term outcomes in the presence of LGE as described above. A summary of the economic evaluation is provided in </w:t>
      </w:r>
      <w:r w:rsidR="00895144">
        <w:fldChar w:fldCharType="begin"/>
      </w:r>
      <w:r w:rsidR="00895144">
        <w:instrText xml:space="preserve"> REF  _Ref150238093 \h  \* MERGEFORMAT </w:instrText>
      </w:r>
      <w:r w:rsidR="00895144">
        <w:fldChar w:fldCharType="separate"/>
      </w:r>
      <w:r w:rsidR="00093FC7">
        <w:t xml:space="preserve">Table </w:t>
      </w:r>
      <w:r w:rsidR="00093FC7">
        <w:rPr>
          <w:noProof/>
        </w:rPr>
        <w:t>7</w:t>
      </w:r>
      <w:r w:rsidR="00895144">
        <w:fldChar w:fldCharType="end"/>
      </w:r>
      <w:r>
        <w:t>.</w:t>
      </w:r>
    </w:p>
    <w:p w14:paraId="3C982A1B" w14:textId="0F2F91D1" w:rsidR="008D7220" w:rsidRDefault="008D7220" w:rsidP="008D7220">
      <w:pPr>
        <w:pStyle w:val="Caption"/>
      </w:pPr>
      <w:bookmarkStart w:id="48" w:name="_Ref150238093"/>
      <w:bookmarkStart w:id="49" w:name="_Toc155173767"/>
      <w:r>
        <w:t xml:space="preserve">Table </w:t>
      </w:r>
      <w:r>
        <w:fldChar w:fldCharType="begin"/>
      </w:r>
      <w:r>
        <w:instrText>SEQ Table \* ARABIC</w:instrText>
      </w:r>
      <w:r>
        <w:fldChar w:fldCharType="separate"/>
      </w:r>
      <w:r w:rsidR="00EE5F4F">
        <w:rPr>
          <w:noProof/>
        </w:rPr>
        <w:t>7</w:t>
      </w:r>
      <w:r>
        <w:fldChar w:fldCharType="end"/>
      </w:r>
      <w:bookmarkEnd w:id="48"/>
      <w:r w:rsidR="009C42B2">
        <w:tab/>
      </w:r>
      <w:r>
        <w:t>Summary of the economic evaluation</w:t>
      </w:r>
      <w:bookmarkEnd w:id="4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of the economic evaluation "/>
        <w:tblDescription w:val="This table describes the key constructs of the economic evaluation that is provided in the assessment report."/>
      </w:tblPr>
      <w:tblGrid>
        <w:gridCol w:w="1859"/>
        <w:gridCol w:w="3578"/>
        <w:gridCol w:w="3579"/>
      </w:tblGrid>
      <w:tr w:rsidR="009B121E" w14:paraId="40EDCD1C" w14:textId="77777777" w:rsidTr="009B121E">
        <w:trPr>
          <w:tblHeader/>
        </w:trPr>
        <w:tc>
          <w:tcPr>
            <w:tcW w:w="1031" w:type="pct"/>
            <w:vMerge w:val="restart"/>
            <w:tcBorders>
              <w:top w:val="single" w:sz="4" w:space="0" w:color="auto"/>
              <w:left w:val="single" w:sz="4" w:space="0" w:color="auto"/>
              <w:right w:val="single" w:sz="4" w:space="0" w:color="auto"/>
            </w:tcBorders>
            <w:hideMark/>
          </w:tcPr>
          <w:p w14:paraId="34941881" w14:textId="77777777" w:rsidR="009B121E" w:rsidRDefault="009B121E" w:rsidP="009B121E">
            <w:pPr>
              <w:spacing w:after="60"/>
              <w:rPr>
                <w:rFonts w:ascii="Arial Narrow" w:eastAsia="Calibri" w:hAnsi="Arial Narrow" w:cs="Courier New"/>
                <w:b/>
                <w:sz w:val="20"/>
                <w:szCs w:val="20"/>
              </w:rPr>
            </w:pPr>
            <w:r>
              <w:rPr>
                <w:rFonts w:ascii="Arial Narrow" w:eastAsia="Calibri" w:hAnsi="Arial Narrow" w:cs="Courier New"/>
                <w:b/>
                <w:sz w:val="20"/>
                <w:szCs w:val="20"/>
              </w:rPr>
              <w:t>Component</w:t>
            </w:r>
          </w:p>
        </w:tc>
        <w:tc>
          <w:tcPr>
            <w:tcW w:w="3969" w:type="pct"/>
            <w:gridSpan w:val="2"/>
            <w:tcBorders>
              <w:top w:val="single" w:sz="4" w:space="0" w:color="auto"/>
              <w:left w:val="single" w:sz="4" w:space="0" w:color="auto"/>
              <w:bottom w:val="single" w:sz="4" w:space="0" w:color="auto"/>
              <w:right w:val="single" w:sz="4" w:space="0" w:color="auto"/>
            </w:tcBorders>
            <w:hideMark/>
          </w:tcPr>
          <w:p w14:paraId="307CDB17" w14:textId="77777777" w:rsidR="009B121E" w:rsidRDefault="009B121E" w:rsidP="009B121E">
            <w:pPr>
              <w:spacing w:after="60"/>
              <w:rPr>
                <w:rFonts w:ascii="Arial Narrow" w:eastAsia="Calibri" w:hAnsi="Arial Narrow" w:cs="Times New Roman"/>
                <w:b/>
                <w:sz w:val="20"/>
              </w:rPr>
            </w:pPr>
            <w:r>
              <w:rPr>
                <w:rFonts w:ascii="Arial Narrow" w:eastAsia="Calibri" w:hAnsi="Arial Narrow" w:cs="Courier New"/>
                <w:b/>
                <w:sz w:val="20"/>
                <w:szCs w:val="20"/>
              </w:rPr>
              <w:t>Description</w:t>
            </w:r>
          </w:p>
        </w:tc>
      </w:tr>
      <w:tr w:rsidR="009B121E" w14:paraId="26DA1718" w14:textId="77777777" w:rsidTr="009B121E">
        <w:trPr>
          <w:tblHeader/>
        </w:trPr>
        <w:tc>
          <w:tcPr>
            <w:tcW w:w="1031" w:type="pct"/>
            <w:vMerge/>
            <w:tcBorders>
              <w:left w:val="single" w:sz="4" w:space="0" w:color="auto"/>
              <w:bottom w:val="single" w:sz="4" w:space="0" w:color="auto"/>
              <w:right w:val="single" w:sz="4" w:space="0" w:color="auto"/>
            </w:tcBorders>
          </w:tcPr>
          <w:p w14:paraId="7DE27725" w14:textId="77777777" w:rsidR="009B121E" w:rsidRDefault="009B121E" w:rsidP="009B121E">
            <w:pPr>
              <w:spacing w:before="40" w:after="40"/>
              <w:rPr>
                <w:rFonts w:ascii="Arial Narrow" w:eastAsia="Calibri" w:hAnsi="Arial Narrow" w:cs="Courier New"/>
                <w:sz w:val="20"/>
                <w:szCs w:val="20"/>
              </w:rPr>
            </w:pPr>
          </w:p>
        </w:tc>
        <w:tc>
          <w:tcPr>
            <w:tcW w:w="1984" w:type="pct"/>
            <w:tcBorders>
              <w:top w:val="single" w:sz="4" w:space="0" w:color="auto"/>
              <w:left w:val="single" w:sz="4" w:space="0" w:color="auto"/>
              <w:bottom w:val="single" w:sz="4" w:space="0" w:color="auto"/>
              <w:right w:val="single" w:sz="4" w:space="0" w:color="auto"/>
            </w:tcBorders>
            <w:hideMark/>
          </w:tcPr>
          <w:p w14:paraId="7401CDAF" w14:textId="77777777" w:rsidR="009B121E" w:rsidRDefault="009B121E" w:rsidP="009B121E">
            <w:pPr>
              <w:spacing w:before="40" w:after="40"/>
              <w:rPr>
                <w:rFonts w:ascii="Arial Narrow" w:eastAsia="Calibri" w:hAnsi="Arial Narrow" w:cs="Courier New"/>
                <w:b/>
                <w:bCs/>
                <w:sz w:val="20"/>
                <w:szCs w:val="20"/>
              </w:rPr>
            </w:pPr>
            <w:r>
              <w:rPr>
                <w:rFonts w:ascii="Arial Narrow" w:eastAsia="Calibri" w:hAnsi="Arial Narrow" w:cs="Courier New"/>
                <w:b/>
                <w:bCs/>
                <w:sz w:val="20"/>
                <w:szCs w:val="20"/>
              </w:rPr>
              <w:t>Population 1</w:t>
            </w:r>
          </w:p>
        </w:tc>
        <w:tc>
          <w:tcPr>
            <w:tcW w:w="1985" w:type="pct"/>
            <w:tcBorders>
              <w:top w:val="single" w:sz="4" w:space="0" w:color="auto"/>
              <w:left w:val="single" w:sz="4" w:space="0" w:color="auto"/>
              <w:bottom w:val="single" w:sz="4" w:space="0" w:color="auto"/>
              <w:right w:val="single" w:sz="4" w:space="0" w:color="auto"/>
            </w:tcBorders>
            <w:hideMark/>
          </w:tcPr>
          <w:p w14:paraId="043CAD89" w14:textId="77777777" w:rsidR="009B121E" w:rsidRDefault="009B121E" w:rsidP="009B121E">
            <w:pPr>
              <w:spacing w:before="40" w:after="40"/>
              <w:rPr>
                <w:rFonts w:ascii="Arial Narrow" w:eastAsia="Calibri" w:hAnsi="Arial Narrow" w:cs="Times New Roman"/>
                <w:b/>
                <w:bCs/>
                <w:color w:val="0070C0"/>
                <w:sz w:val="20"/>
                <w:szCs w:val="20"/>
              </w:rPr>
            </w:pPr>
            <w:r>
              <w:rPr>
                <w:rFonts w:ascii="Arial Narrow" w:eastAsia="Calibri" w:hAnsi="Arial Narrow" w:cs="Times New Roman"/>
                <w:b/>
                <w:bCs/>
                <w:sz w:val="20"/>
                <w:szCs w:val="20"/>
              </w:rPr>
              <w:t>Population 2</w:t>
            </w:r>
          </w:p>
        </w:tc>
      </w:tr>
      <w:tr w:rsidR="008D7220" w14:paraId="21C42728" w14:textId="77777777" w:rsidTr="009B121E">
        <w:tc>
          <w:tcPr>
            <w:tcW w:w="1031" w:type="pct"/>
            <w:tcBorders>
              <w:top w:val="single" w:sz="4" w:space="0" w:color="auto"/>
              <w:left w:val="single" w:sz="4" w:space="0" w:color="auto"/>
              <w:bottom w:val="single" w:sz="4" w:space="0" w:color="auto"/>
              <w:right w:val="single" w:sz="4" w:space="0" w:color="auto"/>
            </w:tcBorders>
            <w:hideMark/>
          </w:tcPr>
          <w:p w14:paraId="17B4C1A6" w14:textId="77777777" w:rsidR="008D7220" w:rsidRDefault="008D7220" w:rsidP="009B121E">
            <w:pPr>
              <w:spacing w:before="40" w:after="40"/>
              <w:rPr>
                <w:rFonts w:ascii="Arial Narrow" w:eastAsia="Calibri" w:hAnsi="Arial Narrow" w:cs="Courier New"/>
                <w:sz w:val="20"/>
                <w:szCs w:val="20"/>
              </w:rPr>
            </w:pPr>
            <w:r>
              <w:rPr>
                <w:rFonts w:ascii="Arial Narrow" w:eastAsia="Calibri" w:hAnsi="Arial Narrow" w:cs="Courier New"/>
                <w:sz w:val="20"/>
                <w:szCs w:val="20"/>
              </w:rPr>
              <w:t>Perspective</w:t>
            </w:r>
          </w:p>
        </w:tc>
        <w:tc>
          <w:tcPr>
            <w:tcW w:w="1984" w:type="pct"/>
            <w:tcBorders>
              <w:top w:val="single" w:sz="4" w:space="0" w:color="auto"/>
              <w:left w:val="single" w:sz="4" w:space="0" w:color="auto"/>
              <w:bottom w:val="single" w:sz="4" w:space="0" w:color="auto"/>
              <w:right w:val="single" w:sz="4" w:space="0" w:color="auto"/>
            </w:tcBorders>
            <w:hideMark/>
          </w:tcPr>
          <w:p w14:paraId="0C75AD30" w14:textId="57D5BEF6" w:rsidR="008D7220" w:rsidRDefault="008D7220" w:rsidP="009B121E">
            <w:pPr>
              <w:spacing w:before="40" w:after="40"/>
              <w:rPr>
                <w:rFonts w:ascii="Arial Narrow" w:eastAsia="Calibri" w:hAnsi="Arial Narrow" w:cs="Courier New"/>
                <w:sz w:val="20"/>
                <w:szCs w:val="20"/>
              </w:rPr>
            </w:pPr>
            <w:r>
              <w:rPr>
                <w:rFonts w:ascii="Arial Narrow" w:eastAsia="Calibri" w:hAnsi="Arial Narrow" w:cs="Arial"/>
                <w:color w:val="000000" w:themeColor="text1"/>
                <w:sz w:val="20"/>
                <w:szCs w:val="20"/>
              </w:rPr>
              <w:t>Australian healthcare</w:t>
            </w:r>
            <w:r w:rsidR="00075762">
              <w:rPr>
                <w:rFonts w:ascii="Arial Narrow" w:eastAsia="Calibri" w:hAnsi="Arial Narrow" w:cs="Arial"/>
                <w:color w:val="000000" w:themeColor="text1"/>
                <w:sz w:val="20"/>
                <w:szCs w:val="20"/>
              </w:rPr>
              <w:t xml:space="preserve"> system</w:t>
            </w:r>
          </w:p>
        </w:tc>
        <w:tc>
          <w:tcPr>
            <w:tcW w:w="1985" w:type="pct"/>
            <w:tcBorders>
              <w:top w:val="single" w:sz="4" w:space="0" w:color="auto"/>
              <w:left w:val="single" w:sz="4" w:space="0" w:color="auto"/>
              <w:bottom w:val="single" w:sz="4" w:space="0" w:color="auto"/>
              <w:right w:val="single" w:sz="4" w:space="0" w:color="auto"/>
            </w:tcBorders>
            <w:hideMark/>
          </w:tcPr>
          <w:p w14:paraId="1981C08A" w14:textId="211BDF51" w:rsidR="008D7220" w:rsidRDefault="008D7220" w:rsidP="009B121E">
            <w:pPr>
              <w:spacing w:before="40" w:after="40"/>
              <w:rPr>
                <w:rFonts w:ascii="Arial Narrow" w:eastAsia="Calibri" w:hAnsi="Arial Narrow" w:cs="Times New Roman"/>
                <w:color w:val="0070C0"/>
                <w:sz w:val="20"/>
                <w:szCs w:val="20"/>
              </w:rPr>
            </w:pPr>
            <w:r>
              <w:rPr>
                <w:rFonts w:ascii="Arial Narrow" w:eastAsia="Calibri" w:hAnsi="Arial Narrow" w:cs="Arial"/>
                <w:color w:val="000000" w:themeColor="text1"/>
                <w:sz w:val="20"/>
                <w:szCs w:val="20"/>
              </w:rPr>
              <w:t>Australian healthcare</w:t>
            </w:r>
            <w:r w:rsidR="00075762">
              <w:rPr>
                <w:rFonts w:ascii="Arial Narrow" w:eastAsia="Calibri" w:hAnsi="Arial Narrow" w:cs="Arial"/>
                <w:color w:val="000000" w:themeColor="text1"/>
                <w:sz w:val="20"/>
                <w:szCs w:val="20"/>
              </w:rPr>
              <w:t xml:space="preserve"> system</w:t>
            </w:r>
          </w:p>
        </w:tc>
      </w:tr>
      <w:tr w:rsidR="008D7220" w14:paraId="26FAA43C" w14:textId="77777777" w:rsidTr="009B121E">
        <w:tc>
          <w:tcPr>
            <w:tcW w:w="1031" w:type="pct"/>
            <w:tcBorders>
              <w:top w:val="single" w:sz="4" w:space="0" w:color="auto"/>
              <w:left w:val="single" w:sz="4" w:space="0" w:color="auto"/>
              <w:bottom w:val="single" w:sz="4" w:space="0" w:color="auto"/>
              <w:right w:val="single" w:sz="4" w:space="0" w:color="auto"/>
            </w:tcBorders>
            <w:hideMark/>
          </w:tcPr>
          <w:p w14:paraId="7D1EE5C5" w14:textId="77777777" w:rsidR="008D7220" w:rsidRDefault="008D7220" w:rsidP="009B121E">
            <w:pPr>
              <w:spacing w:before="40" w:after="40"/>
              <w:rPr>
                <w:rFonts w:ascii="Arial Narrow" w:eastAsia="Calibri" w:hAnsi="Arial Narrow" w:cs="Courier New"/>
                <w:sz w:val="20"/>
                <w:szCs w:val="20"/>
              </w:rPr>
            </w:pPr>
            <w:r>
              <w:rPr>
                <w:rFonts w:ascii="Arial Narrow" w:eastAsia="Calibri" w:hAnsi="Arial Narrow" w:cs="Courier New"/>
                <w:sz w:val="20"/>
                <w:szCs w:val="20"/>
              </w:rPr>
              <w:t>Population</w:t>
            </w:r>
          </w:p>
        </w:tc>
        <w:tc>
          <w:tcPr>
            <w:tcW w:w="1984" w:type="pct"/>
            <w:tcBorders>
              <w:top w:val="single" w:sz="4" w:space="0" w:color="auto"/>
              <w:left w:val="single" w:sz="4" w:space="0" w:color="auto"/>
              <w:bottom w:val="single" w:sz="4" w:space="0" w:color="auto"/>
              <w:right w:val="single" w:sz="4" w:space="0" w:color="auto"/>
            </w:tcBorders>
            <w:hideMark/>
          </w:tcPr>
          <w:p w14:paraId="2561B845" w14:textId="104ECD01" w:rsidR="008D7220" w:rsidRDefault="008D7220" w:rsidP="009B121E">
            <w:pPr>
              <w:spacing w:before="40" w:after="40"/>
              <w:rPr>
                <w:rFonts w:ascii="Arial Narrow" w:eastAsia="Calibri" w:hAnsi="Arial Narrow" w:cs="Courier New"/>
                <w:color w:val="258221"/>
                <w:sz w:val="20"/>
                <w:szCs w:val="20"/>
              </w:rPr>
            </w:pPr>
            <w:r>
              <w:rPr>
                <w:rFonts w:ascii="Arial Narrow" w:eastAsia="Calibri" w:hAnsi="Arial Narrow" w:cs="Arial"/>
                <w:color w:val="000000" w:themeColor="text1"/>
                <w:sz w:val="20"/>
                <w:szCs w:val="20"/>
              </w:rPr>
              <w:t xml:space="preserve">Patients with </w:t>
            </w:r>
            <w:r w:rsidR="000C300F">
              <w:rPr>
                <w:rFonts w:ascii="Arial Narrow" w:eastAsia="Calibri" w:hAnsi="Arial Narrow" w:cs="Arial"/>
                <w:color w:val="000000" w:themeColor="text1"/>
                <w:sz w:val="20"/>
                <w:szCs w:val="20"/>
              </w:rPr>
              <w:t xml:space="preserve">signs and symptoms of </w:t>
            </w:r>
            <w:r>
              <w:rPr>
                <w:rFonts w:ascii="Arial Narrow" w:eastAsia="Calibri" w:hAnsi="Arial Narrow" w:cs="Arial"/>
                <w:color w:val="000000" w:themeColor="text1"/>
                <w:sz w:val="20"/>
                <w:szCs w:val="20"/>
              </w:rPr>
              <w:t>acute onset cardiomyopathy</w:t>
            </w:r>
          </w:p>
        </w:tc>
        <w:tc>
          <w:tcPr>
            <w:tcW w:w="1985" w:type="pct"/>
            <w:tcBorders>
              <w:top w:val="single" w:sz="4" w:space="0" w:color="auto"/>
              <w:left w:val="single" w:sz="4" w:space="0" w:color="auto"/>
              <w:bottom w:val="single" w:sz="4" w:space="0" w:color="auto"/>
              <w:right w:val="single" w:sz="4" w:space="0" w:color="auto"/>
            </w:tcBorders>
            <w:hideMark/>
          </w:tcPr>
          <w:p w14:paraId="30E6F2BA" w14:textId="14410A11" w:rsidR="008D7220" w:rsidRDefault="008D7220" w:rsidP="009B121E">
            <w:pPr>
              <w:spacing w:before="40" w:after="40"/>
              <w:rPr>
                <w:rFonts w:ascii="Arial Narrow" w:eastAsia="Calibri" w:hAnsi="Arial Narrow" w:cs="Times New Roman"/>
                <w:color w:val="0070C0"/>
                <w:sz w:val="20"/>
                <w:szCs w:val="20"/>
              </w:rPr>
            </w:pPr>
            <w:r>
              <w:rPr>
                <w:rFonts w:ascii="Arial Narrow" w:eastAsia="Calibri" w:hAnsi="Arial Narrow" w:cs="Arial"/>
                <w:color w:val="000000" w:themeColor="text1"/>
                <w:sz w:val="20"/>
                <w:szCs w:val="20"/>
              </w:rPr>
              <w:t xml:space="preserve">Patients with </w:t>
            </w:r>
            <w:r w:rsidR="00D96733">
              <w:rPr>
                <w:rFonts w:ascii="Arial Narrow" w:eastAsia="Calibri" w:hAnsi="Arial Narrow" w:cs="Arial"/>
                <w:color w:val="000000" w:themeColor="text1"/>
                <w:sz w:val="20"/>
                <w:szCs w:val="20"/>
              </w:rPr>
              <w:t xml:space="preserve">signs and symptoms of </w:t>
            </w:r>
            <w:r>
              <w:rPr>
                <w:rFonts w:ascii="Arial Narrow" w:eastAsia="Calibri" w:hAnsi="Arial Narrow" w:cs="Arial"/>
                <w:color w:val="000000" w:themeColor="text1"/>
                <w:sz w:val="20"/>
                <w:szCs w:val="20"/>
              </w:rPr>
              <w:t>ACS and intermediate risk of obstructive CAD</w:t>
            </w:r>
          </w:p>
        </w:tc>
      </w:tr>
      <w:tr w:rsidR="008D7220" w14:paraId="0D3C377C" w14:textId="77777777" w:rsidTr="009B121E">
        <w:tc>
          <w:tcPr>
            <w:tcW w:w="1031" w:type="pct"/>
            <w:tcBorders>
              <w:top w:val="single" w:sz="4" w:space="0" w:color="auto"/>
              <w:left w:val="single" w:sz="4" w:space="0" w:color="auto"/>
              <w:bottom w:val="single" w:sz="4" w:space="0" w:color="auto"/>
              <w:right w:val="single" w:sz="4" w:space="0" w:color="auto"/>
            </w:tcBorders>
            <w:hideMark/>
          </w:tcPr>
          <w:p w14:paraId="787B6364" w14:textId="77777777" w:rsidR="008D7220" w:rsidRDefault="008D7220" w:rsidP="009B121E">
            <w:pPr>
              <w:spacing w:before="40" w:after="40"/>
              <w:rPr>
                <w:rFonts w:ascii="Arial Narrow" w:eastAsia="Calibri" w:hAnsi="Arial Narrow" w:cs="Courier New"/>
                <w:sz w:val="20"/>
                <w:szCs w:val="20"/>
              </w:rPr>
            </w:pPr>
            <w:r>
              <w:rPr>
                <w:rFonts w:ascii="Arial Narrow" w:eastAsia="Calibri" w:hAnsi="Arial Narrow" w:cs="Courier New"/>
                <w:sz w:val="20"/>
                <w:szCs w:val="20"/>
              </w:rPr>
              <w:t>Prior testing</w:t>
            </w:r>
          </w:p>
        </w:tc>
        <w:tc>
          <w:tcPr>
            <w:tcW w:w="1984" w:type="pct"/>
            <w:tcBorders>
              <w:top w:val="single" w:sz="4" w:space="0" w:color="auto"/>
              <w:left w:val="single" w:sz="4" w:space="0" w:color="auto"/>
              <w:bottom w:val="single" w:sz="4" w:space="0" w:color="auto"/>
              <w:right w:val="single" w:sz="4" w:space="0" w:color="auto"/>
            </w:tcBorders>
            <w:hideMark/>
          </w:tcPr>
          <w:p w14:paraId="30A0EC1D" w14:textId="77777777" w:rsidR="008D7220" w:rsidRDefault="008D7220" w:rsidP="009B121E">
            <w:pPr>
              <w:spacing w:before="40" w:after="40"/>
              <w:rPr>
                <w:rFonts w:ascii="Arial Narrow" w:eastAsia="Calibri" w:hAnsi="Arial Narrow" w:cs="Courier New"/>
                <w:sz w:val="20"/>
                <w:szCs w:val="20"/>
              </w:rPr>
            </w:pPr>
            <w:r>
              <w:rPr>
                <w:rFonts w:ascii="Arial Narrow" w:eastAsia="Calibri" w:hAnsi="Arial Narrow" w:cs="Arial"/>
                <w:color w:val="000000" w:themeColor="text1"/>
                <w:sz w:val="20"/>
                <w:szCs w:val="20"/>
              </w:rPr>
              <w:t>Blood (including troponins), ECG, CXR, TTE</w:t>
            </w:r>
          </w:p>
        </w:tc>
        <w:tc>
          <w:tcPr>
            <w:tcW w:w="1985" w:type="pct"/>
            <w:tcBorders>
              <w:top w:val="single" w:sz="4" w:space="0" w:color="auto"/>
              <w:left w:val="single" w:sz="4" w:space="0" w:color="auto"/>
              <w:bottom w:val="single" w:sz="4" w:space="0" w:color="auto"/>
              <w:right w:val="single" w:sz="4" w:space="0" w:color="auto"/>
            </w:tcBorders>
            <w:hideMark/>
          </w:tcPr>
          <w:p w14:paraId="288EE6E2" w14:textId="295B4B71" w:rsidR="008D7220" w:rsidRDefault="008D7220" w:rsidP="009B121E">
            <w:pPr>
              <w:spacing w:before="40" w:after="40"/>
              <w:rPr>
                <w:rFonts w:ascii="Arial Narrow" w:eastAsia="Calibri" w:hAnsi="Arial Narrow" w:cs="Times New Roman"/>
                <w:color w:val="0070C0"/>
                <w:sz w:val="20"/>
                <w:szCs w:val="20"/>
              </w:rPr>
            </w:pPr>
            <w:r>
              <w:rPr>
                <w:rFonts w:ascii="Arial Narrow" w:eastAsia="Calibri" w:hAnsi="Arial Narrow" w:cs="Arial"/>
                <w:color w:val="000000" w:themeColor="text1"/>
                <w:sz w:val="20"/>
                <w:szCs w:val="20"/>
              </w:rPr>
              <w:t>Blood (including troponins), ECG, CXR</w:t>
            </w:r>
            <w:r w:rsidR="002A5B88">
              <w:rPr>
                <w:rFonts w:ascii="Arial Narrow" w:eastAsia="Calibri" w:hAnsi="Arial Narrow" w:cs="Arial"/>
                <w:color w:val="000000" w:themeColor="text1"/>
                <w:sz w:val="20"/>
                <w:szCs w:val="20"/>
              </w:rPr>
              <w:t>, stress ECHO</w:t>
            </w:r>
          </w:p>
        </w:tc>
      </w:tr>
      <w:tr w:rsidR="008D7220" w14:paraId="7E0B014F" w14:textId="77777777" w:rsidTr="009B121E">
        <w:tc>
          <w:tcPr>
            <w:tcW w:w="1031" w:type="pct"/>
            <w:tcBorders>
              <w:top w:val="single" w:sz="4" w:space="0" w:color="auto"/>
              <w:left w:val="single" w:sz="4" w:space="0" w:color="auto"/>
              <w:bottom w:val="single" w:sz="4" w:space="0" w:color="auto"/>
              <w:right w:val="single" w:sz="4" w:space="0" w:color="auto"/>
            </w:tcBorders>
            <w:hideMark/>
          </w:tcPr>
          <w:p w14:paraId="5A29392E" w14:textId="77777777" w:rsidR="008D7220" w:rsidRDefault="008D7220" w:rsidP="009B121E">
            <w:pPr>
              <w:spacing w:before="40" w:after="40"/>
              <w:rPr>
                <w:rFonts w:ascii="Arial Narrow" w:eastAsia="Calibri" w:hAnsi="Arial Narrow" w:cs="Courier New"/>
                <w:sz w:val="20"/>
                <w:szCs w:val="20"/>
              </w:rPr>
            </w:pPr>
            <w:r>
              <w:rPr>
                <w:rFonts w:ascii="Arial Narrow" w:eastAsia="Calibri" w:hAnsi="Arial Narrow" w:cs="Courier New"/>
                <w:sz w:val="20"/>
                <w:szCs w:val="20"/>
              </w:rPr>
              <w:t>Comparator</w:t>
            </w:r>
          </w:p>
        </w:tc>
        <w:tc>
          <w:tcPr>
            <w:tcW w:w="1984" w:type="pct"/>
            <w:tcBorders>
              <w:top w:val="single" w:sz="4" w:space="0" w:color="auto"/>
              <w:left w:val="single" w:sz="4" w:space="0" w:color="auto"/>
              <w:bottom w:val="single" w:sz="4" w:space="0" w:color="auto"/>
              <w:right w:val="single" w:sz="4" w:space="0" w:color="auto"/>
            </w:tcBorders>
            <w:hideMark/>
          </w:tcPr>
          <w:p w14:paraId="7A838F32" w14:textId="77777777" w:rsidR="008D7220" w:rsidRDefault="008D7220" w:rsidP="009B121E">
            <w:pPr>
              <w:spacing w:before="40" w:after="40"/>
              <w:rPr>
                <w:rFonts w:ascii="Arial Narrow" w:eastAsia="Calibri" w:hAnsi="Arial Narrow" w:cs="Courier New"/>
                <w:sz w:val="20"/>
                <w:szCs w:val="20"/>
              </w:rPr>
            </w:pPr>
            <w:r>
              <w:rPr>
                <w:rFonts w:ascii="Arial Narrow" w:eastAsia="Calibri" w:hAnsi="Arial Narrow" w:cs="Arial"/>
                <w:color w:val="000000" w:themeColor="text1"/>
                <w:sz w:val="20"/>
                <w:szCs w:val="20"/>
              </w:rPr>
              <w:t>Standard management of patients with acute-onset cardiomyopathy without cardiac MRI and with/without EMB</w:t>
            </w:r>
          </w:p>
        </w:tc>
        <w:tc>
          <w:tcPr>
            <w:tcW w:w="1985" w:type="pct"/>
            <w:tcBorders>
              <w:top w:val="single" w:sz="4" w:space="0" w:color="auto"/>
              <w:left w:val="single" w:sz="4" w:space="0" w:color="auto"/>
              <w:bottom w:val="single" w:sz="4" w:space="0" w:color="auto"/>
              <w:right w:val="single" w:sz="4" w:space="0" w:color="auto"/>
            </w:tcBorders>
            <w:hideMark/>
          </w:tcPr>
          <w:p w14:paraId="24196A2D" w14:textId="77777777" w:rsidR="008D7220" w:rsidRDefault="008D7220" w:rsidP="009B121E">
            <w:pPr>
              <w:spacing w:before="40" w:after="40"/>
              <w:rPr>
                <w:rFonts w:ascii="Arial Narrow" w:eastAsia="Calibri" w:hAnsi="Arial Narrow" w:cs="Times New Roman"/>
                <w:color w:val="0070C0"/>
                <w:sz w:val="20"/>
                <w:szCs w:val="20"/>
              </w:rPr>
            </w:pPr>
            <w:r>
              <w:rPr>
                <w:rFonts w:ascii="Arial Narrow" w:eastAsia="Calibri" w:hAnsi="Arial Narrow" w:cs="Arial"/>
                <w:color w:val="000000" w:themeColor="text1"/>
                <w:sz w:val="20"/>
                <w:szCs w:val="20"/>
              </w:rPr>
              <w:t>Standard management of intermediate-risk ACS without cardiac MRI, including CTCA with/without TTE and with/without EMB</w:t>
            </w:r>
          </w:p>
        </w:tc>
      </w:tr>
      <w:tr w:rsidR="008D7220" w14:paraId="20E38550" w14:textId="77777777" w:rsidTr="009B121E">
        <w:tc>
          <w:tcPr>
            <w:tcW w:w="1031" w:type="pct"/>
            <w:tcBorders>
              <w:top w:val="single" w:sz="4" w:space="0" w:color="auto"/>
              <w:left w:val="single" w:sz="4" w:space="0" w:color="auto"/>
              <w:bottom w:val="single" w:sz="4" w:space="0" w:color="auto"/>
              <w:right w:val="single" w:sz="4" w:space="0" w:color="auto"/>
            </w:tcBorders>
            <w:hideMark/>
          </w:tcPr>
          <w:p w14:paraId="073E200D" w14:textId="77777777" w:rsidR="008D7220" w:rsidRDefault="008D7220" w:rsidP="009B121E">
            <w:pPr>
              <w:spacing w:before="40" w:after="40"/>
              <w:rPr>
                <w:rFonts w:ascii="Arial Narrow" w:eastAsia="Calibri" w:hAnsi="Arial Narrow" w:cs="Courier New"/>
                <w:sz w:val="20"/>
                <w:szCs w:val="20"/>
              </w:rPr>
            </w:pPr>
            <w:r>
              <w:rPr>
                <w:rFonts w:ascii="Arial Narrow" w:eastAsia="Calibri" w:hAnsi="Arial Narrow" w:cs="Courier New"/>
                <w:sz w:val="20"/>
                <w:szCs w:val="20"/>
              </w:rPr>
              <w:t>Type(s) of analysis</w:t>
            </w:r>
          </w:p>
        </w:tc>
        <w:tc>
          <w:tcPr>
            <w:tcW w:w="1984" w:type="pct"/>
            <w:tcBorders>
              <w:top w:val="single" w:sz="4" w:space="0" w:color="auto"/>
              <w:left w:val="single" w:sz="4" w:space="0" w:color="auto"/>
              <w:bottom w:val="single" w:sz="4" w:space="0" w:color="auto"/>
              <w:right w:val="single" w:sz="4" w:space="0" w:color="auto"/>
            </w:tcBorders>
            <w:hideMark/>
          </w:tcPr>
          <w:p w14:paraId="75603902" w14:textId="77777777" w:rsidR="008D7220" w:rsidRDefault="008D7220" w:rsidP="009B121E">
            <w:pPr>
              <w:spacing w:before="40" w:after="40"/>
              <w:rPr>
                <w:rFonts w:ascii="Arial Narrow" w:eastAsia="Calibri" w:hAnsi="Arial Narrow" w:cs="Courier New"/>
                <w:sz w:val="20"/>
                <w:szCs w:val="20"/>
              </w:rPr>
            </w:pPr>
            <w:r>
              <w:rPr>
                <w:rFonts w:ascii="Arial Narrow" w:eastAsia="Calibri" w:hAnsi="Arial Narrow" w:cs="Arial"/>
                <w:color w:val="000000" w:themeColor="text1"/>
                <w:sz w:val="20"/>
                <w:szCs w:val="20"/>
              </w:rPr>
              <w:t>Cost-effectiveness analysis</w:t>
            </w:r>
          </w:p>
        </w:tc>
        <w:tc>
          <w:tcPr>
            <w:tcW w:w="1985" w:type="pct"/>
            <w:tcBorders>
              <w:top w:val="single" w:sz="4" w:space="0" w:color="auto"/>
              <w:left w:val="single" w:sz="4" w:space="0" w:color="auto"/>
              <w:bottom w:val="single" w:sz="4" w:space="0" w:color="auto"/>
              <w:right w:val="single" w:sz="4" w:space="0" w:color="auto"/>
            </w:tcBorders>
            <w:hideMark/>
          </w:tcPr>
          <w:p w14:paraId="0777FAF7" w14:textId="77777777" w:rsidR="008D7220" w:rsidRDefault="008D7220" w:rsidP="009B121E">
            <w:pPr>
              <w:spacing w:before="40" w:after="40"/>
              <w:rPr>
                <w:rFonts w:ascii="Arial Narrow" w:eastAsia="Calibri" w:hAnsi="Arial Narrow" w:cs="Times New Roman"/>
                <w:color w:val="0070C0"/>
                <w:sz w:val="20"/>
                <w:szCs w:val="20"/>
              </w:rPr>
            </w:pPr>
            <w:r>
              <w:rPr>
                <w:rFonts w:ascii="Arial Narrow" w:eastAsia="Calibri" w:hAnsi="Arial Narrow" w:cs="Arial"/>
                <w:color w:val="000000" w:themeColor="text1"/>
                <w:sz w:val="20"/>
                <w:szCs w:val="20"/>
              </w:rPr>
              <w:t>Cost-effectiveness analysis</w:t>
            </w:r>
          </w:p>
        </w:tc>
      </w:tr>
      <w:tr w:rsidR="008D7220" w14:paraId="66BFE6C7" w14:textId="77777777" w:rsidTr="009B121E">
        <w:tc>
          <w:tcPr>
            <w:tcW w:w="1031" w:type="pct"/>
            <w:tcBorders>
              <w:top w:val="single" w:sz="4" w:space="0" w:color="auto"/>
              <w:left w:val="single" w:sz="4" w:space="0" w:color="auto"/>
              <w:bottom w:val="single" w:sz="4" w:space="0" w:color="auto"/>
              <w:right w:val="single" w:sz="4" w:space="0" w:color="auto"/>
            </w:tcBorders>
            <w:hideMark/>
          </w:tcPr>
          <w:p w14:paraId="537E0EA6" w14:textId="77777777" w:rsidR="008D7220" w:rsidRDefault="008D7220" w:rsidP="009B121E">
            <w:pPr>
              <w:spacing w:before="40" w:after="40"/>
              <w:rPr>
                <w:rFonts w:ascii="Arial Narrow" w:eastAsia="Calibri" w:hAnsi="Arial Narrow" w:cs="Courier New"/>
                <w:sz w:val="20"/>
                <w:szCs w:val="20"/>
              </w:rPr>
            </w:pPr>
            <w:r>
              <w:rPr>
                <w:rFonts w:ascii="Arial Narrow" w:eastAsia="Calibri" w:hAnsi="Arial Narrow" w:cs="Courier New"/>
                <w:sz w:val="20"/>
                <w:szCs w:val="20"/>
              </w:rPr>
              <w:t>Outcomes</w:t>
            </w:r>
          </w:p>
        </w:tc>
        <w:tc>
          <w:tcPr>
            <w:tcW w:w="1984" w:type="pct"/>
            <w:tcBorders>
              <w:top w:val="single" w:sz="4" w:space="0" w:color="auto"/>
              <w:left w:val="single" w:sz="4" w:space="0" w:color="auto"/>
              <w:bottom w:val="single" w:sz="4" w:space="0" w:color="auto"/>
              <w:right w:val="single" w:sz="4" w:space="0" w:color="auto"/>
            </w:tcBorders>
            <w:hideMark/>
          </w:tcPr>
          <w:p w14:paraId="2604E62D" w14:textId="77777777" w:rsidR="008D7220" w:rsidRDefault="008D7220" w:rsidP="009B121E">
            <w:pPr>
              <w:spacing w:before="40" w:after="40"/>
              <w:rPr>
                <w:rFonts w:ascii="Arial Narrow" w:eastAsia="Calibri" w:hAnsi="Arial Narrow" w:cs="Courier New"/>
                <w:sz w:val="20"/>
                <w:szCs w:val="20"/>
              </w:rPr>
            </w:pPr>
            <w:r>
              <w:rPr>
                <w:rFonts w:ascii="Arial Narrow" w:eastAsia="Calibri" w:hAnsi="Arial Narrow" w:cs="Arial"/>
                <w:color w:val="000000" w:themeColor="text1"/>
                <w:sz w:val="20"/>
                <w:szCs w:val="20"/>
              </w:rPr>
              <w:t>Incremental costs per QALY</w:t>
            </w:r>
          </w:p>
        </w:tc>
        <w:tc>
          <w:tcPr>
            <w:tcW w:w="1985" w:type="pct"/>
            <w:tcBorders>
              <w:top w:val="single" w:sz="4" w:space="0" w:color="auto"/>
              <w:left w:val="single" w:sz="4" w:space="0" w:color="auto"/>
              <w:bottom w:val="single" w:sz="4" w:space="0" w:color="auto"/>
              <w:right w:val="single" w:sz="4" w:space="0" w:color="auto"/>
            </w:tcBorders>
            <w:hideMark/>
          </w:tcPr>
          <w:p w14:paraId="24FF0718" w14:textId="77777777" w:rsidR="008D7220" w:rsidRDefault="008D7220" w:rsidP="009B121E">
            <w:pPr>
              <w:spacing w:before="40" w:after="40"/>
              <w:rPr>
                <w:rFonts w:ascii="Arial Narrow" w:eastAsia="Calibri" w:hAnsi="Arial Narrow" w:cs="Times New Roman"/>
                <w:color w:val="0070C0"/>
                <w:sz w:val="20"/>
                <w:szCs w:val="20"/>
              </w:rPr>
            </w:pPr>
            <w:r>
              <w:rPr>
                <w:rFonts w:ascii="Arial Narrow" w:eastAsia="Calibri" w:hAnsi="Arial Narrow" w:cs="Arial"/>
                <w:color w:val="000000" w:themeColor="text1"/>
                <w:sz w:val="20"/>
                <w:szCs w:val="20"/>
              </w:rPr>
              <w:t>Incremental costs per QALY</w:t>
            </w:r>
          </w:p>
        </w:tc>
      </w:tr>
      <w:tr w:rsidR="008D7220" w14:paraId="4479F924" w14:textId="77777777" w:rsidTr="009B121E">
        <w:tc>
          <w:tcPr>
            <w:tcW w:w="1031" w:type="pct"/>
            <w:tcBorders>
              <w:top w:val="single" w:sz="4" w:space="0" w:color="auto"/>
              <w:left w:val="single" w:sz="4" w:space="0" w:color="auto"/>
              <w:bottom w:val="single" w:sz="4" w:space="0" w:color="auto"/>
              <w:right w:val="single" w:sz="4" w:space="0" w:color="auto"/>
            </w:tcBorders>
            <w:hideMark/>
          </w:tcPr>
          <w:p w14:paraId="6B054FEF" w14:textId="77777777" w:rsidR="008D7220" w:rsidRDefault="008D7220" w:rsidP="009B121E">
            <w:pPr>
              <w:spacing w:before="40" w:after="40"/>
              <w:rPr>
                <w:rFonts w:ascii="Arial Narrow" w:eastAsia="Calibri" w:hAnsi="Arial Narrow" w:cs="Courier New"/>
                <w:sz w:val="20"/>
                <w:szCs w:val="20"/>
              </w:rPr>
            </w:pPr>
            <w:r>
              <w:rPr>
                <w:rFonts w:ascii="Arial Narrow" w:eastAsia="Calibri" w:hAnsi="Arial Narrow" w:cs="Courier New"/>
                <w:sz w:val="20"/>
                <w:szCs w:val="20"/>
              </w:rPr>
              <w:t>Time horizon</w:t>
            </w:r>
          </w:p>
        </w:tc>
        <w:tc>
          <w:tcPr>
            <w:tcW w:w="1984" w:type="pct"/>
            <w:tcBorders>
              <w:top w:val="single" w:sz="4" w:space="0" w:color="auto"/>
              <w:left w:val="single" w:sz="4" w:space="0" w:color="auto"/>
              <w:bottom w:val="single" w:sz="4" w:space="0" w:color="auto"/>
              <w:right w:val="single" w:sz="4" w:space="0" w:color="auto"/>
            </w:tcBorders>
            <w:hideMark/>
          </w:tcPr>
          <w:p w14:paraId="45D87664" w14:textId="77777777" w:rsidR="008D7220" w:rsidRDefault="008D7220" w:rsidP="009B121E">
            <w:pPr>
              <w:spacing w:before="40" w:after="40"/>
              <w:rPr>
                <w:rFonts w:ascii="Arial Narrow" w:eastAsia="Calibri" w:hAnsi="Arial Narrow" w:cs="Courier New"/>
                <w:sz w:val="20"/>
                <w:szCs w:val="20"/>
              </w:rPr>
            </w:pPr>
            <w:r>
              <w:rPr>
                <w:rFonts w:ascii="Arial Narrow" w:eastAsia="Calibri" w:hAnsi="Arial Narrow" w:cs="Arial"/>
                <w:color w:val="000000" w:themeColor="text1"/>
                <w:sz w:val="20"/>
                <w:szCs w:val="20"/>
              </w:rPr>
              <w:t>20 years from baseline</w:t>
            </w:r>
          </w:p>
        </w:tc>
        <w:tc>
          <w:tcPr>
            <w:tcW w:w="1985" w:type="pct"/>
            <w:tcBorders>
              <w:top w:val="single" w:sz="4" w:space="0" w:color="auto"/>
              <w:left w:val="single" w:sz="4" w:space="0" w:color="auto"/>
              <w:bottom w:val="single" w:sz="4" w:space="0" w:color="auto"/>
              <w:right w:val="single" w:sz="4" w:space="0" w:color="auto"/>
            </w:tcBorders>
            <w:hideMark/>
          </w:tcPr>
          <w:p w14:paraId="1C42A9D4" w14:textId="77777777" w:rsidR="008D7220" w:rsidRDefault="008D7220" w:rsidP="009B121E">
            <w:pPr>
              <w:spacing w:before="40" w:after="40"/>
              <w:rPr>
                <w:rFonts w:ascii="Arial Narrow" w:eastAsia="Calibri" w:hAnsi="Arial Narrow" w:cs="Times New Roman"/>
                <w:color w:val="0070C0"/>
                <w:sz w:val="20"/>
                <w:szCs w:val="20"/>
              </w:rPr>
            </w:pPr>
            <w:r>
              <w:rPr>
                <w:rFonts w:ascii="Arial Narrow" w:eastAsia="Calibri" w:hAnsi="Arial Narrow" w:cs="Arial"/>
                <w:color w:val="000000" w:themeColor="text1"/>
                <w:sz w:val="20"/>
                <w:szCs w:val="20"/>
              </w:rPr>
              <w:t>20 years from baseline</w:t>
            </w:r>
          </w:p>
        </w:tc>
      </w:tr>
      <w:tr w:rsidR="008D7220" w14:paraId="5C8643B9" w14:textId="77777777" w:rsidTr="009B121E">
        <w:tc>
          <w:tcPr>
            <w:tcW w:w="1031" w:type="pct"/>
            <w:tcBorders>
              <w:top w:val="single" w:sz="4" w:space="0" w:color="auto"/>
              <w:left w:val="single" w:sz="4" w:space="0" w:color="auto"/>
              <w:bottom w:val="single" w:sz="4" w:space="0" w:color="auto"/>
              <w:right w:val="single" w:sz="4" w:space="0" w:color="auto"/>
            </w:tcBorders>
            <w:hideMark/>
          </w:tcPr>
          <w:p w14:paraId="1657ACBA" w14:textId="77777777" w:rsidR="008D7220" w:rsidRDefault="008D7220" w:rsidP="009B121E">
            <w:pPr>
              <w:spacing w:before="40" w:after="40"/>
              <w:rPr>
                <w:rFonts w:ascii="Arial Narrow" w:eastAsia="Calibri" w:hAnsi="Arial Narrow" w:cs="Courier New"/>
                <w:sz w:val="20"/>
                <w:szCs w:val="20"/>
              </w:rPr>
            </w:pPr>
            <w:r>
              <w:rPr>
                <w:rFonts w:ascii="Arial Narrow" w:eastAsia="Calibri" w:hAnsi="Arial Narrow" w:cs="Courier New"/>
                <w:sz w:val="20"/>
                <w:szCs w:val="20"/>
              </w:rPr>
              <w:t>Computational method</w:t>
            </w:r>
          </w:p>
        </w:tc>
        <w:tc>
          <w:tcPr>
            <w:tcW w:w="1984" w:type="pct"/>
            <w:tcBorders>
              <w:top w:val="single" w:sz="4" w:space="0" w:color="auto"/>
              <w:left w:val="single" w:sz="4" w:space="0" w:color="auto"/>
              <w:bottom w:val="single" w:sz="4" w:space="0" w:color="auto"/>
              <w:right w:val="single" w:sz="4" w:space="0" w:color="auto"/>
            </w:tcBorders>
            <w:hideMark/>
          </w:tcPr>
          <w:p w14:paraId="3C8A1C75" w14:textId="77777777" w:rsidR="008D7220" w:rsidRDefault="008D7220" w:rsidP="009B121E">
            <w:pPr>
              <w:spacing w:before="40" w:after="40"/>
              <w:rPr>
                <w:rFonts w:ascii="Arial Narrow" w:eastAsia="Calibri" w:hAnsi="Arial Narrow" w:cs="Courier New"/>
                <w:sz w:val="20"/>
                <w:szCs w:val="20"/>
              </w:rPr>
            </w:pPr>
            <w:r>
              <w:rPr>
                <w:rFonts w:ascii="Arial Narrow" w:eastAsia="Calibri" w:hAnsi="Arial Narrow" w:cs="Arial"/>
                <w:color w:val="000000" w:themeColor="text1"/>
                <w:sz w:val="20"/>
                <w:szCs w:val="20"/>
              </w:rPr>
              <w:t>Markov multi-state health transition analysis</w:t>
            </w:r>
          </w:p>
        </w:tc>
        <w:tc>
          <w:tcPr>
            <w:tcW w:w="1985" w:type="pct"/>
            <w:tcBorders>
              <w:top w:val="single" w:sz="4" w:space="0" w:color="auto"/>
              <w:left w:val="single" w:sz="4" w:space="0" w:color="auto"/>
              <w:bottom w:val="single" w:sz="4" w:space="0" w:color="auto"/>
              <w:right w:val="single" w:sz="4" w:space="0" w:color="auto"/>
            </w:tcBorders>
            <w:hideMark/>
          </w:tcPr>
          <w:p w14:paraId="197299E2" w14:textId="77777777" w:rsidR="008D7220" w:rsidRDefault="008D7220" w:rsidP="009B121E">
            <w:pPr>
              <w:spacing w:before="40" w:after="40"/>
              <w:rPr>
                <w:rFonts w:ascii="Arial Narrow" w:eastAsia="Calibri" w:hAnsi="Arial Narrow" w:cs="Times New Roman"/>
                <w:color w:val="0070C0"/>
                <w:sz w:val="20"/>
                <w:szCs w:val="20"/>
              </w:rPr>
            </w:pPr>
            <w:r>
              <w:rPr>
                <w:rFonts w:ascii="Arial Narrow" w:eastAsia="Calibri" w:hAnsi="Arial Narrow" w:cs="Arial"/>
                <w:color w:val="000000" w:themeColor="text1"/>
                <w:sz w:val="20"/>
                <w:szCs w:val="20"/>
              </w:rPr>
              <w:t>Markov multi-state health transition analysis</w:t>
            </w:r>
          </w:p>
        </w:tc>
      </w:tr>
      <w:tr w:rsidR="008D7220" w14:paraId="35B108C9" w14:textId="77777777" w:rsidTr="009B121E">
        <w:tc>
          <w:tcPr>
            <w:tcW w:w="1031" w:type="pct"/>
            <w:tcBorders>
              <w:top w:val="single" w:sz="4" w:space="0" w:color="auto"/>
              <w:left w:val="single" w:sz="4" w:space="0" w:color="auto"/>
              <w:bottom w:val="single" w:sz="4" w:space="0" w:color="auto"/>
              <w:right w:val="single" w:sz="4" w:space="0" w:color="auto"/>
            </w:tcBorders>
            <w:hideMark/>
          </w:tcPr>
          <w:p w14:paraId="25E0FB22" w14:textId="77777777" w:rsidR="008D7220" w:rsidRDefault="008D7220" w:rsidP="009B121E">
            <w:pPr>
              <w:spacing w:before="40" w:after="40"/>
              <w:rPr>
                <w:rFonts w:ascii="Arial Narrow" w:eastAsia="Calibri" w:hAnsi="Arial Narrow" w:cs="Courier New"/>
                <w:sz w:val="20"/>
                <w:szCs w:val="20"/>
              </w:rPr>
            </w:pPr>
            <w:r>
              <w:rPr>
                <w:rFonts w:ascii="Arial Narrow" w:eastAsia="Calibri" w:hAnsi="Arial Narrow" w:cs="Courier New"/>
                <w:sz w:val="20"/>
                <w:szCs w:val="20"/>
              </w:rPr>
              <w:t>Generation of the base case</w:t>
            </w:r>
          </w:p>
        </w:tc>
        <w:tc>
          <w:tcPr>
            <w:tcW w:w="1984" w:type="pct"/>
            <w:tcBorders>
              <w:top w:val="single" w:sz="4" w:space="0" w:color="auto"/>
              <w:left w:val="single" w:sz="4" w:space="0" w:color="auto"/>
              <w:bottom w:val="single" w:sz="4" w:space="0" w:color="auto"/>
              <w:right w:val="single" w:sz="4" w:space="0" w:color="auto"/>
            </w:tcBorders>
            <w:hideMark/>
          </w:tcPr>
          <w:p w14:paraId="430F028C" w14:textId="77777777" w:rsidR="008D7220" w:rsidRDefault="008D7220" w:rsidP="009B121E">
            <w:pPr>
              <w:spacing w:before="40" w:after="40"/>
              <w:rPr>
                <w:rFonts w:ascii="Arial Narrow" w:eastAsia="Calibri" w:hAnsi="Arial Narrow" w:cs="Courier New"/>
                <w:sz w:val="20"/>
                <w:szCs w:val="20"/>
              </w:rPr>
            </w:pPr>
            <w:r>
              <w:rPr>
                <w:rFonts w:ascii="Arial Narrow" w:eastAsia="Calibri" w:hAnsi="Arial Narrow" w:cs="Courier New"/>
                <w:sz w:val="20"/>
                <w:szCs w:val="20"/>
              </w:rPr>
              <w:t xml:space="preserve">Modelled. </w:t>
            </w:r>
          </w:p>
          <w:p w14:paraId="31E17B5E" w14:textId="77777777" w:rsidR="008D7220" w:rsidRDefault="008D7220" w:rsidP="009B121E">
            <w:pPr>
              <w:spacing w:before="40" w:after="40"/>
              <w:rPr>
                <w:rFonts w:ascii="Arial Narrow" w:eastAsia="Calibri" w:hAnsi="Arial Narrow" w:cs="Courier New"/>
                <w:sz w:val="20"/>
                <w:szCs w:val="20"/>
              </w:rPr>
            </w:pPr>
            <w:r>
              <w:rPr>
                <w:rFonts w:ascii="Arial Narrow" w:eastAsia="Calibri" w:hAnsi="Arial Narrow" w:cs="Courier New"/>
                <w:sz w:val="20"/>
                <w:szCs w:val="20"/>
              </w:rPr>
              <w:t xml:space="preserve">Based on the prevalence of myocarditis and the diagnostic accuracy of the proposed </w:t>
            </w:r>
            <w:r>
              <w:rPr>
                <w:rFonts w:ascii="Arial Narrow" w:eastAsia="Calibri" w:hAnsi="Arial Narrow" w:cs="Courier New"/>
                <w:sz w:val="20"/>
                <w:szCs w:val="20"/>
              </w:rPr>
              <w:lastRenderedPageBreak/>
              <w:t>listing obtained from an updated systematic review of the literature.</w:t>
            </w:r>
          </w:p>
        </w:tc>
        <w:tc>
          <w:tcPr>
            <w:tcW w:w="1985" w:type="pct"/>
            <w:tcBorders>
              <w:top w:val="single" w:sz="4" w:space="0" w:color="auto"/>
              <w:left w:val="single" w:sz="4" w:space="0" w:color="auto"/>
              <w:bottom w:val="single" w:sz="4" w:space="0" w:color="auto"/>
              <w:right w:val="single" w:sz="4" w:space="0" w:color="auto"/>
            </w:tcBorders>
            <w:hideMark/>
          </w:tcPr>
          <w:p w14:paraId="32469C11" w14:textId="77777777" w:rsidR="008D7220" w:rsidRDefault="008D7220" w:rsidP="009B121E">
            <w:pPr>
              <w:spacing w:before="40" w:after="40"/>
              <w:rPr>
                <w:rFonts w:ascii="Arial Narrow" w:eastAsia="Calibri" w:hAnsi="Arial Narrow" w:cs="Courier New"/>
                <w:sz w:val="20"/>
                <w:szCs w:val="20"/>
              </w:rPr>
            </w:pPr>
            <w:r>
              <w:rPr>
                <w:rFonts w:ascii="Arial Narrow" w:eastAsia="Calibri" w:hAnsi="Arial Narrow" w:cs="Courier New"/>
                <w:sz w:val="20"/>
                <w:szCs w:val="20"/>
              </w:rPr>
              <w:lastRenderedPageBreak/>
              <w:t xml:space="preserve">Modelled. </w:t>
            </w:r>
          </w:p>
          <w:p w14:paraId="59DE06A0" w14:textId="77777777" w:rsidR="008D7220" w:rsidRDefault="008D7220" w:rsidP="009B121E">
            <w:pPr>
              <w:spacing w:before="40" w:after="40"/>
              <w:rPr>
                <w:rFonts w:ascii="Arial Narrow" w:eastAsia="Calibri" w:hAnsi="Arial Narrow" w:cs="Times New Roman"/>
                <w:color w:val="0070C0"/>
                <w:sz w:val="20"/>
                <w:szCs w:val="20"/>
              </w:rPr>
            </w:pPr>
            <w:r>
              <w:rPr>
                <w:rFonts w:ascii="Arial Narrow" w:eastAsia="Calibri" w:hAnsi="Arial Narrow" w:cs="Courier New"/>
                <w:sz w:val="20"/>
                <w:szCs w:val="20"/>
              </w:rPr>
              <w:t xml:space="preserve">Based on the prevalence of myocarditis and the diagnostic accuracy of the proposed </w:t>
            </w:r>
            <w:r>
              <w:rPr>
                <w:rFonts w:ascii="Arial Narrow" w:eastAsia="Calibri" w:hAnsi="Arial Narrow" w:cs="Courier New"/>
                <w:sz w:val="20"/>
                <w:szCs w:val="20"/>
              </w:rPr>
              <w:lastRenderedPageBreak/>
              <w:t>listing obtained from an updated systematic review of the literature.</w:t>
            </w:r>
          </w:p>
        </w:tc>
      </w:tr>
      <w:tr w:rsidR="008D7220" w14:paraId="6B2DD8ED" w14:textId="77777777" w:rsidTr="009B121E">
        <w:tc>
          <w:tcPr>
            <w:tcW w:w="1031" w:type="pct"/>
            <w:tcBorders>
              <w:top w:val="single" w:sz="4" w:space="0" w:color="auto"/>
              <w:left w:val="single" w:sz="4" w:space="0" w:color="auto"/>
              <w:bottom w:val="single" w:sz="4" w:space="0" w:color="auto"/>
              <w:right w:val="single" w:sz="4" w:space="0" w:color="auto"/>
            </w:tcBorders>
            <w:hideMark/>
          </w:tcPr>
          <w:p w14:paraId="63AAC6A2" w14:textId="77777777" w:rsidR="008D7220" w:rsidRDefault="008D7220" w:rsidP="009B121E">
            <w:pPr>
              <w:spacing w:before="40" w:after="40"/>
              <w:rPr>
                <w:rFonts w:ascii="Arial Narrow" w:eastAsia="Calibri" w:hAnsi="Arial Narrow" w:cs="Courier New"/>
                <w:sz w:val="20"/>
                <w:szCs w:val="20"/>
              </w:rPr>
            </w:pPr>
            <w:r>
              <w:rPr>
                <w:rFonts w:ascii="Arial Narrow" w:eastAsia="Calibri" w:hAnsi="Arial Narrow" w:cs="Courier New"/>
                <w:sz w:val="20"/>
                <w:szCs w:val="20"/>
              </w:rPr>
              <w:lastRenderedPageBreak/>
              <w:t>Health states</w:t>
            </w:r>
          </w:p>
        </w:tc>
        <w:tc>
          <w:tcPr>
            <w:tcW w:w="1984" w:type="pct"/>
            <w:tcBorders>
              <w:top w:val="single" w:sz="4" w:space="0" w:color="auto"/>
              <w:left w:val="single" w:sz="4" w:space="0" w:color="auto"/>
              <w:bottom w:val="single" w:sz="4" w:space="0" w:color="auto"/>
              <w:right w:val="single" w:sz="4" w:space="0" w:color="auto"/>
            </w:tcBorders>
            <w:hideMark/>
          </w:tcPr>
          <w:p w14:paraId="299316DC" w14:textId="77777777" w:rsidR="008D7220" w:rsidRDefault="008D7220" w:rsidP="009B121E">
            <w:pPr>
              <w:spacing w:before="40" w:after="40"/>
              <w:rPr>
                <w:rFonts w:ascii="Arial Narrow" w:eastAsia="Calibri" w:hAnsi="Arial Narrow" w:cs="Courier New"/>
                <w:sz w:val="20"/>
                <w:szCs w:val="20"/>
              </w:rPr>
            </w:pPr>
            <w:r>
              <w:rPr>
                <w:rFonts w:ascii="Arial Narrow" w:eastAsia="Calibri" w:hAnsi="Arial Narrow" w:cs="Arial"/>
                <w:color w:val="000000" w:themeColor="text1"/>
                <w:sz w:val="20"/>
                <w:szCs w:val="20"/>
              </w:rPr>
              <w:t xml:space="preserve">No MACE with </w:t>
            </w:r>
            <w:proofErr w:type="spellStart"/>
            <w:r>
              <w:rPr>
                <w:rFonts w:ascii="Arial Narrow" w:eastAsia="Calibri" w:hAnsi="Arial Narrow" w:cs="Arial"/>
                <w:color w:val="000000" w:themeColor="text1"/>
                <w:sz w:val="20"/>
                <w:szCs w:val="20"/>
              </w:rPr>
              <w:t>pLVEF</w:t>
            </w:r>
            <w:proofErr w:type="spellEnd"/>
            <w:r>
              <w:rPr>
                <w:rFonts w:ascii="Arial Narrow" w:eastAsia="Calibri" w:hAnsi="Arial Narrow" w:cs="Arial"/>
                <w:color w:val="000000" w:themeColor="text1"/>
                <w:sz w:val="20"/>
                <w:szCs w:val="20"/>
              </w:rPr>
              <w:t xml:space="preserve">, no MACE with </w:t>
            </w:r>
            <w:proofErr w:type="spellStart"/>
            <w:r>
              <w:rPr>
                <w:rFonts w:ascii="Arial Narrow" w:eastAsia="Calibri" w:hAnsi="Arial Narrow" w:cs="Arial"/>
                <w:color w:val="000000" w:themeColor="text1"/>
                <w:sz w:val="20"/>
                <w:szCs w:val="20"/>
              </w:rPr>
              <w:t>rLVEF</w:t>
            </w:r>
            <w:proofErr w:type="spellEnd"/>
            <w:r>
              <w:rPr>
                <w:rFonts w:ascii="Arial Narrow" w:eastAsia="Calibri" w:hAnsi="Arial Narrow" w:cs="Arial"/>
                <w:color w:val="000000" w:themeColor="text1"/>
                <w:sz w:val="20"/>
                <w:szCs w:val="20"/>
              </w:rPr>
              <w:t xml:space="preserve">, advanced HF, post-VA, post-ICD, post-heart transplant </w:t>
            </w:r>
          </w:p>
        </w:tc>
        <w:tc>
          <w:tcPr>
            <w:tcW w:w="1985" w:type="pct"/>
            <w:tcBorders>
              <w:top w:val="single" w:sz="4" w:space="0" w:color="auto"/>
              <w:left w:val="single" w:sz="4" w:space="0" w:color="auto"/>
              <w:bottom w:val="single" w:sz="4" w:space="0" w:color="auto"/>
              <w:right w:val="single" w:sz="4" w:space="0" w:color="auto"/>
            </w:tcBorders>
            <w:hideMark/>
          </w:tcPr>
          <w:p w14:paraId="0AE0BFE1" w14:textId="77777777" w:rsidR="008D7220" w:rsidRDefault="008D7220" w:rsidP="009B121E">
            <w:pPr>
              <w:spacing w:before="40" w:after="40"/>
              <w:rPr>
                <w:rFonts w:ascii="Arial Narrow" w:eastAsia="Calibri" w:hAnsi="Arial Narrow" w:cs="Times New Roman"/>
                <w:color w:val="0070C0"/>
                <w:sz w:val="20"/>
                <w:szCs w:val="20"/>
              </w:rPr>
            </w:pPr>
            <w:r>
              <w:rPr>
                <w:rFonts w:ascii="Arial Narrow" w:eastAsia="Calibri" w:hAnsi="Arial Narrow" w:cs="Arial"/>
                <w:color w:val="000000" w:themeColor="text1"/>
                <w:sz w:val="20"/>
                <w:szCs w:val="20"/>
              </w:rPr>
              <w:t>No MACE, chronic HF, advanced HF, post-VA, post-ICD, post-heart transplant</w:t>
            </w:r>
          </w:p>
        </w:tc>
      </w:tr>
      <w:tr w:rsidR="008D7220" w14:paraId="3B308242" w14:textId="77777777" w:rsidTr="009B121E">
        <w:tc>
          <w:tcPr>
            <w:tcW w:w="1031" w:type="pct"/>
            <w:tcBorders>
              <w:top w:val="single" w:sz="4" w:space="0" w:color="auto"/>
              <w:left w:val="single" w:sz="4" w:space="0" w:color="auto"/>
              <w:bottom w:val="single" w:sz="4" w:space="0" w:color="auto"/>
              <w:right w:val="single" w:sz="4" w:space="0" w:color="auto"/>
            </w:tcBorders>
            <w:hideMark/>
          </w:tcPr>
          <w:p w14:paraId="58E7F328" w14:textId="77777777" w:rsidR="008D7220" w:rsidRDefault="008D7220" w:rsidP="009B121E">
            <w:pPr>
              <w:spacing w:before="40" w:after="40"/>
              <w:rPr>
                <w:rFonts w:ascii="Arial Narrow" w:eastAsia="Calibri" w:hAnsi="Arial Narrow" w:cs="Courier New"/>
                <w:sz w:val="20"/>
                <w:szCs w:val="20"/>
              </w:rPr>
            </w:pPr>
            <w:r>
              <w:rPr>
                <w:rFonts w:ascii="Arial Narrow" w:eastAsia="Calibri" w:hAnsi="Arial Narrow" w:cs="Courier New"/>
                <w:sz w:val="20"/>
                <w:szCs w:val="20"/>
              </w:rPr>
              <w:t>Cycle length</w:t>
            </w:r>
          </w:p>
        </w:tc>
        <w:tc>
          <w:tcPr>
            <w:tcW w:w="1984" w:type="pct"/>
            <w:tcBorders>
              <w:top w:val="single" w:sz="4" w:space="0" w:color="auto"/>
              <w:left w:val="single" w:sz="4" w:space="0" w:color="auto"/>
              <w:bottom w:val="single" w:sz="4" w:space="0" w:color="auto"/>
              <w:right w:val="single" w:sz="4" w:space="0" w:color="auto"/>
            </w:tcBorders>
            <w:hideMark/>
          </w:tcPr>
          <w:p w14:paraId="5568377F" w14:textId="77777777" w:rsidR="008D7220" w:rsidRDefault="008D7220" w:rsidP="009B121E">
            <w:pPr>
              <w:spacing w:before="40" w:after="40"/>
              <w:rPr>
                <w:rFonts w:ascii="Arial Narrow" w:eastAsia="Calibri" w:hAnsi="Arial Narrow" w:cs="Courier New"/>
                <w:sz w:val="20"/>
                <w:szCs w:val="20"/>
              </w:rPr>
            </w:pPr>
            <w:r>
              <w:rPr>
                <w:rFonts w:ascii="Arial Narrow" w:eastAsia="Calibri" w:hAnsi="Arial Narrow" w:cs="Arial"/>
                <w:color w:val="000000" w:themeColor="text1"/>
                <w:sz w:val="20"/>
                <w:szCs w:val="20"/>
              </w:rPr>
              <w:t>Months</w:t>
            </w:r>
          </w:p>
        </w:tc>
        <w:tc>
          <w:tcPr>
            <w:tcW w:w="1985" w:type="pct"/>
            <w:tcBorders>
              <w:top w:val="single" w:sz="4" w:space="0" w:color="auto"/>
              <w:left w:val="single" w:sz="4" w:space="0" w:color="auto"/>
              <w:bottom w:val="single" w:sz="4" w:space="0" w:color="auto"/>
              <w:right w:val="single" w:sz="4" w:space="0" w:color="auto"/>
            </w:tcBorders>
            <w:hideMark/>
          </w:tcPr>
          <w:p w14:paraId="1A25E78B" w14:textId="77777777" w:rsidR="008D7220" w:rsidRDefault="008D7220" w:rsidP="009B121E">
            <w:pPr>
              <w:spacing w:before="40" w:after="40"/>
              <w:rPr>
                <w:rFonts w:ascii="Arial Narrow" w:eastAsia="Calibri" w:hAnsi="Arial Narrow" w:cs="Times New Roman"/>
                <w:color w:val="0070C0"/>
                <w:sz w:val="20"/>
                <w:szCs w:val="20"/>
              </w:rPr>
            </w:pPr>
            <w:r>
              <w:rPr>
                <w:rFonts w:ascii="Arial Narrow" w:eastAsia="Calibri" w:hAnsi="Arial Narrow" w:cs="Arial"/>
                <w:color w:val="000000" w:themeColor="text1"/>
                <w:sz w:val="20"/>
                <w:szCs w:val="20"/>
              </w:rPr>
              <w:t>Months</w:t>
            </w:r>
          </w:p>
        </w:tc>
      </w:tr>
      <w:tr w:rsidR="008D7220" w14:paraId="0CDEB239" w14:textId="77777777" w:rsidTr="009B121E">
        <w:tc>
          <w:tcPr>
            <w:tcW w:w="1031" w:type="pct"/>
            <w:tcBorders>
              <w:top w:val="single" w:sz="4" w:space="0" w:color="auto"/>
              <w:left w:val="single" w:sz="4" w:space="0" w:color="auto"/>
              <w:bottom w:val="single" w:sz="4" w:space="0" w:color="auto"/>
              <w:right w:val="single" w:sz="4" w:space="0" w:color="auto"/>
            </w:tcBorders>
            <w:hideMark/>
          </w:tcPr>
          <w:p w14:paraId="4F01F1BF" w14:textId="77777777" w:rsidR="008D7220" w:rsidRDefault="008D7220" w:rsidP="009B121E">
            <w:pPr>
              <w:spacing w:before="40" w:after="40"/>
              <w:rPr>
                <w:rFonts w:ascii="Arial Narrow" w:eastAsia="Calibri" w:hAnsi="Arial Narrow" w:cs="Courier New"/>
                <w:sz w:val="20"/>
                <w:szCs w:val="20"/>
              </w:rPr>
            </w:pPr>
            <w:r>
              <w:rPr>
                <w:rFonts w:ascii="Arial Narrow" w:eastAsia="Calibri" w:hAnsi="Arial Narrow" w:cs="Courier New"/>
                <w:sz w:val="20"/>
                <w:szCs w:val="20"/>
              </w:rPr>
              <w:t>Transition probabilities</w:t>
            </w:r>
          </w:p>
        </w:tc>
        <w:tc>
          <w:tcPr>
            <w:tcW w:w="1984" w:type="pct"/>
            <w:tcBorders>
              <w:top w:val="single" w:sz="4" w:space="0" w:color="auto"/>
              <w:left w:val="single" w:sz="4" w:space="0" w:color="auto"/>
              <w:bottom w:val="single" w:sz="4" w:space="0" w:color="auto"/>
              <w:right w:val="single" w:sz="4" w:space="0" w:color="auto"/>
            </w:tcBorders>
            <w:hideMark/>
          </w:tcPr>
          <w:p w14:paraId="18A40913" w14:textId="138D3EC4" w:rsidR="008D7220" w:rsidRDefault="008D7220" w:rsidP="009B121E">
            <w:pPr>
              <w:spacing w:before="40" w:after="40"/>
              <w:rPr>
                <w:rFonts w:ascii="Arial Narrow" w:eastAsia="Calibri" w:hAnsi="Arial Narrow" w:cs="Arial"/>
                <w:color w:val="000000" w:themeColor="text1"/>
                <w:sz w:val="20"/>
                <w:szCs w:val="20"/>
              </w:rPr>
            </w:pPr>
            <w:r>
              <w:rPr>
                <w:rFonts w:ascii="Arial Narrow" w:eastAsia="Calibri" w:hAnsi="Arial Narrow" w:cs="Arial"/>
                <w:color w:val="000000" w:themeColor="text1"/>
                <w:sz w:val="20"/>
                <w:szCs w:val="20"/>
              </w:rPr>
              <w:t>Prevalence of myocarditis=35</w:t>
            </w:r>
            <w:r w:rsidR="00293B50">
              <w:rPr>
                <w:rFonts w:ascii="Arial Narrow" w:eastAsia="Calibri" w:hAnsi="Arial Narrow" w:cs="Arial"/>
                <w:color w:val="000000" w:themeColor="text1"/>
                <w:sz w:val="20"/>
                <w:szCs w:val="20"/>
              </w:rPr>
              <w:t>.1</w:t>
            </w:r>
            <w:r>
              <w:rPr>
                <w:rFonts w:ascii="Arial Narrow" w:eastAsia="Calibri" w:hAnsi="Arial Narrow" w:cs="Arial"/>
                <w:color w:val="000000" w:themeColor="text1"/>
                <w:sz w:val="20"/>
                <w:szCs w:val="20"/>
              </w:rPr>
              <w:t>%</w:t>
            </w:r>
          </w:p>
          <w:p w14:paraId="035CFC4E" w14:textId="5F8C534F" w:rsidR="00293B50" w:rsidRDefault="005A37AD" w:rsidP="009B121E">
            <w:pPr>
              <w:spacing w:before="40" w:after="40"/>
              <w:rPr>
                <w:rFonts w:ascii="Arial Narrow" w:eastAsia="Calibri" w:hAnsi="Arial Narrow" w:cs="Arial"/>
                <w:color w:val="000000" w:themeColor="text1"/>
                <w:sz w:val="20"/>
                <w:szCs w:val="20"/>
              </w:rPr>
            </w:pPr>
            <w:r>
              <w:rPr>
                <w:rFonts w:ascii="Arial Narrow" w:eastAsia="Calibri" w:hAnsi="Arial Narrow" w:cs="Arial"/>
                <w:color w:val="000000" w:themeColor="text1"/>
                <w:sz w:val="20"/>
                <w:szCs w:val="20"/>
              </w:rPr>
              <w:t>F</w:t>
            </w:r>
            <w:r w:rsidR="00293B50">
              <w:rPr>
                <w:rFonts w:ascii="Arial Narrow" w:eastAsia="Calibri" w:hAnsi="Arial Narrow" w:cs="Arial"/>
                <w:color w:val="000000" w:themeColor="text1"/>
                <w:sz w:val="20"/>
                <w:szCs w:val="20"/>
              </w:rPr>
              <w:t>ibrosis in patients with myocarditis=39.0%</w:t>
            </w:r>
          </w:p>
          <w:p w14:paraId="0B10B24D" w14:textId="01BBD070" w:rsidR="008D7220" w:rsidRDefault="005A37AD" w:rsidP="009B121E">
            <w:pPr>
              <w:spacing w:before="40" w:after="40"/>
              <w:rPr>
                <w:rFonts w:ascii="Arial Narrow" w:eastAsia="Calibri" w:hAnsi="Arial Narrow" w:cs="Courier New"/>
                <w:sz w:val="20"/>
                <w:szCs w:val="20"/>
              </w:rPr>
            </w:pPr>
            <w:r>
              <w:rPr>
                <w:rFonts w:ascii="Arial Narrow" w:eastAsia="Calibri" w:hAnsi="Arial Narrow" w:cs="Courier New"/>
                <w:sz w:val="20"/>
                <w:szCs w:val="20"/>
              </w:rPr>
              <w:t xml:space="preserve">Annualised </w:t>
            </w:r>
            <w:r w:rsidR="00293B50">
              <w:rPr>
                <w:rFonts w:ascii="Arial Narrow" w:eastAsia="Calibri" w:hAnsi="Arial Narrow" w:cs="Courier New"/>
                <w:sz w:val="20"/>
                <w:szCs w:val="20"/>
              </w:rPr>
              <w:t xml:space="preserve">MACE without fibrosis and </w:t>
            </w:r>
            <w:proofErr w:type="spellStart"/>
            <w:r w:rsidR="00293B50">
              <w:rPr>
                <w:rFonts w:ascii="Arial Narrow" w:eastAsia="Calibri" w:hAnsi="Arial Narrow" w:cs="Courier New"/>
                <w:sz w:val="20"/>
                <w:szCs w:val="20"/>
              </w:rPr>
              <w:t>pLVEF</w:t>
            </w:r>
            <w:proofErr w:type="spellEnd"/>
            <w:r w:rsidR="00293B50">
              <w:rPr>
                <w:rFonts w:ascii="Arial Narrow" w:eastAsia="Calibri" w:hAnsi="Arial Narrow" w:cs="Courier New"/>
                <w:sz w:val="20"/>
                <w:szCs w:val="20"/>
              </w:rPr>
              <w:t>=1.1%</w:t>
            </w:r>
          </w:p>
          <w:p w14:paraId="4119502F" w14:textId="61CB6C17" w:rsidR="00293B50" w:rsidRDefault="005A37AD" w:rsidP="009B121E">
            <w:pPr>
              <w:spacing w:before="40" w:after="40"/>
              <w:rPr>
                <w:rFonts w:ascii="Arial Narrow" w:eastAsia="Calibri" w:hAnsi="Arial Narrow" w:cs="Courier New"/>
                <w:sz w:val="20"/>
                <w:szCs w:val="20"/>
              </w:rPr>
            </w:pPr>
            <w:r>
              <w:rPr>
                <w:rFonts w:ascii="Arial Narrow" w:eastAsia="Calibri" w:hAnsi="Arial Narrow" w:cs="Courier New"/>
                <w:sz w:val="20"/>
                <w:szCs w:val="20"/>
              </w:rPr>
              <w:t xml:space="preserve">Annualised </w:t>
            </w:r>
            <w:r w:rsidR="00293B50">
              <w:rPr>
                <w:rFonts w:ascii="Arial Narrow" w:eastAsia="Calibri" w:hAnsi="Arial Narrow" w:cs="Courier New"/>
                <w:sz w:val="20"/>
                <w:szCs w:val="20"/>
              </w:rPr>
              <w:t xml:space="preserve">MACE with fibrosis and </w:t>
            </w:r>
            <w:proofErr w:type="spellStart"/>
            <w:r w:rsidR="00293B50">
              <w:rPr>
                <w:rFonts w:ascii="Arial Narrow" w:eastAsia="Calibri" w:hAnsi="Arial Narrow" w:cs="Courier New"/>
                <w:sz w:val="20"/>
                <w:szCs w:val="20"/>
              </w:rPr>
              <w:t>pLVEF</w:t>
            </w:r>
            <w:proofErr w:type="spellEnd"/>
            <w:r w:rsidR="00293B50">
              <w:rPr>
                <w:rFonts w:ascii="Arial Narrow" w:eastAsia="Calibri" w:hAnsi="Arial Narrow" w:cs="Courier New"/>
                <w:sz w:val="20"/>
                <w:szCs w:val="20"/>
              </w:rPr>
              <w:t>=2.6%</w:t>
            </w:r>
          </w:p>
          <w:p w14:paraId="20EDCB17" w14:textId="54771F06" w:rsidR="00293B50" w:rsidRDefault="005A37AD" w:rsidP="009B121E">
            <w:pPr>
              <w:spacing w:before="40" w:after="40"/>
              <w:rPr>
                <w:rFonts w:ascii="Arial Narrow" w:eastAsia="Calibri" w:hAnsi="Arial Narrow" w:cs="Courier New"/>
                <w:sz w:val="20"/>
                <w:szCs w:val="20"/>
              </w:rPr>
            </w:pPr>
            <w:r>
              <w:rPr>
                <w:rFonts w:ascii="Arial Narrow" w:eastAsia="Calibri" w:hAnsi="Arial Narrow" w:cs="Courier New"/>
                <w:sz w:val="20"/>
                <w:szCs w:val="20"/>
              </w:rPr>
              <w:t xml:space="preserve">Annualised </w:t>
            </w:r>
            <w:r w:rsidR="00293B50">
              <w:rPr>
                <w:rFonts w:ascii="Arial Narrow" w:eastAsia="Calibri" w:hAnsi="Arial Narrow" w:cs="Courier New"/>
                <w:sz w:val="20"/>
                <w:szCs w:val="20"/>
              </w:rPr>
              <w:t xml:space="preserve">MACE without fibrosis and </w:t>
            </w:r>
            <w:proofErr w:type="spellStart"/>
            <w:r w:rsidR="00293B50">
              <w:rPr>
                <w:rFonts w:ascii="Arial Narrow" w:eastAsia="Calibri" w:hAnsi="Arial Narrow" w:cs="Courier New"/>
                <w:sz w:val="20"/>
                <w:szCs w:val="20"/>
              </w:rPr>
              <w:t>rLVEF</w:t>
            </w:r>
            <w:proofErr w:type="spellEnd"/>
            <w:r w:rsidR="00293B50">
              <w:rPr>
                <w:rFonts w:ascii="Arial Narrow" w:eastAsia="Calibri" w:hAnsi="Arial Narrow" w:cs="Courier New"/>
                <w:sz w:val="20"/>
                <w:szCs w:val="20"/>
              </w:rPr>
              <w:t>=6.4%</w:t>
            </w:r>
          </w:p>
          <w:p w14:paraId="67FCEBD3" w14:textId="763B0891" w:rsidR="00293B50" w:rsidRDefault="005A37AD" w:rsidP="009B121E">
            <w:pPr>
              <w:spacing w:before="40" w:after="40"/>
              <w:rPr>
                <w:rFonts w:ascii="Arial Narrow" w:eastAsia="Calibri" w:hAnsi="Arial Narrow" w:cs="Courier New"/>
                <w:sz w:val="20"/>
                <w:szCs w:val="20"/>
              </w:rPr>
            </w:pPr>
            <w:r>
              <w:rPr>
                <w:rFonts w:ascii="Arial Narrow" w:eastAsia="Calibri" w:hAnsi="Arial Narrow" w:cs="Courier New"/>
                <w:sz w:val="20"/>
                <w:szCs w:val="20"/>
              </w:rPr>
              <w:t xml:space="preserve">Annualised </w:t>
            </w:r>
            <w:r w:rsidR="00293B50">
              <w:rPr>
                <w:rFonts w:ascii="Arial Narrow" w:eastAsia="Calibri" w:hAnsi="Arial Narrow" w:cs="Courier New"/>
                <w:sz w:val="20"/>
                <w:szCs w:val="20"/>
              </w:rPr>
              <w:t xml:space="preserve">MACE with fibrosis and </w:t>
            </w:r>
            <w:proofErr w:type="spellStart"/>
            <w:r w:rsidR="00293B50">
              <w:rPr>
                <w:rFonts w:ascii="Arial Narrow" w:eastAsia="Calibri" w:hAnsi="Arial Narrow" w:cs="Courier New"/>
                <w:sz w:val="20"/>
                <w:szCs w:val="20"/>
              </w:rPr>
              <w:t>rLVEF</w:t>
            </w:r>
            <w:proofErr w:type="spellEnd"/>
            <w:r w:rsidR="00293B50">
              <w:rPr>
                <w:rFonts w:ascii="Arial Narrow" w:eastAsia="Calibri" w:hAnsi="Arial Narrow" w:cs="Courier New"/>
                <w:sz w:val="20"/>
                <w:szCs w:val="20"/>
              </w:rPr>
              <w:t>=10.5%</w:t>
            </w:r>
          </w:p>
        </w:tc>
        <w:tc>
          <w:tcPr>
            <w:tcW w:w="1985" w:type="pct"/>
            <w:tcBorders>
              <w:top w:val="single" w:sz="4" w:space="0" w:color="auto"/>
              <w:left w:val="single" w:sz="4" w:space="0" w:color="auto"/>
              <w:bottom w:val="single" w:sz="4" w:space="0" w:color="auto"/>
              <w:right w:val="single" w:sz="4" w:space="0" w:color="auto"/>
            </w:tcBorders>
            <w:hideMark/>
          </w:tcPr>
          <w:p w14:paraId="6CEFFA41" w14:textId="7E2C9066" w:rsidR="008D7220" w:rsidRDefault="008D7220" w:rsidP="009B121E">
            <w:pPr>
              <w:spacing w:before="40" w:after="40"/>
              <w:rPr>
                <w:rFonts w:ascii="Arial Narrow" w:eastAsia="Calibri" w:hAnsi="Arial Narrow" w:cs="Arial"/>
                <w:color w:val="000000" w:themeColor="text1"/>
                <w:sz w:val="20"/>
                <w:szCs w:val="20"/>
              </w:rPr>
            </w:pPr>
            <w:r>
              <w:rPr>
                <w:rFonts w:ascii="Arial Narrow" w:eastAsia="Calibri" w:hAnsi="Arial Narrow" w:cs="Arial"/>
                <w:color w:val="000000" w:themeColor="text1"/>
                <w:sz w:val="20"/>
                <w:szCs w:val="20"/>
              </w:rPr>
              <w:t>Prevalence of myocarditis=26</w:t>
            </w:r>
            <w:r w:rsidR="00293B50">
              <w:rPr>
                <w:rFonts w:ascii="Arial Narrow" w:eastAsia="Calibri" w:hAnsi="Arial Narrow" w:cs="Arial"/>
                <w:color w:val="000000" w:themeColor="text1"/>
                <w:sz w:val="20"/>
                <w:szCs w:val="20"/>
              </w:rPr>
              <w:t>.4</w:t>
            </w:r>
            <w:r>
              <w:rPr>
                <w:rFonts w:ascii="Arial Narrow" w:eastAsia="Calibri" w:hAnsi="Arial Narrow" w:cs="Arial"/>
                <w:color w:val="000000" w:themeColor="text1"/>
                <w:sz w:val="20"/>
                <w:szCs w:val="20"/>
              </w:rPr>
              <w:t>%.</w:t>
            </w:r>
          </w:p>
          <w:p w14:paraId="323AB904" w14:textId="7E67AFAC" w:rsidR="00293B50" w:rsidRDefault="005A37AD" w:rsidP="009B121E">
            <w:pPr>
              <w:spacing w:before="40" w:after="40"/>
              <w:rPr>
                <w:rFonts w:ascii="Arial Narrow" w:eastAsia="Calibri" w:hAnsi="Arial Narrow" w:cs="Arial"/>
                <w:color w:val="000000" w:themeColor="text1"/>
                <w:sz w:val="20"/>
                <w:szCs w:val="20"/>
              </w:rPr>
            </w:pPr>
            <w:r>
              <w:rPr>
                <w:rFonts w:ascii="Arial Narrow" w:eastAsia="Calibri" w:hAnsi="Arial Narrow" w:cs="Arial"/>
                <w:color w:val="000000" w:themeColor="text1"/>
                <w:sz w:val="20"/>
                <w:szCs w:val="20"/>
              </w:rPr>
              <w:t>F</w:t>
            </w:r>
            <w:r w:rsidR="00293B50">
              <w:rPr>
                <w:rFonts w:ascii="Arial Narrow" w:eastAsia="Calibri" w:hAnsi="Arial Narrow" w:cs="Arial"/>
                <w:color w:val="000000" w:themeColor="text1"/>
                <w:sz w:val="20"/>
                <w:szCs w:val="20"/>
              </w:rPr>
              <w:t>ibrosis in patients with myocarditis=48.0%%</w:t>
            </w:r>
          </w:p>
          <w:p w14:paraId="7E9B2833" w14:textId="5CD1B372" w:rsidR="00293B50" w:rsidRDefault="009D0D63" w:rsidP="009B121E">
            <w:pPr>
              <w:spacing w:before="40" w:after="40"/>
              <w:rPr>
                <w:rFonts w:ascii="Arial Narrow" w:eastAsia="Calibri" w:hAnsi="Arial Narrow" w:cs="Courier New"/>
                <w:sz w:val="20"/>
                <w:szCs w:val="20"/>
              </w:rPr>
            </w:pPr>
            <w:r>
              <w:rPr>
                <w:rFonts w:ascii="Arial Narrow" w:eastAsia="Calibri" w:hAnsi="Arial Narrow" w:cs="Courier New"/>
                <w:sz w:val="20"/>
                <w:szCs w:val="20"/>
              </w:rPr>
              <w:t xml:space="preserve">Annualised </w:t>
            </w:r>
            <w:r w:rsidR="00293B50">
              <w:rPr>
                <w:rFonts w:ascii="Arial Narrow" w:eastAsia="Calibri" w:hAnsi="Arial Narrow" w:cs="Courier New"/>
                <w:sz w:val="20"/>
                <w:szCs w:val="20"/>
              </w:rPr>
              <w:t xml:space="preserve">MACE </w:t>
            </w:r>
            <w:r>
              <w:rPr>
                <w:rFonts w:ascii="Arial Narrow" w:eastAsia="Calibri" w:hAnsi="Arial Narrow" w:cs="Courier New"/>
                <w:sz w:val="20"/>
                <w:szCs w:val="20"/>
              </w:rPr>
              <w:t xml:space="preserve">rates </w:t>
            </w:r>
            <w:r w:rsidR="00293B50">
              <w:rPr>
                <w:rFonts w:ascii="Arial Narrow" w:eastAsia="Calibri" w:hAnsi="Arial Narrow" w:cs="Courier New"/>
                <w:sz w:val="20"/>
                <w:szCs w:val="20"/>
              </w:rPr>
              <w:t>without fibrosis=1.1%</w:t>
            </w:r>
          </w:p>
          <w:p w14:paraId="21621B59" w14:textId="0432D7E9" w:rsidR="00293B50" w:rsidRDefault="009D0D63" w:rsidP="009B121E">
            <w:pPr>
              <w:spacing w:before="40" w:after="40"/>
              <w:rPr>
                <w:rFonts w:ascii="Arial Narrow" w:eastAsia="Calibri" w:hAnsi="Arial Narrow" w:cs="Courier New"/>
                <w:sz w:val="20"/>
                <w:szCs w:val="20"/>
              </w:rPr>
            </w:pPr>
            <w:r>
              <w:rPr>
                <w:rFonts w:ascii="Arial Narrow" w:eastAsia="Calibri" w:hAnsi="Arial Narrow" w:cs="Courier New"/>
                <w:sz w:val="20"/>
                <w:szCs w:val="20"/>
              </w:rPr>
              <w:t xml:space="preserve">Annualised </w:t>
            </w:r>
            <w:r w:rsidR="00293B50">
              <w:rPr>
                <w:rFonts w:ascii="Arial Narrow" w:eastAsia="Calibri" w:hAnsi="Arial Narrow" w:cs="Courier New"/>
                <w:sz w:val="20"/>
                <w:szCs w:val="20"/>
              </w:rPr>
              <w:t>MACE</w:t>
            </w:r>
            <w:r>
              <w:rPr>
                <w:rFonts w:ascii="Arial Narrow" w:eastAsia="Calibri" w:hAnsi="Arial Narrow" w:cs="Courier New"/>
                <w:sz w:val="20"/>
                <w:szCs w:val="20"/>
              </w:rPr>
              <w:t xml:space="preserve"> rates</w:t>
            </w:r>
            <w:r w:rsidR="00293B50">
              <w:rPr>
                <w:rFonts w:ascii="Arial Narrow" w:eastAsia="Calibri" w:hAnsi="Arial Narrow" w:cs="Courier New"/>
                <w:sz w:val="20"/>
                <w:szCs w:val="20"/>
              </w:rPr>
              <w:t xml:space="preserve"> with fibrosis=2.6%</w:t>
            </w:r>
          </w:p>
          <w:p w14:paraId="4D609270" w14:textId="27E5C727" w:rsidR="008D7220" w:rsidRDefault="008D7220" w:rsidP="009B121E">
            <w:pPr>
              <w:spacing w:before="40" w:after="40"/>
              <w:rPr>
                <w:rFonts w:ascii="Arial Narrow" w:eastAsia="Calibri" w:hAnsi="Arial Narrow" w:cs="Times New Roman"/>
                <w:color w:val="0070C0"/>
                <w:sz w:val="20"/>
                <w:szCs w:val="20"/>
              </w:rPr>
            </w:pPr>
          </w:p>
        </w:tc>
      </w:tr>
      <w:tr w:rsidR="008D7220" w14:paraId="2DA969F5" w14:textId="77777777" w:rsidTr="009B121E">
        <w:tc>
          <w:tcPr>
            <w:tcW w:w="1031" w:type="pct"/>
            <w:tcBorders>
              <w:top w:val="single" w:sz="4" w:space="0" w:color="auto"/>
              <w:left w:val="single" w:sz="4" w:space="0" w:color="auto"/>
              <w:bottom w:val="single" w:sz="4" w:space="0" w:color="auto"/>
              <w:right w:val="single" w:sz="4" w:space="0" w:color="auto"/>
            </w:tcBorders>
            <w:hideMark/>
          </w:tcPr>
          <w:p w14:paraId="5667FEE3" w14:textId="77777777" w:rsidR="008D7220" w:rsidRDefault="008D7220" w:rsidP="009B121E">
            <w:pPr>
              <w:spacing w:before="40" w:after="40"/>
              <w:rPr>
                <w:rFonts w:ascii="Arial Narrow" w:eastAsia="Calibri" w:hAnsi="Arial Narrow" w:cs="Courier New"/>
                <w:sz w:val="20"/>
                <w:szCs w:val="20"/>
              </w:rPr>
            </w:pPr>
            <w:r>
              <w:rPr>
                <w:rFonts w:ascii="Arial Narrow" w:eastAsia="Calibri" w:hAnsi="Arial Narrow" w:cs="Courier New"/>
                <w:sz w:val="20"/>
                <w:szCs w:val="20"/>
              </w:rPr>
              <w:t>Discount rate</w:t>
            </w:r>
          </w:p>
        </w:tc>
        <w:tc>
          <w:tcPr>
            <w:tcW w:w="1984" w:type="pct"/>
            <w:tcBorders>
              <w:top w:val="single" w:sz="4" w:space="0" w:color="auto"/>
              <w:left w:val="single" w:sz="4" w:space="0" w:color="auto"/>
              <w:bottom w:val="single" w:sz="4" w:space="0" w:color="auto"/>
              <w:right w:val="single" w:sz="4" w:space="0" w:color="auto"/>
            </w:tcBorders>
            <w:hideMark/>
          </w:tcPr>
          <w:p w14:paraId="6EAA1D8F" w14:textId="77777777" w:rsidR="008D7220" w:rsidRDefault="008D7220" w:rsidP="009B121E">
            <w:pPr>
              <w:spacing w:before="40" w:after="40"/>
              <w:rPr>
                <w:rFonts w:ascii="Arial Narrow" w:eastAsia="Calibri" w:hAnsi="Arial Narrow" w:cs="Courier New"/>
                <w:sz w:val="20"/>
                <w:szCs w:val="20"/>
              </w:rPr>
            </w:pPr>
            <w:r>
              <w:rPr>
                <w:rFonts w:ascii="Arial Narrow" w:eastAsia="Calibri" w:hAnsi="Arial Narrow" w:cs="Arial"/>
                <w:color w:val="000000" w:themeColor="text1"/>
                <w:sz w:val="20"/>
                <w:szCs w:val="20"/>
              </w:rPr>
              <w:t>5% for both costs and outcomes</w:t>
            </w:r>
          </w:p>
        </w:tc>
        <w:tc>
          <w:tcPr>
            <w:tcW w:w="1985" w:type="pct"/>
            <w:tcBorders>
              <w:top w:val="single" w:sz="4" w:space="0" w:color="auto"/>
              <w:left w:val="single" w:sz="4" w:space="0" w:color="auto"/>
              <w:bottom w:val="single" w:sz="4" w:space="0" w:color="auto"/>
              <w:right w:val="single" w:sz="4" w:space="0" w:color="auto"/>
            </w:tcBorders>
            <w:hideMark/>
          </w:tcPr>
          <w:p w14:paraId="0F3CE1A7" w14:textId="77777777" w:rsidR="008D7220" w:rsidRDefault="008D7220" w:rsidP="009B121E">
            <w:pPr>
              <w:spacing w:before="40" w:after="40"/>
              <w:rPr>
                <w:rFonts w:ascii="Arial Narrow" w:eastAsia="Calibri" w:hAnsi="Arial Narrow" w:cs="Times New Roman"/>
                <w:color w:val="0070C0"/>
                <w:sz w:val="20"/>
                <w:szCs w:val="20"/>
              </w:rPr>
            </w:pPr>
            <w:r>
              <w:rPr>
                <w:rFonts w:ascii="Arial Narrow" w:eastAsia="Calibri" w:hAnsi="Arial Narrow" w:cs="Arial"/>
                <w:color w:val="000000" w:themeColor="text1"/>
                <w:sz w:val="20"/>
                <w:szCs w:val="20"/>
              </w:rPr>
              <w:t>5% for both costs and outcomes</w:t>
            </w:r>
          </w:p>
        </w:tc>
      </w:tr>
      <w:tr w:rsidR="008D7220" w14:paraId="772A65F5" w14:textId="77777777" w:rsidTr="009B121E">
        <w:tc>
          <w:tcPr>
            <w:tcW w:w="1031" w:type="pct"/>
            <w:tcBorders>
              <w:top w:val="single" w:sz="4" w:space="0" w:color="auto"/>
              <w:left w:val="single" w:sz="4" w:space="0" w:color="auto"/>
              <w:bottom w:val="single" w:sz="4" w:space="0" w:color="auto"/>
              <w:right w:val="single" w:sz="4" w:space="0" w:color="auto"/>
            </w:tcBorders>
            <w:hideMark/>
          </w:tcPr>
          <w:p w14:paraId="5752AEE0" w14:textId="77777777" w:rsidR="008D7220" w:rsidRDefault="008D7220" w:rsidP="009B121E">
            <w:pPr>
              <w:spacing w:before="40" w:after="40"/>
              <w:rPr>
                <w:rFonts w:ascii="Arial Narrow" w:eastAsia="Calibri" w:hAnsi="Arial Narrow" w:cs="Courier New"/>
                <w:sz w:val="20"/>
                <w:szCs w:val="20"/>
              </w:rPr>
            </w:pPr>
            <w:r>
              <w:rPr>
                <w:rFonts w:ascii="Arial Narrow" w:eastAsia="Calibri" w:hAnsi="Arial Narrow" w:cs="Courier New"/>
                <w:sz w:val="20"/>
                <w:szCs w:val="20"/>
              </w:rPr>
              <w:t>Software</w:t>
            </w:r>
          </w:p>
        </w:tc>
        <w:tc>
          <w:tcPr>
            <w:tcW w:w="1984" w:type="pct"/>
            <w:tcBorders>
              <w:top w:val="single" w:sz="4" w:space="0" w:color="auto"/>
              <w:left w:val="single" w:sz="4" w:space="0" w:color="auto"/>
              <w:bottom w:val="single" w:sz="4" w:space="0" w:color="auto"/>
              <w:right w:val="single" w:sz="4" w:space="0" w:color="auto"/>
            </w:tcBorders>
            <w:hideMark/>
          </w:tcPr>
          <w:p w14:paraId="1A0B9D2C" w14:textId="77777777" w:rsidR="008D7220" w:rsidRDefault="008D7220" w:rsidP="009B121E">
            <w:pPr>
              <w:spacing w:before="40" w:after="40"/>
              <w:rPr>
                <w:rFonts w:ascii="Arial Narrow" w:eastAsia="Calibri" w:hAnsi="Arial Narrow" w:cs="Courier New"/>
                <w:sz w:val="20"/>
                <w:szCs w:val="20"/>
              </w:rPr>
            </w:pPr>
            <w:proofErr w:type="spellStart"/>
            <w:r>
              <w:rPr>
                <w:rFonts w:ascii="Arial Narrow" w:eastAsia="Calibri" w:hAnsi="Arial Narrow" w:cs="Arial"/>
                <w:color w:val="000000" w:themeColor="text1"/>
                <w:sz w:val="20"/>
                <w:szCs w:val="20"/>
              </w:rPr>
              <w:t>TreeAge</w:t>
            </w:r>
            <w:proofErr w:type="spellEnd"/>
            <w:r>
              <w:rPr>
                <w:rFonts w:ascii="Arial Narrow" w:eastAsia="Calibri" w:hAnsi="Arial Narrow" w:cs="Arial"/>
                <w:color w:val="000000" w:themeColor="text1"/>
                <w:sz w:val="20"/>
                <w:szCs w:val="20"/>
              </w:rPr>
              <w:t xml:space="preserve"> Pro HealthCare 2023</w:t>
            </w:r>
          </w:p>
        </w:tc>
        <w:tc>
          <w:tcPr>
            <w:tcW w:w="1985" w:type="pct"/>
            <w:tcBorders>
              <w:top w:val="single" w:sz="4" w:space="0" w:color="auto"/>
              <w:left w:val="single" w:sz="4" w:space="0" w:color="auto"/>
              <w:bottom w:val="single" w:sz="4" w:space="0" w:color="auto"/>
              <w:right w:val="single" w:sz="4" w:space="0" w:color="auto"/>
            </w:tcBorders>
            <w:hideMark/>
          </w:tcPr>
          <w:p w14:paraId="4A9953A3" w14:textId="77777777" w:rsidR="008D7220" w:rsidRDefault="008D7220" w:rsidP="009B121E">
            <w:pPr>
              <w:spacing w:before="40" w:after="40"/>
              <w:rPr>
                <w:rFonts w:ascii="Arial Narrow" w:eastAsia="Calibri" w:hAnsi="Arial Narrow" w:cs="Times New Roman"/>
                <w:color w:val="0070C0"/>
                <w:sz w:val="20"/>
                <w:szCs w:val="20"/>
              </w:rPr>
            </w:pPr>
            <w:proofErr w:type="spellStart"/>
            <w:r>
              <w:rPr>
                <w:rFonts w:ascii="Arial Narrow" w:eastAsia="Calibri" w:hAnsi="Arial Narrow" w:cs="Arial"/>
                <w:color w:val="000000" w:themeColor="text1"/>
                <w:sz w:val="20"/>
                <w:szCs w:val="20"/>
              </w:rPr>
              <w:t>TreeAge</w:t>
            </w:r>
            <w:proofErr w:type="spellEnd"/>
            <w:r>
              <w:rPr>
                <w:rFonts w:ascii="Arial Narrow" w:eastAsia="Calibri" w:hAnsi="Arial Narrow" w:cs="Arial"/>
                <w:color w:val="000000" w:themeColor="text1"/>
                <w:sz w:val="20"/>
                <w:szCs w:val="20"/>
              </w:rPr>
              <w:t xml:space="preserve"> Pro HealthCare 2023</w:t>
            </w:r>
          </w:p>
        </w:tc>
      </w:tr>
    </w:tbl>
    <w:p w14:paraId="30966EBA" w14:textId="19D40183" w:rsidR="008D7220" w:rsidRDefault="008D7220" w:rsidP="00051740">
      <w:pPr>
        <w:pStyle w:val="TableFooter"/>
        <w:rPr>
          <w:b/>
          <w:snapToGrid w:val="0"/>
          <w:lang w:eastAsia="en-AU"/>
        </w:rPr>
      </w:pPr>
      <w:r w:rsidRPr="00603B21">
        <w:rPr>
          <w:snapToGrid w:val="0"/>
          <w:lang w:eastAsia="en-AU"/>
        </w:rPr>
        <w:t>ACS</w:t>
      </w:r>
      <w:r w:rsidR="00051740">
        <w:rPr>
          <w:snapToGrid w:val="0"/>
          <w:lang w:eastAsia="en-AU"/>
        </w:rPr>
        <w:t xml:space="preserve"> =</w:t>
      </w:r>
      <w:r w:rsidRPr="00603B21">
        <w:rPr>
          <w:snapToGrid w:val="0"/>
          <w:lang w:eastAsia="en-AU"/>
        </w:rPr>
        <w:t xml:space="preserve"> acute coronary syndrome; CAD</w:t>
      </w:r>
      <w:r w:rsidR="00757BA8">
        <w:rPr>
          <w:snapToGrid w:val="0"/>
          <w:lang w:eastAsia="en-AU"/>
        </w:rPr>
        <w:t xml:space="preserve"> </w:t>
      </w:r>
      <w:r w:rsidR="00051740">
        <w:rPr>
          <w:snapToGrid w:val="0"/>
          <w:lang w:eastAsia="en-AU"/>
        </w:rPr>
        <w:t>=</w:t>
      </w:r>
      <w:r w:rsidRPr="00603B21">
        <w:rPr>
          <w:snapToGrid w:val="0"/>
          <w:lang w:eastAsia="en-AU"/>
        </w:rPr>
        <w:t xml:space="preserve"> coronary artery disease; CXR</w:t>
      </w:r>
      <w:r w:rsidR="00051740">
        <w:rPr>
          <w:snapToGrid w:val="0"/>
          <w:lang w:eastAsia="en-AU"/>
        </w:rPr>
        <w:t xml:space="preserve"> =</w:t>
      </w:r>
      <w:r w:rsidRPr="00603B21">
        <w:rPr>
          <w:snapToGrid w:val="0"/>
          <w:lang w:eastAsia="en-AU"/>
        </w:rPr>
        <w:t xml:space="preserve"> chest X-ray; CTCA</w:t>
      </w:r>
      <w:r w:rsidR="00051740">
        <w:rPr>
          <w:snapToGrid w:val="0"/>
          <w:lang w:eastAsia="en-AU"/>
        </w:rPr>
        <w:t xml:space="preserve"> =</w:t>
      </w:r>
      <w:r w:rsidRPr="00603B21">
        <w:rPr>
          <w:snapToGrid w:val="0"/>
          <w:lang w:eastAsia="en-AU"/>
        </w:rPr>
        <w:t xml:space="preserve"> computed tomography guided angiogram; EMB</w:t>
      </w:r>
      <w:r w:rsidR="00051740">
        <w:rPr>
          <w:snapToGrid w:val="0"/>
          <w:lang w:eastAsia="en-AU"/>
        </w:rPr>
        <w:t xml:space="preserve"> =</w:t>
      </w:r>
      <w:r w:rsidRPr="00603B21">
        <w:rPr>
          <w:snapToGrid w:val="0"/>
          <w:lang w:eastAsia="en-AU"/>
        </w:rPr>
        <w:t xml:space="preserve"> endomyocardial biopsy; ECG</w:t>
      </w:r>
      <w:r w:rsidR="00051740">
        <w:rPr>
          <w:snapToGrid w:val="0"/>
          <w:lang w:eastAsia="en-AU"/>
        </w:rPr>
        <w:t xml:space="preserve"> =</w:t>
      </w:r>
      <w:r w:rsidRPr="00603B21">
        <w:rPr>
          <w:snapToGrid w:val="0"/>
          <w:lang w:eastAsia="en-AU"/>
        </w:rPr>
        <w:t xml:space="preserve"> electrocardiogram</w:t>
      </w:r>
      <w:r w:rsidR="002A5B88">
        <w:rPr>
          <w:snapToGrid w:val="0"/>
          <w:lang w:eastAsia="en-AU"/>
        </w:rPr>
        <w:t>;</w:t>
      </w:r>
      <w:r w:rsidRPr="00603B21">
        <w:rPr>
          <w:snapToGrid w:val="0"/>
          <w:lang w:eastAsia="en-AU"/>
        </w:rPr>
        <w:t xml:space="preserve"> </w:t>
      </w:r>
      <w:r w:rsidR="002A5B88">
        <w:rPr>
          <w:snapToGrid w:val="0"/>
          <w:lang w:eastAsia="en-AU"/>
        </w:rPr>
        <w:t xml:space="preserve">ECHO: echocardiogram; </w:t>
      </w:r>
      <w:r w:rsidRPr="00603B21">
        <w:rPr>
          <w:snapToGrid w:val="0"/>
          <w:lang w:eastAsia="en-AU"/>
        </w:rPr>
        <w:t>HF</w:t>
      </w:r>
      <w:r w:rsidR="00051740">
        <w:rPr>
          <w:snapToGrid w:val="0"/>
          <w:lang w:eastAsia="en-AU"/>
        </w:rPr>
        <w:t xml:space="preserve"> =</w:t>
      </w:r>
      <w:r w:rsidRPr="00603B21">
        <w:rPr>
          <w:snapToGrid w:val="0"/>
          <w:lang w:eastAsia="en-AU"/>
        </w:rPr>
        <w:t xml:space="preserve"> heart failure; ICA</w:t>
      </w:r>
      <w:r w:rsidR="00051740">
        <w:rPr>
          <w:snapToGrid w:val="0"/>
          <w:lang w:eastAsia="en-AU"/>
        </w:rPr>
        <w:t xml:space="preserve"> =</w:t>
      </w:r>
      <w:r w:rsidRPr="00603B21">
        <w:rPr>
          <w:snapToGrid w:val="0"/>
          <w:lang w:eastAsia="en-AU"/>
        </w:rPr>
        <w:t xml:space="preserve"> invasive coronary angiogram; ICD</w:t>
      </w:r>
      <w:r w:rsidR="00051740">
        <w:rPr>
          <w:snapToGrid w:val="0"/>
          <w:lang w:eastAsia="en-AU"/>
        </w:rPr>
        <w:t xml:space="preserve"> =</w:t>
      </w:r>
      <w:r w:rsidRPr="00603B21">
        <w:rPr>
          <w:snapToGrid w:val="0"/>
          <w:lang w:eastAsia="en-AU"/>
        </w:rPr>
        <w:t xml:space="preserve"> implantable cardioverter defibrillator; MACE</w:t>
      </w:r>
      <w:r w:rsidR="00051740">
        <w:rPr>
          <w:snapToGrid w:val="0"/>
          <w:lang w:eastAsia="en-AU"/>
        </w:rPr>
        <w:t xml:space="preserve"> =</w:t>
      </w:r>
      <w:r w:rsidR="00757BA8">
        <w:rPr>
          <w:snapToGrid w:val="0"/>
          <w:lang w:eastAsia="en-AU"/>
        </w:rPr>
        <w:t xml:space="preserve"> </w:t>
      </w:r>
      <w:r w:rsidRPr="00603B21">
        <w:rPr>
          <w:snapToGrid w:val="0"/>
          <w:lang w:eastAsia="en-AU"/>
        </w:rPr>
        <w:t>major adverse cardiovascular event (sudden death, hospitalisation for VA, hospitalisation for HF)</w:t>
      </w:r>
      <w:r w:rsidR="00757BA8">
        <w:rPr>
          <w:snapToGrid w:val="0"/>
          <w:lang w:eastAsia="en-AU"/>
        </w:rPr>
        <w:t>; MRI = magnetic resonance imaging;</w:t>
      </w:r>
      <w:r w:rsidRPr="00603B21">
        <w:rPr>
          <w:snapToGrid w:val="0"/>
          <w:lang w:eastAsia="en-AU"/>
        </w:rPr>
        <w:t xml:space="preserve"> </w:t>
      </w:r>
      <w:proofErr w:type="spellStart"/>
      <w:r w:rsidRPr="00603B21">
        <w:rPr>
          <w:snapToGrid w:val="0"/>
          <w:lang w:eastAsia="en-AU"/>
        </w:rPr>
        <w:t>pLVEF</w:t>
      </w:r>
      <w:proofErr w:type="spellEnd"/>
      <w:r w:rsidR="00051740">
        <w:rPr>
          <w:snapToGrid w:val="0"/>
          <w:lang w:eastAsia="en-AU"/>
        </w:rPr>
        <w:t xml:space="preserve"> =</w:t>
      </w:r>
      <w:r w:rsidRPr="00603B21">
        <w:rPr>
          <w:snapToGrid w:val="0"/>
          <w:lang w:eastAsia="en-AU"/>
        </w:rPr>
        <w:t xml:space="preserve"> preserved left ventricular ejection fraction; QALY</w:t>
      </w:r>
      <w:r w:rsidR="00051740">
        <w:rPr>
          <w:snapToGrid w:val="0"/>
          <w:lang w:eastAsia="en-AU"/>
        </w:rPr>
        <w:t xml:space="preserve"> =</w:t>
      </w:r>
      <w:r w:rsidRPr="00603B21">
        <w:rPr>
          <w:snapToGrid w:val="0"/>
          <w:lang w:eastAsia="en-AU"/>
        </w:rPr>
        <w:t xml:space="preserve"> quality-adjusted life year; </w:t>
      </w:r>
      <w:proofErr w:type="spellStart"/>
      <w:r w:rsidRPr="00603B21">
        <w:rPr>
          <w:snapToGrid w:val="0"/>
          <w:lang w:eastAsia="en-AU"/>
        </w:rPr>
        <w:t>rLVEF</w:t>
      </w:r>
      <w:proofErr w:type="spellEnd"/>
      <w:r w:rsidR="00051740">
        <w:rPr>
          <w:snapToGrid w:val="0"/>
          <w:lang w:eastAsia="en-AU"/>
        </w:rPr>
        <w:t xml:space="preserve"> =</w:t>
      </w:r>
      <w:r w:rsidRPr="00603B21">
        <w:rPr>
          <w:snapToGrid w:val="0"/>
          <w:lang w:eastAsia="en-AU"/>
        </w:rPr>
        <w:t xml:space="preserve"> reduced left ventricular ejection fraction; VA</w:t>
      </w:r>
      <w:r w:rsidR="00051740">
        <w:rPr>
          <w:snapToGrid w:val="0"/>
          <w:lang w:eastAsia="en-AU"/>
        </w:rPr>
        <w:t xml:space="preserve"> =</w:t>
      </w:r>
      <w:r w:rsidRPr="00603B21">
        <w:rPr>
          <w:snapToGrid w:val="0"/>
          <w:lang w:eastAsia="en-AU"/>
        </w:rPr>
        <w:t xml:space="preserve"> ventricular arrythmia/tachycardia</w:t>
      </w:r>
      <w:r w:rsidR="00051740">
        <w:rPr>
          <w:snapToGrid w:val="0"/>
          <w:lang w:eastAsia="en-AU"/>
        </w:rPr>
        <w:t>.</w:t>
      </w:r>
    </w:p>
    <w:p w14:paraId="0D5682D8" w14:textId="2EF9AEE2" w:rsidR="00603B21" w:rsidRDefault="00C3762C" w:rsidP="00867E94">
      <w:r>
        <w:t xml:space="preserve">A time horizon of 20 years was used based on the follow up duration of </w:t>
      </w:r>
      <w:proofErr w:type="spellStart"/>
      <w:r>
        <w:t>Grani</w:t>
      </w:r>
      <w:proofErr w:type="spellEnd"/>
      <w:r>
        <w:t xml:space="preserve"> et al</w:t>
      </w:r>
      <w:r w:rsidR="009D0D63">
        <w:t>.</w:t>
      </w:r>
      <w:r w:rsidR="002E3C54">
        <w:t xml:space="preserve"> (2017)</w:t>
      </w:r>
      <w:r>
        <w:t xml:space="preserve"> (~14</w:t>
      </w:r>
      <w:r w:rsidR="00D1742B">
        <w:t> </w:t>
      </w:r>
      <w:r>
        <w:t xml:space="preserve">years) and </w:t>
      </w:r>
      <w:proofErr w:type="gramStart"/>
      <w:r>
        <w:t>assuming that</w:t>
      </w:r>
      <w:proofErr w:type="gramEnd"/>
      <w:r>
        <w:t xml:space="preserve"> the cohort of patients who start</w:t>
      </w:r>
      <w:r w:rsidR="00C640BB">
        <w:t>ed</w:t>
      </w:r>
      <w:r>
        <w:t xml:space="preserve"> the model in their forties may start to develop other cardiovascular diseases after 20 years due to ageing and other risk factors. However, a lifetime horizon </w:t>
      </w:r>
      <w:r w:rsidR="008D18E5">
        <w:t>wa</w:t>
      </w:r>
      <w:r>
        <w:t xml:space="preserve">s tested in sensitivity analysis. </w:t>
      </w:r>
      <w:bookmarkStart w:id="50" w:name="_Hlk150342795"/>
      <w:r w:rsidR="00603B21" w:rsidRPr="00603B21">
        <w:t xml:space="preserve">The model structure </w:t>
      </w:r>
      <w:r w:rsidR="00D10083">
        <w:t xml:space="preserve">and health states </w:t>
      </w:r>
      <w:r w:rsidR="00603B21" w:rsidRPr="00603B21">
        <w:t xml:space="preserve">in </w:t>
      </w:r>
      <w:r w:rsidR="00D10083">
        <w:t>P</w:t>
      </w:r>
      <w:r w:rsidR="00603B21" w:rsidRPr="00603B21">
        <w:t>opulation</w:t>
      </w:r>
      <w:r w:rsidR="00D10083">
        <w:t xml:space="preserve"> 1</w:t>
      </w:r>
      <w:r w:rsidR="00603B21" w:rsidRPr="00603B21">
        <w:t xml:space="preserve"> was based on the MSAC guidance for analysis of investigative health technologies</w:t>
      </w:r>
      <w:r w:rsidR="00A1459C">
        <w:t xml:space="preserve"> and is presented </w:t>
      </w:r>
      <w:r w:rsidR="00D10083">
        <w:t xml:space="preserve">in </w:t>
      </w:r>
      <w:r w:rsidR="00D10083">
        <w:fldChar w:fldCharType="begin"/>
      </w:r>
      <w:r w:rsidR="00D10083">
        <w:instrText xml:space="preserve"> REF _Ref150341985 \h </w:instrText>
      </w:r>
      <w:r w:rsidR="00867E94">
        <w:instrText xml:space="preserve"> \* MERGEFORMAT </w:instrText>
      </w:r>
      <w:r w:rsidR="00D10083">
        <w:fldChar w:fldCharType="separate"/>
      </w:r>
      <w:r w:rsidR="00883135">
        <w:t xml:space="preserve">Figure </w:t>
      </w:r>
      <w:r w:rsidR="00883135">
        <w:rPr>
          <w:noProof/>
        </w:rPr>
        <w:t>3</w:t>
      </w:r>
      <w:r w:rsidR="00D10083">
        <w:fldChar w:fldCharType="end"/>
      </w:r>
      <w:r w:rsidR="00D10083">
        <w:t xml:space="preserve"> and </w:t>
      </w:r>
      <w:r w:rsidR="00D10083">
        <w:fldChar w:fldCharType="begin"/>
      </w:r>
      <w:r w:rsidR="00D10083">
        <w:instrText xml:space="preserve"> REF _Ref150342767 \h </w:instrText>
      </w:r>
      <w:r w:rsidR="00867E94">
        <w:instrText xml:space="preserve"> \* MERGEFORMAT </w:instrText>
      </w:r>
      <w:r w:rsidR="00D10083">
        <w:fldChar w:fldCharType="separate"/>
      </w:r>
      <w:r w:rsidR="00883135">
        <w:t xml:space="preserve">Figure </w:t>
      </w:r>
      <w:r w:rsidR="00883135">
        <w:rPr>
          <w:noProof/>
        </w:rPr>
        <w:t>4</w:t>
      </w:r>
      <w:r w:rsidR="00D10083">
        <w:fldChar w:fldCharType="end"/>
      </w:r>
      <w:r w:rsidR="00D10083">
        <w:t>, respectively.</w:t>
      </w:r>
      <w:bookmarkEnd w:id="50"/>
    </w:p>
    <w:p w14:paraId="42C84283" w14:textId="7CDCE126" w:rsidR="00A1459C" w:rsidRDefault="00D37558" w:rsidP="00A1459C">
      <w:pPr>
        <w:keepNext/>
        <w:spacing w:line="256" w:lineRule="auto"/>
        <w:jc w:val="center"/>
      </w:pPr>
      <w:r>
        <w:rPr>
          <w:rFonts w:ascii="Arial Narrow" w:eastAsia="Calibri" w:hAnsi="Arial Narrow" w:cstheme="minorHAnsi"/>
          <w:noProof/>
          <w:color w:val="000000" w:themeColor="text1"/>
          <w:sz w:val="18"/>
          <w:szCs w:val="18"/>
        </w:rPr>
        <w:lastRenderedPageBreak/>
        <w:drawing>
          <wp:inline distT="0" distB="0" distL="0" distR="0" wp14:anchorId="2CF95E88" wp14:editId="5FEBCD8C">
            <wp:extent cx="5731510" cy="3699510"/>
            <wp:effectExtent l="0" t="0" r="0" b="0"/>
            <wp:docPr id="2088042203" name="Picture 2088042203" descr="A decision analytic for the structure of the economic model for Populat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042203" name="Picture 2088042203" descr="A decision analytic for the structure of the economic model for Population 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31510" cy="3699510"/>
                    </a:xfrm>
                    <a:prstGeom prst="rect">
                      <a:avLst/>
                    </a:prstGeom>
                  </pic:spPr>
                </pic:pic>
              </a:graphicData>
            </a:graphic>
          </wp:inline>
        </w:drawing>
      </w:r>
    </w:p>
    <w:p w14:paraId="70044AA5" w14:textId="06477FA9" w:rsidR="00A1459C" w:rsidRDefault="00A1459C" w:rsidP="002E3C54">
      <w:pPr>
        <w:pStyle w:val="Caption"/>
      </w:pPr>
      <w:bookmarkStart w:id="51" w:name="_Ref150341985"/>
      <w:bookmarkStart w:id="52" w:name="_Toc155173820"/>
      <w:r>
        <w:t xml:space="preserve">Figure </w:t>
      </w:r>
      <w:r>
        <w:fldChar w:fldCharType="begin"/>
      </w:r>
      <w:r>
        <w:instrText>SEQ Figure \* ARABIC</w:instrText>
      </w:r>
      <w:r>
        <w:fldChar w:fldCharType="separate"/>
      </w:r>
      <w:r w:rsidR="00883135">
        <w:rPr>
          <w:noProof/>
        </w:rPr>
        <w:t>3</w:t>
      </w:r>
      <w:r>
        <w:fldChar w:fldCharType="end"/>
      </w:r>
      <w:bookmarkEnd w:id="51"/>
      <w:r w:rsidR="003F25ED">
        <w:tab/>
      </w:r>
      <w:r w:rsidRPr="00A1459C">
        <w:t xml:space="preserve">Structure of the economic model for </w:t>
      </w:r>
      <w:r w:rsidR="002E3C54">
        <w:t>P</w:t>
      </w:r>
      <w:r w:rsidRPr="00A1459C">
        <w:t>opulation</w:t>
      </w:r>
      <w:r w:rsidR="002E3C54">
        <w:t xml:space="preserve"> 1</w:t>
      </w:r>
      <w:bookmarkEnd w:id="52"/>
    </w:p>
    <w:p w14:paraId="4EA3E38D" w14:textId="2340B88C" w:rsidR="002E3C54" w:rsidRPr="002E3C54" w:rsidRDefault="00C11974" w:rsidP="002E3C54">
      <w:pPr>
        <w:pStyle w:val="TableFooter"/>
      </w:pPr>
      <w:r>
        <w:t xml:space="preserve">CMR = cardiovascular magnetic resonance imaging; EMB = endomyocardial biopsy; </w:t>
      </w:r>
      <w:r w:rsidR="002E3C54">
        <w:t>LGE = late gadolinium enhancement</w:t>
      </w:r>
    </w:p>
    <w:p w14:paraId="43071B7D" w14:textId="77777777" w:rsidR="002E3C54" w:rsidRDefault="00616D58" w:rsidP="002E3C54">
      <w:pPr>
        <w:keepNext/>
        <w:spacing w:line="256" w:lineRule="auto"/>
      </w:pPr>
      <w:r>
        <w:rPr>
          <w:rFonts w:eastAsia="Calibri" w:cstheme="minorHAnsi"/>
          <w:noProof/>
          <w:color w:val="000000" w:themeColor="text1"/>
        </w:rPr>
        <w:drawing>
          <wp:inline distT="0" distB="0" distL="0" distR="0" wp14:anchorId="07AA2EA4" wp14:editId="4AB5D46C">
            <wp:extent cx="4032107" cy="2163170"/>
            <wp:effectExtent l="0" t="0" r="6985" b="8890"/>
            <wp:docPr id="1083817379" name="Picture 1083817379" descr="A pictorial diagram of the health states for patients with myocarditis in Populat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17379" name="Picture 1083817379" descr="A pictorial diagram of the health states for patients with myocarditis in Population 1"/>
                    <pic:cNvPicPr/>
                  </pic:nvPicPr>
                  <pic:blipFill rotWithShape="1">
                    <a:blip r:embed="rId19" cstate="print">
                      <a:extLst>
                        <a:ext uri="{28A0092B-C50C-407E-A947-70E740481C1C}">
                          <a14:useLocalDpi xmlns:a14="http://schemas.microsoft.com/office/drawing/2010/main" val="0"/>
                        </a:ext>
                      </a:extLst>
                    </a:blip>
                    <a:srcRect/>
                    <a:stretch/>
                  </pic:blipFill>
                  <pic:spPr bwMode="auto">
                    <a:xfrm>
                      <a:off x="0" y="0"/>
                      <a:ext cx="4047289" cy="2171315"/>
                    </a:xfrm>
                    <a:prstGeom prst="rect">
                      <a:avLst/>
                    </a:prstGeom>
                    <a:ln>
                      <a:noFill/>
                    </a:ln>
                    <a:extLst>
                      <a:ext uri="{53640926-AAD7-44D8-BBD7-CCE9431645EC}">
                        <a14:shadowObscured xmlns:a14="http://schemas.microsoft.com/office/drawing/2010/main"/>
                      </a:ext>
                    </a:extLst>
                  </pic:spPr>
                </pic:pic>
              </a:graphicData>
            </a:graphic>
          </wp:inline>
        </w:drawing>
      </w:r>
    </w:p>
    <w:p w14:paraId="02B66B99" w14:textId="76907B56" w:rsidR="002E3C54" w:rsidRDefault="002E3C54" w:rsidP="002E3C54">
      <w:pPr>
        <w:pStyle w:val="Caption"/>
      </w:pPr>
      <w:bookmarkStart w:id="53" w:name="_Ref150342767"/>
      <w:bookmarkStart w:id="54" w:name="_Toc155173821"/>
      <w:r>
        <w:t xml:space="preserve">Figure </w:t>
      </w:r>
      <w:r>
        <w:fldChar w:fldCharType="begin"/>
      </w:r>
      <w:r>
        <w:instrText>SEQ Figure \* ARABIC</w:instrText>
      </w:r>
      <w:r>
        <w:fldChar w:fldCharType="separate"/>
      </w:r>
      <w:r w:rsidR="00883135">
        <w:rPr>
          <w:noProof/>
        </w:rPr>
        <w:t>4</w:t>
      </w:r>
      <w:r>
        <w:fldChar w:fldCharType="end"/>
      </w:r>
      <w:bookmarkEnd w:id="53"/>
      <w:r w:rsidR="003F25ED">
        <w:tab/>
      </w:r>
      <w:r w:rsidRPr="002E3C54">
        <w:t xml:space="preserve">Health states for patients with myocarditis in </w:t>
      </w:r>
      <w:r>
        <w:t>P</w:t>
      </w:r>
      <w:r w:rsidRPr="002E3C54">
        <w:t>opulation 1</w:t>
      </w:r>
      <w:bookmarkEnd w:id="54"/>
    </w:p>
    <w:p w14:paraId="5A9B39D6" w14:textId="641314AA" w:rsidR="002E3C54" w:rsidRDefault="002E3C54" w:rsidP="002E3C54">
      <w:pPr>
        <w:pStyle w:val="TableFooter"/>
      </w:pPr>
      <w:r w:rsidRPr="002E3C54">
        <w:t xml:space="preserve">Source: </w:t>
      </w:r>
      <w:proofErr w:type="spellStart"/>
      <w:r w:rsidRPr="002E3C54">
        <w:t>Grani</w:t>
      </w:r>
      <w:proofErr w:type="spellEnd"/>
      <w:r w:rsidRPr="002E3C54">
        <w:t>, C et al. 2017 and validated by Expert opinion.</w:t>
      </w:r>
    </w:p>
    <w:p w14:paraId="672C38B4" w14:textId="6B0CED1A" w:rsidR="00D10083" w:rsidRDefault="002E3C54" w:rsidP="002E3C54">
      <w:pPr>
        <w:pStyle w:val="TableFooter"/>
      </w:pPr>
      <w:r>
        <w:t xml:space="preserve">ICD = implantable cardioverter defibrillator; HF = heart failure; MACE = major cardiovascular event; </w:t>
      </w:r>
      <w:proofErr w:type="spellStart"/>
      <w:r>
        <w:t>rLVEF</w:t>
      </w:r>
      <w:proofErr w:type="spellEnd"/>
      <w:r>
        <w:t xml:space="preserve"> = reduced left ventricular ejection fraction; VA = ventricular arrythmia.</w:t>
      </w:r>
    </w:p>
    <w:p w14:paraId="1CC71313" w14:textId="0DC21C11" w:rsidR="00A1459C" w:rsidRDefault="00D10083" w:rsidP="00867E94">
      <w:pPr>
        <w:rPr>
          <w:color w:val="000000" w:themeColor="text1"/>
        </w:rPr>
      </w:pPr>
      <w:r w:rsidRPr="00D10083">
        <w:t xml:space="preserve">The model structure and health states in Population </w:t>
      </w:r>
      <w:r w:rsidR="00004595">
        <w:t>2</w:t>
      </w:r>
      <w:r w:rsidR="00004595" w:rsidRPr="00D10083">
        <w:t xml:space="preserve"> </w:t>
      </w:r>
      <w:r w:rsidRPr="00D10083">
        <w:t>w</w:t>
      </w:r>
      <w:r w:rsidR="00A71455">
        <w:t>ere</w:t>
      </w:r>
      <w:r w:rsidRPr="00D10083">
        <w:t xml:space="preserve"> based on the MSAC guidance for analysis of investigative health technologies and </w:t>
      </w:r>
      <w:r w:rsidR="00A71455">
        <w:t>are</w:t>
      </w:r>
      <w:r w:rsidRPr="00D10083">
        <w:t xml:space="preserve"> presented in </w:t>
      </w:r>
      <w:r w:rsidRPr="00D10083">
        <w:fldChar w:fldCharType="begin"/>
      </w:r>
      <w:r w:rsidRPr="00D10083">
        <w:instrText xml:space="preserve"> REF _Ref150342813 \h </w:instrText>
      </w:r>
      <w:r>
        <w:instrText xml:space="preserve"> \* MERGEFORMAT </w:instrText>
      </w:r>
      <w:r w:rsidRPr="00D10083">
        <w:fldChar w:fldCharType="separate"/>
      </w:r>
      <w:r w:rsidR="00883135">
        <w:t>Figure 5</w:t>
      </w:r>
      <w:r w:rsidRPr="00D10083">
        <w:fldChar w:fldCharType="end"/>
      </w:r>
      <w:r w:rsidRPr="00D10083">
        <w:t xml:space="preserve"> and </w:t>
      </w:r>
      <w:r w:rsidRPr="00D10083">
        <w:fldChar w:fldCharType="begin"/>
      </w:r>
      <w:r w:rsidRPr="00D10083">
        <w:instrText xml:space="preserve"> REF _Ref150342842 \h </w:instrText>
      </w:r>
      <w:r>
        <w:instrText xml:space="preserve"> \* MERGEFORMAT </w:instrText>
      </w:r>
      <w:r w:rsidRPr="00D10083">
        <w:fldChar w:fldCharType="separate"/>
      </w:r>
      <w:r w:rsidR="00883135" w:rsidRPr="00CF3E93">
        <w:t xml:space="preserve">Figure </w:t>
      </w:r>
      <w:r w:rsidR="00883135">
        <w:t>6</w:t>
      </w:r>
      <w:r w:rsidRPr="00D10083">
        <w:fldChar w:fldCharType="end"/>
      </w:r>
      <w:r w:rsidRPr="00D10083">
        <w:t>, respectively.</w:t>
      </w:r>
      <w:r>
        <w:rPr>
          <w:color w:val="000000" w:themeColor="text1"/>
        </w:rPr>
        <w:t xml:space="preserve"> </w:t>
      </w:r>
    </w:p>
    <w:p w14:paraId="54C5EB55" w14:textId="5B362DB4" w:rsidR="00A1459C" w:rsidRDefault="00D37558" w:rsidP="00A1459C">
      <w:pPr>
        <w:keepNext/>
        <w:spacing w:line="256" w:lineRule="auto"/>
        <w:jc w:val="center"/>
      </w:pPr>
      <w:r>
        <w:rPr>
          <w:noProof/>
        </w:rPr>
        <w:lastRenderedPageBreak/>
        <w:drawing>
          <wp:inline distT="0" distB="0" distL="0" distR="0" wp14:anchorId="0416C324" wp14:editId="1C62861F">
            <wp:extent cx="5731510" cy="3927475"/>
            <wp:effectExtent l="0" t="0" r="0" b="0"/>
            <wp:docPr id="655357764" name="Picture 655357764" descr="Decision analytic protocol of the structure of the economic model for Populat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357764" name="Picture 655357764" descr="Decision analytic protocol of the structure of the economic model for Population 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31510" cy="3927475"/>
                    </a:xfrm>
                    <a:prstGeom prst="rect">
                      <a:avLst/>
                    </a:prstGeom>
                  </pic:spPr>
                </pic:pic>
              </a:graphicData>
            </a:graphic>
          </wp:inline>
        </w:drawing>
      </w:r>
    </w:p>
    <w:p w14:paraId="169E0A40" w14:textId="049F9DEE" w:rsidR="00A1459C" w:rsidRDefault="00A1459C" w:rsidP="002E3C54">
      <w:pPr>
        <w:pStyle w:val="Caption"/>
      </w:pPr>
      <w:bookmarkStart w:id="55" w:name="_Ref150342813"/>
      <w:bookmarkStart w:id="56" w:name="_Toc155173822"/>
      <w:r>
        <w:t xml:space="preserve">Figure </w:t>
      </w:r>
      <w:r>
        <w:fldChar w:fldCharType="begin"/>
      </w:r>
      <w:r>
        <w:instrText>SEQ Figure \* ARABIC</w:instrText>
      </w:r>
      <w:r>
        <w:fldChar w:fldCharType="separate"/>
      </w:r>
      <w:r w:rsidR="00883135">
        <w:rPr>
          <w:noProof/>
        </w:rPr>
        <w:t>5</w:t>
      </w:r>
      <w:r>
        <w:fldChar w:fldCharType="end"/>
      </w:r>
      <w:bookmarkEnd w:id="55"/>
      <w:r w:rsidR="003F25ED">
        <w:tab/>
      </w:r>
      <w:r w:rsidRPr="00A1459C">
        <w:t xml:space="preserve">Structure of the economic model for </w:t>
      </w:r>
      <w:r w:rsidR="00D10083">
        <w:t>P</w:t>
      </w:r>
      <w:r w:rsidRPr="00A1459C">
        <w:t>opulation 2</w:t>
      </w:r>
      <w:bookmarkEnd w:id="56"/>
    </w:p>
    <w:p w14:paraId="3D4DBB78" w14:textId="3A49FAC4" w:rsidR="002E3C54" w:rsidRDefault="002E3C54" w:rsidP="002E3C54">
      <w:pPr>
        <w:pStyle w:val="TableFooter"/>
      </w:pPr>
      <w:r>
        <w:t xml:space="preserve">EMB = endomyocardial biopsy; CAD = coronary artery disease; CTCA = </w:t>
      </w:r>
      <w:r w:rsidRPr="002E3C54">
        <w:t>computed tomography coronary angiography</w:t>
      </w:r>
      <w:r>
        <w:t>;</w:t>
      </w:r>
      <w:r w:rsidR="00C11974">
        <w:t xml:space="preserve"> LGE = late gadolinium enhancement; MINOCA = </w:t>
      </w:r>
      <w:r w:rsidRPr="002E3C54">
        <w:t>myocardial infarction with non-obstructive coronary arteries</w:t>
      </w:r>
      <w:r>
        <w:t>; TTE = transthoracic echocardiogram.</w:t>
      </w:r>
    </w:p>
    <w:p w14:paraId="75327978" w14:textId="77777777" w:rsidR="000767F1" w:rsidRDefault="000767F1" w:rsidP="000767F1">
      <w:pPr>
        <w:keepNext/>
      </w:pPr>
      <w:r>
        <w:rPr>
          <w:rFonts w:eastAsia="Calibri" w:cstheme="minorHAnsi"/>
          <w:noProof/>
          <w:color w:val="000000" w:themeColor="text1"/>
        </w:rPr>
        <w:drawing>
          <wp:inline distT="0" distB="0" distL="0" distR="0" wp14:anchorId="2EDE6378" wp14:editId="0D36D430">
            <wp:extent cx="3151239" cy="2199736"/>
            <wp:effectExtent l="0" t="0" r="0" b="0"/>
            <wp:docPr id="1781416952" name="Picture 1781416952" descr="Pictorial representation of 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416952" name="Picture 1781416952" descr="Pictorial representation of th"/>
                    <pic:cNvPicPr/>
                  </pic:nvPicPr>
                  <pic:blipFill rotWithShape="1">
                    <a:blip r:embed="rId21" cstate="print">
                      <a:extLst>
                        <a:ext uri="{28A0092B-C50C-407E-A947-70E740481C1C}">
                          <a14:useLocalDpi xmlns:a14="http://schemas.microsoft.com/office/drawing/2010/main" val="0"/>
                        </a:ext>
                      </a:extLst>
                    </a:blip>
                    <a:srcRect/>
                    <a:stretch/>
                  </pic:blipFill>
                  <pic:spPr bwMode="auto">
                    <a:xfrm>
                      <a:off x="0" y="0"/>
                      <a:ext cx="3189565" cy="2226490"/>
                    </a:xfrm>
                    <a:prstGeom prst="rect">
                      <a:avLst/>
                    </a:prstGeom>
                    <a:ln>
                      <a:noFill/>
                    </a:ln>
                    <a:extLst>
                      <a:ext uri="{53640926-AAD7-44D8-BBD7-CCE9431645EC}">
                        <a14:shadowObscured xmlns:a14="http://schemas.microsoft.com/office/drawing/2010/main"/>
                      </a:ext>
                    </a:extLst>
                  </pic:spPr>
                </pic:pic>
              </a:graphicData>
            </a:graphic>
          </wp:inline>
        </w:drawing>
      </w:r>
    </w:p>
    <w:p w14:paraId="2C6AD91F" w14:textId="4AE9C629" w:rsidR="000767F1" w:rsidRPr="00CF3E93" w:rsidRDefault="000767F1" w:rsidP="000767F1">
      <w:pPr>
        <w:pStyle w:val="Caption"/>
        <w:rPr>
          <w:b w:val="0"/>
          <w:bCs w:val="0"/>
          <w:i/>
          <w:iCs/>
        </w:rPr>
      </w:pPr>
      <w:bookmarkStart w:id="57" w:name="_Ref150342842"/>
      <w:bookmarkStart w:id="58" w:name="_Toc155173823"/>
      <w:r w:rsidRPr="00CF3E93">
        <w:t xml:space="preserve">Figure </w:t>
      </w:r>
      <w:r>
        <w:fldChar w:fldCharType="begin"/>
      </w:r>
      <w:r>
        <w:instrText>SEQ Figure \* ARABIC</w:instrText>
      </w:r>
      <w:r>
        <w:fldChar w:fldCharType="separate"/>
      </w:r>
      <w:r w:rsidR="00883135">
        <w:rPr>
          <w:noProof/>
        </w:rPr>
        <w:t>6</w:t>
      </w:r>
      <w:r>
        <w:fldChar w:fldCharType="end"/>
      </w:r>
      <w:bookmarkEnd w:id="57"/>
      <w:r w:rsidR="003F25ED">
        <w:tab/>
      </w:r>
      <w:r w:rsidRPr="00CF3E93">
        <w:t xml:space="preserve">Health states for patients with myocarditis in </w:t>
      </w:r>
      <w:r w:rsidR="00D10083">
        <w:t>P</w:t>
      </w:r>
      <w:r w:rsidRPr="00CF3E93">
        <w:t>opulation 2</w:t>
      </w:r>
      <w:bookmarkEnd w:id="58"/>
    </w:p>
    <w:p w14:paraId="55A64E99" w14:textId="77777777" w:rsidR="000767F1" w:rsidRDefault="000767F1" w:rsidP="000767F1">
      <w:pPr>
        <w:pStyle w:val="TableFooter"/>
      </w:pPr>
      <w:r w:rsidRPr="00E84AA3">
        <w:t xml:space="preserve">Source: </w:t>
      </w:r>
      <w:proofErr w:type="spellStart"/>
      <w:r w:rsidRPr="00E84AA3">
        <w:t>Grani</w:t>
      </w:r>
      <w:proofErr w:type="spellEnd"/>
      <w:r w:rsidRPr="00E84AA3">
        <w:t>, C et al. 2017 and validated via Expert opinion.</w:t>
      </w:r>
    </w:p>
    <w:p w14:paraId="1DE806CD" w14:textId="77777777" w:rsidR="000767F1" w:rsidRPr="002E3C54" w:rsidRDefault="000767F1" w:rsidP="000767F1">
      <w:pPr>
        <w:pStyle w:val="TableFooter"/>
      </w:pPr>
      <w:r>
        <w:t xml:space="preserve">ICD = implantable cardioverter defibrillator; HF = heart failure; MACE = major cardiovascular event; </w:t>
      </w:r>
      <w:proofErr w:type="spellStart"/>
      <w:r>
        <w:t>rLVEF</w:t>
      </w:r>
      <w:proofErr w:type="spellEnd"/>
      <w:r>
        <w:t xml:space="preserve"> = reduced left ventricular ejection fraction; VA = ventricular arrythmia.</w:t>
      </w:r>
    </w:p>
    <w:p w14:paraId="4AE65370" w14:textId="23B9A384" w:rsidR="00603B21" w:rsidRPr="00427694" w:rsidRDefault="00603B21" w:rsidP="00867E94">
      <w:r w:rsidRPr="00603B21">
        <w:t xml:space="preserve">In </w:t>
      </w:r>
      <w:r w:rsidR="005D2654">
        <w:t>P</w:t>
      </w:r>
      <w:r w:rsidRPr="00603B21">
        <w:t xml:space="preserve">opulation 1, the proposed listing i.e., </w:t>
      </w:r>
      <w:r w:rsidR="000E5457">
        <w:t>cardiac MRI</w:t>
      </w:r>
      <w:r w:rsidRPr="00603B21">
        <w:t xml:space="preserve"> is provided to all patients and is expected to identify myocarditis with</w:t>
      </w:r>
      <w:r w:rsidR="5FFB01CF" w:rsidRPr="6C1C46BB">
        <w:t>/without</w:t>
      </w:r>
      <w:r w:rsidRPr="00603B21">
        <w:t xml:space="preserve"> fibrosis via the presence </w:t>
      </w:r>
      <w:r w:rsidR="46ADD2B7" w:rsidRPr="6C1C46BB">
        <w:t xml:space="preserve">or </w:t>
      </w:r>
      <w:r w:rsidR="46ADD2B7" w:rsidRPr="1ABF2313">
        <w:t>absence</w:t>
      </w:r>
      <w:r w:rsidRPr="6C1C46BB">
        <w:t xml:space="preserve"> </w:t>
      </w:r>
      <w:r w:rsidRPr="00603B21">
        <w:t>of LGE in their imaging results. Myocarditis patients in this population were expected to have preserved or reduced ejection fraction at presentation and have a likelihood of developing MACE</w:t>
      </w:r>
      <w:r w:rsidR="00405409">
        <w:t>,</w:t>
      </w:r>
      <w:r w:rsidRPr="00603B21">
        <w:t xml:space="preserve"> i.e., </w:t>
      </w:r>
      <w:r w:rsidRPr="00886274">
        <w:t xml:space="preserve">hospitalisation for heart failure, with/without ventricular arrythmias and ensuing sudden death overtime. The </w:t>
      </w:r>
      <w:r w:rsidRPr="00886274">
        <w:lastRenderedPageBreak/>
        <w:t>probabilit</w:t>
      </w:r>
      <w:r w:rsidR="6A755392" w:rsidRPr="00886274">
        <w:t>ies</w:t>
      </w:r>
      <w:r w:rsidRPr="00886274">
        <w:t xml:space="preserve"> </w:t>
      </w:r>
      <w:r w:rsidR="2823D660" w:rsidRPr="00886274">
        <w:t xml:space="preserve">for </w:t>
      </w:r>
      <w:r w:rsidRPr="00886274">
        <w:t xml:space="preserve">MACE </w:t>
      </w:r>
      <w:r w:rsidR="4E948202" w:rsidRPr="00886274">
        <w:t xml:space="preserve">were </w:t>
      </w:r>
      <w:r w:rsidR="0016390E" w:rsidRPr="00886274">
        <w:t>derived</w:t>
      </w:r>
      <w:r w:rsidR="4E948202" w:rsidRPr="00886274">
        <w:t xml:space="preserve"> from a previous clinical trial</w:t>
      </w:r>
      <w:r w:rsidR="00CA36A9">
        <w:t xml:space="preserve"> (</w:t>
      </w:r>
      <w:proofErr w:type="spellStart"/>
      <w:r w:rsidR="00CA36A9">
        <w:t>Grani</w:t>
      </w:r>
      <w:proofErr w:type="spellEnd"/>
      <w:r w:rsidR="00CA36A9">
        <w:t xml:space="preserve"> et al. 2017)</w:t>
      </w:r>
      <w:r w:rsidR="4E948202" w:rsidRPr="00886274">
        <w:t xml:space="preserve"> and were</w:t>
      </w:r>
      <w:r w:rsidRPr="00886274">
        <w:t xml:space="preserve"> anticipated to be higher for patients with LGE findings</w:t>
      </w:r>
      <w:r w:rsidR="716583B3" w:rsidRPr="00886274">
        <w:t xml:space="preserve">. </w:t>
      </w:r>
      <w:r w:rsidR="28DBE416" w:rsidRPr="00886274">
        <w:t>I</w:t>
      </w:r>
      <w:r w:rsidRPr="00886274">
        <w:t xml:space="preserve">t was assumed that the benefits of identifying patients with increased risk would provide the opportunity to monitor </w:t>
      </w:r>
      <w:r w:rsidR="005D2654" w:rsidRPr="00886274">
        <w:t xml:space="preserve">those patients </w:t>
      </w:r>
      <w:r w:rsidRPr="00886274">
        <w:t>more frequently</w:t>
      </w:r>
      <w:r w:rsidR="009B121E">
        <w:t xml:space="preserve"> over an extended </w:t>
      </w:r>
      <w:proofErr w:type="gramStart"/>
      <w:r w:rsidR="009B121E">
        <w:t>period of time</w:t>
      </w:r>
      <w:proofErr w:type="gramEnd"/>
      <w:r w:rsidRPr="00886274">
        <w:t xml:space="preserve">, thereby resulting in an overall risk reduction of MACE. </w:t>
      </w:r>
      <w:r w:rsidR="00293B50" w:rsidRPr="00886274">
        <w:t xml:space="preserve">The frequency </w:t>
      </w:r>
      <w:r w:rsidR="00427694" w:rsidRPr="00886274">
        <w:t xml:space="preserve">(once every 6 months) </w:t>
      </w:r>
      <w:r w:rsidR="00293B50" w:rsidRPr="00886274">
        <w:t>an</w:t>
      </w:r>
      <w:r w:rsidR="00427694" w:rsidRPr="00886274">
        <w:t>d duration of monitoring (lifetime) and the effectiveness (50% risk reduction of MACE) was based on expert opinion.</w:t>
      </w:r>
    </w:p>
    <w:p w14:paraId="011BC7A8" w14:textId="084D9193" w:rsidR="00603B21" w:rsidRPr="00603B21" w:rsidRDefault="00603B21" w:rsidP="00867E94">
      <w:r w:rsidRPr="00603B21">
        <w:t xml:space="preserve">In </w:t>
      </w:r>
      <w:r w:rsidR="005D2654">
        <w:t>P</w:t>
      </w:r>
      <w:r w:rsidRPr="00603B21">
        <w:t xml:space="preserve">opulation 2, </w:t>
      </w:r>
      <w:r w:rsidR="000E5457">
        <w:t>cardiac MRI</w:t>
      </w:r>
      <w:r w:rsidRPr="00603B21">
        <w:t xml:space="preserve"> </w:t>
      </w:r>
      <w:r w:rsidR="005D2654">
        <w:t>confirms the</w:t>
      </w:r>
      <w:r w:rsidRPr="00603B21">
        <w:t xml:space="preserve"> diagnosis of myocarditis</w:t>
      </w:r>
      <w:r w:rsidR="5A66F1EC" w:rsidRPr="47F621E3">
        <w:t xml:space="preserve"> </w:t>
      </w:r>
      <w:r w:rsidR="5A66F1EC" w:rsidRPr="155447E1">
        <w:t xml:space="preserve">and </w:t>
      </w:r>
      <w:r w:rsidR="5A66F1EC" w:rsidRPr="47CF7D55">
        <w:t>inform</w:t>
      </w:r>
      <w:r w:rsidR="005D2654">
        <w:t>s</w:t>
      </w:r>
      <w:r w:rsidR="5A66F1EC" w:rsidRPr="155447E1">
        <w:t xml:space="preserve"> prognosis for MACE</w:t>
      </w:r>
      <w:r w:rsidRPr="155447E1">
        <w:t>.</w:t>
      </w:r>
      <w:r w:rsidRPr="00603B21">
        <w:t xml:space="preserve"> Unlike </w:t>
      </w:r>
      <w:r w:rsidR="005D2654">
        <w:t>P</w:t>
      </w:r>
      <w:r w:rsidRPr="00603B21">
        <w:t>opulation 1, it was anticipated that all patients in this population would have preserved ejection fraction at baseline. Patients</w:t>
      </w:r>
      <w:r w:rsidRPr="47CF7D55">
        <w:t xml:space="preserve"> </w:t>
      </w:r>
      <w:r w:rsidR="43D2D0A1" w:rsidRPr="47CF7D55">
        <w:t>were</w:t>
      </w:r>
      <w:r w:rsidRPr="00603B21">
        <w:t xml:space="preserve"> expected to transition to chronic heart failure, advanced heart failure</w:t>
      </w:r>
      <w:r w:rsidR="41438657" w:rsidRPr="7074D9C8">
        <w:t>,</w:t>
      </w:r>
      <w:r w:rsidR="41438657" w:rsidRPr="602A953F">
        <w:t xml:space="preserve"> </w:t>
      </w:r>
      <w:r w:rsidRPr="00603B21">
        <w:t xml:space="preserve">ventricular arrythmias </w:t>
      </w:r>
      <w:r w:rsidR="0D948F29" w:rsidRPr="602A953F">
        <w:t xml:space="preserve">with </w:t>
      </w:r>
      <w:r w:rsidR="0D948F29" w:rsidRPr="22134998">
        <w:t>a</w:t>
      </w:r>
      <w:r w:rsidRPr="00603B21">
        <w:t xml:space="preserve"> possibility of sudden death. </w:t>
      </w:r>
      <w:proofErr w:type="gramStart"/>
      <w:r w:rsidR="005D2654">
        <w:t>S</w:t>
      </w:r>
      <w:r w:rsidRPr="00603B21">
        <w:t>imilar to</w:t>
      </w:r>
      <w:proofErr w:type="gramEnd"/>
      <w:r w:rsidRPr="00603B21">
        <w:t xml:space="preserve"> the model structure in </w:t>
      </w:r>
      <w:r w:rsidR="00500B37">
        <w:t>Population</w:t>
      </w:r>
      <w:r w:rsidRPr="00603B21">
        <w:t xml:space="preserve"> 1, myocarditis patients with LGE were likely to have a higher incidence of MACE and the proposed management pathway was anticipated to reduce this risk via targeted monitoring. Patients without </w:t>
      </w:r>
      <w:r w:rsidR="000E5457">
        <w:t>cardiac MRI</w:t>
      </w:r>
      <w:r w:rsidRPr="00603B21">
        <w:t xml:space="preserve"> findings of myocarditis were expected to receive investigations such as CTCA with/without TTE to rule out obstructive CAD and follow the guideline directed management for those conditions (i.e., obstructive CAD, nonobstructive CAD/</w:t>
      </w:r>
      <w:r w:rsidR="0092022D" w:rsidRPr="0092022D">
        <w:t xml:space="preserve"> </w:t>
      </w:r>
      <w:r w:rsidRPr="00603B21">
        <w:t xml:space="preserve">MINOCA, Takotsubo cardiomyopathy. All patients in the current management without </w:t>
      </w:r>
      <w:r w:rsidR="000E5457">
        <w:t>cardiac MRI</w:t>
      </w:r>
      <w:r w:rsidRPr="00603B21">
        <w:t xml:space="preserve"> were expected to receive CTCA with/without TTE to investigate their risk of CAD.</w:t>
      </w:r>
      <w:r w:rsidR="00427694">
        <w:t xml:space="preserve"> </w:t>
      </w:r>
      <w:r w:rsidR="07C02864" w:rsidRPr="30C2ECB0">
        <w:t xml:space="preserve">In </w:t>
      </w:r>
      <w:r w:rsidR="005D2654">
        <w:t xml:space="preserve">the </w:t>
      </w:r>
      <w:r w:rsidR="07C02864" w:rsidRPr="30C2ECB0">
        <w:t xml:space="preserve">current management </w:t>
      </w:r>
      <w:r w:rsidR="07C02864" w:rsidRPr="7E66099C">
        <w:t>pathway, a</w:t>
      </w:r>
      <w:r w:rsidRPr="00603B21">
        <w:t xml:space="preserve"> diagnosis of myocarditis was based on the exclusion of other relevant conditions in the comparator arm. Therefore, these patients were modelled to receive no risk reduction of </w:t>
      </w:r>
      <w:r w:rsidRPr="00B52917">
        <w:t>MACE.</w:t>
      </w:r>
      <w:r w:rsidR="00427694" w:rsidRPr="00B52917">
        <w:t xml:space="preserve"> Further, patients without obstructive CAD in the current management pathway were expected</w:t>
      </w:r>
      <w:r w:rsidR="007E1569" w:rsidRPr="00B52917">
        <w:t xml:space="preserve"> to</w:t>
      </w:r>
      <w:r w:rsidR="00427694" w:rsidRPr="00B52917">
        <w:t xml:space="preserve"> receive prophylactic anti-platelet therapy for at least one year in </w:t>
      </w:r>
      <w:r w:rsidR="00427694" w:rsidRPr="00673E29">
        <w:t>line with the NHF-</w:t>
      </w:r>
      <w:r w:rsidR="007E1569" w:rsidRPr="00673E29">
        <w:t>CSANZ guidelines</w:t>
      </w:r>
      <w:r w:rsidR="00886274" w:rsidRPr="00673E29">
        <w:rPr>
          <w:rStyle w:val="FootnoteReference"/>
        </w:rPr>
        <w:footnoteReference w:id="21"/>
      </w:r>
      <w:r w:rsidR="007E1569" w:rsidRPr="00673E29">
        <w:t>.</w:t>
      </w:r>
    </w:p>
    <w:p w14:paraId="3E57673F" w14:textId="765B8446" w:rsidR="00603B21" w:rsidRDefault="00603B21" w:rsidP="00867E94">
      <w:pPr>
        <w:rPr>
          <w:snapToGrid w:val="0"/>
          <w:lang w:eastAsia="en-AU"/>
        </w:rPr>
      </w:pPr>
      <w:bookmarkStart w:id="59" w:name="Title_Table5"/>
      <w:bookmarkEnd w:id="47"/>
      <w:bookmarkEnd w:id="59"/>
      <w:r w:rsidRPr="00603B21">
        <w:rPr>
          <w:snapToGrid w:val="0"/>
          <w:lang w:eastAsia="en-AU"/>
        </w:rPr>
        <w:t xml:space="preserve">The results for the base case analysis for </w:t>
      </w:r>
      <w:r w:rsidR="005D2654">
        <w:rPr>
          <w:snapToGrid w:val="0"/>
          <w:lang w:eastAsia="en-AU"/>
        </w:rPr>
        <w:t>P</w:t>
      </w:r>
      <w:r w:rsidRPr="00603B21">
        <w:rPr>
          <w:snapToGrid w:val="0"/>
          <w:lang w:eastAsia="en-AU"/>
        </w:rPr>
        <w:t>opulation 1 are presented in</w:t>
      </w:r>
      <w:r>
        <w:rPr>
          <w:snapToGrid w:val="0"/>
          <w:lang w:eastAsia="en-AU"/>
        </w:rPr>
        <w:t xml:space="preserve"> </w:t>
      </w:r>
      <w:r w:rsidR="00895144">
        <w:rPr>
          <w:snapToGrid w:val="0"/>
          <w:lang w:eastAsia="en-AU"/>
        </w:rPr>
        <w:fldChar w:fldCharType="begin"/>
      </w:r>
      <w:r w:rsidR="00895144">
        <w:rPr>
          <w:snapToGrid w:val="0"/>
          <w:lang w:eastAsia="en-AU"/>
        </w:rPr>
        <w:instrText xml:space="preserve"> REF  _Ref150238209 \h  \* MERGEFORMAT </w:instrText>
      </w:r>
      <w:r w:rsidR="00895144">
        <w:rPr>
          <w:snapToGrid w:val="0"/>
          <w:lang w:eastAsia="en-AU"/>
        </w:rPr>
      </w:r>
      <w:r w:rsidR="00895144">
        <w:rPr>
          <w:snapToGrid w:val="0"/>
          <w:lang w:eastAsia="en-AU"/>
        </w:rPr>
        <w:fldChar w:fldCharType="separate"/>
      </w:r>
      <w:r w:rsidR="00EE5F4F">
        <w:t xml:space="preserve">Table </w:t>
      </w:r>
      <w:r w:rsidR="00EE5F4F">
        <w:rPr>
          <w:noProof/>
        </w:rPr>
        <w:t>8</w:t>
      </w:r>
      <w:r w:rsidR="00895144">
        <w:rPr>
          <w:snapToGrid w:val="0"/>
          <w:lang w:eastAsia="en-AU"/>
        </w:rPr>
        <w:fldChar w:fldCharType="end"/>
      </w:r>
      <w:r w:rsidRPr="00603B21">
        <w:rPr>
          <w:snapToGrid w:val="0"/>
          <w:lang w:eastAsia="en-AU"/>
        </w:rPr>
        <w:t xml:space="preserve">. </w:t>
      </w:r>
    </w:p>
    <w:p w14:paraId="3A90BF8D" w14:textId="691CEA83" w:rsidR="00603B21" w:rsidRDefault="00EE5F4F" w:rsidP="00603B21">
      <w:pPr>
        <w:pStyle w:val="Caption"/>
      </w:pPr>
      <w:bookmarkStart w:id="60" w:name="_Ref150238209"/>
      <w:r>
        <w:t xml:space="preserve">Table </w:t>
      </w:r>
      <w:fldSimple w:instr=" SEQ Table \* ARABIC ">
        <w:r>
          <w:rPr>
            <w:noProof/>
          </w:rPr>
          <w:t>8</w:t>
        </w:r>
      </w:fldSimple>
      <w:bookmarkEnd w:id="60"/>
      <w:r w:rsidR="009C42B2">
        <w:tab/>
      </w:r>
      <w:r w:rsidR="00603B21">
        <w:t>Base case incremental costs and effectiveness for Population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699"/>
        <w:gridCol w:w="2440"/>
        <w:gridCol w:w="2378"/>
        <w:gridCol w:w="2499"/>
      </w:tblGrid>
      <w:tr w:rsidR="00603B21" w14:paraId="60920028" w14:textId="77777777" w:rsidTr="00757BA8">
        <w:trPr>
          <w:cantSplit/>
          <w:tblHeader/>
        </w:trPr>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E1168B3" w14:textId="77777777" w:rsidR="00603B21" w:rsidRDefault="00603B21">
            <w:pPr>
              <w:pStyle w:val="In-tableHeading"/>
              <w:spacing w:line="256" w:lineRule="auto"/>
              <w:rPr>
                <w:lang w:eastAsia="en-US"/>
              </w:rPr>
            </w:pPr>
            <w:r>
              <w:rPr>
                <w:lang w:eastAsia="en-US"/>
              </w:rPr>
              <w:t xml:space="preserve">Parameter </w:t>
            </w:r>
          </w:p>
        </w:tc>
        <w:tc>
          <w:tcPr>
            <w:tcW w:w="135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CEA8B1E" w14:textId="55D92419" w:rsidR="00603B21" w:rsidRDefault="00603B21">
            <w:pPr>
              <w:pStyle w:val="In-tableHeading"/>
              <w:spacing w:line="256" w:lineRule="auto"/>
              <w:jc w:val="center"/>
              <w:rPr>
                <w:lang w:eastAsia="en-US"/>
              </w:rPr>
            </w:pPr>
            <w:r>
              <w:rPr>
                <w:lang w:eastAsia="en-US"/>
              </w:rPr>
              <w:t xml:space="preserve">Management with </w:t>
            </w:r>
            <w:r w:rsidR="000E5457">
              <w:rPr>
                <w:lang w:eastAsia="en-US"/>
              </w:rPr>
              <w:t>cardiac MRI</w:t>
            </w:r>
          </w:p>
        </w:tc>
        <w:tc>
          <w:tcPr>
            <w:tcW w:w="131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4D5E24B" w14:textId="77777777" w:rsidR="00757BA8" w:rsidRDefault="00603B21">
            <w:pPr>
              <w:pStyle w:val="In-tableHeading"/>
              <w:spacing w:line="256" w:lineRule="auto"/>
              <w:jc w:val="center"/>
              <w:rPr>
                <w:lang w:eastAsia="en-US"/>
              </w:rPr>
            </w:pPr>
            <w:r>
              <w:rPr>
                <w:lang w:eastAsia="en-US"/>
              </w:rPr>
              <w:t xml:space="preserve">Standard care, </w:t>
            </w:r>
          </w:p>
          <w:p w14:paraId="2CE7F3E9" w14:textId="19B3E145" w:rsidR="00603B21" w:rsidRDefault="00603B21">
            <w:pPr>
              <w:pStyle w:val="In-tableHeading"/>
              <w:spacing w:line="256" w:lineRule="auto"/>
              <w:jc w:val="center"/>
              <w:rPr>
                <w:lang w:eastAsia="en-US"/>
              </w:rPr>
            </w:pPr>
            <w:r>
              <w:rPr>
                <w:lang w:eastAsia="en-US"/>
              </w:rPr>
              <w:t xml:space="preserve">no </w:t>
            </w:r>
            <w:r w:rsidR="000E5457">
              <w:rPr>
                <w:lang w:eastAsia="en-US"/>
              </w:rPr>
              <w:t>cardiac MRI</w:t>
            </w:r>
          </w:p>
        </w:tc>
        <w:tc>
          <w:tcPr>
            <w:tcW w:w="13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850EB4" w14:textId="77777777" w:rsidR="00603B21" w:rsidRDefault="00603B21">
            <w:pPr>
              <w:pStyle w:val="In-tableHeading"/>
              <w:spacing w:line="256" w:lineRule="auto"/>
              <w:jc w:val="center"/>
              <w:rPr>
                <w:lang w:eastAsia="en-US"/>
              </w:rPr>
            </w:pPr>
            <w:r>
              <w:rPr>
                <w:lang w:eastAsia="en-US"/>
              </w:rPr>
              <w:t>Increment</w:t>
            </w:r>
          </w:p>
        </w:tc>
      </w:tr>
      <w:tr w:rsidR="00603B21" w14:paraId="770E2DFE" w14:textId="77777777" w:rsidTr="00757BA8">
        <w:trPr>
          <w:cantSplit/>
        </w:trPr>
        <w:tc>
          <w:tcPr>
            <w:tcW w:w="942" w:type="pct"/>
            <w:tcBorders>
              <w:top w:val="single" w:sz="4" w:space="0" w:color="auto"/>
              <w:left w:val="single" w:sz="4" w:space="0" w:color="auto"/>
              <w:bottom w:val="single" w:sz="4" w:space="0" w:color="auto"/>
              <w:right w:val="single" w:sz="4" w:space="0" w:color="auto"/>
            </w:tcBorders>
            <w:shd w:val="clear" w:color="auto" w:fill="auto"/>
            <w:hideMark/>
          </w:tcPr>
          <w:p w14:paraId="5C1CE688" w14:textId="77777777" w:rsidR="00603B21" w:rsidRDefault="00603B21">
            <w:pPr>
              <w:pStyle w:val="TableText"/>
              <w:keepNext/>
              <w:spacing w:line="256" w:lineRule="auto"/>
            </w:pPr>
            <w:r>
              <w:t>Costs</w:t>
            </w:r>
          </w:p>
        </w:tc>
        <w:tc>
          <w:tcPr>
            <w:tcW w:w="1353" w:type="pct"/>
            <w:tcBorders>
              <w:top w:val="single" w:sz="4" w:space="0" w:color="auto"/>
              <w:left w:val="single" w:sz="4" w:space="0" w:color="auto"/>
              <w:bottom w:val="single" w:sz="4" w:space="0" w:color="auto"/>
              <w:right w:val="single" w:sz="4" w:space="0" w:color="auto"/>
            </w:tcBorders>
            <w:shd w:val="clear" w:color="auto" w:fill="auto"/>
            <w:hideMark/>
          </w:tcPr>
          <w:p w14:paraId="5BC4CDBD" w14:textId="2B5E9B46" w:rsidR="00603B21" w:rsidRDefault="00603B21">
            <w:pPr>
              <w:pStyle w:val="TableText"/>
              <w:keepNext/>
              <w:spacing w:line="256" w:lineRule="auto"/>
              <w:jc w:val="center"/>
            </w:pPr>
            <w:r>
              <w:t>$21,</w:t>
            </w:r>
            <w:r w:rsidR="002A5B88">
              <w:t>955</w:t>
            </w:r>
          </w:p>
        </w:tc>
        <w:tc>
          <w:tcPr>
            <w:tcW w:w="1319" w:type="pct"/>
            <w:tcBorders>
              <w:top w:val="single" w:sz="4" w:space="0" w:color="auto"/>
              <w:left w:val="single" w:sz="4" w:space="0" w:color="auto"/>
              <w:bottom w:val="single" w:sz="4" w:space="0" w:color="auto"/>
              <w:right w:val="single" w:sz="4" w:space="0" w:color="auto"/>
            </w:tcBorders>
            <w:shd w:val="clear" w:color="auto" w:fill="auto"/>
            <w:hideMark/>
          </w:tcPr>
          <w:p w14:paraId="2815BFCD" w14:textId="75DB5BF4" w:rsidR="00603B21" w:rsidRDefault="4608ACB9">
            <w:pPr>
              <w:pStyle w:val="TableText"/>
              <w:keepNext/>
              <w:spacing w:line="256" w:lineRule="auto"/>
              <w:jc w:val="center"/>
            </w:pPr>
            <w:r>
              <w:t>$19,</w:t>
            </w:r>
            <w:r w:rsidR="002A5B88">
              <w:t>946</w:t>
            </w:r>
          </w:p>
        </w:tc>
        <w:tc>
          <w:tcPr>
            <w:tcW w:w="1386" w:type="pct"/>
            <w:tcBorders>
              <w:top w:val="single" w:sz="4" w:space="0" w:color="auto"/>
              <w:left w:val="single" w:sz="4" w:space="0" w:color="auto"/>
              <w:bottom w:val="single" w:sz="4" w:space="0" w:color="auto"/>
              <w:right w:val="single" w:sz="4" w:space="0" w:color="auto"/>
            </w:tcBorders>
            <w:shd w:val="clear" w:color="auto" w:fill="auto"/>
            <w:hideMark/>
          </w:tcPr>
          <w:p w14:paraId="656BE3C7" w14:textId="0BEE0F61" w:rsidR="00603B21" w:rsidRDefault="00603B21">
            <w:pPr>
              <w:pStyle w:val="TableText"/>
              <w:keepNext/>
              <w:spacing w:line="256" w:lineRule="auto"/>
              <w:jc w:val="center"/>
            </w:pPr>
            <w:r>
              <w:t>$</w:t>
            </w:r>
            <w:r w:rsidR="002A5B88">
              <w:t>2,009</w:t>
            </w:r>
          </w:p>
        </w:tc>
      </w:tr>
      <w:tr w:rsidR="00603B21" w14:paraId="6DDA1302" w14:textId="77777777" w:rsidTr="00757BA8">
        <w:trPr>
          <w:cantSplit/>
        </w:trPr>
        <w:tc>
          <w:tcPr>
            <w:tcW w:w="942" w:type="pct"/>
            <w:tcBorders>
              <w:top w:val="single" w:sz="4" w:space="0" w:color="auto"/>
              <w:left w:val="single" w:sz="4" w:space="0" w:color="auto"/>
              <w:bottom w:val="single" w:sz="4" w:space="0" w:color="auto"/>
              <w:right w:val="single" w:sz="4" w:space="0" w:color="auto"/>
            </w:tcBorders>
            <w:shd w:val="clear" w:color="auto" w:fill="auto"/>
            <w:hideMark/>
          </w:tcPr>
          <w:p w14:paraId="76076E45" w14:textId="2AEC60DC" w:rsidR="00603B21" w:rsidRDefault="00603B21">
            <w:pPr>
              <w:pStyle w:val="TableText"/>
              <w:keepNext/>
              <w:spacing w:line="256" w:lineRule="auto"/>
            </w:pPr>
            <w:r>
              <w:t>QALY</w:t>
            </w:r>
            <w:r w:rsidR="00BE16D5">
              <w:t>s</w:t>
            </w:r>
          </w:p>
        </w:tc>
        <w:tc>
          <w:tcPr>
            <w:tcW w:w="1353" w:type="pct"/>
            <w:tcBorders>
              <w:top w:val="single" w:sz="4" w:space="0" w:color="auto"/>
              <w:left w:val="single" w:sz="4" w:space="0" w:color="auto"/>
              <w:bottom w:val="single" w:sz="4" w:space="0" w:color="auto"/>
              <w:right w:val="single" w:sz="4" w:space="0" w:color="auto"/>
            </w:tcBorders>
            <w:shd w:val="clear" w:color="auto" w:fill="auto"/>
            <w:hideMark/>
          </w:tcPr>
          <w:p w14:paraId="161E36CB" w14:textId="77777777" w:rsidR="00603B21" w:rsidRDefault="00603B21">
            <w:pPr>
              <w:pStyle w:val="TableText"/>
              <w:keepNext/>
              <w:spacing w:line="256" w:lineRule="auto"/>
              <w:jc w:val="center"/>
            </w:pPr>
            <w:r>
              <w:t>7.73</w:t>
            </w:r>
          </w:p>
        </w:tc>
        <w:tc>
          <w:tcPr>
            <w:tcW w:w="1319" w:type="pct"/>
            <w:tcBorders>
              <w:top w:val="single" w:sz="4" w:space="0" w:color="auto"/>
              <w:left w:val="single" w:sz="4" w:space="0" w:color="auto"/>
              <w:bottom w:val="single" w:sz="4" w:space="0" w:color="auto"/>
              <w:right w:val="single" w:sz="4" w:space="0" w:color="auto"/>
            </w:tcBorders>
            <w:shd w:val="clear" w:color="auto" w:fill="auto"/>
            <w:hideMark/>
          </w:tcPr>
          <w:p w14:paraId="2028C89D" w14:textId="77777777" w:rsidR="00603B21" w:rsidRDefault="00603B21">
            <w:pPr>
              <w:pStyle w:val="TableText"/>
              <w:keepNext/>
              <w:spacing w:line="256" w:lineRule="auto"/>
              <w:jc w:val="center"/>
            </w:pPr>
            <w:r>
              <w:t>7.70</w:t>
            </w:r>
          </w:p>
        </w:tc>
        <w:tc>
          <w:tcPr>
            <w:tcW w:w="1386" w:type="pct"/>
            <w:tcBorders>
              <w:top w:val="single" w:sz="4" w:space="0" w:color="auto"/>
              <w:left w:val="single" w:sz="4" w:space="0" w:color="auto"/>
              <w:bottom w:val="single" w:sz="4" w:space="0" w:color="auto"/>
              <w:right w:val="single" w:sz="4" w:space="0" w:color="auto"/>
            </w:tcBorders>
            <w:shd w:val="clear" w:color="auto" w:fill="auto"/>
            <w:hideMark/>
          </w:tcPr>
          <w:p w14:paraId="57A4F1B8" w14:textId="77777777" w:rsidR="00603B21" w:rsidRDefault="00603B21">
            <w:pPr>
              <w:pStyle w:val="TableText"/>
              <w:keepNext/>
              <w:spacing w:line="256" w:lineRule="auto"/>
              <w:jc w:val="center"/>
            </w:pPr>
            <w:r>
              <w:t>0.03</w:t>
            </w:r>
          </w:p>
        </w:tc>
      </w:tr>
      <w:tr w:rsidR="00603B21" w14:paraId="207EB88E" w14:textId="77777777" w:rsidTr="00757BA8">
        <w:trPr>
          <w:cantSplit/>
        </w:trPr>
        <w:tc>
          <w:tcPr>
            <w:tcW w:w="3614" w:type="pct"/>
            <w:gridSpan w:val="3"/>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14:paraId="62181488" w14:textId="014BF054" w:rsidR="00603B21" w:rsidRDefault="00603B21" w:rsidP="00757BA8">
            <w:pPr>
              <w:pStyle w:val="In-tableHeading"/>
              <w:spacing w:line="256" w:lineRule="auto"/>
              <w:rPr>
                <w:lang w:eastAsia="en-US"/>
              </w:rPr>
            </w:pPr>
            <w:r>
              <w:rPr>
                <w:lang w:eastAsia="en-US"/>
              </w:rPr>
              <w:t>Incremental cost per QALY gained</w:t>
            </w:r>
            <w:r w:rsidR="751150AF" w:rsidRPr="7890F4AE">
              <w:rPr>
                <w:lang w:eastAsia="en-US"/>
              </w:rPr>
              <w:t xml:space="preserve"> </w:t>
            </w:r>
          </w:p>
        </w:tc>
        <w:tc>
          <w:tcPr>
            <w:tcW w:w="1386" w:type="pct"/>
            <w:tcBorders>
              <w:top w:val="single" w:sz="4" w:space="0" w:color="auto"/>
              <w:left w:val="single" w:sz="4" w:space="0" w:color="000000" w:themeColor="text1"/>
              <w:bottom w:val="single" w:sz="4" w:space="0" w:color="auto"/>
              <w:right w:val="single" w:sz="4" w:space="0" w:color="auto"/>
            </w:tcBorders>
            <w:shd w:val="clear" w:color="auto" w:fill="auto"/>
            <w:vAlign w:val="center"/>
            <w:hideMark/>
          </w:tcPr>
          <w:p w14:paraId="50D89952" w14:textId="18CF0FF2" w:rsidR="00603B21" w:rsidRDefault="423FAD45" w:rsidP="00757BA8">
            <w:pPr>
              <w:keepNext/>
              <w:keepLines/>
              <w:jc w:val="center"/>
              <w:rPr>
                <w:rFonts w:ascii="Arial Narrow" w:eastAsia="Arial Narrow" w:hAnsi="Arial Narrow" w:cs="Arial Narrow"/>
                <w:sz w:val="20"/>
                <w:szCs w:val="20"/>
              </w:rPr>
            </w:pPr>
            <w:r w:rsidRPr="156E6C5D">
              <w:rPr>
                <w:rFonts w:ascii="Arial Narrow" w:eastAsia="Arial Narrow" w:hAnsi="Arial Narrow" w:cs="Arial Narrow"/>
                <w:b/>
                <w:bCs/>
                <w:sz w:val="20"/>
                <w:szCs w:val="20"/>
              </w:rPr>
              <w:t>$</w:t>
            </w:r>
            <w:r w:rsidR="002A5B88">
              <w:rPr>
                <w:rFonts w:ascii="Arial Narrow" w:eastAsia="Arial Narrow" w:hAnsi="Arial Narrow" w:cs="Arial Narrow"/>
                <w:b/>
                <w:bCs/>
                <w:sz w:val="20"/>
                <w:szCs w:val="20"/>
              </w:rPr>
              <w:t>66,355.65</w:t>
            </w:r>
          </w:p>
        </w:tc>
      </w:tr>
    </w:tbl>
    <w:p w14:paraId="0E14293B" w14:textId="4B842CFD" w:rsidR="00757BA8" w:rsidRDefault="00603B21" w:rsidP="00757BA8">
      <w:pPr>
        <w:pStyle w:val="TableFooter"/>
      </w:pPr>
      <w:r>
        <w:t>ICER</w:t>
      </w:r>
      <w:r w:rsidR="00051740">
        <w:t xml:space="preserve"> =</w:t>
      </w:r>
      <w:r>
        <w:t xml:space="preserve"> incremental cost-effectiveness ratio; </w:t>
      </w:r>
      <w:r w:rsidR="00757BA8">
        <w:t xml:space="preserve">MRI = magnetic resonance imaging; </w:t>
      </w:r>
      <w:r>
        <w:t>QALY</w:t>
      </w:r>
      <w:r w:rsidR="00051740">
        <w:t xml:space="preserve"> =</w:t>
      </w:r>
      <w:r>
        <w:t xml:space="preserve"> quality-adjusted life year</w:t>
      </w:r>
      <w:r w:rsidR="00757BA8">
        <w:t>.</w:t>
      </w:r>
    </w:p>
    <w:p w14:paraId="5E7AF664" w14:textId="45383FF9" w:rsidR="00603B21" w:rsidRDefault="00603B21" w:rsidP="00867E94">
      <w:r>
        <w:t xml:space="preserve">The results for the base case analysis for </w:t>
      </w:r>
      <w:r w:rsidR="00500B37">
        <w:t>Population</w:t>
      </w:r>
      <w:r>
        <w:t xml:space="preserve"> 2 are </w:t>
      </w:r>
      <w:r w:rsidRPr="00603B21">
        <w:t xml:space="preserve">presented in </w:t>
      </w:r>
      <w:r w:rsidRPr="00603B21">
        <w:fldChar w:fldCharType="begin"/>
      </w:r>
      <w:r w:rsidRPr="00603B21">
        <w:instrText xml:space="preserve"> REF _Ref150238221 \h </w:instrText>
      </w:r>
      <w:r w:rsidR="00867E94">
        <w:instrText xml:space="preserve"> \* MERGEFORMAT </w:instrText>
      </w:r>
      <w:r w:rsidRPr="00603B21">
        <w:fldChar w:fldCharType="separate"/>
      </w:r>
      <w:r w:rsidR="00EE5F4F">
        <w:t xml:space="preserve">Table </w:t>
      </w:r>
      <w:r w:rsidR="00EE5F4F">
        <w:rPr>
          <w:noProof/>
        </w:rPr>
        <w:t>9</w:t>
      </w:r>
      <w:r w:rsidRPr="00603B21">
        <w:fldChar w:fldCharType="end"/>
      </w:r>
      <w:r w:rsidRPr="00603B21">
        <w:t xml:space="preserve">. </w:t>
      </w:r>
    </w:p>
    <w:p w14:paraId="2E4B4E8B" w14:textId="19FB1431" w:rsidR="00603B21" w:rsidRDefault="00603B21" w:rsidP="00603B21">
      <w:pPr>
        <w:pStyle w:val="Caption"/>
      </w:pPr>
      <w:bookmarkStart w:id="61" w:name="_Ref150238221"/>
      <w:bookmarkStart w:id="62" w:name="_Toc155173768"/>
      <w:r>
        <w:t xml:space="preserve">Table </w:t>
      </w:r>
      <w:r>
        <w:fldChar w:fldCharType="begin"/>
      </w:r>
      <w:r>
        <w:instrText>SEQ Table \* ARABIC</w:instrText>
      </w:r>
      <w:r>
        <w:fldChar w:fldCharType="separate"/>
      </w:r>
      <w:r w:rsidR="00251E62">
        <w:rPr>
          <w:noProof/>
        </w:rPr>
        <w:t>9</w:t>
      </w:r>
      <w:r>
        <w:fldChar w:fldCharType="end"/>
      </w:r>
      <w:bookmarkEnd w:id="61"/>
      <w:r w:rsidR="009C42B2">
        <w:tab/>
      </w:r>
      <w:r>
        <w:t>Base case incremental costs and effectiveness for Population 2</w:t>
      </w:r>
      <w:bookmarkEnd w:id="6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699"/>
        <w:gridCol w:w="2440"/>
        <w:gridCol w:w="2378"/>
        <w:gridCol w:w="2499"/>
      </w:tblGrid>
      <w:tr w:rsidR="00603B21" w14:paraId="6020D3E1" w14:textId="77777777" w:rsidTr="00757BA8">
        <w:trPr>
          <w:cantSplit/>
          <w:tblHeader/>
        </w:trPr>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A10F9C6" w14:textId="77777777" w:rsidR="00603B21" w:rsidRDefault="00603B21">
            <w:pPr>
              <w:pStyle w:val="In-tableHeading"/>
              <w:spacing w:line="256" w:lineRule="auto"/>
              <w:rPr>
                <w:lang w:eastAsia="en-US"/>
              </w:rPr>
            </w:pPr>
            <w:r>
              <w:rPr>
                <w:lang w:eastAsia="en-US"/>
              </w:rPr>
              <w:t xml:space="preserve">Parameter </w:t>
            </w:r>
          </w:p>
        </w:tc>
        <w:tc>
          <w:tcPr>
            <w:tcW w:w="135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84ADB27" w14:textId="2CC016A6" w:rsidR="00603B21" w:rsidRDefault="00603B21">
            <w:pPr>
              <w:pStyle w:val="In-tableHeading"/>
              <w:spacing w:line="256" w:lineRule="auto"/>
              <w:jc w:val="center"/>
              <w:rPr>
                <w:lang w:eastAsia="en-US"/>
              </w:rPr>
            </w:pPr>
            <w:r>
              <w:rPr>
                <w:lang w:eastAsia="en-US"/>
              </w:rPr>
              <w:t xml:space="preserve">Management with </w:t>
            </w:r>
            <w:r w:rsidR="000E5457">
              <w:rPr>
                <w:lang w:eastAsia="en-US"/>
              </w:rPr>
              <w:t>cardiac MRI</w:t>
            </w:r>
          </w:p>
        </w:tc>
        <w:tc>
          <w:tcPr>
            <w:tcW w:w="131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27EE329" w14:textId="77777777" w:rsidR="00757BA8" w:rsidRDefault="00603B21">
            <w:pPr>
              <w:pStyle w:val="In-tableHeading"/>
              <w:spacing w:line="256" w:lineRule="auto"/>
              <w:jc w:val="center"/>
              <w:rPr>
                <w:lang w:eastAsia="en-US"/>
              </w:rPr>
            </w:pPr>
            <w:r>
              <w:rPr>
                <w:lang w:eastAsia="en-US"/>
              </w:rPr>
              <w:t xml:space="preserve">Standard care, </w:t>
            </w:r>
          </w:p>
          <w:p w14:paraId="0AC61FD1" w14:textId="5A6D69C0" w:rsidR="00603B21" w:rsidRDefault="00603B21">
            <w:pPr>
              <w:pStyle w:val="In-tableHeading"/>
              <w:spacing w:line="256" w:lineRule="auto"/>
              <w:jc w:val="center"/>
              <w:rPr>
                <w:lang w:eastAsia="en-US"/>
              </w:rPr>
            </w:pPr>
            <w:r>
              <w:rPr>
                <w:lang w:eastAsia="en-US"/>
              </w:rPr>
              <w:t xml:space="preserve">no </w:t>
            </w:r>
            <w:r w:rsidR="000E5457">
              <w:rPr>
                <w:lang w:eastAsia="en-US"/>
              </w:rPr>
              <w:t>cardiac MRI</w:t>
            </w:r>
          </w:p>
        </w:tc>
        <w:tc>
          <w:tcPr>
            <w:tcW w:w="13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BF54B0" w14:textId="77777777" w:rsidR="00603B21" w:rsidRDefault="00603B21">
            <w:pPr>
              <w:pStyle w:val="In-tableHeading"/>
              <w:spacing w:line="256" w:lineRule="auto"/>
              <w:jc w:val="center"/>
              <w:rPr>
                <w:lang w:eastAsia="en-US"/>
              </w:rPr>
            </w:pPr>
            <w:r>
              <w:rPr>
                <w:lang w:eastAsia="en-US"/>
              </w:rPr>
              <w:t>Increment</w:t>
            </w:r>
          </w:p>
        </w:tc>
      </w:tr>
      <w:tr w:rsidR="00603B21" w14:paraId="6664925F" w14:textId="77777777" w:rsidTr="00757BA8">
        <w:trPr>
          <w:cantSplit/>
        </w:trPr>
        <w:tc>
          <w:tcPr>
            <w:tcW w:w="942" w:type="pct"/>
            <w:tcBorders>
              <w:top w:val="single" w:sz="4" w:space="0" w:color="auto"/>
              <w:left w:val="single" w:sz="4" w:space="0" w:color="auto"/>
              <w:bottom w:val="single" w:sz="4" w:space="0" w:color="auto"/>
              <w:right w:val="single" w:sz="4" w:space="0" w:color="auto"/>
            </w:tcBorders>
            <w:shd w:val="clear" w:color="auto" w:fill="auto"/>
            <w:hideMark/>
          </w:tcPr>
          <w:p w14:paraId="666D46F6" w14:textId="77777777" w:rsidR="00603B21" w:rsidRDefault="00603B21">
            <w:pPr>
              <w:pStyle w:val="TableText"/>
              <w:keepNext/>
              <w:spacing w:line="256" w:lineRule="auto"/>
            </w:pPr>
            <w:r>
              <w:t>Costs</w:t>
            </w:r>
          </w:p>
        </w:tc>
        <w:tc>
          <w:tcPr>
            <w:tcW w:w="1353" w:type="pct"/>
            <w:tcBorders>
              <w:top w:val="single" w:sz="4" w:space="0" w:color="auto"/>
              <w:left w:val="single" w:sz="4" w:space="0" w:color="auto"/>
              <w:bottom w:val="single" w:sz="4" w:space="0" w:color="auto"/>
              <w:right w:val="single" w:sz="4" w:space="0" w:color="auto"/>
            </w:tcBorders>
            <w:shd w:val="clear" w:color="auto" w:fill="auto"/>
            <w:hideMark/>
          </w:tcPr>
          <w:p w14:paraId="09483E9C" w14:textId="7095F139" w:rsidR="00603B21" w:rsidRDefault="48C261B9">
            <w:pPr>
              <w:pStyle w:val="TableText"/>
              <w:keepNext/>
              <w:spacing w:line="256" w:lineRule="auto"/>
              <w:jc w:val="center"/>
            </w:pPr>
            <w:r>
              <w:t>$</w:t>
            </w:r>
            <w:r w:rsidR="002A5B88">
              <w:t>7,032</w:t>
            </w:r>
          </w:p>
        </w:tc>
        <w:tc>
          <w:tcPr>
            <w:tcW w:w="1319" w:type="pct"/>
            <w:tcBorders>
              <w:top w:val="single" w:sz="4" w:space="0" w:color="auto"/>
              <w:left w:val="single" w:sz="4" w:space="0" w:color="auto"/>
              <w:bottom w:val="single" w:sz="4" w:space="0" w:color="auto"/>
              <w:right w:val="single" w:sz="4" w:space="0" w:color="auto"/>
            </w:tcBorders>
            <w:shd w:val="clear" w:color="auto" w:fill="auto"/>
            <w:hideMark/>
          </w:tcPr>
          <w:p w14:paraId="3396A816" w14:textId="3071D620" w:rsidR="00603B21" w:rsidRDefault="00603B21">
            <w:pPr>
              <w:pStyle w:val="TableText"/>
              <w:keepNext/>
              <w:spacing w:line="256" w:lineRule="auto"/>
              <w:jc w:val="center"/>
            </w:pPr>
            <w:r>
              <w:t>$</w:t>
            </w:r>
            <w:r w:rsidR="002A5B88">
              <w:t>6,258</w:t>
            </w:r>
          </w:p>
        </w:tc>
        <w:tc>
          <w:tcPr>
            <w:tcW w:w="1386" w:type="pct"/>
            <w:tcBorders>
              <w:top w:val="single" w:sz="4" w:space="0" w:color="auto"/>
              <w:left w:val="single" w:sz="4" w:space="0" w:color="auto"/>
              <w:bottom w:val="single" w:sz="4" w:space="0" w:color="auto"/>
              <w:right w:val="single" w:sz="4" w:space="0" w:color="auto"/>
            </w:tcBorders>
            <w:shd w:val="clear" w:color="auto" w:fill="auto"/>
            <w:hideMark/>
          </w:tcPr>
          <w:p w14:paraId="35BB1D6C" w14:textId="1ABE40BA" w:rsidR="00603B21" w:rsidRDefault="00603B21">
            <w:pPr>
              <w:pStyle w:val="TableText"/>
              <w:keepNext/>
              <w:spacing w:line="256" w:lineRule="auto"/>
              <w:jc w:val="center"/>
            </w:pPr>
            <w:r>
              <w:t>$</w:t>
            </w:r>
            <w:r w:rsidR="002A5B88">
              <w:t>775</w:t>
            </w:r>
          </w:p>
        </w:tc>
      </w:tr>
      <w:tr w:rsidR="00603B21" w14:paraId="41403038" w14:textId="77777777" w:rsidTr="00757BA8">
        <w:trPr>
          <w:cantSplit/>
        </w:trPr>
        <w:tc>
          <w:tcPr>
            <w:tcW w:w="942" w:type="pct"/>
            <w:tcBorders>
              <w:top w:val="single" w:sz="4" w:space="0" w:color="auto"/>
              <w:left w:val="single" w:sz="4" w:space="0" w:color="auto"/>
              <w:bottom w:val="single" w:sz="4" w:space="0" w:color="auto"/>
              <w:right w:val="single" w:sz="4" w:space="0" w:color="auto"/>
            </w:tcBorders>
            <w:shd w:val="clear" w:color="auto" w:fill="auto"/>
            <w:hideMark/>
          </w:tcPr>
          <w:p w14:paraId="3B50340F" w14:textId="4EBEBAFC" w:rsidR="00603B21" w:rsidRDefault="00603B21">
            <w:pPr>
              <w:pStyle w:val="TableText"/>
              <w:keepNext/>
              <w:spacing w:line="256" w:lineRule="auto"/>
            </w:pPr>
            <w:r>
              <w:t>QALY</w:t>
            </w:r>
            <w:r w:rsidR="00BE16D5">
              <w:t>s</w:t>
            </w:r>
          </w:p>
        </w:tc>
        <w:tc>
          <w:tcPr>
            <w:tcW w:w="1353" w:type="pct"/>
            <w:tcBorders>
              <w:top w:val="single" w:sz="4" w:space="0" w:color="auto"/>
              <w:left w:val="single" w:sz="4" w:space="0" w:color="auto"/>
              <w:bottom w:val="single" w:sz="4" w:space="0" w:color="auto"/>
              <w:right w:val="single" w:sz="4" w:space="0" w:color="auto"/>
            </w:tcBorders>
            <w:shd w:val="clear" w:color="auto" w:fill="auto"/>
            <w:hideMark/>
          </w:tcPr>
          <w:p w14:paraId="0EE9EC5C" w14:textId="70F7C110" w:rsidR="00603B21" w:rsidRDefault="00603B21">
            <w:pPr>
              <w:pStyle w:val="TableText"/>
              <w:keepNext/>
              <w:spacing w:line="256" w:lineRule="auto"/>
              <w:jc w:val="center"/>
            </w:pPr>
            <w:r>
              <w:t>11.</w:t>
            </w:r>
            <w:r w:rsidR="32DFD4EB">
              <w:t>54</w:t>
            </w:r>
          </w:p>
        </w:tc>
        <w:tc>
          <w:tcPr>
            <w:tcW w:w="1319" w:type="pct"/>
            <w:tcBorders>
              <w:top w:val="single" w:sz="4" w:space="0" w:color="auto"/>
              <w:left w:val="single" w:sz="4" w:space="0" w:color="auto"/>
              <w:bottom w:val="single" w:sz="4" w:space="0" w:color="auto"/>
              <w:right w:val="single" w:sz="4" w:space="0" w:color="auto"/>
            </w:tcBorders>
            <w:shd w:val="clear" w:color="auto" w:fill="auto"/>
            <w:hideMark/>
          </w:tcPr>
          <w:p w14:paraId="3F1D2EC8" w14:textId="11FA420B" w:rsidR="00603B21" w:rsidRDefault="00603B21">
            <w:pPr>
              <w:pStyle w:val="TableText"/>
              <w:keepNext/>
              <w:spacing w:line="256" w:lineRule="auto"/>
              <w:jc w:val="center"/>
            </w:pPr>
            <w:r>
              <w:t>11.</w:t>
            </w:r>
            <w:r w:rsidR="32DFD4EB">
              <w:t>49</w:t>
            </w:r>
          </w:p>
        </w:tc>
        <w:tc>
          <w:tcPr>
            <w:tcW w:w="1386" w:type="pct"/>
            <w:tcBorders>
              <w:top w:val="single" w:sz="4" w:space="0" w:color="auto"/>
              <w:left w:val="single" w:sz="4" w:space="0" w:color="auto"/>
              <w:bottom w:val="single" w:sz="4" w:space="0" w:color="auto"/>
              <w:right w:val="single" w:sz="4" w:space="0" w:color="auto"/>
            </w:tcBorders>
            <w:shd w:val="clear" w:color="auto" w:fill="auto"/>
            <w:hideMark/>
          </w:tcPr>
          <w:p w14:paraId="5D9892AF" w14:textId="77777777" w:rsidR="00603B21" w:rsidRDefault="00603B21">
            <w:pPr>
              <w:pStyle w:val="TableText"/>
              <w:keepNext/>
              <w:spacing w:line="256" w:lineRule="auto"/>
              <w:jc w:val="center"/>
            </w:pPr>
            <w:r>
              <w:t>0.05</w:t>
            </w:r>
          </w:p>
        </w:tc>
      </w:tr>
      <w:tr w:rsidR="00603B21" w14:paraId="25994191" w14:textId="77777777" w:rsidTr="00757BA8">
        <w:trPr>
          <w:cantSplit/>
          <w:trHeight w:val="414"/>
        </w:trPr>
        <w:tc>
          <w:tcPr>
            <w:tcW w:w="3614" w:type="pct"/>
            <w:gridSpan w:val="3"/>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14:paraId="5686BCB8" w14:textId="77777777" w:rsidR="00603B21" w:rsidRDefault="00603B21" w:rsidP="00757BA8">
            <w:pPr>
              <w:pStyle w:val="In-tableHeading"/>
              <w:spacing w:line="256" w:lineRule="auto"/>
              <w:rPr>
                <w:lang w:eastAsia="en-US"/>
              </w:rPr>
            </w:pPr>
            <w:r>
              <w:rPr>
                <w:lang w:eastAsia="en-US"/>
              </w:rPr>
              <w:t>Incremental cost per QALY gained</w:t>
            </w:r>
          </w:p>
        </w:tc>
        <w:tc>
          <w:tcPr>
            <w:tcW w:w="1386" w:type="pct"/>
            <w:tcBorders>
              <w:top w:val="single" w:sz="4" w:space="0" w:color="auto"/>
              <w:left w:val="single" w:sz="4" w:space="0" w:color="000000" w:themeColor="text1"/>
              <w:bottom w:val="single" w:sz="4" w:space="0" w:color="auto"/>
              <w:right w:val="single" w:sz="4" w:space="0" w:color="auto"/>
            </w:tcBorders>
            <w:shd w:val="clear" w:color="auto" w:fill="auto"/>
            <w:vAlign w:val="center"/>
            <w:hideMark/>
          </w:tcPr>
          <w:p w14:paraId="0A02B9A9" w14:textId="741E897E" w:rsidR="00603B21" w:rsidRDefault="00603B21" w:rsidP="00886274">
            <w:pPr>
              <w:keepNext/>
              <w:keepLines/>
              <w:jc w:val="center"/>
              <w:rPr>
                <w:rFonts w:ascii="Arial Narrow" w:eastAsia="Calibri" w:hAnsi="Arial Narrow"/>
                <w:b/>
                <w:sz w:val="20"/>
                <w:szCs w:val="20"/>
              </w:rPr>
            </w:pPr>
            <w:r>
              <w:rPr>
                <w:rFonts w:ascii="Arial Narrow" w:eastAsia="Calibri" w:hAnsi="Arial Narrow"/>
                <w:b/>
                <w:sz w:val="20"/>
                <w:szCs w:val="20"/>
              </w:rPr>
              <w:t>$1</w:t>
            </w:r>
            <w:r w:rsidR="002A5B88">
              <w:rPr>
                <w:rFonts w:ascii="Arial Narrow" w:eastAsia="Calibri" w:hAnsi="Arial Narrow"/>
                <w:b/>
                <w:bCs/>
                <w:sz w:val="20"/>
                <w:szCs w:val="20"/>
              </w:rPr>
              <w:t>5,786.91</w:t>
            </w:r>
          </w:p>
        </w:tc>
      </w:tr>
    </w:tbl>
    <w:p w14:paraId="5C83BF61" w14:textId="4999B4EF" w:rsidR="00A11353" w:rsidRDefault="00603B21" w:rsidP="00757BA8">
      <w:pPr>
        <w:pStyle w:val="TableFooter"/>
      </w:pPr>
      <w:r>
        <w:t>ICER</w:t>
      </w:r>
      <w:r w:rsidR="00051740">
        <w:t xml:space="preserve"> =</w:t>
      </w:r>
      <w:r>
        <w:t xml:space="preserve"> incremental cost-effectiveness ratio;</w:t>
      </w:r>
      <w:r w:rsidR="00757BA8">
        <w:t xml:space="preserve"> MRI = magnetic resonance imaging; </w:t>
      </w:r>
      <w:r>
        <w:t>QALY</w:t>
      </w:r>
      <w:r w:rsidR="00051740">
        <w:t xml:space="preserve"> =</w:t>
      </w:r>
      <w:r>
        <w:t xml:space="preserve"> quality-adjusted life year</w:t>
      </w:r>
      <w:r w:rsidR="00757BA8">
        <w:t>.</w:t>
      </w:r>
    </w:p>
    <w:p w14:paraId="3FA0A1A8" w14:textId="71C9EE8C" w:rsidR="00603B21" w:rsidRPr="00A11353" w:rsidRDefault="005D2654" w:rsidP="00867E94">
      <w:pPr>
        <w:rPr>
          <w:rFonts w:ascii="Arial Narrow" w:hAnsi="Arial Narrow"/>
          <w:sz w:val="18"/>
          <w:szCs w:val="18"/>
        </w:rPr>
      </w:pPr>
      <w:r w:rsidRPr="00B52917">
        <w:lastRenderedPageBreak/>
        <w:t>T</w:t>
      </w:r>
      <w:r w:rsidR="00603B21" w:rsidRPr="00B52917">
        <w:t>he</w:t>
      </w:r>
      <w:r w:rsidR="006E585D" w:rsidRPr="00B52917">
        <w:t xml:space="preserve"> sensitivity analyses informed </w:t>
      </w:r>
      <w:r w:rsidR="006E585D">
        <w:t>the</w:t>
      </w:r>
      <w:r w:rsidR="00603B21">
        <w:t xml:space="preserve"> key drivers of the economic analysis for </w:t>
      </w:r>
      <w:r w:rsidR="00500B37">
        <w:t>Population</w:t>
      </w:r>
      <w:r w:rsidR="00603B21">
        <w:t xml:space="preserve"> </w:t>
      </w:r>
      <w:r w:rsidR="006E585D">
        <w:t xml:space="preserve">1 and </w:t>
      </w:r>
      <w:r w:rsidR="00603B21">
        <w:t xml:space="preserve">have been </w:t>
      </w:r>
      <w:r w:rsidR="00603B21" w:rsidRPr="00603B21">
        <w:t xml:space="preserve">presented in </w:t>
      </w:r>
      <w:r w:rsidR="00603B21" w:rsidRPr="00603B21">
        <w:rPr>
          <w:highlight w:val="yellow"/>
        </w:rPr>
        <w:fldChar w:fldCharType="begin"/>
      </w:r>
      <w:r w:rsidR="00603B21" w:rsidRPr="00603B21">
        <w:instrText xml:space="preserve"> REF _Ref150238240 \h </w:instrText>
      </w:r>
      <w:r w:rsidR="002964AF">
        <w:rPr>
          <w:highlight w:val="yellow"/>
        </w:rPr>
        <w:instrText xml:space="preserve"> \* MERGEFORMAT </w:instrText>
      </w:r>
      <w:r w:rsidR="00603B21" w:rsidRPr="00603B21">
        <w:rPr>
          <w:highlight w:val="yellow"/>
        </w:rPr>
      </w:r>
      <w:r w:rsidR="00603B21" w:rsidRPr="00603B21">
        <w:rPr>
          <w:highlight w:val="yellow"/>
        </w:rPr>
        <w:fldChar w:fldCharType="separate"/>
      </w:r>
      <w:r w:rsidR="00EE5F4F">
        <w:t xml:space="preserve">Table </w:t>
      </w:r>
      <w:r w:rsidR="00EE5F4F">
        <w:rPr>
          <w:noProof/>
        </w:rPr>
        <w:t>10</w:t>
      </w:r>
      <w:r w:rsidR="00603B21" w:rsidRPr="00603B21">
        <w:rPr>
          <w:highlight w:val="yellow"/>
        </w:rPr>
        <w:fldChar w:fldCharType="end"/>
      </w:r>
      <w:r w:rsidR="00603B21" w:rsidRPr="00603B21">
        <w:t xml:space="preserve">. </w:t>
      </w:r>
      <w:r w:rsidR="00603B21">
        <w:t>The potential risk reduction (RR) of a MACE with monitoring in patients with LGE</w:t>
      </w:r>
      <w:r w:rsidR="006B5A7F">
        <w:t xml:space="preserve"> and the time horizon for the model </w:t>
      </w:r>
      <w:r w:rsidR="00603B21">
        <w:t xml:space="preserve">were the major drivers of cost-effectiveness in </w:t>
      </w:r>
      <w:r w:rsidR="00500B37">
        <w:t>Population</w:t>
      </w:r>
      <w:r w:rsidR="00603B21">
        <w:t xml:space="preserve"> 1. A RR of 0.</w:t>
      </w:r>
      <w:r w:rsidR="241244B7" w:rsidRPr="156E6C5D">
        <w:t>3</w:t>
      </w:r>
      <w:r w:rsidR="00440679">
        <w:t>1</w:t>
      </w:r>
      <w:r w:rsidR="00603B21">
        <w:t xml:space="preserve"> for MACE w</w:t>
      </w:r>
      <w:r w:rsidR="002E4A71">
        <w:t>as</w:t>
      </w:r>
      <w:r w:rsidR="00603B21">
        <w:t xml:space="preserve"> required to bring the ICER below $50,000/QALY</w:t>
      </w:r>
      <w:r w:rsidR="00603B21" w:rsidRPr="156E6C5D">
        <w:t>.</w:t>
      </w:r>
    </w:p>
    <w:p w14:paraId="10666E5E" w14:textId="6AD16D50" w:rsidR="00603B21" w:rsidRDefault="00603B21" w:rsidP="00603B21">
      <w:pPr>
        <w:pStyle w:val="Caption"/>
      </w:pPr>
      <w:bookmarkStart w:id="63" w:name="_Ref150238240"/>
      <w:bookmarkStart w:id="64" w:name="_Toc155173769"/>
      <w:r>
        <w:t xml:space="preserve">Table </w:t>
      </w:r>
      <w:r>
        <w:fldChar w:fldCharType="begin"/>
      </w:r>
      <w:r>
        <w:instrText>SEQ Table \* ARABIC</w:instrText>
      </w:r>
      <w:r>
        <w:fldChar w:fldCharType="separate"/>
      </w:r>
      <w:r w:rsidR="00251E62">
        <w:rPr>
          <w:noProof/>
        </w:rPr>
        <w:t>10</w:t>
      </w:r>
      <w:r>
        <w:fldChar w:fldCharType="end"/>
      </w:r>
      <w:bookmarkEnd w:id="63"/>
      <w:r w:rsidR="009C42B2">
        <w:tab/>
      </w:r>
      <w:r>
        <w:t xml:space="preserve">Key drivers of the model in </w:t>
      </w:r>
      <w:r w:rsidR="00500B37">
        <w:t>Population</w:t>
      </w:r>
      <w:r>
        <w:t xml:space="preserve"> 1</w:t>
      </w:r>
      <w:bookmarkEnd w:id="6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96"/>
        <w:gridCol w:w="3971"/>
        <w:gridCol w:w="3349"/>
      </w:tblGrid>
      <w:tr w:rsidR="00603B21" w14:paraId="6B08E34E" w14:textId="77777777" w:rsidTr="00B07370">
        <w:trPr>
          <w:tblHeader/>
        </w:trPr>
        <w:tc>
          <w:tcPr>
            <w:tcW w:w="941" w:type="pct"/>
            <w:tcBorders>
              <w:top w:val="single" w:sz="4" w:space="0" w:color="auto"/>
              <w:left w:val="single" w:sz="4" w:space="0" w:color="auto"/>
              <w:bottom w:val="single" w:sz="4" w:space="0" w:color="auto"/>
              <w:right w:val="single" w:sz="4" w:space="0" w:color="auto"/>
            </w:tcBorders>
            <w:vAlign w:val="center"/>
            <w:hideMark/>
          </w:tcPr>
          <w:p w14:paraId="44A4D8CD" w14:textId="77777777" w:rsidR="00603B21" w:rsidRDefault="00603B21">
            <w:pPr>
              <w:pStyle w:val="In-tableHeading"/>
              <w:spacing w:line="256" w:lineRule="auto"/>
              <w:jc w:val="center"/>
              <w:rPr>
                <w:lang w:eastAsia="en-US"/>
              </w:rPr>
            </w:pPr>
            <w:r>
              <w:rPr>
                <w:lang w:eastAsia="en-US"/>
              </w:rPr>
              <w:t>Description</w:t>
            </w:r>
          </w:p>
        </w:tc>
        <w:tc>
          <w:tcPr>
            <w:tcW w:w="2202" w:type="pct"/>
            <w:tcBorders>
              <w:top w:val="single" w:sz="4" w:space="0" w:color="auto"/>
              <w:left w:val="single" w:sz="4" w:space="0" w:color="auto"/>
              <w:bottom w:val="single" w:sz="4" w:space="0" w:color="auto"/>
              <w:right w:val="single" w:sz="4" w:space="0" w:color="auto"/>
            </w:tcBorders>
            <w:vAlign w:val="center"/>
            <w:hideMark/>
          </w:tcPr>
          <w:p w14:paraId="031E0359" w14:textId="77777777" w:rsidR="00603B21" w:rsidRDefault="00603B21">
            <w:pPr>
              <w:pStyle w:val="In-tableHeading"/>
              <w:spacing w:line="256" w:lineRule="auto"/>
              <w:jc w:val="center"/>
              <w:rPr>
                <w:lang w:eastAsia="en-US"/>
              </w:rPr>
            </w:pPr>
            <w:r>
              <w:rPr>
                <w:lang w:eastAsia="en-US"/>
              </w:rPr>
              <w:t>Method/Value</w:t>
            </w:r>
          </w:p>
        </w:tc>
        <w:tc>
          <w:tcPr>
            <w:tcW w:w="1858" w:type="pct"/>
            <w:tcBorders>
              <w:top w:val="single" w:sz="4" w:space="0" w:color="auto"/>
              <w:left w:val="single" w:sz="4" w:space="0" w:color="auto"/>
              <w:bottom w:val="single" w:sz="4" w:space="0" w:color="auto"/>
              <w:right w:val="single" w:sz="4" w:space="0" w:color="auto"/>
            </w:tcBorders>
            <w:vAlign w:val="center"/>
            <w:hideMark/>
          </w:tcPr>
          <w:p w14:paraId="31731CC3" w14:textId="77777777" w:rsidR="00603B21" w:rsidRDefault="00603B21">
            <w:pPr>
              <w:pStyle w:val="In-tableHeading"/>
              <w:spacing w:line="256" w:lineRule="auto"/>
              <w:jc w:val="center"/>
              <w:rPr>
                <w:lang w:eastAsia="en-US"/>
              </w:rPr>
            </w:pPr>
            <w:r>
              <w:rPr>
                <w:lang w:eastAsia="en-US"/>
              </w:rPr>
              <w:t>Impact</w:t>
            </w:r>
          </w:p>
          <w:p w14:paraId="28233DDC" w14:textId="3B43AB00" w:rsidR="00603B21" w:rsidRDefault="00603B21">
            <w:pPr>
              <w:pStyle w:val="In-tableHeading"/>
              <w:spacing w:after="160" w:line="256" w:lineRule="auto"/>
              <w:jc w:val="center"/>
              <w:rPr>
                <w:lang w:eastAsia="en-US"/>
              </w:rPr>
            </w:pPr>
            <w:r w:rsidRPr="217D7320">
              <w:rPr>
                <w:rFonts w:cs="Arial"/>
                <w:lang w:eastAsia="en-US"/>
              </w:rPr>
              <w:t xml:space="preserve">Base case: </w:t>
            </w:r>
            <w:r w:rsidR="00175965">
              <w:rPr>
                <w:rFonts w:cs="Arial"/>
                <w:lang w:eastAsia="en-US"/>
              </w:rPr>
              <w:t>$</w:t>
            </w:r>
            <w:r w:rsidR="002E4A71">
              <w:rPr>
                <w:rFonts w:cs="Arial"/>
                <w:lang w:eastAsia="en-US"/>
              </w:rPr>
              <w:t xml:space="preserve">66,356 </w:t>
            </w:r>
            <w:r w:rsidRPr="217D7320">
              <w:rPr>
                <w:rFonts w:cs="Arial"/>
                <w:lang w:eastAsia="en-US"/>
              </w:rPr>
              <w:t>QALY gained</w:t>
            </w:r>
          </w:p>
        </w:tc>
      </w:tr>
      <w:tr w:rsidR="006E585D" w14:paraId="6319533A" w14:textId="77777777" w:rsidTr="00B07370">
        <w:tc>
          <w:tcPr>
            <w:tcW w:w="941" w:type="pct"/>
            <w:tcBorders>
              <w:top w:val="single" w:sz="4" w:space="0" w:color="auto"/>
              <w:left w:val="single" w:sz="4" w:space="0" w:color="auto"/>
              <w:bottom w:val="single" w:sz="4" w:space="0" w:color="auto"/>
              <w:right w:val="single" w:sz="4" w:space="0" w:color="auto"/>
            </w:tcBorders>
          </w:tcPr>
          <w:p w14:paraId="5A0CFC4E" w14:textId="5DF3E55B" w:rsidR="006E585D" w:rsidRPr="00B52917" w:rsidRDefault="00D37558" w:rsidP="00757BA8">
            <w:pPr>
              <w:pStyle w:val="TableText"/>
              <w:spacing w:line="256" w:lineRule="auto"/>
              <w:rPr>
                <w:lang w:val="en-US"/>
              </w:rPr>
            </w:pPr>
            <w:r>
              <w:rPr>
                <w:lang w:val="en-US"/>
              </w:rPr>
              <w:t>T</w:t>
            </w:r>
            <w:r w:rsidR="006E585D" w:rsidRPr="00B52917">
              <w:rPr>
                <w:lang w:val="en-US"/>
              </w:rPr>
              <w:t>ime horizon</w:t>
            </w:r>
          </w:p>
        </w:tc>
        <w:tc>
          <w:tcPr>
            <w:tcW w:w="2202" w:type="pct"/>
            <w:tcBorders>
              <w:top w:val="single" w:sz="4" w:space="0" w:color="auto"/>
              <w:left w:val="single" w:sz="4" w:space="0" w:color="auto"/>
              <w:bottom w:val="single" w:sz="4" w:space="0" w:color="auto"/>
              <w:right w:val="single" w:sz="4" w:space="0" w:color="auto"/>
            </w:tcBorders>
          </w:tcPr>
          <w:p w14:paraId="3F38253C" w14:textId="30E891E5" w:rsidR="006E585D" w:rsidRPr="00B52917" w:rsidRDefault="006E585D" w:rsidP="00757BA8">
            <w:pPr>
              <w:pStyle w:val="TableText"/>
              <w:spacing w:line="256" w:lineRule="auto"/>
              <w:rPr>
                <w:lang w:val="en-US"/>
              </w:rPr>
            </w:pPr>
            <w:r w:rsidRPr="00B52917">
              <w:rPr>
                <w:lang w:val="en-US"/>
              </w:rPr>
              <w:t>A time horizon of 20 years was used in the base-case analysis</w:t>
            </w:r>
            <w:r w:rsidR="00657729" w:rsidRPr="00B52917">
              <w:rPr>
                <w:lang w:val="en-US"/>
              </w:rPr>
              <w:t xml:space="preserve"> as the trial</w:t>
            </w:r>
            <w:r w:rsidR="00D10083">
              <w:rPr>
                <w:lang w:val="en-US"/>
              </w:rPr>
              <w:t xml:space="preserve"> (</w:t>
            </w:r>
            <w:proofErr w:type="spellStart"/>
            <w:r w:rsidR="00D10083">
              <w:rPr>
                <w:lang w:val="en-US"/>
              </w:rPr>
              <w:t>Grani</w:t>
            </w:r>
            <w:proofErr w:type="spellEnd"/>
            <w:r w:rsidR="00D10083">
              <w:rPr>
                <w:lang w:val="en-US"/>
              </w:rPr>
              <w:t xml:space="preserve"> et al., 2017)</w:t>
            </w:r>
            <w:r w:rsidR="00657729" w:rsidRPr="00B52917">
              <w:rPr>
                <w:lang w:val="en-US"/>
              </w:rPr>
              <w:t xml:space="preserve"> for modelling the outcomes followed patients for 14 years</w:t>
            </w:r>
            <w:r w:rsidR="00D10083">
              <w:rPr>
                <w:lang w:val="en-US"/>
              </w:rPr>
              <w:t>.</w:t>
            </w:r>
            <w:r w:rsidR="002E4A71">
              <w:rPr>
                <w:lang w:val="en-US"/>
              </w:rPr>
              <w:t xml:space="preserve"> </w:t>
            </w:r>
          </w:p>
        </w:tc>
        <w:tc>
          <w:tcPr>
            <w:tcW w:w="1858" w:type="pct"/>
            <w:tcBorders>
              <w:top w:val="single" w:sz="4" w:space="0" w:color="auto"/>
              <w:left w:val="single" w:sz="4" w:space="0" w:color="auto"/>
              <w:bottom w:val="single" w:sz="4" w:space="0" w:color="auto"/>
              <w:right w:val="single" w:sz="4" w:space="0" w:color="auto"/>
            </w:tcBorders>
          </w:tcPr>
          <w:p w14:paraId="421B1B32" w14:textId="7D2494DE" w:rsidR="006E585D" w:rsidRPr="00B52917" w:rsidRDefault="006E585D" w:rsidP="00757BA8">
            <w:pPr>
              <w:spacing w:before="40" w:after="40" w:line="256" w:lineRule="auto"/>
              <w:rPr>
                <w:rFonts w:ascii="Arial Narrow" w:eastAsia="Arial Narrow" w:hAnsi="Arial Narrow" w:cs="Arial Narrow"/>
                <w:i/>
                <w:iCs/>
                <w:sz w:val="20"/>
                <w:szCs w:val="20"/>
                <w:lang w:val="en-US"/>
              </w:rPr>
            </w:pPr>
            <w:r w:rsidRPr="00B52917">
              <w:rPr>
                <w:rFonts w:ascii="Arial Narrow" w:eastAsia="Arial Narrow" w:hAnsi="Arial Narrow" w:cs="Arial Narrow"/>
                <w:i/>
                <w:iCs/>
                <w:sz w:val="20"/>
                <w:szCs w:val="20"/>
                <w:lang w:val="en-US"/>
              </w:rPr>
              <w:t xml:space="preserve">High, </w:t>
            </w:r>
            <w:proofErr w:type="spellStart"/>
            <w:r w:rsidRPr="00B52917">
              <w:rPr>
                <w:rFonts w:ascii="Arial Narrow" w:eastAsia="Arial Narrow" w:hAnsi="Arial Narrow" w:cs="Arial Narrow"/>
                <w:i/>
                <w:iCs/>
                <w:sz w:val="20"/>
                <w:szCs w:val="20"/>
                <w:lang w:val="en-US"/>
              </w:rPr>
              <w:t>favours</w:t>
            </w:r>
            <w:proofErr w:type="spellEnd"/>
            <w:r w:rsidRPr="00B52917">
              <w:rPr>
                <w:rFonts w:ascii="Arial Narrow" w:eastAsia="Arial Narrow" w:hAnsi="Arial Narrow" w:cs="Arial Narrow"/>
                <w:i/>
                <w:iCs/>
                <w:sz w:val="20"/>
                <w:szCs w:val="20"/>
                <w:lang w:val="en-US"/>
              </w:rPr>
              <w:t xml:space="preserve"> cardiac </w:t>
            </w:r>
            <w:proofErr w:type="gramStart"/>
            <w:r w:rsidRPr="00B52917">
              <w:rPr>
                <w:rFonts w:ascii="Arial Narrow" w:eastAsia="Arial Narrow" w:hAnsi="Arial Narrow" w:cs="Arial Narrow"/>
                <w:i/>
                <w:iCs/>
                <w:sz w:val="20"/>
                <w:szCs w:val="20"/>
                <w:lang w:val="en-US"/>
              </w:rPr>
              <w:t>MRI</w:t>
            </w:r>
            <w:proofErr w:type="gramEnd"/>
          </w:p>
          <w:p w14:paraId="67F95406" w14:textId="2C63C026" w:rsidR="006E585D" w:rsidRPr="00B52917" w:rsidRDefault="006E585D" w:rsidP="00757BA8">
            <w:pPr>
              <w:spacing w:before="40" w:after="40" w:line="256" w:lineRule="auto"/>
              <w:rPr>
                <w:rFonts w:ascii="Arial Narrow" w:eastAsia="Arial Narrow" w:hAnsi="Arial Narrow" w:cs="Arial Narrow"/>
                <w:i/>
                <w:iCs/>
                <w:sz w:val="20"/>
                <w:szCs w:val="20"/>
                <w:lang w:val="en-US"/>
              </w:rPr>
            </w:pPr>
            <w:r w:rsidRPr="00B52917">
              <w:rPr>
                <w:rFonts w:ascii="Arial Narrow" w:eastAsia="Arial Narrow" w:hAnsi="Arial Narrow" w:cs="Arial Narrow"/>
                <w:i/>
                <w:iCs/>
                <w:sz w:val="20"/>
                <w:szCs w:val="20"/>
                <w:lang w:val="en-US"/>
              </w:rPr>
              <w:t>Using a lifetime horizon (</w:t>
            </w:r>
            <w:r w:rsidR="00307C5B" w:rsidRPr="00B52917">
              <w:rPr>
                <w:rFonts w:ascii="Arial Narrow" w:eastAsia="Arial Narrow" w:hAnsi="Arial Narrow" w:cs="Arial Narrow"/>
                <w:i/>
                <w:iCs/>
                <w:sz w:val="20"/>
                <w:szCs w:val="20"/>
                <w:lang w:val="en-US"/>
              </w:rPr>
              <w:t xml:space="preserve">i.e., </w:t>
            </w:r>
            <w:r w:rsidRPr="00B52917">
              <w:rPr>
                <w:rFonts w:ascii="Arial Narrow" w:eastAsia="Arial Narrow" w:hAnsi="Arial Narrow" w:cs="Arial Narrow"/>
                <w:i/>
                <w:iCs/>
                <w:sz w:val="20"/>
                <w:szCs w:val="20"/>
                <w:lang w:val="en-US"/>
              </w:rPr>
              <w:t>until 85 years of age)</w:t>
            </w:r>
            <w:r w:rsidR="00D01C0A">
              <w:rPr>
                <w:rFonts w:ascii="Arial Narrow" w:eastAsia="Arial Narrow" w:hAnsi="Arial Narrow" w:cs="Arial Narrow"/>
                <w:i/>
                <w:iCs/>
                <w:sz w:val="20"/>
                <w:szCs w:val="20"/>
                <w:lang w:val="en-US"/>
              </w:rPr>
              <w:t xml:space="preserve"> </w:t>
            </w:r>
            <w:r w:rsidRPr="00B52917">
              <w:rPr>
                <w:rFonts w:ascii="Arial Narrow" w:eastAsia="Arial Narrow" w:hAnsi="Arial Narrow" w:cs="Arial Narrow"/>
                <w:i/>
                <w:iCs/>
                <w:sz w:val="20"/>
                <w:szCs w:val="20"/>
                <w:lang w:val="en-US"/>
              </w:rPr>
              <w:t xml:space="preserve">reduced the </w:t>
            </w:r>
            <w:r w:rsidR="00307C5B" w:rsidRPr="00B52917">
              <w:rPr>
                <w:rFonts w:ascii="Arial Narrow" w:eastAsia="Arial Narrow" w:hAnsi="Arial Narrow" w:cs="Arial Narrow"/>
                <w:i/>
                <w:iCs/>
                <w:sz w:val="20"/>
                <w:szCs w:val="20"/>
                <w:lang w:val="en-US"/>
              </w:rPr>
              <w:t>ICER to $2</w:t>
            </w:r>
            <w:r w:rsidR="008B0F91">
              <w:rPr>
                <w:rFonts w:ascii="Arial Narrow" w:eastAsia="Arial Narrow" w:hAnsi="Arial Narrow" w:cs="Arial Narrow"/>
                <w:i/>
                <w:iCs/>
                <w:sz w:val="20"/>
                <w:szCs w:val="20"/>
                <w:lang w:val="en-US"/>
              </w:rPr>
              <w:t>7,737</w:t>
            </w:r>
            <w:r w:rsidR="00307C5B" w:rsidRPr="00B52917">
              <w:rPr>
                <w:rFonts w:ascii="Arial Narrow" w:eastAsia="Arial Narrow" w:hAnsi="Arial Narrow" w:cs="Arial Narrow"/>
                <w:i/>
                <w:iCs/>
                <w:sz w:val="20"/>
                <w:szCs w:val="20"/>
                <w:lang w:val="en-US"/>
              </w:rPr>
              <w:t>/QALY.</w:t>
            </w:r>
          </w:p>
        </w:tc>
      </w:tr>
      <w:tr w:rsidR="00603B21" w14:paraId="7EA1D204" w14:textId="77777777" w:rsidTr="00B07370">
        <w:tc>
          <w:tcPr>
            <w:tcW w:w="941" w:type="pct"/>
            <w:tcBorders>
              <w:top w:val="single" w:sz="4" w:space="0" w:color="auto"/>
              <w:left w:val="single" w:sz="4" w:space="0" w:color="auto"/>
              <w:bottom w:val="single" w:sz="4" w:space="0" w:color="auto"/>
              <w:right w:val="single" w:sz="4" w:space="0" w:color="auto"/>
            </w:tcBorders>
            <w:hideMark/>
          </w:tcPr>
          <w:p w14:paraId="4F0524FD" w14:textId="77777777" w:rsidR="00603B21" w:rsidRPr="00B52917" w:rsidRDefault="00603B21" w:rsidP="00757BA8">
            <w:pPr>
              <w:pStyle w:val="TableText"/>
              <w:spacing w:line="256" w:lineRule="auto"/>
              <w:rPr>
                <w:lang w:val="en-US"/>
              </w:rPr>
            </w:pPr>
            <w:r w:rsidRPr="00B52917">
              <w:rPr>
                <w:lang w:val="en-US"/>
              </w:rPr>
              <w:t xml:space="preserve">Risk reduction in MACE after monitoring myocarditis patients with LGE and </w:t>
            </w:r>
            <w:proofErr w:type="spellStart"/>
            <w:r w:rsidRPr="00B52917">
              <w:rPr>
                <w:lang w:val="en-US"/>
              </w:rPr>
              <w:t>pLVEF</w:t>
            </w:r>
            <w:proofErr w:type="spellEnd"/>
          </w:p>
        </w:tc>
        <w:tc>
          <w:tcPr>
            <w:tcW w:w="2202" w:type="pct"/>
            <w:tcBorders>
              <w:top w:val="single" w:sz="4" w:space="0" w:color="auto"/>
              <w:left w:val="single" w:sz="4" w:space="0" w:color="auto"/>
              <w:bottom w:val="single" w:sz="4" w:space="0" w:color="auto"/>
              <w:right w:val="single" w:sz="4" w:space="0" w:color="auto"/>
            </w:tcBorders>
            <w:hideMark/>
          </w:tcPr>
          <w:p w14:paraId="1368EF48" w14:textId="7CBBF04A" w:rsidR="00603B21" w:rsidRPr="00B52917" w:rsidRDefault="00603B21" w:rsidP="00757BA8">
            <w:pPr>
              <w:pStyle w:val="TableText"/>
              <w:spacing w:line="256" w:lineRule="auto"/>
              <w:rPr>
                <w:lang w:val="en-US"/>
              </w:rPr>
            </w:pPr>
            <w:r w:rsidRPr="00B52917">
              <w:rPr>
                <w:lang w:val="en-US"/>
              </w:rPr>
              <w:t>Data about this parameter was not available in the literature and a potential risk reduction of 50% was obtained via Expert opinion.</w:t>
            </w:r>
            <w:r w:rsidR="00500B37" w:rsidRPr="00B52917">
              <w:rPr>
                <w:lang w:val="en-US"/>
              </w:rPr>
              <w:t xml:space="preserve"> </w:t>
            </w:r>
            <w:r w:rsidRPr="00B52917">
              <w:rPr>
                <w:lang w:val="en-US"/>
              </w:rPr>
              <w:t xml:space="preserve">The sensitivity analysis explored the results </w:t>
            </w:r>
            <w:r w:rsidR="78DFD0EF" w:rsidRPr="00B52917">
              <w:rPr>
                <w:lang w:val="en-US"/>
              </w:rPr>
              <w:t xml:space="preserve">over a range of </w:t>
            </w:r>
            <w:r w:rsidRPr="00B52917">
              <w:rPr>
                <w:lang w:val="en-US"/>
              </w:rPr>
              <w:t>25-75%.</w:t>
            </w:r>
          </w:p>
        </w:tc>
        <w:tc>
          <w:tcPr>
            <w:tcW w:w="1858" w:type="pct"/>
            <w:tcBorders>
              <w:top w:val="single" w:sz="4" w:space="0" w:color="auto"/>
              <w:left w:val="single" w:sz="4" w:space="0" w:color="auto"/>
              <w:bottom w:val="single" w:sz="4" w:space="0" w:color="auto"/>
              <w:right w:val="single" w:sz="4" w:space="0" w:color="auto"/>
            </w:tcBorders>
            <w:hideMark/>
          </w:tcPr>
          <w:p w14:paraId="7CEE1ADF" w14:textId="63E2A4BA" w:rsidR="00603B21" w:rsidRPr="00B52917" w:rsidRDefault="4B290FFB" w:rsidP="00757BA8">
            <w:pPr>
              <w:spacing w:before="40" w:after="40" w:line="256" w:lineRule="auto"/>
            </w:pPr>
            <w:r w:rsidRPr="00B52917">
              <w:rPr>
                <w:rFonts w:ascii="Arial Narrow" w:eastAsia="Arial Narrow" w:hAnsi="Arial Narrow" w:cs="Arial Narrow"/>
                <w:i/>
                <w:iCs/>
                <w:sz w:val="20"/>
                <w:szCs w:val="20"/>
                <w:lang w:val="en-US"/>
              </w:rPr>
              <w:t xml:space="preserve">High, </w:t>
            </w:r>
            <w:proofErr w:type="spellStart"/>
            <w:r w:rsidRPr="00B52917">
              <w:rPr>
                <w:rFonts w:ascii="Arial Narrow" w:eastAsia="Arial Narrow" w:hAnsi="Arial Narrow" w:cs="Arial Narrow"/>
                <w:i/>
                <w:iCs/>
                <w:sz w:val="20"/>
                <w:szCs w:val="20"/>
                <w:lang w:val="en-US"/>
              </w:rPr>
              <w:t>favours</w:t>
            </w:r>
            <w:proofErr w:type="spellEnd"/>
            <w:r w:rsidRPr="00B52917">
              <w:rPr>
                <w:rFonts w:ascii="Arial Narrow" w:eastAsia="Arial Narrow" w:hAnsi="Arial Narrow" w:cs="Arial Narrow"/>
                <w:i/>
                <w:iCs/>
                <w:sz w:val="20"/>
                <w:szCs w:val="20"/>
                <w:lang w:val="en-US"/>
              </w:rPr>
              <w:t xml:space="preserve"> </w:t>
            </w:r>
            <w:r w:rsidR="00616D58">
              <w:rPr>
                <w:rFonts w:ascii="Arial Narrow" w:eastAsia="Arial Narrow" w:hAnsi="Arial Narrow" w:cs="Arial Narrow"/>
                <w:i/>
                <w:iCs/>
                <w:sz w:val="20"/>
                <w:szCs w:val="20"/>
                <w:lang w:val="en-US"/>
              </w:rPr>
              <w:t xml:space="preserve">the </w:t>
            </w:r>
            <w:proofErr w:type="gramStart"/>
            <w:r w:rsidR="00616D58">
              <w:rPr>
                <w:rFonts w:ascii="Arial Narrow" w:eastAsia="Arial Narrow" w:hAnsi="Arial Narrow" w:cs="Arial Narrow"/>
                <w:i/>
                <w:iCs/>
                <w:sz w:val="20"/>
                <w:szCs w:val="20"/>
                <w:lang w:val="en-US"/>
              </w:rPr>
              <w:t>comparator</w:t>
            </w:r>
            <w:proofErr w:type="gramEnd"/>
          </w:p>
          <w:p w14:paraId="750C944A" w14:textId="1D849072" w:rsidR="00603B21" w:rsidRPr="00B52917" w:rsidRDefault="00603B21" w:rsidP="00757BA8">
            <w:pPr>
              <w:pStyle w:val="TableText"/>
              <w:spacing w:after="160" w:line="256" w:lineRule="auto"/>
              <w:rPr>
                <w:i/>
                <w:lang w:val="en-US"/>
              </w:rPr>
            </w:pPr>
            <w:r w:rsidRPr="00B52917">
              <w:rPr>
                <w:i/>
                <w:lang w:val="en-US"/>
              </w:rPr>
              <w:t xml:space="preserve">Using a risk reduction of </w:t>
            </w:r>
            <w:r w:rsidR="007E1569" w:rsidRPr="00B52917">
              <w:rPr>
                <w:i/>
                <w:lang w:val="en-US"/>
              </w:rPr>
              <w:t>25</w:t>
            </w:r>
            <w:r w:rsidRPr="00B52917">
              <w:rPr>
                <w:i/>
                <w:lang w:val="en-US"/>
              </w:rPr>
              <w:t xml:space="preserve">% </w:t>
            </w:r>
            <w:r w:rsidR="00A1459C" w:rsidRPr="00B52917">
              <w:rPr>
                <w:i/>
                <w:lang w:val="en-US"/>
              </w:rPr>
              <w:t>increased</w:t>
            </w:r>
            <w:r w:rsidRPr="00B52917">
              <w:rPr>
                <w:i/>
                <w:lang w:val="en-US"/>
              </w:rPr>
              <w:t xml:space="preserve"> the ICER</w:t>
            </w:r>
            <w:r w:rsidR="00A1459C" w:rsidRPr="00B52917">
              <w:rPr>
                <w:i/>
                <w:lang w:val="en-US"/>
              </w:rPr>
              <w:t xml:space="preserve"> to</w:t>
            </w:r>
            <w:r w:rsidRPr="00B52917">
              <w:rPr>
                <w:i/>
                <w:lang w:val="en-US"/>
              </w:rPr>
              <w:t xml:space="preserve"> $</w:t>
            </w:r>
            <w:r w:rsidR="007E1569" w:rsidRPr="00B52917">
              <w:rPr>
                <w:i/>
                <w:lang w:val="en-US"/>
              </w:rPr>
              <w:t>1</w:t>
            </w:r>
            <w:r w:rsidR="008B0F91">
              <w:rPr>
                <w:i/>
                <w:lang w:val="en-US"/>
              </w:rPr>
              <w:t>14</w:t>
            </w:r>
            <w:r w:rsidR="007E1569" w:rsidRPr="00B52917">
              <w:rPr>
                <w:i/>
                <w:lang w:val="en-US"/>
              </w:rPr>
              <w:t>,</w:t>
            </w:r>
            <w:r w:rsidR="008B0F91">
              <w:rPr>
                <w:i/>
                <w:lang w:val="en-US"/>
              </w:rPr>
              <w:t>544</w:t>
            </w:r>
            <w:r w:rsidRPr="00B52917">
              <w:rPr>
                <w:i/>
                <w:lang w:val="en-US"/>
              </w:rPr>
              <w:t>/QALY</w:t>
            </w:r>
          </w:p>
        </w:tc>
      </w:tr>
      <w:tr w:rsidR="00603B21" w14:paraId="4D444FA2" w14:textId="77777777" w:rsidTr="00B07370">
        <w:tc>
          <w:tcPr>
            <w:tcW w:w="941" w:type="pct"/>
            <w:tcBorders>
              <w:top w:val="single" w:sz="4" w:space="0" w:color="auto"/>
              <w:left w:val="single" w:sz="4" w:space="0" w:color="auto"/>
              <w:bottom w:val="single" w:sz="4" w:space="0" w:color="auto"/>
              <w:right w:val="single" w:sz="4" w:space="0" w:color="auto"/>
            </w:tcBorders>
            <w:hideMark/>
          </w:tcPr>
          <w:p w14:paraId="2102DC77" w14:textId="4DA1A087" w:rsidR="00603B21" w:rsidRPr="00B52917" w:rsidRDefault="00603B21" w:rsidP="00757BA8">
            <w:pPr>
              <w:pStyle w:val="TableText"/>
              <w:spacing w:line="256" w:lineRule="auto"/>
              <w:rPr>
                <w:lang w:val="en-US"/>
              </w:rPr>
            </w:pPr>
            <w:r w:rsidRPr="00B52917">
              <w:rPr>
                <w:rFonts w:cs="Arial"/>
              </w:rPr>
              <w:t xml:space="preserve">Probability of MACE in myocarditis patients with LGE and </w:t>
            </w:r>
            <w:proofErr w:type="spellStart"/>
            <w:r w:rsidRPr="00B52917">
              <w:rPr>
                <w:rFonts w:cs="Arial"/>
              </w:rPr>
              <w:t>pLVEF</w:t>
            </w:r>
            <w:proofErr w:type="spellEnd"/>
          </w:p>
        </w:tc>
        <w:tc>
          <w:tcPr>
            <w:tcW w:w="2202" w:type="pct"/>
            <w:tcBorders>
              <w:top w:val="single" w:sz="4" w:space="0" w:color="auto"/>
              <w:left w:val="single" w:sz="4" w:space="0" w:color="auto"/>
              <w:bottom w:val="single" w:sz="4" w:space="0" w:color="auto"/>
              <w:right w:val="single" w:sz="4" w:space="0" w:color="auto"/>
            </w:tcBorders>
            <w:hideMark/>
          </w:tcPr>
          <w:p w14:paraId="05D08232" w14:textId="64A5839D" w:rsidR="00603B21" w:rsidRPr="00B52917" w:rsidRDefault="00603B21" w:rsidP="00757BA8">
            <w:pPr>
              <w:pStyle w:val="TableText"/>
              <w:spacing w:line="256" w:lineRule="auto"/>
              <w:rPr>
                <w:lang w:val="en-US"/>
              </w:rPr>
            </w:pPr>
            <w:r w:rsidRPr="00B52917">
              <w:rPr>
                <w:lang w:val="en-US"/>
              </w:rPr>
              <w:t xml:space="preserve">The probability of this outcome was obtained from </w:t>
            </w:r>
            <w:r w:rsidR="2D5E0039" w:rsidRPr="00B52917">
              <w:rPr>
                <w:lang w:val="en-US"/>
              </w:rPr>
              <w:t xml:space="preserve">a previous clinical </w:t>
            </w:r>
            <w:r w:rsidR="00500B37" w:rsidRPr="00B52917">
              <w:rPr>
                <w:lang w:val="en-US"/>
              </w:rPr>
              <w:t>trial</w:t>
            </w:r>
            <w:r w:rsidR="00D10083">
              <w:rPr>
                <w:lang w:val="en-US"/>
              </w:rPr>
              <w:t xml:space="preserve"> (</w:t>
            </w:r>
            <w:proofErr w:type="spellStart"/>
            <w:r w:rsidR="00D10083">
              <w:rPr>
                <w:lang w:val="en-US"/>
              </w:rPr>
              <w:t>Grani</w:t>
            </w:r>
            <w:proofErr w:type="spellEnd"/>
            <w:r w:rsidR="00D10083">
              <w:rPr>
                <w:lang w:val="en-US"/>
              </w:rPr>
              <w:t xml:space="preserve"> et al., 2017).</w:t>
            </w:r>
          </w:p>
        </w:tc>
        <w:tc>
          <w:tcPr>
            <w:tcW w:w="1858" w:type="pct"/>
            <w:tcBorders>
              <w:top w:val="single" w:sz="4" w:space="0" w:color="auto"/>
              <w:left w:val="single" w:sz="4" w:space="0" w:color="auto"/>
              <w:bottom w:val="single" w:sz="4" w:space="0" w:color="auto"/>
              <w:right w:val="single" w:sz="4" w:space="0" w:color="auto"/>
            </w:tcBorders>
            <w:hideMark/>
          </w:tcPr>
          <w:p w14:paraId="336FD9F2" w14:textId="0EF80543" w:rsidR="4F4CE50C" w:rsidRPr="00B52917" w:rsidRDefault="006B5A7F" w:rsidP="00757BA8">
            <w:pPr>
              <w:spacing w:before="40" w:after="40"/>
            </w:pPr>
            <w:r>
              <w:rPr>
                <w:rFonts w:ascii="Arial Narrow" w:eastAsia="Arial Narrow" w:hAnsi="Arial Narrow" w:cs="Arial Narrow"/>
                <w:i/>
                <w:iCs/>
                <w:sz w:val="20"/>
                <w:szCs w:val="20"/>
                <w:lang w:val="en-US"/>
              </w:rPr>
              <w:t>Moderate</w:t>
            </w:r>
            <w:r w:rsidR="4F4CE50C" w:rsidRPr="00B52917">
              <w:rPr>
                <w:rFonts w:ascii="Arial Narrow" w:eastAsia="Arial Narrow" w:hAnsi="Arial Narrow" w:cs="Arial Narrow"/>
                <w:i/>
                <w:iCs/>
                <w:sz w:val="20"/>
                <w:szCs w:val="20"/>
                <w:lang w:val="en-US"/>
              </w:rPr>
              <w:t xml:space="preserve">, </w:t>
            </w:r>
            <w:proofErr w:type="spellStart"/>
            <w:r w:rsidR="00616D58">
              <w:rPr>
                <w:rFonts w:ascii="Arial Narrow" w:eastAsia="Arial Narrow" w:hAnsi="Arial Narrow" w:cs="Arial Narrow"/>
                <w:i/>
                <w:iCs/>
                <w:sz w:val="20"/>
                <w:szCs w:val="20"/>
                <w:lang w:val="en-US"/>
              </w:rPr>
              <w:t>favours</w:t>
            </w:r>
            <w:proofErr w:type="spellEnd"/>
            <w:r w:rsidR="00616D58">
              <w:rPr>
                <w:rFonts w:ascii="Arial Narrow" w:eastAsia="Arial Narrow" w:hAnsi="Arial Narrow" w:cs="Arial Narrow"/>
                <w:i/>
                <w:iCs/>
                <w:sz w:val="20"/>
                <w:szCs w:val="20"/>
                <w:lang w:val="en-US"/>
              </w:rPr>
              <w:t xml:space="preserve"> the </w:t>
            </w:r>
            <w:proofErr w:type="gramStart"/>
            <w:r w:rsidR="00616D58">
              <w:rPr>
                <w:rFonts w:ascii="Arial Narrow" w:eastAsia="Arial Narrow" w:hAnsi="Arial Narrow" w:cs="Arial Narrow"/>
                <w:i/>
                <w:iCs/>
                <w:sz w:val="20"/>
                <w:szCs w:val="20"/>
                <w:lang w:val="en-US"/>
              </w:rPr>
              <w:t>comparator</w:t>
            </w:r>
            <w:proofErr w:type="gramEnd"/>
          </w:p>
          <w:p w14:paraId="7237444E" w14:textId="5ABFD6C2" w:rsidR="00603B21" w:rsidRPr="00B52917" w:rsidRDefault="00603B21" w:rsidP="00757BA8">
            <w:pPr>
              <w:pStyle w:val="TableText"/>
              <w:spacing w:after="160" w:line="256" w:lineRule="auto"/>
              <w:rPr>
                <w:i/>
                <w:lang w:val="en-US"/>
              </w:rPr>
            </w:pPr>
            <w:r w:rsidRPr="00B52917">
              <w:rPr>
                <w:i/>
                <w:lang w:val="en-US"/>
              </w:rPr>
              <w:t xml:space="preserve">A </w:t>
            </w:r>
            <w:r w:rsidR="00A1459C" w:rsidRPr="00B52917">
              <w:rPr>
                <w:i/>
                <w:lang w:val="en-US"/>
              </w:rPr>
              <w:t>10</w:t>
            </w:r>
            <w:r w:rsidRPr="00B52917">
              <w:rPr>
                <w:i/>
                <w:lang w:val="en-US"/>
              </w:rPr>
              <w:t xml:space="preserve">% </w:t>
            </w:r>
            <w:r w:rsidR="00AA3C6F" w:rsidRPr="00B52917">
              <w:rPr>
                <w:i/>
                <w:lang w:val="en-US"/>
              </w:rPr>
              <w:t>decrease</w:t>
            </w:r>
            <w:r w:rsidRPr="00B52917">
              <w:rPr>
                <w:i/>
                <w:lang w:val="en-US"/>
              </w:rPr>
              <w:t xml:space="preserve"> in this parameter </w:t>
            </w:r>
            <w:r w:rsidR="00AA3C6F" w:rsidRPr="00B52917">
              <w:rPr>
                <w:i/>
                <w:lang w:val="en-US"/>
              </w:rPr>
              <w:t>increased</w:t>
            </w:r>
            <w:r w:rsidRPr="00B52917">
              <w:rPr>
                <w:i/>
                <w:lang w:val="en-US"/>
              </w:rPr>
              <w:t xml:space="preserve"> the ICER to $</w:t>
            </w:r>
            <w:r w:rsidR="00AA3C6F" w:rsidRPr="00B52917">
              <w:rPr>
                <w:i/>
                <w:lang w:val="en-US"/>
              </w:rPr>
              <w:t>7</w:t>
            </w:r>
            <w:r w:rsidR="00294194">
              <w:rPr>
                <w:i/>
                <w:lang w:val="en-US"/>
              </w:rPr>
              <w:t>8,859</w:t>
            </w:r>
            <w:r w:rsidRPr="00B52917">
              <w:rPr>
                <w:i/>
                <w:lang w:val="en-US"/>
              </w:rPr>
              <w:t>/QALY gained.</w:t>
            </w:r>
          </w:p>
        </w:tc>
      </w:tr>
      <w:tr w:rsidR="00603B21" w14:paraId="17DB75DE" w14:textId="77777777" w:rsidTr="00B07370">
        <w:tc>
          <w:tcPr>
            <w:tcW w:w="941" w:type="pct"/>
            <w:tcBorders>
              <w:top w:val="single" w:sz="4" w:space="0" w:color="auto"/>
              <w:left w:val="single" w:sz="4" w:space="0" w:color="auto"/>
              <w:bottom w:val="single" w:sz="4" w:space="0" w:color="auto"/>
              <w:right w:val="single" w:sz="4" w:space="0" w:color="auto"/>
            </w:tcBorders>
            <w:hideMark/>
          </w:tcPr>
          <w:p w14:paraId="50AFD7E3" w14:textId="0553C2B5" w:rsidR="00603B21" w:rsidRDefault="00603B21" w:rsidP="00757BA8">
            <w:pPr>
              <w:pStyle w:val="TableText"/>
              <w:spacing w:line="256" w:lineRule="auto"/>
              <w:rPr>
                <w:rFonts w:cs="Arial"/>
                <w:szCs w:val="20"/>
              </w:rPr>
            </w:pPr>
            <w:r>
              <w:rPr>
                <w:rFonts w:cs="Arial"/>
                <w:szCs w:val="20"/>
              </w:rPr>
              <w:t xml:space="preserve">Cost of </w:t>
            </w:r>
            <w:r w:rsidR="000E5457">
              <w:rPr>
                <w:rFonts w:cs="Arial"/>
                <w:szCs w:val="20"/>
              </w:rPr>
              <w:t>cardiac MRI</w:t>
            </w:r>
          </w:p>
        </w:tc>
        <w:tc>
          <w:tcPr>
            <w:tcW w:w="2202" w:type="pct"/>
            <w:tcBorders>
              <w:top w:val="single" w:sz="4" w:space="0" w:color="auto"/>
              <w:left w:val="single" w:sz="4" w:space="0" w:color="auto"/>
              <w:bottom w:val="single" w:sz="4" w:space="0" w:color="auto"/>
              <w:right w:val="single" w:sz="4" w:space="0" w:color="auto"/>
            </w:tcBorders>
            <w:hideMark/>
          </w:tcPr>
          <w:p w14:paraId="04F9F7BC" w14:textId="5932850D" w:rsidR="00603B21" w:rsidRDefault="00603B21" w:rsidP="00757BA8">
            <w:pPr>
              <w:pStyle w:val="TableText"/>
              <w:spacing w:line="256" w:lineRule="auto"/>
              <w:rPr>
                <w:lang w:val="en-US"/>
              </w:rPr>
            </w:pPr>
            <w:r>
              <w:rPr>
                <w:lang w:val="en-US"/>
              </w:rPr>
              <w:t xml:space="preserve">The cost of this item was assumed based on a previous MBS listing for </w:t>
            </w:r>
            <w:r w:rsidR="0016390E">
              <w:rPr>
                <w:lang w:val="en-US"/>
              </w:rPr>
              <w:t>cardiac MRI</w:t>
            </w:r>
            <w:r w:rsidR="1DCEBF31" w:rsidRPr="217D7320">
              <w:rPr>
                <w:lang w:val="en-US"/>
              </w:rPr>
              <w:t xml:space="preserve"> for </w:t>
            </w:r>
            <w:r>
              <w:rPr>
                <w:lang w:val="en-US"/>
              </w:rPr>
              <w:t>mRNA vaccine related myocarditis</w:t>
            </w:r>
            <w:r w:rsidR="00757BA8">
              <w:rPr>
                <w:lang w:val="en-US"/>
              </w:rPr>
              <w:t>.</w:t>
            </w:r>
          </w:p>
        </w:tc>
        <w:tc>
          <w:tcPr>
            <w:tcW w:w="1858" w:type="pct"/>
            <w:tcBorders>
              <w:top w:val="single" w:sz="4" w:space="0" w:color="auto"/>
              <w:left w:val="single" w:sz="4" w:space="0" w:color="auto"/>
              <w:bottom w:val="single" w:sz="4" w:space="0" w:color="auto"/>
              <w:right w:val="single" w:sz="4" w:space="0" w:color="auto"/>
            </w:tcBorders>
            <w:hideMark/>
          </w:tcPr>
          <w:p w14:paraId="677929D7" w14:textId="7BBC9779" w:rsidR="63F148B5" w:rsidRDefault="63F148B5" w:rsidP="00757BA8">
            <w:pPr>
              <w:spacing w:before="40" w:after="40"/>
            </w:pPr>
            <w:r w:rsidRPr="532A8E10">
              <w:rPr>
                <w:rFonts w:ascii="Arial Narrow" w:eastAsia="Arial Narrow" w:hAnsi="Arial Narrow" w:cs="Arial Narrow"/>
                <w:i/>
                <w:iCs/>
                <w:sz w:val="20"/>
                <w:szCs w:val="20"/>
                <w:lang w:val="en-US"/>
              </w:rPr>
              <w:t xml:space="preserve">Moderate, </w:t>
            </w:r>
            <w:proofErr w:type="spellStart"/>
            <w:r w:rsidRPr="532A8E10">
              <w:rPr>
                <w:rFonts w:ascii="Arial Narrow" w:eastAsia="Arial Narrow" w:hAnsi="Arial Narrow" w:cs="Arial Narrow"/>
                <w:i/>
                <w:iCs/>
                <w:sz w:val="20"/>
                <w:szCs w:val="20"/>
                <w:lang w:val="en-US"/>
              </w:rPr>
              <w:t>favours</w:t>
            </w:r>
            <w:proofErr w:type="spellEnd"/>
            <w:r w:rsidRPr="532A8E10">
              <w:rPr>
                <w:rFonts w:ascii="Arial Narrow" w:eastAsia="Arial Narrow" w:hAnsi="Arial Narrow" w:cs="Arial Narrow"/>
                <w:i/>
                <w:iCs/>
                <w:sz w:val="20"/>
                <w:szCs w:val="20"/>
                <w:lang w:val="en-US"/>
              </w:rPr>
              <w:t xml:space="preserve"> </w:t>
            </w:r>
            <w:r w:rsidR="0016390E">
              <w:rPr>
                <w:rFonts w:ascii="Arial Narrow" w:eastAsia="Arial Narrow" w:hAnsi="Arial Narrow" w:cs="Arial Narrow"/>
                <w:i/>
                <w:iCs/>
                <w:sz w:val="20"/>
                <w:szCs w:val="20"/>
                <w:lang w:val="en-US"/>
              </w:rPr>
              <w:t xml:space="preserve">cardiac </w:t>
            </w:r>
            <w:proofErr w:type="gramStart"/>
            <w:r w:rsidR="0016390E">
              <w:rPr>
                <w:rFonts w:ascii="Arial Narrow" w:eastAsia="Arial Narrow" w:hAnsi="Arial Narrow" w:cs="Arial Narrow"/>
                <w:i/>
                <w:iCs/>
                <w:sz w:val="20"/>
                <w:szCs w:val="20"/>
                <w:lang w:val="en-US"/>
              </w:rPr>
              <w:t>MRI</w:t>
            </w:r>
            <w:proofErr w:type="gramEnd"/>
          </w:p>
          <w:p w14:paraId="46933169" w14:textId="19557BF4" w:rsidR="00603B21" w:rsidRDefault="00603B21" w:rsidP="00757BA8">
            <w:pPr>
              <w:pStyle w:val="TableText"/>
              <w:spacing w:line="256" w:lineRule="auto"/>
              <w:rPr>
                <w:i/>
                <w:lang w:val="en-US"/>
              </w:rPr>
            </w:pPr>
            <w:r>
              <w:rPr>
                <w:i/>
                <w:lang w:val="en-US"/>
              </w:rPr>
              <w:t>A 25% decrease in this parameter decreased the ICER to $</w:t>
            </w:r>
            <w:r w:rsidR="6D39BB76" w:rsidRPr="217D7320">
              <w:rPr>
                <w:i/>
                <w:iCs/>
                <w:lang w:val="en-US"/>
              </w:rPr>
              <w:t>5</w:t>
            </w:r>
            <w:r w:rsidR="00294194">
              <w:rPr>
                <w:i/>
                <w:iCs/>
                <w:lang w:val="en-US"/>
              </w:rPr>
              <w:t>8,495</w:t>
            </w:r>
            <w:r>
              <w:rPr>
                <w:i/>
                <w:lang w:val="en-US"/>
              </w:rPr>
              <w:t>/QALY gained.</w:t>
            </w:r>
          </w:p>
        </w:tc>
      </w:tr>
    </w:tbl>
    <w:p w14:paraId="59458EA1" w14:textId="28DF23E0" w:rsidR="00603B21" w:rsidRPr="00B52917" w:rsidRDefault="00603B21" w:rsidP="00B52917">
      <w:pPr>
        <w:pStyle w:val="TableFooter"/>
      </w:pPr>
      <w:r w:rsidRPr="00B52917">
        <w:t>ICER</w:t>
      </w:r>
      <w:r w:rsidR="00757BA8" w:rsidRPr="00B52917">
        <w:t xml:space="preserve"> =</w:t>
      </w:r>
      <w:r w:rsidRPr="00B52917">
        <w:t xml:space="preserve"> incremental cost-effectiveness ratio; LGE</w:t>
      </w:r>
      <w:r w:rsidR="00757BA8" w:rsidRPr="00B52917">
        <w:t xml:space="preserve"> =</w:t>
      </w:r>
      <w:r w:rsidRPr="00B52917">
        <w:t xml:space="preserve"> late gadolinium enhancement; MACE</w:t>
      </w:r>
      <w:r w:rsidR="00757BA8" w:rsidRPr="00B52917">
        <w:t xml:space="preserve"> =</w:t>
      </w:r>
      <w:r w:rsidRPr="00B52917">
        <w:t xml:space="preserve"> major adverse cardiovascular event; </w:t>
      </w:r>
      <w:r w:rsidR="00757BA8" w:rsidRPr="00B52917">
        <w:t xml:space="preserve">MRI = magnetic resonance imaging; </w:t>
      </w:r>
      <w:proofErr w:type="spellStart"/>
      <w:r w:rsidRPr="00B52917">
        <w:t>pLVEF</w:t>
      </w:r>
      <w:proofErr w:type="spellEnd"/>
      <w:r w:rsidR="00757BA8" w:rsidRPr="00B52917">
        <w:t xml:space="preserve"> =</w:t>
      </w:r>
      <w:r w:rsidRPr="00B52917">
        <w:t xml:space="preserve"> preserved left ventricular ejection fraction; QALY</w:t>
      </w:r>
      <w:r w:rsidR="00757BA8" w:rsidRPr="00B52917">
        <w:t xml:space="preserve"> =</w:t>
      </w:r>
      <w:r w:rsidRPr="00B52917">
        <w:t xml:space="preserve"> quality-adjusted life year</w:t>
      </w:r>
      <w:r w:rsidR="00757BA8" w:rsidRPr="00B52917">
        <w:t>.</w:t>
      </w:r>
    </w:p>
    <w:p w14:paraId="5C7D8D2E" w14:textId="1AAB7230" w:rsidR="00603B21" w:rsidRDefault="00603B21" w:rsidP="00867E94">
      <w:pPr>
        <w:rPr>
          <w:rFonts w:ascii="Arial Narrow" w:hAnsi="Arial Narrow"/>
          <w:sz w:val="18"/>
          <w:szCs w:val="18"/>
        </w:rPr>
      </w:pPr>
      <w:r>
        <w:t xml:space="preserve">The key drivers of the economic analysis for </w:t>
      </w:r>
      <w:r w:rsidR="00500B37">
        <w:t>Population</w:t>
      </w:r>
      <w:r>
        <w:t xml:space="preserve"> 2 </w:t>
      </w:r>
      <w:r w:rsidR="00DE029F">
        <w:t>are</w:t>
      </w:r>
      <w:r>
        <w:t xml:space="preserve"> </w:t>
      </w:r>
      <w:r w:rsidRPr="00603B21">
        <w:t xml:space="preserve">presented </w:t>
      </w:r>
      <w:r w:rsidRPr="00397B09">
        <w:t xml:space="preserve">in </w:t>
      </w:r>
      <w:r w:rsidRPr="00397B09">
        <w:fldChar w:fldCharType="begin"/>
      </w:r>
      <w:r w:rsidRPr="00397B09">
        <w:instrText xml:space="preserve"> REF _Ref150238304 \h </w:instrText>
      </w:r>
      <w:r w:rsidR="00397B09">
        <w:instrText xml:space="preserve"> \* MERGEFORMAT </w:instrText>
      </w:r>
      <w:r w:rsidRPr="00397B09">
        <w:fldChar w:fldCharType="separate"/>
      </w:r>
      <w:r w:rsidR="00EE5F4F" w:rsidRPr="009C42B2">
        <w:t xml:space="preserve">Table </w:t>
      </w:r>
      <w:r w:rsidR="00EE5F4F">
        <w:rPr>
          <w:noProof/>
        </w:rPr>
        <w:t>11</w:t>
      </w:r>
      <w:r w:rsidRPr="00397B09">
        <w:fldChar w:fldCharType="end"/>
      </w:r>
      <w:r w:rsidRPr="00397B09">
        <w:t>. The</w:t>
      </w:r>
      <w:r>
        <w:t xml:space="preserve"> potential risk reduction (RR) of a MACE with monitoring in patients with LGE, probability of a MACE in myocarditis patients with LGE and cost of </w:t>
      </w:r>
      <w:r w:rsidR="000E5457">
        <w:t>cardiac MRI</w:t>
      </w:r>
      <w:r>
        <w:t xml:space="preserve"> and the cost of prophylactic ACS medications were the major drivers of cost-effectiveness in </w:t>
      </w:r>
      <w:r w:rsidR="00500B37">
        <w:t>Population</w:t>
      </w:r>
      <w:r>
        <w:t xml:space="preserve"> 2. </w:t>
      </w:r>
    </w:p>
    <w:p w14:paraId="579DFD9E" w14:textId="3E4862B2" w:rsidR="00603B21" w:rsidRPr="009C42B2" w:rsidRDefault="00603B21" w:rsidP="009C42B2">
      <w:pPr>
        <w:pStyle w:val="Caption"/>
      </w:pPr>
      <w:bookmarkStart w:id="65" w:name="_Ref150238304"/>
      <w:bookmarkStart w:id="66" w:name="_Toc155173770"/>
      <w:r w:rsidRPr="009C42B2">
        <w:t xml:space="preserve">Table </w:t>
      </w:r>
      <w:r>
        <w:fldChar w:fldCharType="begin"/>
      </w:r>
      <w:r>
        <w:instrText>SEQ Table \* ARABIC</w:instrText>
      </w:r>
      <w:r>
        <w:fldChar w:fldCharType="separate"/>
      </w:r>
      <w:r w:rsidR="00251E62">
        <w:rPr>
          <w:noProof/>
        </w:rPr>
        <w:t>11</w:t>
      </w:r>
      <w:r>
        <w:fldChar w:fldCharType="end"/>
      </w:r>
      <w:bookmarkEnd w:id="65"/>
      <w:r w:rsidR="009C42B2" w:rsidRPr="009C42B2">
        <w:tab/>
      </w:r>
      <w:r w:rsidRPr="009C42B2">
        <w:t xml:space="preserve">Key drivers of the model in </w:t>
      </w:r>
      <w:r w:rsidR="00500B37" w:rsidRPr="009C42B2">
        <w:t>Population</w:t>
      </w:r>
      <w:r w:rsidRPr="009C42B2">
        <w:t xml:space="preserve"> 2</w:t>
      </w:r>
      <w:bookmarkEnd w:id="6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8"/>
        <w:gridCol w:w="4111"/>
        <w:gridCol w:w="3067"/>
      </w:tblGrid>
      <w:tr w:rsidR="00603B21" w14:paraId="7396D9F5" w14:textId="77777777" w:rsidTr="00D10083">
        <w:trPr>
          <w:tblHeader/>
        </w:trPr>
        <w:tc>
          <w:tcPr>
            <w:tcW w:w="1019" w:type="pct"/>
            <w:tcBorders>
              <w:top w:val="single" w:sz="4" w:space="0" w:color="auto"/>
              <w:left w:val="single" w:sz="4" w:space="0" w:color="auto"/>
              <w:bottom w:val="single" w:sz="4" w:space="0" w:color="auto"/>
              <w:right w:val="single" w:sz="4" w:space="0" w:color="auto"/>
            </w:tcBorders>
            <w:vAlign w:val="center"/>
            <w:hideMark/>
          </w:tcPr>
          <w:p w14:paraId="6317836B" w14:textId="77777777" w:rsidR="00603B21" w:rsidRDefault="00603B21">
            <w:pPr>
              <w:pStyle w:val="In-tableHeading"/>
              <w:spacing w:line="256" w:lineRule="auto"/>
              <w:jc w:val="center"/>
              <w:rPr>
                <w:lang w:eastAsia="en-US"/>
              </w:rPr>
            </w:pPr>
            <w:r>
              <w:rPr>
                <w:lang w:eastAsia="en-US"/>
              </w:rPr>
              <w:t>Description</w:t>
            </w:r>
          </w:p>
        </w:tc>
        <w:tc>
          <w:tcPr>
            <w:tcW w:w="2280" w:type="pct"/>
            <w:tcBorders>
              <w:top w:val="single" w:sz="4" w:space="0" w:color="auto"/>
              <w:left w:val="single" w:sz="4" w:space="0" w:color="auto"/>
              <w:bottom w:val="single" w:sz="4" w:space="0" w:color="auto"/>
              <w:right w:val="single" w:sz="4" w:space="0" w:color="auto"/>
            </w:tcBorders>
            <w:vAlign w:val="center"/>
            <w:hideMark/>
          </w:tcPr>
          <w:p w14:paraId="181984BA" w14:textId="77777777" w:rsidR="00603B21" w:rsidRDefault="00603B21">
            <w:pPr>
              <w:pStyle w:val="In-tableHeading"/>
              <w:spacing w:line="256" w:lineRule="auto"/>
              <w:jc w:val="center"/>
              <w:rPr>
                <w:lang w:eastAsia="en-US"/>
              </w:rPr>
            </w:pPr>
            <w:r>
              <w:rPr>
                <w:lang w:eastAsia="en-US"/>
              </w:rPr>
              <w:t>Method/Value</w:t>
            </w:r>
          </w:p>
        </w:tc>
        <w:tc>
          <w:tcPr>
            <w:tcW w:w="1701" w:type="pct"/>
            <w:tcBorders>
              <w:top w:val="single" w:sz="4" w:space="0" w:color="auto"/>
              <w:left w:val="single" w:sz="4" w:space="0" w:color="auto"/>
              <w:bottom w:val="single" w:sz="4" w:space="0" w:color="auto"/>
              <w:right w:val="single" w:sz="4" w:space="0" w:color="auto"/>
            </w:tcBorders>
            <w:vAlign w:val="center"/>
            <w:hideMark/>
          </w:tcPr>
          <w:p w14:paraId="260599C8" w14:textId="77777777" w:rsidR="00603B21" w:rsidRDefault="00603B21">
            <w:pPr>
              <w:pStyle w:val="In-tableHeading"/>
              <w:spacing w:line="256" w:lineRule="auto"/>
              <w:jc w:val="center"/>
              <w:rPr>
                <w:lang w:eastAsia="en-US"/>
              </w:rPr>
            </w:pPr>
            <w:r>
              <w:rPr>
                <w:lang w:eastAsia="en-US"/>
              </w:rPr>
              <w:t>Impact</w:t>
            </w:r>
          </w:p>
          <w:p w14:paraId="3FE948B3" w14:textId="0BCB94F8" w:rsidR="00603B21" w:rsidRDefault="00603B21">
            <w:pPr>
              <w:pStyle w:val="In-tableHeading"/>
              <w:spacing w:after="160" w:line="256" w:lineRule="auto"/>
              <w:jc w:val="center"/>
              <w:rPr>
                <w:lang w:eastAsia="en-US"/>
              </w:rPr>
            </w:pPr>
            <w:r w:rsidRPr="386D77CC">
              <w:rPr>
                <w:rFonts w:cs="Arial"/>
                <w:lang w:eastAsia="en-US"/>
              </w:rPr>
              <w:t>Base case: $</w:t>
            </w:r>
            <w:r w:rsidR="4A4626A0" w:rsidRPr="386D77CC">
              <w:rPr>
                <w:rFonts w:cs="Arial"/>
                <w:lang w:eastAsia="en-US"/>
              </w:rPr>
              <w:t>1</w:t>
            </w:r>
            <w:r w:rsidR="00E30EEC">
              <w:rPr>
                <w:rFonts w:cs="Arial"/>
                <w:lang w:eastAsia="en-US"/>
              </w:rPr>
              <w:t>5,787</w:t>
            </w:r>
            <w:r w:rsidRPr="386D77CC">
              <w:rPr>
                <w:rFonts w:cs="Arial"/>
                <w:lang w:eastAsia="en-US"/>
              </w:rPr>
              <w:t>/QALY gained</w:t>
            </w:r>
          </w:p>
        </w:tc>
      </w:tr>
      <w:tr w:rsidR="00657729" w14:paraId="3FE8BCD7" w14:textId="77777777" w:rsidTr="00B07370">
        <w:trPr>
          <w:trHeight w:val="838"/>
        </w:trPr>
        <w:tc>
          <w:tcPr>
            <w:tcW w:w="1019" w:type="pct"/>
            <w:tcBorders>
              <w:top w:val="single" w:sz="4" w:space="0" w:color="auto"/>
              <w:left w:val="single" w:sz="4" w:space="0" w:color="auto"/>
              <w:bottom w:val="single" w:sz="4" w:space="0" w:color="auto"/>
              <w:right w:val="single" w:sz="4" w:space="0" w:color="auto"/>
            </w:tcBorders>
          </w:tcPr>
          <w:p w14:paraId="7364C38C" w14:textId="75D78C2C" w:rsidR="00657729" w:rsidRPr="00B52917" w:rsidRDefault="00D37558" w:rsidP="00657729">
            <w:pPr>
              <w:pStyle w:val="TableText"/>
              <w:spacing w:line="256" w:lineRule="auto"/>
              <w:rPr>
                <w:lang w:val="en-US"/>
              </w:rPr>
            </w:pPr>
            <w:r>
              <w:rPr>
                <w:lang w:val="en-US"/>
              </w:rPr>
              <w:t>T</w:t>
            </w:r>
            <w:r w:rsidR="00657729" w:rsidRPr="00B52917">
              <w:rPr>
                <w:lang w:val="en-US"/>
              </w:rPr>
              <w:t>ime horizon</w:t>
            </w:r>
          </w:p>
        </w:tc>
        <w:tc>
          <w:tcPr>
            <w:tcW w:w="2280" w:type="pct"/>
            <w:tcBorders>
              <w:top w:val="single" w:sz="4" w:space="0" w:color="auto"/>
              <w:left w:val="single" w:sz="4" w:space="0" w:color="auto"/>
              <w:bottom w:val="single" w:sz="4" w:space="0" w:color="auto"/>
              <w:right w:val="single" w:sz="4" w:space="0" w:color="auto"/>
            </w:tcBorders>
          </w:tcPr>
          <w:p w14:paraId="7BAECE9D" w14:textId="3E381FF1" w:rsidR="00657729" w:rsidRPr="00B52917" w:rsidRDefault="00657729" w:rsidP="00657729">
            <w:pPr>
              <w:pStyle w:val="TableText"/>
              <w:spacing w:line="256" w:lineRule="auto"/>
              <w:rPr>
                <w:lang w:val="en-US"/>
              </w:rPr>
            </w:pPr>
            <w:r w:rsidRPr="00B52917">
              <w:rPr>
                <w:lang w:val="en-US"/>
              </w:rPr>
              <w:t>A time horizon of 20 years was used in the base-case analysis as the trial</w:t>
            </w:r>
            <w:r w:rsidR="00D10083">
              <w:rPr>
                <w:lang w:val="en-US"/>
              </w:rPr>
              <w:t xml:space="preserve"> (</w:t>
            </w:r>
            <w:proofErr w:type="spellStart"/>
            <w:r w:rsidR="00D10083">
              <w:rPr>
                <w:lang w:val="en-US"/>
              </w:rPr>
              <w:t>Grani</w:t>
            </w:r>
            <w:proofErr w:type="spellEnd"/>
            <w:r w:rsidR="00D10083">
              <w:rPr>
                <w:lang w:val="en-US"/>
              </w:rPr>
              <w:t xml:space="preserve"> et al., 2017)</w:t>
            </w:r>
            <w:r w:rsidRPr="00B52917">
              <w:rPr>
                <w:lang w:val="en-US"/>
              </w:rPr>
              <w:t xml:space="preserve"> for modelling the outcomes followed patients for 14 years</w:t>
            </w:r>
          </w:p>
        </w:tc>
        <w:tc>
          <w:tcPr>
            <w:tcW w:w="1701" w:type="pct"/>
            <w:tcBorders>
              <w:top w:val="single" w:sz="4" w:space="0" w:color="auto"/>
              <w:left w:val="single" w:sz="4" w:space="0" w:color="auto"/>
              <w:bottom w:val="single" w:sz="4" w:space="0" w:color="auto"/>
              <w:right w:val="single" w:sz="4" w:space="0" w:color="auto"/>
            </w:tcBorders>
          </w:tcPr>
          <w:p w14:paraId="72B1A7D5" w14:textId="77777777" w:rsidR="00657729" w:rsidRPr="00B52917" w:rsidRDefault="00657729" w:rsidP="00657729">
            <w:pPr>
              <w:spacing w:before="40" w:after="40" w:line="256" w:lineRule="auto"/>
              <w:rPr>
                <w:rFonts w:ascii="Arial Narrow" w:eastAsia="Arial Narrow" w:hAnsi="Arial Narrow" w:cs="Arial Narrow"/>
                <w:i/>
                <w:iCs/>
                <w:sz w:val="20"/>
                <w:szCs w:val="20"/>
                <w:lang w:val="en-US"/>
              </w:rPr>
            </w:pPr>
            <w:r w:rsidRPr="00B52917">
              <w:rPr>
                <w:rFonts w:ascii="Arial Narrow" w:eastAsia="Arial Narrow" w:hAnsi="Arial Narrow" w:cs="Arial Narrow"/>
                <w:i/>
                <w:iCs/>
                <w:sz w:val="20"/>
                <w:szCs w:val="20"/>
                <w:lang w:val="en-US"/>
              </w:rPr>
              <w:t xml:space="preserve">High, </w:t>
            </w:r>
            <w:proofErr w:type="spellStart"/>
            <w:r w:rsidRPr="00B52917">
              <w:rPr>
                <w:rFonts w:ascii="Arial Narrow" w:eastAsia="Arial Narrow" w:hAnsi="Arial Narrow" w:cs="Arial Narrow"/>
                <w:i/>
                <w:iCs/>
                <w:sz w:val="20"/>
                <w:szCs w:val="20"/>
                <w:lang w:val="en-US"/>
              </w:rPr>
              <w:t>favours</w:t>
            </w:r>
            <w:proofErr w:type="spellEnd"/>
            <w:r w:rsidRPr="00B52917">
              <w:rPr>
                <w:rFonts w:ascii="Arial Narrow" w:eastAsia="Arial Narrow" w:hAnsi="Arial Narrow" w:cs="Arial Narrow"/>
                <w:i/>
                <w:iCs/>
                <w:sz w:val="20"/>
                <w:szCs w:val="20"/>
                <w:lang w:val="en-US"/>
              </w:rPr>
              <w:t xml:space="preserve"> cardiac </w:t>
            </w:r>
            <w:proofErr w:type="gramStart"/>
            <w:r w:rsidRPr="00B52917">
              <w:rPr>
                <w:rFonts w:ascii="Arial Narrow" w:eastAsia="Arial Narrow" w:hAnsi="Arial Narrow" w:cs="Arial Narrow"/>
                <w:i/>
                <w:iCs/>
                <w:sz w:val="20"/>
                <w:szCs w:val="20"/>
                <w:lang w:val="en-US"/>
              </w:rPr>
              <w:t>MRI</w:t>
            </w:r>
            <w:proofErr w:type="gramEnd"/>
          </w:p>
          <w:p w14:paraId="7C395E6F" w14:textId="3FCD4195" w:rsidR="00657729" w:rsidRPr="00B52917" w:rsidRDefault="00657729" w:rsidP="00657729">
            <w:pPr>
              <w:spacing w:before="40" w:after="40" w:line="256" w:lineRule="auto"/>
              <w:rPr>
                <w:rFonts w:ascii="Arial Narrow" w:eastAsia="Arial Narrow" w:hAnsi="Arial Narrow" w:cs="Arial Narrow"/>
                <w:i/>
                <w:iCs/>
                <w:sz w:val="20"/>
                <w:szCs w:val="20"/>
                <w:lang w:val="en-US"/>
              </w:rPr>
            </w:pPr>
            <w:r w:rsidRPr="00B52917">
              <w:rPr>
                <w:rFonts w:ascii="Arial Narrow" w:eastAsia="Arial Narrow" w:hAnsi="Arial Narrow" w:cs="Arial Narrow"/>
                <w:i/>
                <w:iCs/>
                <w:sz w:val="20"/>
                <w:szCs w:val="20"/>
                <w:lang w:val="en-US"/>
              </w:rPr>
              <w:t>Using a lifetime horizon reduced the ICER to $</w:t>
            </w:r>
            <w:r w:rsidR="00E30EEC">
              <w:rPr>
                <w:rFonts w:ascii="Arial Narrow" w:eastAsia="Arial Narrow" w:hAnsi="Arial Narrow" w:cs="Arial Narrow"/>
                <w:i/>
                <w:iCs/>
                <w:sz w:val="20"/>
                <w:szCs w:val="20"/>
                <w:lang w:val="en-US"/>
              </w:rPr>
              <w:t>8,261</w:t>
            </w:r>
            <w:r w:rsidRPr="00B52917">
              <w:rPr>
                <w:rFonts w:ascii="Arial Narrow" w:eastAsia="Arial Narrow" w:hAnsi="Arial Narrow" w:cs="Arial Narrow"/>
                <w:i/>
                <w:iCs/>
                <w:sz w:val="20"/>
                <w:szCs w:val="20"/>
                <w:lang w:val="en-US"/>
              </w:rPr>
              <w:t>/QALY.</w:t>
            </w:r>
          </w:p>
        </w:tc>
      </w:tr>
      <w:tr w:rsidR="00657729" w14:paraId="613EDE76" w14:textId="77777777" w:rsidTr="00D10083">
        <w:trPr>
          <w:trHeight w:val="1050"/>
        </w:trPr>
        <w:tc>
          <w:tcPr>
            <w:tcW w:w="1019" w:type="pct"/>
            <w:tcBorders>
              <w:top w:val="single" w:sz="4" w:space="0" w:color="auto"/>
              <w:left w:val="single" w:sz="4" w:space="0" w:color="auto"/>
              <w:bottom w:val="single" w:sz="4" w:space="0" w:color="auto"/>
              <w:right w:val="single" w:sz="4" w:space="0" w:color="auto"/>
            </w:tcBorders>
            <w:hideMark/>
          </w:tcPr>
          <w:p w14:paraId="7D349186" w14:textId="77777777" w:rsidR="00657729" w:rsidRPr="00B52917" w:rsidRDefault="00657729" w:rsidP="00657729">
            <w:pPr>
              <w:pStyle w:val="TableText"/>
              <w:spacing w:line="256" w:lineRule="auto"/>
              <w:rPr>
                <w:lang w:val="en-US"/>
              </w:rPr>
            </w:pPr>
            <w:r w:rsidRPr="00B52917">
              <w:rPr>
                <w:lang w:val="en-US"/>
              </w:rPr>
              <w:t xml:space="preserve">Risk reduction in MACE after monitoring myocarditis patients with LGE </w:t>
            </w:r>
          </w:p>
        </w:tc>
        <w:tc>
          <w:tcPr>
            <w:tcW w:w="2280" w:type="pct"/>
            <w:tcBorders>
              <w:top w:val="single" w:sz="4" w:space="0" w:color="auto"/>
              <w:left w:val="single" w:sz="4" w:space="0" w:color="auto"/>
              <w:bottom w:val="single" w:sz="4" w:space="0" w:color="auto"/>
              <w:right w:val="single" w:sz="4" w:space="0" w:color="auto"/>
            </w:tcBorders>
            <w:hideMark/>
          </w:tcPr>
          <w:p w14:paraId="64BFB5E4" w14:textId="57A1D93D" w:rsidR="00657729" w:rsidRPr="00B52917" w:rsidRDefault="00657729" w:rsidP="00B07370">
            <w:pPr>
              <w:pStyle w:val="TableText"/>
              <w:spacing w:line="256" w:lineRule="auto"/>
              <w:rPr>
                <w:lang w:val="en-US"/>
              </w:rPr>
            </w:pPr>
            <w:r w:rsidRPr="00B52917">
              <w:rPr>
                <w:lang w:val="en-US"/>
              </w:rPr>
              <w:t>Data about this parameter was not available in the literature and a potential risk reduction of 50% was obtained via Expert opinion. The sensitivity analysis explored the results over a range of 25-75%.</w:t>
            </w:r>
          </w:p>
        </w:tc>
        <w:tc>
          <w:tcPr>
            <w:tcW w:w="1701" w:type="pct"/>
            <w:tcBorders>
              <w:top w:val="single" w:sz="4" w:space="0" w:color="auto"/>
              <w:left w:val="single" w:sz="4" w:space="0" w:color="auto"/>
              <w:bottom w:val="single" w:sz="4" w:space="0" w:color="auto"/>
              <w:right w:val="single" w:sz="4" w:space="0" w:color="auto"/>
            </w:tcBorders>
            <w:hideMark/>
          </w:tcPr>
          <w:p w14:paraId="5A703DE8" w14:textId="52211C90" w:rsidR="00657729" w:rsidRPr="00B52917" w:rsidRDefault="00657729" w:rsidP="00657729">
            <w:pPr>
              <w:spacing w:before="40" w:after="40" w:line="256" w:lineRule="auto"/>
            </w:pPr>
            <w:r w:rsidRPr="00B52917">
              <w:rPr>
                <w:rFonts w:ascii="Arial Narrow" w:eastAsia="Arial Narrow" w:hAnsi="Arial Narrow" w:cs="Arial Narrow"/>
                <w:i/>
                <w:iCs/>
                <w:sz w:val="20"/>
                <w:szCs w:val="20"/>
                <w:lang w:val="en-US"/>
              </w:rPr>
              <w:t xml:space="preserve">High, </w:t>
            </w:r>
            <w:proofErr w:type="spellStart"/>
            <w:r w:rsidRPr="00B52917">
              <w:rPr>
                <w:rFonts w:ascii="Arial Narrow" w:eastAsia="Arial Narrow" w:hAnsi="Arial Narrow" w:cs="Arial Narrow"/>
                <w:i/>
                <w:iCs/>
                <w:sz w:val="20"/>
                <w:szCs w:val="20"/>
                <w:lang w:val="en-US"/>
              </w:rPr>
              <w:t>favours</w:t>
            </w:r>
            <w:proofErr w:type="spellEnd"/>
            <w:r w:rsidRPr="00B52917">
              <w:rPr>
                <w:rFonts w:ascii="Arial Narrow" w:eastAsia="Arial Narrow" w:hAnsi="Arial Narrow" w:cs="Arial Narrow"/>
                <w:i/>
                <w:iCs/>
                <w:sz w:val="20"/>
                <w:szCs w:val="20"/>
                <w:lang w:val="en-US"/>
              </w:rPr>
              <w:t xml:space="preserve"> </w:t>
            </w:r>
            <w:r w:rsidR="00D10083">
              <w:rPr>
                <w:rFonts w:ascii="Arial Narrow" w:eastAsia="Arial Narrow" w:hAnsi="Arial Narrow" w:cs="Arial Narrow"/>
                <w:i/>
                <w:iCs/>
                <w:sz w:val="20"/>
                <w:szCs w:val="20"/>
                <w:lang w:val="en-US"/>
              </w:rPr>
              <w:t xml:space="preserve">the </w:t>
            </w:r>
            <w:proofErr w:type="gramStart"/>
            <w:r w:rsidR="00D10083">
              <w:rPr>
                <w:rFonts w:ascii="Arial Narrow" w:eastAsia="Arial Narrow" w:hAnsi="Arial Narrow" w:cs="Arial Narrow"/>
                <w:i/>
                <w:iCs/>
                <w:sz w:val="20"/>
                <w:szCs w:val="20"/>
                <w:lang w:val="en-US"/>
              </w:rPr>
              <w:t>comparator</w:t>
            </w:r>
            <w:proofErr w:type="gramEnd"/>
          </w:p>
          <w:p w14:paraId="282652AF" w14:textId="5D57747D" w:rsidR="00657729" w:rsidRPr="00B52917" w:rsidRDefault="00657729" w:rsidP="00657729">
            <w:pPr>
              <w:pStyle w:val="TableText"/>
              <w:spacing w:after="160" w:line="256" w:lineRule="auto"/>
              <w:rPr>
                <w:i/>
                <w:lang w:val="en-US"/>
              </w:rPr>
            </w:pPr>
            <w:r w:rsidRPr="00B52917">
              <w:rPr>
                <w:i/>
                <w:lang w:val="en-US"/>
              </w:rPr>
              <w:t>Using a risk reduction of 25% increased the ICER</w:t>
            </w:r>
            <w:r w:rsidR="00A57646">
              <w:rPr>
                <w:i/>
                <w:lang w:val="en-US"/>
              </w:rPr>
              <w:t xml:space="preserve"> to</w:t>
            </w:r>
            <w:r w:rsidRPr="00B52917">
              <w:rPr>
                <w:i/>
                <w:lang w:val="en-US"/>
              </w:rPr>
              <w:t xml:space="preserve"> $</w:t>
            </w:r>
            <w:r w:rsidR="00E30EEC">
              <w:rPr>
                <w:i/>
                <w:iCs/>
                <w:lang w:val="en-US"/>
              </w:rPr>
              <w:t>32,745</w:t>
            </w:r>
            <w:r w:rsidRPr="00B52917">
              <w:rPr>
                <w:i/>
                <w:lang w:val="en-US"/>
              </w:rPr>
              <w:t xml:space="preserve">/QALY gained. </w:t>
            </w:r>
          </w:p>
        </w:tc>
      </w:tr>
      <w:tr w:rsidR="00657729" w14:paraId="6CCC70E6" w14:textId="77777777" w:rsidTr="00D10083">
        <w:trPr>
          <w:trHeight w:val="1035"/>
        </w:trPr>
        <w:tc>
          <w:tcPr>
            <w:tcW w:w="1019" w:type="pct"/>
            <w:tcBorders>
              <w:top w:val="single" w:sz="4" w:space="0" w:color="auto"/>
              <w:left w:val="single" w:sz="4" w:space="0" w:color="auto"/>
              <w:bottom w:val="single" w:sz="4" w:space="0" w:color="auto"/>
              <w:right w:val="single" w:sz="4" w:space="0" w:color="auto"/>
            </w:tcBorders>
            <w:hideMark/>
          </w:tcPr>
          <w:p w14:paraId="43E93B5F" w14:textId="77777777" w:rsidR="00657729" w:rsidRPr="00B52917" w:rsidRDefault="00657729" w:rsidP="00657729">
            <w:pPr>
              <w:pStyle w:val="TableText"/>
              <w:spacing w:line="256" w:lineRule="auto"/>
              <w:rPr>
                <w:lang w:val="en-US"/>
              </w:rPr>
            </w:pPr>
            <w:r w:rsidRPr="00B52917">
              <w:rPr>
                <w:rFonts w:cs="Arial"/>
                <w:szCs w:val="20"/>
              </w:rPr>
              <w:t>Probability of MACE in myocarditis patients with LGE</w:t>
            </w:r>
          </w:p>
        </w:tc>
        <w:tc>
          <w:tcPr>
            <w:tcW w:w="2280" w:type="pct"/>
            <w:tcBorders>
              <w:top w:val="single" w:sz="4" w:space="0" w:color="auto"/>
              <w:left w:val="single" w:sz="4" w:space="0" w:color="auto"/>
              <w:bottom w:val="single" w:sz="4" w:space="0" w:color="auto"/>
              <w:right w:val="single" w:sz="4" w:space="0" w:color="auto"/>
            </w:tcBorders>
            <w:hideMark/>
          </w:tcPr>
          <w:p w14:paraId="2DEF41CE" w14:textId="0F8B6EB9" w:rsidR="00657729" w:rsidRPr="00B52917" w:rsidRDefault="00657729" w:rsidP="00657729">
            <w:pPr>
              <w:pStyle w:val="TableText"/>
              <w:spacing w:line="256" w:lineRule="auto"/>
              <w:rPr>
                <w:lang w:val="en-US"/>
              </w:rPr>
            </w:pPr>
            <w:r w:rsidRPr="00B52917">
              <w:rPr>
                <w:lang w:val="en-US"/>
              </w:rPr>
              <w:t>The probability of this outcome was obtained from a previous clinical trial</w:t>
            </w:r>
            <w:r w:rsidR="00D10083">
              <w:rPr>
                <w:lang w:val="en-US"/>
              </w:rPr>
              <w:t xml:space="preserve"> (</w:t>
            </w:r>
            <w:proofErr w:type="spellStart"/>
            <w:r w:rsidR="00D10083">
              <w:rPr>
                <w:lang w:val="en-US"/>
              </w:rPr>
              <w:t>Grani</w:t>
            </w:r>
            <w:proofErr w:type="spellEnd"/>
            <w:r w:rsidR="00D10083">
              <w:rPr>
                <w:lang w:val="en-US"/>
              </w:rPr>
              <w:t xml:space="preserve"> et al., 2017)</w:t>
            </w:r>
          </w:p>
          <w:p w14:paraId="65977191" w14:textId="6A405703" w:rsidR="00657729" w:rsidRPr="00B52917" w:rsidRDefault="00657729" w:rsidP="00657729">
            <w:pPr>
              <w:pStyle w:val="TableText"/>
              <w:spacing w:line="256" w:lineRule="auto"/>
              <w:rPr>
                <w:lang w:val="en-US"/>
              </w:rPr>
            </w:pPr>
          </w:p>
        </w:tc>
        <w:tc>
          <w:tcPr>
            <w:tcW w:w="1701" w:type="pct"/>
            <w:tcBorders>
              <w:top w:val="single" w:sz="4" w:space="0" w:color="auto"/>
              <w:left w:val="single" w:sz="4" w:space="0" w:color="auto"/>
              <w:bottom w:val="single" w:sz="4" w:space="0" w:color="auto"/>
              <w:right w:val="single" w:sz="4" w:space="0" w:color="auto"/>
            </w:tcBorders>
            <w:hideMark/>
          </w:tcPr>
          <w:p w14:paraId="5C4DC7E4" w14:textId="22805560" w:rsidR="00657729" w:rsidRPr="00B52917" w:rsidRDefault="00657729" w:rsidP="00657729">
            <w:pPr>
              <w:spacing w:before="40" w:after="40" w:line="256" w:lineRule="auto"/>
              <w:rPr>
                <w:rFonts w:ascii="Arial Narrow" w:eastAsia="Arial Narrow" w:hAnsi="Arial Narrow" w:cs="Arial Narrow"/>
                <w:sz w:val="20"/>
                <w:szCs w:val="20"/>
                <w:lang w:val="en-US"/>
              </w:rPr>
            </w:pPr>
            <w:r w:rsidRPr="00B52917">
              <w:rPr>
                <w:rFonts w:ascii="Arial Narrow" w:eastAsia="Arial Narrow" w:hAnsi="Arial Narrow" w:cs="Arial Narrow"/>
                <w:i/>
                <w:iCs/>
                <w:sz w:val="20"/>
                <w:szCs w:val="20"/>
                <w:lang w:val="en-US"/>
              </w:rPr>
              <w:t xml:space="preserve">Moderate, </w:t>
            </w:r>
            <w:proofErr w:type="spellStart"/>
            <w:r w:rsidR="00D10083" w:rsidRPr="00B52917">
              <w:rPr>
                <w:rFonts w:ascii="Arial Narrow" w:eastAsia="Arial Narrow" w:hAnsi="Arial Narrow" w:cs="Arial Narrow"/>
                <w:i/>
                <w:iCs/>
                <w:sz w:val="20"/>
                <w:szCs w:val="20"/>
                <w:lang w:val="en-US"/>
              </w:rPr>
              <w:t>favours</w:t>
            </w:r>
            <w:proofErr w:type="spellEnd"/>
            <w:r w:rsidR="00D10083" w:rsidRPr="00B52917">
              <w:rPr>
                <w:rFonts w:ascii="Arial Narrow" w:eastAsia="Arial Narrow" w:hAnsi="Arial Narrow" w:cs="Arial Narrow"/>
                <w:i/>
                <w:iCs/>
                <w:sz w:val="20"/>
                <w:szCs w:val="20"/>
                <w:lang w:val="en-US"/>
              </w:rPr>
              <w:t xml:space="preserve"> </w:t>
            </w:r>
            <w:r w:rsidR="00D10083">
              <w:rPr>
                <w:rFonts w:ascii="Arial Narrow" w:eastAsia="Arial Narrow" w:hAnsi="Arial Narrow" w:cs="Arial Narrow"/>
                <w:i/>
                <w:iCs/>
                <w:sz w:val="20"/>
                <w:szCs w:val="20"/>
                <w:lang w:val="en-US"/>
              </w:rPr>
              <w:t xml:space="preserve">the </w:t>
            </w:r>
            <w:proofErr w:type="gramStart"/>
            <w:r w:rsidR="00D10083">
              <w:rPr>
                <w:rFonts w:ascii="Arial Narrow" w:eastAsia="Arial Narrow" w:hAnsi="Arial Narrow" w:cs="Arial Narrow"/>
                <w:i/>
                <w:iCs/>
                <w:sz w:val="20"/>
                <w:szCs w:val="20"/>
                <w:lang w:val="en-US"/>
              </w:rPr>
              <w:t>comparator</w:t>
            </w:r>
            <w:proofErr w:type="gramEnd"/>
          </w:p>
          <w:p w14:paraId="7EC87F66" w14:textId="36ED48C0" w:rsidR="00657729" w:rsidRPr="00B52917" w:rsidRDefault="00657729" w:rsidP="00657729">
            <w:pPr>
              <w:pStyle w:val="TableText"/>
              <w:spacing w:after="160" w:line="256" w:lineRule="auto"/>
              <w:rPr>
                <w:i/>
                <w:lang w:val="en-US"/>
              </w:rPr>
            </w:pPr>
            <w:r w:rsidRPr="00B52917">
              <w:rPr>
                <w:i/>
                <w:lang w:val="en-US"/>
              </w:rPr>
              <w:t>A 10% decrease in this parameter increased the ICER to $1</w:t>
            </w:r>
            <w:r w:rsidR="00E30EEC">
              <w:rPr>
                <w:i/>
                <w:lang w:val="en-US"/>
              </w:rPr>
              <w:t>9,921</w:t>
            </w:r>
            <w:r w:rsidRPr="00B52917">
              <w:rPr>
                <w:i/>
                <w:lang w:val="en-US"/>
              </w:rPr>
              <w:t>/QALY gained.</w:t>
            </w:r>
            <w:r w:rsidRPr="00B52917">
              <w:rPr>
                <w:rFonts w:cs="Arial"/>
                <w:lang w:val="en-US"/>
              </w:rPr>
              <w:t xml:space="preserve"> </w:t>
            </w:r>
          </w:p>
        </w:tc>
      </w:tr>
      <w:tr w:rsidR="00657729" w14:paraId="0DF34BA4" w14:textId="77777777" w:rsidTr="00D10083">
        <w:tc>
          <w:tcPr>
            <w:tcW w:w="1019" w:type="pct"/>
            <w:tcBorders>
              <w:top w:val="single" w:sz="4" w:space="0" w:color="auto"/>
              <w:left w:val="single" w:sz="4" w:space="0" w:color="auto"/>
              <w:bottom w:val="single" w:sz="4" w:space="0" w:color="auto"/>
              <w:right w:val="single" w:sz="4" w:space="0" w:color="auto"/>
            </w:tcBorders>
            <w:hideMark/>
          </w:tcPr>
          <w:p w14:paraId="7A1429B4" w14:textId="2C13DDE3" w:rsidR="00657729" w:rsidRPr="00B52917" w:rsidRDefault="00657729" w:rsidP="00657729">
            <w:pPr>
              <w:pStyle w:val="TableText"/>
              <w:spacing w:line="256" w:lineRule="auto"/>
              <w:rPr>
                <w:rFonts w:cs="Arial"/>
                <w:szCs w:val="20"/>
              </w:rPr>
            </w:pPr>
            <w:r w:rsidRPr="00B52917">
              <w:rPr>
                <w:rFonts w:cs="Arial"/>
                <w:szCs w:val="20"/>
              </w:rPr>
              <w:t>Cost of cardiac MRI</w:t>
            </w:r>
          </w:p>
        </w:tc>
        <w:tc>
          <w:tcPr>
            <w:tcW w:w="2280" w:type="pct"/>
            <w:tcBorders>
              <w:top w:val="single" w:sz="4" w:space="0" w:color="auto"/>
              <w:left w:val="single" w:sz="4" w:space="0" w:color="auto"/>
              <w:bottom w:val="single" w:sz="4" w:space="0" w:color="auto"/>
              <w:right w:val="single" w:sz="4" w:space="0" w:color="auto"/>
            </w:tcBorders>
            <w:hideMark/>
          </w:tcPr>
          <w:p w14:paraId="57936473" w14:textId="721B371D" w:rsidR="00657729" w:rsidRPr="00B52917" w:rsidRDefault="00657729" w:rsidP="00657729">
            <w:pPr>
              <w:pStyle w:val="TableText"/>
              <w:spacing w:line="256" w:lineRule="auto"/>
              <w:rPr>
                <w:lang w:val="en-US"/>
              </w:rPr>
            </w:pPr>
            <w:r w:rsidRPr="00B52917">
              <w:rPr>
                <w:lang w:val="en-US"/>
              </w:rPr>
              <w:t xml:space="preserve">The cost of this item was assumed based on a previous MBS listing for cardiac MRI for mRNA vaccine related </w:t>
            </w:r>
            <w:proofErr w:type="gramStart"/>
            <w:r w:rsidRPr="00B52917">
              <w:rPr>
                <w:lang w:val="en-US"/>
              </w:rPr>
              <w:t>myocarditis</w:t>
            </w:r>
            <w:proofErr w:type="gramEnd"/>
          </w:p>
          <w:p w14:paraId="7290CBDC" w14:textId="62D52491" w:rsidR="00657729" w:rsidRPr="00B52917" w:rsidRDefault="00657729" w:rsidP="00657729">
            <w:pPr>
              <w:pStyle w:val="TableText"/>
              <w:spacing w:line="256" w:lineRule="auto"/>
              <w:rPr>
                <w:lang w:val="en-US"/>
              </w:rPr>
            </w:pPr>
          </w:p>
        </w:tc>
        <w:tc>
          <w:tcPr>
            <w:tcW w:w="1701" w:type="pct"/>
            <w:tcBorders>
              <w:top w:val="single" w:sz="4" w:space="0" w:color="auto"/>
              <w:left w:val="single" w:sz="4" w:space="0" w:color="auto"/>
              <w:bottom w:val="single" w:sz="4" w:space="0" w:color="auto"/>
              <w:right w:val="single" w:sz="4" w:space="0" w:color="auto"/>
            </w:tcBorders>
            <w:hideMark/>
          </w:tcPr>
          <w:p w14:paraId="280007CE" w14:textId="735126A2" w:rsidR="00657729" w:rsidRPr="00B52917" w:rsidRDefault="00657729" w:rsidP="00657729">
            <w:pPr>
              <w:spacing w:before="40" w:after="40" w:line="256" w:lineRule="auto"/>
              <w:rPr>
                <w:rFonts w:ascii="Arial Narrow" w:eastAsia="Arial Narrow" w:hAnsi="Arial Narrow" w:cs="Arial Narrow"/>
                <w:sz w:val="20"/>
                <w:szCs w:val="20"/>
                <w:lang w:val="en-US"/>
              </w:rPr>
            </w:pPr>
            <w:r w:rsidRPr="00B52917">
              <w:rPr>
                <w:rFonts w:ascii="Arial Narrow" w:eastAsia="Arial Narrow" w:hAnsi="Arial Narrow" w:cs="Arial Narrow"/>
                <w:i/>
                <w:iCs/>
                <w:sz w:val="20"/>
                <w:szCs w:val="20"/>
                <w:lang w:val="en-US"/>
              </w:rPr>
              <w:lastRenderedPageBreak/>
              <w:t xml:space="preserve">Moderate, </w:t>
            </w:r>
            <w:proofErr w:type="spellStart"/>
            <w:r w:rsidR="00D10083" w:rsidRPr="00B52917">
              <w:rPr>
                <w:rFonts w:ascii="Arial Narrow" w:eastAsia="Arial Narrow" w:hAnsi="Arial Narrow" w:cs="Arial Narrow"/>
                <w:i/>
                <w:iCs/>
                <w:sz w:val="20"/>
                <w:szCs w:val="20"/>
                <w:lang w:val="en-US"/>
              </w:rPr>
              <w:t>favours</w:t>
            </w:r>
            <w:proofErr w:type="spellEnd"/>
            <w:r w:rsidR="00D10083" w:rsidRPr="00B52917">
              <w:rPr>
                <w:rFonts w:ascii="Arial Narrow" w:eastAsia="Arial Narrow" w:hAnsi="Arial Narrow" w:cs="Arial Narrow"/>
                <w:i/>
                <w:iCs/>
                <w:sz w:val="20"/>
                <w:szCs w:val="20"/>
                <w:lang w:val="en-US"/>
              </w:rPr>
              <w:t xml:space="preserve"> </w:t>
            </w:r>
            <w:r w:rsidR="00D10083">
              <w:rPr>
                <w:rFonts w:ascii="Arial Narrow" w:eastAsia="Arial Narrow" w:hAnsi="Arial Narrow" w:cs="Arial Narrow"/>
                <w:i/>
                <w:iCs/>
                <w:sz w:val="20"/>
                <w:szCs w:val="20"/>
                <w:lang w:val="en-US"/>
              </w:rPr>
              <w:t xml:space="preserve">the </w:t>
            </w:r>
            <w:proofErr w:type="gramStart"/>
            <w:r w:rsidR="00D10083">
              <w:rPr>
                <w:rFonts w:ascii="Arial Narrow" w:eastAsia="Arial Narrow" w:hAnsi="Arial Narrow" w:cs="Arial Narrow"/>
                <w:i/>
                <w:iCs/>
                <w:sz w:val="20"/>
                <w:szCs w:val="20"/>
                <w:lang w:val="en-US"/>
              </w:rPr>
              <w:t>comparator</w:t>
            </w:r>
            <w:proofErr w:type="gramEnd"/>
          </w:p>
          <w:p w14:paraId="18910180" w14:textId="430ECFF1" w:rsidR="00657729" w:rsidRPr="00B52917" w:rsidRDefault="00657729" w:rsidP="00657729">
            <w:pPr>
              <w:pStyle w:val="TableText"/>
              <w:spacing w:line="256" w:lineRule="auto"/>
              <w:rPr>
                <w:i/>
                <w:lang w:val="en-US"/>
              </w:rPr>
            </w:pPr>
            <w:r w:rsidRPr="00B52917">
              <w:rPr>
                <w:i/>
                <w:lang w:val="en-US"/>
              </w:rPr>
              <w:lastRenderedPageBreak/>
              <w:t>A 25% increase in this parameter increased the ICER to $</w:t>
            </w:r>
            <w:r w:rsidR="00655A70">
              <w:rPr>
                <w:i/>
                <w:lang w:val="en-US"/>
              </w:rPr>
              <w:t>20,639</w:t>
            </w:r>
            <w:r w:rsidRPr="00B52917">
              <w:rPr>
                <w:i/>
                <w:lang w:val="en-US"/>
              </w:rPr>
              <w:t>/QALY gained.</w:t>
            </w:r>
          </w:p>
        </w:tc>
      </w:tr>
      <w:tr w:rsidR="00657729" w14:paraId="7D3B05A3" w14:textId="77777777" w:rsidTr="00D10083">
        <w:tc>
          <w:tcPr>
            <w:tcW w:w="1019" w:type="pct"/>
            <w:tcBorders>
              <w:top w:val="single" w:sz="4" w:space="0" w:color="auto"/>
              <w:left w:val="single" w:sz="4" w:space="0" w:color="auto"/>
              <w:bottom w:val="single" w:sz="4" w:space="0" w:color="auto"/>
              <w:right w:val="single" w:sz="4" w:space="0" w:color="auto"/>
            </w:tcBorders>
            <w:hideMark/>
          </w:tcPr>
          <w:p w14:paraId="49A998A3" w14:textId="77777777" w:rsidR="00657729" w:rsidRDefault="00657729" w:rsidP="00657729">
            <w:pPr>
              <w:pStyle w:val="TableText"/>
              <w:spacing w:line="256" w:lineRule="auto"/>
              <w:rPr>
                <w:rFonts w:cs="Arial"/>
                <w:szCs w:val="20"/>
              </w:rPr>
            </w:pPr>
            <w:r>
              <w:rPr>
                <w:rFonts w:cs="Arial"/>
                <w:szCs w:val="20"/>
              </w:rPr>
              <w:lastRenderedPageBreak/>
              <w:t>Cost of prophylactic ACS medications</w:t>
            </w:r>
          </w:p>
        </w:tc>
        <w:tc>
          <w:tcPr>
            <w:tcW w:w="2280" w:type="pct"/>
            <w:tcBorders>
              <w:top w:val="single" w:sz="4" w:space="0" w:color="auto"/>
              <w:left w:val="single" w:sz="4" w:space="0" w:color="auto"/>
              <w:bottom w:val="single" w:sz="4" w:space="0" w:color="auto"/>
              <w:right w:val="single" w:sz="4" w:space="0" w:color="auto"/>
            </w:tcBorders>
            <w:hideMark/>
          </w:tcPr>
          <w:p w14:paraId="0A5178B0" w14:textId="494572AF" w:rsidR="00657729" w:rsidRDefault="00657729" w:rsidP="00657729">
            <w:pPr>
              <w:pStyle w:val="TableText"/>
              <w:spacing w:line="256" w:lineRule="auto"/>
              <w:rPr>
                <w:lang w:val="en-US"/>
              </w:rPr>
            </w:pPr>
            <w:r>
              <w:rPr>
                <w:lang w:val="en-US"/>
              </w:rPr>
              <w:t>Based on NHF and CSANZ guidelines, a course of prophylactic ACS medications was assumed for all ACS patients without a diagnosis of myocarditis in both the proposed and current management pathways</w:t>
            </w:r>
          </w:p>
        </w:tc>
        <w:tc>
          <w:tcPr>
            <w:tcW w:w="1701" w:type="pct"/>
            <w:tcBorders>
              <w:top w:val="single" w:sz="4" w:space="0" w:color="auto"/>
              <w:left w:val="single" w:sz="4" w:space="0" w:color="auto"/>
              <w:bottom w:val="single" w:sz="4" w:space="0" w:color="auto"/>
              <w:right w:val="single" w:sz="4" w:space="0" w:color="auto"/>
            </w:tcBorders>
            <w:hideMark/>
          </w:tcPr>
          <w:p w14:paraId="71D64D3F" w14:textId="1A45CBB8" w:rsidR="00657729" w:rsidRDefault="00657729" w:rsidP="00657729">
            <w:pPr>
              <w:spacing w:before="40" w:after="40" w:line="256" w:lineRule="auto"/>
              <w:rPr>
                <w:rFonts w:ascii="Arial Narrow" w:eastAsia="Arial Narrow" w:hAnsi="Arial Narrow" w:cs="Arial Narrow"/>
                <w:sz w:val="20"/>
                <w:szCs w:val="20"/>
                <w:lang w:val="en-US"/>
              </w:rPr>
            </w:pPr>
            <w:r w:rsidRPr="6FCA96B3">
              <w:rPr>
                <w:rFonts w:ascii="Arial Narrow" w:eastAsia="Arial Narrow" w:hAnsi="Arial Narrow" w:cs="Arial Narrow"/>
                <w:i/>
                <w:iCs/>
                <w:sz w:val="20"/>
                <w:szCs w:val="20"/>
                <w:lang w:val="en-US"/>
              </w:rPr>
              <w:t xml:space="preserve">Moderate, </w:t>
            </w:r>
            <w:proofErr w:type="spellStart"/>
            <w:r w:rsidR="00D10083" w:rsidRPr="00B52917">
              <w:rPr>
                <w:rFonts w:ascii="Arial Narrow" w:eastAsia="Arial Narrow" w:hAnsi="Arial Narrow" w:cs="Arial Narrow"/>
                <w:i/>
                <w:iCs/>
                <w:sz w:val="20"/>
                <w:szCs w:val="20"/>
                <w:lang w:val="en-US"/>
              </w:rPr>
              <w:t>favours</w:t>
            </w:r>
            <w:proofErr w:type="spellEnd"/>
            <w:r w:rsidR="00D10083" w:rsidRPr="00B52917">
              <w:rPr>
                <w:rFonts w:ascii="Arial Narrow" w:eastAsia="Arial Narrow" w:hAnsi="Arial Narrow" w:cs="Arial Narrow"/>
                <w:i/>
                <w:iCs/>
                <w:sz w:val="20"/>
                <w:szCs w:val="20"/>
                <w:lang w:val="en-US"/>
              </w:rPr>
              <w:t xml:space="preserve"> </w:t>
            </w:r>
            <w:r w:rsidR="00D10083">
              <w:rPr>
                <w:rFonts w:ascii="Arial Narrow" w:eastAsia="Arial Narrow" w:hAnsi="Arial Narrow" w:cs="Arial Narrow"/>
                <w:i/>
                <w:iCs/>
                <w:sz w:val="20"/>
                <w:szCs w:val="20"/>
                <w:lang w:val="en-US"/>
              </w:rPr>
              <w:t xml:space="preserve">the </w:t>
            </w:r>
            <w:proofErr w:type="gramStart"/>
            <w:r w:rsidR="00D10083">
              <w:rPr>
                <w:rFonts w:ascii="Arial Narrow" w:eastAsia="Arial Narrow" w:hAnsi="Arial Narrow" w:cs="Arial Narrow"/>
                <w:i/>
                <w:iCs/>
                <w:sz w:val="20"/>
                <w:szCs w:val="20"/>
                <w:lang w:val="en-US"/>
              </w:rPr>
              <w:t>comparator</w:t>
            </w:r>
            <w:proofErr w:type="gramEnd"/>
          </w:p>
          <w:p w14:paraId="0EAF7C2A" w14:textId="56D50602" w:rsidR="00657729" w:rsidRDefault="00657729" w:rsidP="00657729">
            <w:pPr>
              <w:pStyle w:val="TableText"/>
              <w:spacing w:line="256" w:lineRule="auto"/>
              <w:rPr>
                <w:i/>
                <w:lang w:val="en-US"/>
              </w:rPr>
            </w:pPr>
            <w:r>
              <w:rPr>
                <w:i/>
                <w:lang w:val="en-US"/>
              </w:rPr>
              <w:t>A 25% decrease in this parameter increased the ICER to $</w:t>
            </w:r>
            <w:r w:rsidR="00655A70">
              <w:rPr>
                <w:i/>
                <w:iCs/>
                <w:lang w:val="en-US"/>
              </w:rPr>
              <w:t>19,410</w:t>
            </w:r>
            <w:r>
              <w:rPr>
                <w:i/>
                <w:lang w:val="en-US"/>
              </w:rPr>
              <w:t>/QALY gained.</w:t>
            </w:r>
          </w:p>
        </w:tc>
      </w:tr>
    </w:tbl>
    <w:p w14:paraId="5C5428C3" w14:textId="19551B56" w:rsidR="00603B21" w:rsidRDefault="00DA152B" w:rsidP="00B52917">
      <w:pPr>
        <w:pStyle w:val="TableFooter"/>
      </w:pPr>
      <w:r>
        <w:t xml:space="preserve">ACS: Acute Coronary Syndrome; </w:t>
      </w:r>
      <w:r w:rsidR="00603B21">
        <w:t>CSANZ</w:t>
      </w:r>
      <w:r w:rsidR="00757BA8">
        <w:t xml:space="preserve"> =</w:t>
      </w:r>
      <w:r w:rsidR="00603B21">
        <w:t xml:space="preserve"> Cardiac Society of Australia and New Zealand; ICER</w:t>
      </w:r>
      <w:r w:rsidR="00757BA8">
        <w:t xml:space="preserve"> =</w:t>
      </w:r>
      <w:r w:rsidR="00603B21">
        <w:t xml:space="preserve"> incremental cost-effectiveness ratio; LGE</w:t>
      </w:r>
      <w:r w:rsidR="00757BA8">
        <w:t xml:space="preserve"> =</w:t>
      </w:r>
      <w:r w:rsidR="00603B21">
        <w:t xml:space="preserve"> late gadolinium enhancement; MACE</w:t>
      </w:r>
      <w:r w:rsidR="00757BA8">
        <w:t xml:space="preserve"> =</w:t>
      </w:r>
      <w:r w:rsidR="00603B21">
        <w:t xml:space="preserve"> major adverse cardiovascular event; </w:t>
      </w:r>
      <w:r w:rsidR="00757BA8" w:rsidRPr="00757BA8">
        <w:t xml:space="preserve">MRI = magnetic resonance imaging; </w:t>
      </w:r>
      <w:r w:rsidR="00603B21">
        <w:t>NHF</w:t>
      </w:r>
      <w:r w:rsidR="00757BA8">
        <w:t xml:space="preserve"> =</w:t>
      </w:r>
      <w:r w:rsidR="00603B21">
        <w:t xml:space="preserve"> National Heart Foundation; QALY</w:t>
      </w:r>
      <w:r w:rsidR="00757BA8">
        <w:t xml:space="preserve"> =</w:t>
      </w:r>
      <w:r w:rsidR="00603B21">
        <w:t xml:space="preserve"> quality-adjusted life year</w:t>
      </w:r>
      <w:r w:rsidR="00B52917">
        <w:t>.</w:t>
      </w:r>
    </w:p>
    <w:p w14:paraId="054E578A" w14:textId="5F26FB9E" w:rsidR="00AA1DAA" w:rsidRDefault="009E2CEB" w:rsidP="00867E94">
      <w:pPr>
        <w:rPr>
          <w:rStyle w:val="InstructionaltextChar"/>
          <w:color w:val="000000" w:themeColor="text1"/>
        </w:rPr>
      </w:pPr>
      <w:r>
        <w:rPr>
          <w:rStyle w:val="InstructionaltextChar"/>
          <w:color w:val="000000" w:themeColor="text1"/>
        </w:rPr>
        <w:t>The sensitivity analyses for cost-effectiveness of cardia</w:t>
      </w:r>
      <w:r w:rsidR="00C91371">
        <w:rPr>
          <w:rStyle w:val="InstructionaltextChar"/>
          <w:color w:val="000000" w:themeColor="text1"/>
        </w:rPr>
        <w:t>c</w:t>
      </w:r>
      <w:r>
        <w:rPr>
          <w:rStyle w:val="InstructionaltextChar"/>
          <w:color w:val="000000" w:themeColor="text1"/>
        </w:rPr>
        <w:t xml:space="preserve"> MRI in population </w:t>
      </w:r>
      <w:r w:rsidR="00C91371">
        <w:rPr>
          <w:rStyle w:val="InstructionaltextChar"/>
          <w:color w:val="000000" w:themeColor="text1"/>
        </w:rPr>
        <w:t xml:space="preserve">1 </w:t>
      </w:r>
      <w:r>
        <w:rPr>
          <w:rStyle w:val="InstructionaltextChar"/>
          <w:color w:val="000000" w:themeColor="text1"/>
        </w:rPr>
        <w:t xml:space="preserve">and population 2 have been presented in </w:t>
      </w:r>
      <w:r>
        <w:rPr>
          <w:rStyle w:val="InstructionaltextChar"/>
          <w:color w:val="000000" w:themeColor="text1"/>
        </w:rPr>
        <w:fldChar w:fldCharType="begin"/>
      </w:r>
      <w:r>
        <w:rPr>
          <w:rStyle w:val="InstructionaltextChar"/>
          <w:color w:val="000000" w:themeColor="text1"/>
        </w:rPr>
        <w:instrText xml:space="preserve"> REF _Ref154044063 \h </w:instrText>
      </w:r>
      <w:r>
        <w:rPr>
          <w:rStyle w:val="InstructionaltextChar"/>
          <w:color w:val="000000" w:themeColor="text1"/>
        </w:rPr>
      </w:r>
      <w:r>
        <w:rPr>
          <w:rStyle w:val="InstructionaltextChar"/>
          <w:color w:val="000000" w:themeColor="text1"/>
        </w:rPr>
        <w:fldChar w:fldCharType="separate"/>
      </w:r>
      <w:r w:rsidR="00EE5F4F">
        <w:t xml:space="preserve">Table </w:t>
      </w:r>
      <w:r w:rsidR="00EE5F4F">
        <w:rPr>
          <w:noProof/>
        </w:rPr>
        <w:t>12</w:t>
      </w:r>
      <w:r>
        <w:rPr>
          <w:rStyle w:val="InstructionaltextChar"/>
          <w:color w:val="000000" w:themeColor="text1"/>
        </w:rPr>
        <w:fldChar w:fldCharType="end"/>
      </w:r>
      <w:r>
        <w:rPr>
          <w:rStyle w:val="InstructionaltextChar"/>
          <w:color w:val="000000" w:themeColor="text1"/>
        </w:rPr>
        <w:t xml:space="preserve"> and </w:t>
      </w:r>
      <w:r>
        <w:rPr>
          <w:rStyle w:val="InstructionaltextChar"/>
          <w:color w:val="000000" w:themeColor="text1"/>
        </w:rPr>
        <w:fldChar w:fldCharType="begin"/>
      </w:r>
      <w:r>
        <w:rPr>
          <w:rStyle w:val="InstructionaltextChar"/>
          <w:color w:val="000000" w:themeColor="text1"/>
        </w:rPr>
        <w:instrText xml:space="preserve"> REF _Ref154044065 \h </w:instrText>
      </w:r>
      <w:r>
        <w:rPr>
          <w:rStyle w:val="InstructionaltextChar"/>
          <w:color w:val="000000" w:themeColor="text1"/>
        </w:rPr>
      </w:r>
      <w:r>
        <w:rPr>
          <w:rStyle w:val="InstructionaltextChar"/>
          <w:color w:val="000000" w:themeColor="text1"/>
        </w:rPr>
        <w:fldChar w:fldCharType="separate"/>
      </w:r>
      <w:r w:rsidR="00EE5F4F">
        <w:t xml:space="preserve">Table </w:t>
      </w:r>
      <w:r w:rsidR="00EE5F4F">
        <w:rPr>
          <w:noProof/>
        </w:rPr>
        <w:t>13</w:t>
      </w:r>
      <w:r>
        <w:rPr>
          <w:rStyle w:val="InstructionaltextChar"/>
          <w:color w:val="000000" w:themeColor="text1"/>
        </w:rPr>
        <w:fldChar w:fldCharType="end"/>
      </w:r>
      <w:r w:rsidRPr="74ADE1E7">
        <w:rPr>
          <w:rStyle w:val="InstructionaltextChar"/>
          <w:color w:val="000000" w:themeColor="text1"/>
        </w:rPr>
        <w:t>.</w:t>
      </w:r>
      <w:r>
        <w:rPr>
          <w:rStyle w:val="InstructionaltextChar"/>
          <w:color w:val="000000" w:themeColor="text1"/>
        </w:rPr>
        <w:t xml:space="preserve"> </w:t>
      </w:r>
    </w:p>
    <w:p w14:paraId="22F14215" w14:textId="758FBBEE" w:rsidR="00AA1DAA" w:rsidRDefault="00AA1DAA" w:rsidP="00895144">
      <w:pPr>
        <w:pStyle w:val="Caption"/>
      </w:pPr>
      <w:bookmarkStart w:id="67" w:name="_Ref154044063"/>
      <w:bookmarkStart w:id="68" w:name="_Toc155173771"/>
      <w:r>
        <w:t xml:space="preserve">Table </w:t>
      </w:r>
      <w:r>
        <w:fldChar w:fldCharType="begin"/>
      </w:r>
      <w:r>
        <w:instrText>SEQ Table \* ARABIC</w:instrText>
      </w:r>
      <w:r>
        <w:fldChar w:fldCharType="separate"/>
      </w:r>
      <w:r w:rsidR="00251E62">
        <w:rPr>
          <w:noProof/>
        </w:rPr>
        <w:t>12</w:t>
      </w:r>
      <w:r>
        <w:fldChar w:fldCharType="end"/>
      </w:r>
      <w:bookmarkEnd w:id="67"/>
      <w:r>
        <w:t xml:space="preserve"> Sensitivity analyses for Population 1</w:t>
      </w:r>
      <w:bookmarkEnd w:id="68"/>
    </w:p>
    <w:tbl>
      <w:tblPr>
        <w:tblStyle w:val="TableGrid1"/>
        <w:tblW w:w="5000" w:type="pct"/>
        <w:tblLook w:val="04A0" w:firstRow="1" w:lastRow="0" w:firstColumn="1" w:lastColumn="0" w:noHBand="0" w:noVBand="1"/>
      </w:tblPr>
      <w:tblGrid>
        <w:gridCol w:w="2224"/>
        <w:gridCol w:w="1519"/>
        <w:gridCol w:w="1521"/>
        <w:gridCol w:w="1857"/>
        <w:gridCol w:w="1895"/>
      </w:tblGrid>
      <w:tr w:rsidR="00895144" w:rsidRPr="00FD1B79" w14:paraId="7530A095" w14:textId="77777777" w:rsidTr="005E2AFC">
        <w:trPr>
          <w:cnfStyle w:val="100000000000" w:firstRow="1" w:lastRow="0" w:firstColumn="0" w:lastColumn="0" w:oddVBand="0" w:evenVBand="0" w:oddHBand="0" w:evenHBand="0" w:firstRowFirstColumn="0" w:firstRowLastColumn="0" w:lastRowFirstColumn="0" w:lastRowLastColumn="0"/>
        </w:trPr>
        <w:tc>
          <w:tcPr>
            <w:tcW w:w="1233" w:type="pct"/>
          </w:tcPr>
          <w:p w14:paraId="79670AC7" w14:textId="6A25A1DD" w:rsidR="00AA1DAA" w:rsidRPr="00FD1B79" w:rsidRDefault="004A764E" w:rsidP="00D955EA">
            <w:pPr>
              <w:pStyle w:val="TableText"/>
              <w:spacing w:before="0"/>
              <w:rPr>
                <w:rFonts w:cs="Arial"/>
                <w:b/>
                <w:bCs/>
              </w:rPr>
            </w:pPr>
            <w:r>
              <w:rPr>
                <w:rFonts w:cs="Arial"/>
                <w:b/>
                <w:bCs/>
              </w:rPr>
              <w:t>Analysis</w:t>
            </w:r>
          </w:p>
        </w:tc>
        <w:tc>
          <w:tcPr>
            <w:tcW w:w="842" w:type="pct"/>
          </w:tcPr>
          <w:p w14:paraId="01155DB9" w14:textId="77777777" w:rsidR="00AA1DAA" w:rsidRPr="00FD1B79" w:rsidRDefault="00AA1DAA" w:rsidP="005E2AFC">
            <w:pPr>
              <w:pStyle w:val="TableText"/>
              <w:spacing w:before="0"/>
              <w:jc w:val="center"/>
              <w:rPr>
                <w:rFonts w:cs="Arial"/>
                <w:b/>
                <w:bCs/>
              </w:rPr>
            </w:pPr>
            <w:r w:rsidRPr="00FD1B79">
              <w:rPr>
                <w:rFonts w:cs="Arial"/>
                <w:b/>
                <w:bCs/>
              </w:rPr>
              <w:t>Incremental cost</w:t>
            </w:r>
          </w:p>
        </w:tc>
        <w:tc>
          <w:tcPr>
            <w:tcW w:w="843" w:type="pct"/>
          </w:tcPr>
          <w:p w14:paraId="2BB92533" w14:textId="77777777" w:rsidR="00AA1DAA" w:rsidRPr="00FD1B79" w:rsidRDefault="00AA1DAA" w:rsidP="005E2AFC">
            <w:pPr>
              <w:pStyle w:val="TableText"/>
              <w:spacing w:before="0"/>
              <w:jc w:val="center"/>
              <w:rPr>
                <w:rFonts w:cs="Arial"/>
                <w:b/>
                <w:bCs/>
              </w:rPr>
            </w:pPr>
            <w:r w:rsidRPr="00FD1B79">
              <w:rPr>
                <w:rFonts w:cs="Arial"/>
                <w:b/>
                <w:bCs/>
              </w:rPr>
              <w:t>Incremental QALY</w:t>
            </w:r>
          </w:p>
        </w:tc>
        <w:tc>
          <w:tcPr>
            <w:tcW w:w="1030" w:type="pct"/>
          </w:tcPr>
          <w:p w14:paraId="78D4E8B2" w14:textId="77777777" w:rsidR="00AA1DAA" w:rsidRPr="00FD1B79" w:rsidRDefault="00AA1DAA" w:rsidP="005E2AFC">
            <w:pPr>
              <w:pStyle w:val="TableText"/>
              <w:spacing w:before="0"/>
              <w:jc w:val="center"/>
              <w:rPr>
                <w:rFonts w:cs="Arial"/>
                <w:b/>
                <w:bCs/>
              </w:rPr>
            </w:pPr>
            <w:r w:rsidRPr="00FD1B79">
              <w:rPr>
                <w:rFonts w:cs="Arial"/>
                <w:b/>
                <w:bCs/>
              </w:rPr>
              <w:t>ICER</w:t>
            </w:r>
          </w:p>
        </w:tc>
        <w:tc>
          <w:tcPr>
            <w:tcW w:w="1051" w:type="pct"/>
          </w:tcPr>
          <w:p w14:paraId="1AEFF1D6" w14:textId="0C010C9C" w:rsidR="00AA1DAA" w:rsidRPr="00FD1B79" w:rsidRDefault="000E23F0" w:rsidP="00D955EA">
            <w:pPr>
              <w:pStyle w:val="TableText"/>
              <w:spacing w:before="0"/>
              <w:rPr>
                <w:rFonts w:cs="Arial"/>
                <w:b/>
                <w:bCs/>
              </w:rPr>
            </w:pPr>
            <w:r>
              <w:rPr>
                <w:rFonts w:cs="Arial"/>
                <w:b/>
                <w:bCs/>
              </w:rPr>
              <w:t>% change from base case analysis</w:t>
            </w:r>
          </w:p>
        </w:tc>
      </w:tr>
      <w:tr w:rsidR="005E2AFC" w:rsidRPr="00FD1B79" w14:paraId="520DD580" w14:textId="77777777" w:rsidTr="005E2AFC">
        <w:tc>
          <w:tcPr>
            <w:tcW w:w="1233" w:type="pct"/>
          </w:tcPr>
          <w:p w14:paraId="22933B70" w14:textId="231E8919" w:rsidR="005E2AFC" w:rsidRPr="00545F69" w:rsidRDefault="005E2AFC" w:rsidP="005E2AFC">
            <w:pPr>
              <w:pStyle w:val="TableText"/>
              <w:spacing w:before="0"/>
            </w:pPr>
            <w:r w:rsidRPr="00FD1B79">
              <w:rPr>
                <w:rFonts w:cs="Arial"/>
              </w:rPr>
              <w:t>Base case</w:t>
            </w:r>
          </w:p>
        </w:tc>
        <w:tc>
          <w:tcPr>
            <w:tcW w:w="842" w:type="pct"/>
            <w:vAlign w:val="center"/>
          </w:tcPr>
          <w:p w14:paraId="055BFDC0" w14:textId="604372F1" w:rsidR="005E2AFC" w:rsidRPr="00545F69" w:rsidRDefault="005E2AFC" w:rsidP="005E2AFC">
            <w:pPr>
              <w:pStyle w:val="TableText"/>
              <w:spacing w:before="0"/>
              <w:jc w:val="center"/>
            </w:pPr>
            <w:r w:rsidRPr="00FD1B79">
              <w:t>$</w:t>
            </w:r>
            <w:r w:rsidR="00FA000F">
              <w:t>2,009</w:t>
            </w:r>
          </w:p>
        </w:tc>
        <w:tc>
          <w:tcPr>
            <w:tcW w:w="843" w:type="pct"/>
            <w:vAlign w:val="center"/>
          </w:tcPr>
          <w:p w14:paraId="35225BDC" w14:textId="3685E2AD" w:rsidR="005E2AFC" w:rsidRPr="00545F69" w:rsidRDefault="005E2AFC" w:rsidP="005E2AFC">
            <w:pPr>
              <w:pStyle w:val="TableText"/>
              <w:spacing w:before="0"/>
              <w:jc w:val="center"/>
            </w:pPr>
            <w:r w:rsidRPr="00FD1B79">
              <w:rPr>
                <w:rFonts w:cs="Arial"/>
              </w:rPr>
              <w:t>0.0</w:t>
            </w:r>
            <w:r>
              <w:rPr>
                <w:rFonts w:cs="Arial"/>
              </w:rPr>
              <w:t>3</w:t>
            </w:r>
          </w:p>
        </w:tc>
        <w:tc>
          <w:tcPr>
            <w:tcW w:w="1030" w:type="pct"/>
            <w:vAlign w:val="center"/>
          </w:tcPr>
          <w:p w14:paraId="022AC7BD" w14:textId="43AFF9D2" w:rsidR="005E2AFC" w:rsidRPr="00545F69" w:rsidRDefault="005E2AFC" w:rsidP="005E2AFC">
            <w:pPr>
              <w:pStyle w:val="TableText"/>
              <w:spacing w:before="0"/>
              <w:jc w:val="center"/>
            </w:pPr>
            <w:r w:rsidRPr="00FD1B79">
              <w:t>$</w:t>
            </w:r>
            <w:r>
              <w:t>66,355.65</w:t>
            </w:r>
          </w:p>
        </w:tc>
        <w:tc>
          <w:tcPr>
            <w:tcW w:w="1051" w:type="pct"/>
            <w:vAlign w:val="center"/>
          </w:tcPr>
          <w:p w14:paraId="3E3D55B5" w14:textId="7DF5B8FA" w:rsidR="005E2AFC" w:rsidRPr="00545F69" w:rsidRDefault="005E2AFC" w:rsidP="005E2AFC">
            <w:pPr>
              <w:pStyle w:val="TableText"/>
              <w:spacing w:before="0"/>
            </w:pPr>
            <w:r w:rsidRPr="00FD1B79">
              <w:rPr>
                <w:rFonts w:cs="Arial"/>
              </w:rPr>
              <w:t>-</w:t>
            </w:r>
          </w:p>
        </w:tc>
      </w:tr>
      <w:tr w:rsidR="00895144" w:rsidRPr="00FD1B79" w14:paraId="03080E93" w14:textId="77777777" w:rsidTr="005E2AFC">
        <w:tc>
          <w:tcPr>
            <w:tcW w:w="1233" w:type="pct"/>
          </w:tcPr>
          <w:p w14:paraId="3986446A" w14:textId="7D7D534F" w:rsidR="005E2AFC" w:rsidRPr="00FD1B79" w:rsidRDefault="005E2AFC" w:rsidP="005E2AFC">
            <w:pPr>
              <w:pStyle w:val="TableText"/>
              <w:spacing w:before="0"/>
              <w:rPr>
                <w:rFonts w:cs="Arial"/>
              </w:rPr>
            </w:pPr>
            <w:r w:rsidRPr="00545F69">
              <w:t>Time horizon, lifetime i.e., until 85 years of age (20 years was used in base case)</w:t>
            </w:r>
          </w:p>
        </w:tc>
        <w:tc>
          <w:tcPr>
            <w:tcW w:w="842" w:type="pct"/>
            <w:vAlign w:val="center"/>
          </w:tcPr>
          <w:p w14:paraId="6EFB628F" w14:textId="3F7E0DA9" w:rsidR="005E2AFC" w:rsidRPr="00FD1B79" w:rsidRDefault="005E2AFC" w:rsidP="005E2AFC">
            <w:pPr>
              <w:pStyle w:val="TableText"/>
              <w:spacing w:before="0"/>
              <w:jc w:val="center"/>
              <w:rPr>
                <w:rFonts w:cs="Arial"/>
              </w:rPr>
            </w:pPr>
            <w:r w:rsidRPr="00545F69">
              <w:t>$2,</w:t>
            </w:r>
            <w:r>
              <w:t>568</w:t>
            </w:r>
          </w:p>
        </w:tc>
        <w:tc>
          <w:tcPr>
            <w:tcW w:w="843" w:type="pct"/>
            <w:vAlign w:val="center"/>
          </w:tcPr>
          <w:p w14:paraId="3D0106CE" w14:textId="61DEE303" w:rsidR="005E2AFC" w:rsidRPr="00FD1B79" w:rsidRDefault="005E2AFC" w:rsidP="005E2AFC">
            <w:pPr>
              <w:pStyle w:val="TableText"/>
              <w:spacing w:before="0"/>
              <w:jc w:val="center"/>
              <w:rPr>
                <w:rFonts w:cs="Arial"/>
              </w:rPr>
            </w:pPr>
            <w:r w:rsidRPr="00545F69">
              <w:t>0.</w:t>
            </w:r>
            <w:r>
              <w:t>09</w:t>
            </w:r>
          </w:p>
        </w:tc>
        <w:tc>
          <w:tcPr>
            <w:tcW w:w="1030" w:type="pct"/>
            <w:vAlign w:val="center"/>
          </w:tcPr>
          <w:p w14:paraId="6B6ED43E" w14:textId="6909220D" w:rsidR="005E2AFC" w:rsidRPr="00FD1B79" w:rsidRDefault="005E2AFC" w:rsidP="005E2AFC">
            <w:pPr>
              <w:pStyle w:val="TableText"/>
              <w:spacing w:before="0"/>
              <w:jc w:val="center"/>
              <w:rPr>
                <w:rFonts w:cs="Arial"/>
              </w:rPr>
            </w:pPr>
            <w:r w:rsidRPr="00545F69">
              <w:t>$2</w:t>
            </w:r>
            <w:r>
              <w:t>7,737.46</w:t>
            </w:r>
          </w:p>
        </w:tc>
        <w:tc>
          <w:tcPr>
            <w:tcW w:w="1051" w:type="pct"/>
            <w:vAlign w:val="center"/>
          </w:tcPr>
          <w:p w14:paraId="15D12C56" w14:textId="74A56CD7" w:rsidR="005E2AFC" w:rsidRPr="00FD1B79" w:rsidRDefault="000E23F0" w:rsidP="005E2AFC">
            <w:pPr>
              <w:pStyle w:val="TableText"/>
              <w:spacing w:before="0"/>
              <w:rPr>
                <w:rFonts w:cs="Arial"/>
              </w:rPr>
            </w:pPr>
            <w:r>
              <w:t>-58%</w:t>
            </w:r>
          </w:p>
        </w:tc>
      </w:tr>
      <w:tr w:rsidR="00895144" w:rsidRPr="00FD1B79" w14:paraId="3B4BCDCC" w14:textId="77777777" w:rsidTr="005E2AFC">
        <w:tc>
          <w:tcPr>
            <w:tcW w:w="1233" w:type="pct"/>
          </w:tcPr>
          <w:p w14:paraId="24D0D31A" w14:textId="4F3C080D" w:rsidR="005E2AFC" w:rsidRPr="00FD1B79" w:rsidRDefault="005E2AFC" w:rsidP="005E2AFC">
            <w:pPr>
              <w:pStyle w:val="TableText"/>
              <w:spacing w:before="0"/>
              <w:rPr>
                <w:rFonts w:cs="Arial"/>
              </w:rPr>
            </w:pPr>
            <w:r w:rsidRPr="00545F69">
              <w:t xml:space="preserve">Time horizon, </w:t>
            </w:r>
            <w:r>
              <w:t>10 years</w:t>
            </w:r>
            <w:r w:rsidRPr="00545F69">
              <w:t xml:space="preserve"> (20 years was used in base case)</w:t>
            </w:r>
          </w:p>
        </w:tc>
        <w:tc>
          <w:tcPr>
            <w:tcW w:w="842" w:type="pct"/>
            <w:vAlign w:val="center"/>
          </w:tcPr>
          <w:p w14:paraId="7A3F4829" w14:textId="4D0DC99E" w:rsidR="005E2AFC" w:rsidRPr="00FD1B79" w:rsidRDefault="005E2AFC" w:rsidP="005E2AFC">
            <w:pPr>
              <w:pStyle w:val="TableText"/>
              <w:spacing w:before="0"/>
              <w:jc w:val="center"/>
            </w:pPr>
            <w:r>
              <w:t>$1,559</w:t>
            </w:r>
          </w:p>
        </w:tc>
        <w:tc>
          <w:tcPr>
            <w:tcW w:w="843" w:type="pct"/>
            <w:vAlign w:val="center"/>
          </w:tcPr>
          <w:p w14:paraId="68C0442E" w14:textId="24FC85A5" w:rsidR="005E2AFC" w:rsidRPr="00FD1B79" w:rsidRDefault="005E2AFC" w:rsidP="005E2AFC">
            <w:pPr>
              <w:pStyle w:val="TableText"/>
              <w:spacing w:before="0"/>
              <w:jc w:val="center"/>
              <w:rPr>
                <w:rFonts w:cs="Arial"/>
              </w:rPr>
            </w:pPr>
            <w:r>
              <w:t>0.007</w:t>
            </w:r>
          </w:p>
        </w:tc>
        <w:tc>
          <w:tcPr>
            <w:tcW w:w="1030" w:type="pct"/>
            <w:vAlign w:val="center"/>
          </w:tcPr>
          <w:p w14:paraId="33047925" w14:textId="069FDD37" w:rsidR="005E2AFC" w:rsidRPr="00FD1B79" w:rsidRDefault="005E2AFC" w:rsidP="005E2AFC">
            <w:pPr>
              <w:pStyle w:val="TableText"/>
              <w:spacing w:before="0"/>
              <w:jc w:val="center"/>
            </w:pPr>
            <w:r>
              <w:t>$209,912.05</w:t>
            </w:r>
          </w:p>
        </w:tc>
        <w:tc>
          <w:tcPr>
            <w:tcW w:w="1051" w:type="pct"/>
            <w:vAlign w:val="center"/>
          </w:tcPr>
          <w:p w14:paraId="4DA85183" w14:textId="5FF2EDD0" w:rsidR="005E2AFC" w:rsidRPr="00FD1B79" w:rsidRDefault="000E23F0" w:rsidP="005E2AFC">
            <w:pPr>
              <w:pStyle w:val="TableText"/>
              <w:spacing w:before="0"/>
              <w:rPr>
                <w:rFonts w:cs="Arial"/>
              </w:rPr>
            </w:pPr>
            <w:r>
              <w:t>+216%</w:t>
            </w:r>
          </w:p>
        </w:tc>
      </w:tr>
      <w:tr w:rsidR="00895144" w:rsidRPr="00FD1B79" w14:paraId="6DAB244E" w14:textId="77777777" w:rsidTr="005E2AFC">
        <w:tc>
          <w:tcPr>
            <w:tcW w:w="1233" w:type="pct"/>
          </w:tcPr>
          <w:p w14:paraId="77343232" w14:textId="2CB70EF3" w:rsidR="005E2AFC" w:rsidRPr="00FD1B79" w:rsidRDefault="005E2AFC" w:rsidP="005E2AFC">
            <w:pPr>
              <w:pStyle w:val="TableText"/>
              <w:spacing w:before="0"/>
              <w:rPr>
                <w:rFonts w:cs="Arial"/>
              </w:rPr>
            </w:pPr>
            <w:r w:rsidRPr="00545F69">
              <w:t xml:space="preserve">Time horizon, </w:t>
            </w:r>
            <w:r>
              <w:t>5 years</w:t>
            </w:r>
            <w:r w:rsidRPr="00545F69">
              <w:t xml:space="preserve"> (20 years was used in base case)</w:t>
            </w:r>
          </w:p>
        </w:tc>
        <w:tc>
          <w:tcPr>
            <w:tcW w:w="842" w:type="pct"/>
            <w:vAlign w:val="center"/>
          </w:tcPr>
          <w:p w14:paraId="28769749" w14:textId="05C54F08" w:rsidR="005E2AFC" w:rsidRPr="00644BBC" w:rsidRDefault="005E2AFC" w:rsidP="005E2AFC">
            <w:pPr>
              <w:pStyle w:val="TableText"/>
              <w:spacing w:before="0"/>
              <w:jc w:val="center"/>
              <w:rPr>
                <w:rFonts w:cs="Arial"/>
              </w:rPr>
            </w:pPr>
            <w:r>
              <w:t>$1,279</w:t>
            </w:r>
          </w:p>
        </w:tc>
        <w:tc>
          <w:tcPr>
            <w:tcW w:w="843" w:type="pct"/>
            <w:vAlign w:val="center"/>
          </w:tcPr>
          <w:p w14:paraId="68968D61" w14:textId="7D7595B5" w:rsidR="005E2AFC" w:rsidRPr="00644BBC" w:rsidRDefault="005E2AFC" w:rsidP="005E2AFC">
            <w:pPr>
              <w:pStyle w:val="TableText"/>
              <w:spacing w:before="0"/>
              <w:jc w:val="center"/>
              <w:rPr>
                <w:rFonts w:cs="Arial"/>
              </w:rPr>
            </w:pPr>
            <w:r>
              <w:t>0.002</w:t>
            </w:r>
          </w:p>
        </w:tc>
        <w:tc>
          <w:tcPr>
            <w:tcW w:w="1030" w:type="pct"/>
            <w:vAlign w:val="center"/>
          </w:tcPr>
          <w:p w14:paraId="72BAB57A" w14:textId="22FD3C9D" w:rsidR="005E2AFC" w:rsidRPr="00644BBC" w:rsidRDefault="005E2AFC" w:rsidP="005E2AFC">
            <w:pPr>
              <w:pStyle w:val="TableText"/>
              <w:spacing w:before="0"/>
              <w:jc w:val="center"/>
              <w:rPr>
                <w:rFonts w:cs="Arial"/>
              </w:rPr>
            </w:pPr>
            <w:r>
              <w:t>$705,970.39</w:t>
            </w:r>
          </w:p>
        </w:tc>
        <w:tc>
          <w:tcPr>
            <w:tcW w:w="1051" w:type="pct"/>
            <w:vAlign w:val="center"/>
          </w:tcPr>
          <w:p w14:paraId="7FD0F118" w14:textId="3C69E44B" w:rsidR="005E2AFC" w:rsidRPr="00FD1B79" w:rsidRDefault="000E23F0" w:rsidP="005E2AFC">
            <w:pPr>
              <w:pStyle w:val="TableText"/>
              <w:spacing w:before="0"/>
              <w:rPr>
                <w:rFonts w:cs="Arial"/>
              </w:rPr>
            </w:pPr>
            <w:r>
              <w:t>+964%</w:t>
            </w:r>
          </w:p>
        </w:tc>
      </w:tr>
      <w:tr w:rsidR="00895144" w:rsidRPr="00FD1B79" w14:paraId="1B2B3888" w14:textId="77777777" w:rsidTr="005E2AFC">
        <w:tc>
          <w:tcPr>
            <w:tcW w:w="1233" w:type="pct"/>
          </w:tcPr>
          <w:p w14:paraId="504EFCAC" w14:textId="0B7B5074" w:rsidR="005E2AFC" w:rsidRPr="00FD1B79" w:rsidRDefault="005E2AFC" w:rsidP="005E2AFC">
            <w:pPr>
              <w:pStyle w:val="TableText"/>
              <w:spacing w:before="0"/>
              <w:rPr>
                <w:rFonts w:cs="Arial"/>
              </w:rPr>
            </w:pPr>
            <w:r w:rsidRPr="00FD1B79">
              <w:rPr>
                <w:rFonts w:cs="Arial"/>
              </w:rPr>
              <w:t>Discount rate 0%</w:t>
            </w:r>
          </w:p>
        </w:tc>
        <w:tc>
          <w:tcPr>
            <w:tcW w:w="842" w:type="pct"/>
            <w:vAlign w:val="center"/>
          </w:tcPr>
          <w:p w14:paraId="014042E2" w14:textId="3965ED93" w:rsidR="005E2AFC" w:rsidRPr="00644BBC" w:rsidRDefault="005E2AFC" w:rsidP="005E2AFC">
            <w:pPr>
              <w:pStyle w:val="TableText"/>
              <w:spacing w:before="0"/>
              <w:jc w:val="center"/>
              <w:rPr>
                <w:rFonts w:cs="Arial"/>
              </w:rPr>
            </w:pPr>
            <w:r w:rsidRPr="00644BBC">
              <w:rPr>
                <w:rFonts w:cs="Arial"/>
              </w:rPr>
              <w:t>$</w:t>
            </w:r>
            <w:r>
              <w:rPr>
                <w:rFonts w:cs="Arial"/>
              </w:rPr>
              <w:t>2,050</w:t>
            </w:r>
          </w:p>
        </w:tc>
        <w:tc>
          <w:tcPr>
            <w:tcW w:w="843" w:type="pct"/>
            <w:vAlign w:val="center"/>
          </w:tcPr>
          <w:p w14:paraId="195276E6" w14:textId="2A346E85" w:rsidR="005E2AFC" w:rsidRPr="00644BBC" w:rsidRDefault="005E2AFC" w:rsidP="005E2AFC">
            <w:pPr>
              <w:pStyle w:val="TableText"/>
              <w:spacing w:before="0"/>
              <w:jc w:val="center"/>
              <w:rPr>
                <w:rFonts w:cs="Arial"/>
              </w:rPr>
            </w:pPr>
            <w:r w:rsidRPr="00644BBC">
              <w:rPr>
                <w:rFonts w:cs="Arial"/>
              </w:rPr>
              <w:t>0.0</w:t>
            </w:r>
            <w:r>
              <w:rPr>
                <w:rFonts w:cs="Arial"/>
              </w:rPr>
              <w:t>3</w:t>
            </w:r>
          </w:p>
        </w:tc>
        <w:tc>
          <w:tcPr>
            <w:tcW w:w="1030" w:type="pct"/>
            <w:vAlign w:val="center"/>
          </w:tcPr>
          <w:p w14:paraId="0BA82223" w14:textId="1657FD77" w:rsidR="005E2AFC" w:rsidRPr="00644BBC" w:rsidRDefault="005E2AFC" w:rsidP="005E2AFC">
            <w:pPr>
              <w:pStyle w:val="TableText"/>
              <w:spacing w:before="0"/>
              <w:jc w:val="center"/>
              <w:rPr>
                <w:rFonts w:cs="Arial"/>
              </w:rPr>
            </w:pPr>
            <w:r w:rsidRPr="00644BBC">
              <w:rPr>
                <w:rFonts w:cs="Arial"/>
              </w:rPr>
              <w:t>$</w:t>
            </w:r>
            <w:r>
              <w:rPr>
                <w:rFonts w:cs="Arial"/>
              </w:rPr>
              <w:t>64,032.62</w:t>
            </w:r>
          </w:p>
        </w:tc>
        <w:tc>
          <w:tcPr>
            <w:tcW w:w="1051" w:type="pct"/>
            <w:vAlign w:val="center"/>
          </w:tcPr>
          <w:p w14:paraId="4C3249C1" w14:textId="44BD96DA" w:rsidR="005E2AFC" w:rsidRPr="00FD1B79" w:rsidRDefault="000E23F0" w:rsidP="005E2AFC">
            <w:pPr>
              <w:pStyle w:val="TableText"/>
              <w:spacing w:before="0"/>
              <w:rPr>
                <w:rFonts w:cs="Arial"/>
              </w:rPr>
            </w:pPr>
            <w:r>
              <w:rPr>
                <w:rFonts w:cs="Arial"/>
              </w:rPr>
              <w:t>-4%</w:t>
            </w:r>
          </w:p>
        </w:tc>
      </w:tr>
      <w:tr w:rsidR="00895144" w:rsidRPr="00FD1B79" w14:paraId="0C497A69" w14:textId="77777777" w:rsidTr="005E2AFC">
        <w:tc>
          <w:tcPr>
            <w:tcW w:w="1233" w:type="pct"/>
          </w:tcPr>
          <w:p w14:paraId="19311ADD" w14:textId="10C9AF1F" w:rsidR="005E2AFC" w:rsidRPr="00FD1B79" w:rsidRDefault="005E2AFC" w:rsidP="005E2AFC">
            <w:pPr>
              <w:pStyle w:val="TableText"/>
              <w:spacing w:before="0"/>
              <w:rPr>
                <w:rFonts w:cs="Arial"/>
              </w:rPr>
            </w:pPr>
            <w:r w:rsidRPr="00FD1B79">
              <w:rPr>
                <w:rFonts w:cs="Arial"/>
              </w:rPr>
              <w:t>Discount rate 3.5%</w:t>
            </w:r>
          </w:p>
        </w:tc>
        <w:tc>
          <w:tcPr>
            <w:tcW w:w="842" w:type="pct"/>
            <w:vAlign w:val="center"/>
          </w:tcPr>
          <w:p w14:paraId="0BE06209" w14:textId="179ABA2F" w:rsidR="005E2AFC" w:rsidRPr="00644BBC" w:rsidRDefault="005E2AFC" w:rsidP="005E2AFC">
            <w:pPr>
              <w:pStyle w:val="TableText"/>
              <w:spacing w:before="0"/>
              <w:jc w:val="center"/>
              <w:rPr>
                <w:rFonts w:cs="Arial"/>
              </w:rPr>
            </w:pPr>
            <w:r w:rsidRPr="00644BBC">
              <w:rPr>
                <w:rFonts w:cs="Arial"/>
              </w:rPr>
              <w:t>$</w:t>
            </w:r>
            <w:r>
              <w:rPr>
                <w:rFonts w:cs="Arial"/>
              </w:rPr>
              <w:t>2,021</w:t>
            </w:r>
          </w:p>
        </w:tc>
        <w:tc>
          <w:tcPr>
            <w:tcW w:w="843" w:type="pct"/>
            <w:vAlign w:val="center"/>
          </w:tcPr>
          <w:p w14:paraId="3A1DAD44" w14:textId="2A301688" w:rsidR="005E2AFC" w:rsidRPr="00644BBC" w:rsidRDefault="005E2AFC" w:rsidP="005E2AFC">
            <w:pPr>
              <w:pStyle w:val="TableText"/>
              <w:spacing w:before="0"/>
              <w:jc w:val="center"/>
              <w:rPr>
                <w:rFonts w:cs="Arial"/>
              </w:rPr>
            </w:pPr>
            <w:r w:rsidRPr="00644BBC">
              <w:rPr>
                <w:rFonts w:cs="Arial"/>
              </w:rPr>
              <w:t>0.0</w:t>
            </w:r>
            <w:r>
              <w:rPr>
                <w:rFonts w:cs="Arial"/>
              </w:rPr>
              <w:t>3</w:t>
            </w:r>
          </w:p>
        </w:tc>
        <w:tc>
          <w:tcPr>
            <w:tcW w:w="1030" w:type="pct"/>
            <w:vAlign w:val="center"/>
          </w:tcPr>
          <w:p w14:paraId="1F8CD3CF" w14:textId="25E56562" w:rsidR="005E2AFC" w:rsidRPr="00644BBC" w:rsidRDefault="005E2AFC" w:rsidP="005E2AFC">
            <w:pPr>
              <w:pStyle w:val="TableText"/>
              <w:spacing w:before="0"/>
              <w:jc w:val="center"/>
              <w:rPr>
                <w:rFonts w:cs="Arial"/>
              </w:rPr>
            </w:pPr>
            <w:r w:rsidRPr="00644BBC">
              <w:rPr>
                <w:rFonts w:cs="Arial"/>
              </w:rPr>
              <w:t>$</w:t>
            </w:r>
            <w:r>
              <w:rPr>
                <w:rFonts w:cs="Arial"/>
              </w:rPr>
              <w:t>65,649.12</w:t>
            </w:r>
          </w:p>
        </w:tc>
        <w:tc>
          <w:tcPr>
            <w:tcW w:w="1051" w:type="pct"/>
            <w:vAlign w:val="center"/>
          </w:tcPr>
          <w:p w14:paraId="78A67853" w14:textId="7E02E22F" w:rsidR="005E2AFC" w:rsidRPr="00FD1B79" w:rsidRDefault="000E23F0" w:rsidP="005E2AFC">
            <w:pPr>
              <w:pStyle w:val="TableText"/>
              <w:spacing w:before="0"/>
              <w:rPr>
                <w:rFonts w:cs="Arial"/>
              </w:rPr>
            </w:pPr>
            <w:r>
              <w:rPr>
                <w:rFonts w:cs="Arial"/>
              </w:rPr>
              <w:t>-1%</w:t>
            </w:r>
          </w:p>
        </w:tc>
      </w:tr>
      <w:tr w:rsidR="00895144" w:rsidRPr="00FD1B79" w14:paraId="3CA25F7B" w14:textId="77777777" w:rsidTr="005E2AFC">
        <w:tc>
          <w:tcPr>
            <w:tcW w:w="1233" w:type="pct"/>
          </w:tcPr>
          <w:p w14:paraId="60A97ACF" w14:textId="0BC01888" w:rsidR="005E2AFC" w:rsidRPr="00FD1B79" w:rsidRDefault="005E2AFC" w:rsidP="005E2AFC">
            <w:pPr>
              <w:pStyle w:val="TableText"/>
              <w:spacing w:before="0"/>
              <w:rPr>
                <w:rFonts w:cs="Arial"/>
              </w:rPr>
            </w:pPr>
            <w:r w:rsidRPr="00FD1B79">
              <w:rPr>
                <w:rFonts w:cs="Arial"/>
              </w:rPr>
              <w:t xml:space="preserve">RR of MACE with monitoring and prophylactic treatment of those with LGE and </w:t>
            </w:r>
            <w:proofErr w:type="spellStart"/>
            <w:r w:rsidRPr="00FD1B79">
              <w:rPr>
                <w:rFonts w:cs="Arial"/>
              </w:rPr>
              <w:t>pLVEF</w:t>
            </w:r>
            <w:proofErr w:type="spellEnd"/>
            <w:r w:rsidRPr="00FD1B79">
              <w:rPr>
                <w:rFonts w:cs="Arial"/>
              </w:rPr>
              <w:t>, 0.75</w:t>
            </w:r>
          </w:p>
        </w:tc>
        <w:tc>
          <w:tcPr>
            <w:tcW w:w="842" w:type="pct"/>
            <w:vAlign w:val="center"/>
          </w:tcPr>
          <w:p w14:paraId="60D9348F" w14:textId="16C08D57" w:rsidR="005E2AFC" w:rsidRPr="00644BBC" w:rsidRDefault="005E2AFC" w:rsidP="005E2AFC">
            <w:pPr>
              <w:pStyle w:val="TableText"/>
              <w:spacing w:before="0"/>
              <w:jc w:val="center"/>
              <w:rPr>
                <w:rFonts w:cs="Arial"/>
              </w:rPr>
            </w:pPr>
            <w:r w:rsidRPr="00644BBC">
              <w:rPr>
                <w:rFonts w:cs="Arial"/>
              </w:rPr>
              <w:t>$</w:t>
            </w:r>
            <w:r>
              <w:rPr>
                <w:rFonts w:cs="Arial"/>
              </w:rPr>
              <w:t>2,043</w:t>
            </w:r>
          </w:p>
        </w:tc>
        <w:tc>
          <w:tcPr>
            <w:tcW w:w="843" w:type="pct"/>
            <w:vAlign w:val="center"/>
          </w:tcPr>
          <w:p w14:paraId="07C2383B" w14:textId="5561ECFE" w:rsidR="005E2AFC" w:rsidRPr="00644BBC" w:rsidRDefault="005E2AFC" w:rsidP="005E2AFC">
            <w:pPr>
              <w:pStyle w:val="TableText"/>
              <w:spacing w:before="0"/>
              <w:jc w:val="center"/>
              <w:rPr>
                <w:rFonts w:cs="Arial"/>
              </w:rPr>
            </w:pPr>
            <w:r w:rsidRPr="00644BBC">
              <w:rPr>
                <w:rFonts w:cs="Arial"/>
              </w:rPr>
              <w:t>0.0</w:t>
            </w:r>
            <w:r>
              <w:rPr>
                <w:rFonts w:cs="Arial"/>
              </w:rPr>
              <w:t>2</w:t>
            </w:r>
          </w:p>
        </w:tc>
        <w:tc>
          <w:tcPr>
            <w:tcW w:w="1030" w:type="pct"/>
            <w:vAlign w:val="center"/>
          </w:tcPr>
          <w:p w14:paraId="40F3E096" w14:textId="73FB054A" w:rsidR="005E2AFC" w:rsidRPr="00644BBC" w:rsidRDefault="005E2AFC" w:rsidP="005E2AFC">
            <w:pPr>
              <w:pStyle w:val="TableText"/>
              <w:spacing w:before="0"/>
              <w:jc w:val="center"/>
              <w:rPr>
                <w:rFonts w:cs="Arial"/>
              </w:rPr>
            </w:pPr>
            <w:r w:rsidRPr="00644BBC">
              <w:rPr>
                <w:rFonts w:cs="Arial"/>
              </w:rPr>
              <w:t>$</w:t>
            </w:r>
            <w:r>
              <w:rPr>
                <w:rFonts w:cs="Arial"/>
              </w:rPr>
              <w:t>114,544.18</w:t>
            </w:r>
          </w:p>
        </w:tc>
        <w:tc>
          <w:tcPr>
            <w:tcW w:w="1051" w:type="pct"/>
            <w:vAlign w:val="center"/>
          </w:tcPr>
          <w:p w14:paraId="66FBBA53" w14:textId="220E3C3E" w:rsidR="005E2AFC" w:rsidRPr="00FD1B79" w:rsidRDefault="000E23F0" w:rsidP="005E2AFC">
            <w:pPr>
              <w:pStyle w:val="TableText"/>
              <w:spacing w:before="0"/>
              <w:rPr>
                <w:rFonts w:cs="Arial"/>
              </w:rPr>
            </w:pPr>
            <w:r>
              <w:rPr>
                <w:rFonts w:cs="Arial"/>
              </w:rPr>
              <w:t>+73%</w:t>
            </w:r>
          </w:p>
        </w:tc>
      </w:tr>
      <w:tr w:rsidR="00895144" w:rsidRPr="00FD1B79" w14:paraId="4AC834B3" w14:textId="77777777" w:rsidTr="005E2AFC">
        <w:tc>
          <w:tcPr>
            <w:tcW w:w="1233" w:type="pct"/>
          </w:tcPr>
          <w:p w14:paraId="3003FBDE" w14:textId="3EFBBB07" w:rsidR="005E2AFC" w:rsidRPr="00FD1B79" w:rsidRDefault="005E2AFC" w:rsidP="005E2AFC">
            <w:pPr>
              <w:pStyle w:val="TableText"/>
              <w:spacing w:before="0"/>
              <w:rPr>
                <w:rFonts w:cs="Arial"/>
              </w:rPr>
            </w:pPr>
            <w:r w:rsidRPr="00FD1B79">
              <w:rPr>
                <w:rFonts w:cs="Arial"/>
              </w:rPr>
              <w:t xml:space="preserve">RR of MACE with monitoring and prophylactic treatment of those with LGE and </w:t>
            </w:r>
            <w:proofErr w:type="spellStart"/>
            <w:r w:rsidRPr="00FD1B79">
              <w:rPr>
                <w:rFonts w:cs="Arial"/>
              </w:rPr>
              <w:t>pLVEF</w:t>
            </w:r>
            <w:proofErr w:type="spellEnd"/>
            <w:r w:rsidRPr="00FD1B79">
              <w:rPr>
                <w:rFonts w:cs="Arial"/>
              </w:rPr>
              <w:t>, 0.</w:t>
            </w:r>
            <w:r>
              <w:rPr>
                <w:rFonts w:cs="Arial"/>
              </w:rPr>
              <w:t>25</w:t>
            </w:r>
          </w:p>
        </w:tc>
        <w:tc>
          <w:tcPr>
            <w:tcW w:w="842" w:type="pct"/>
            <w:vAlign w:val="center"/>
          </w:tcPr>
          <w:p w14:paraId="23E2397C" w14:textId="1729EB0C" w:rsidR="005E2AFC" w:rsidRPr="00644BBC" w:rsidRDefault="005E2AFC" w:rsidP="005E2AFC">
            <w:pPr>
              <w:pStyle w:val="TableText"/>
              <w:spacing w:before="0"/>
              <w:jc w:val="center"/>
              <w:rPr>
                <w:rFonts w:cs="Arial"/>
              </w:rPr>
            </w:pPr>
            <w:r>
              <w:rPr>
                <w:rFonts w:cs="Arial"/>
              </w:rPr>
              <w:t>$1,974</w:t>
            </w:r>
          </w:p>
        </w:tc>
        <w:tc>
          <w:tcPr>
            <w:tcW w:w="843" w:type="pct"/>
            <w:vAlign w:val="center"/>
          </w:tcPr>
          <w:p w14:paraId="38C4089D" w14:textId="4FE72EF2" w:rsidR="005E2AFC" w:rsidRPr="00644BBC" w:rsidRDefault="005E2AFC" w:rsidP="005E2AFC">
            <w:pPr>
              <w:pStyle w:val="TableText"/>
              <w:spacing w:before="0"/>
              <w:jc w:val="center"/>
              <w:rPr>
                <w:rFonts w:cs="Arial"/>
              </w:rPr>
            </w:pPr>
            <w:r>
              <w:rPr>
                <w:rFonts w:cs="Arial"/>
              </w:rPr>
              <w:t>0.04</w:t>
            </w:r>
          </w:p>
        </w:tc>
        <w:tc>
          <w:tcPr>
            <w:tcW w:w="1030" w:type="pct"/>
            <w:vAlign w:val="center"/>
          </w:tcPr>
          <w:p w14:paraId="538B3C36" w14:textId="3E2AE847" w:rsidR="005E2AFC" w:rsidRPr="00644BBC" w:rsidRDefault="005E2AFC" w:rsidP="005E2AFC">
            <w:pPr>
              <w:pStyle w:val="TableText"/>
              <w:spacing w:before="0"/>
              <w:jc w:val="center"/>
              <w:rPr>
                <w:rFonts w:cs="Arial"/>
              </w:rPr>
            </w:pPr>
            <w:r>
              <w:rPr>
                <w:rFonts w:cs="Arial"/>
              </w:rPr>
              <w:t>$45,658.24</w:t>
            </w:r>
          </w:p>
        </w:tc>
        <w:tc>
          <w:tcPr>
            <w:tcW w:w="1051" w:type="pct"/>
            <w:vAlign w:val="center"/>
          </w:tcPr>
          <w:p w14:paraId="1F91C0E8" w14:textId="02539F20" w:rsidR="005E2AFC" w:rsidRPr="00FD1B79" w:rsidRDefault="000E23F0" w:rsidP="005E2AFC">
            <w:pPr>
              <w:pStyle w:val="TableText"/>
              <w:spacing w:before="0"/>
              <w:rPr>
                <w:rFonts w:cs="Arial"/>
              </w:rPr>
            </w:pPr>
            <w:r>
              <w:rPr>
                <w:rFonts w:cs="Arial"/>
              </w:rPr>
              <w:t>-31%</w:t>
            </w:r>
          </w:p>
        </w:tc>
      </w:tr>
      <w:tr w:rsidR="00895144" w:rsidRPr="00FD1B79" w14:paraId="730C39E7" w14:textId="77777777" w:rsidTr="005E2AFC">
        <w:tc>
          <w:tcPr>
            <w:tcW w:w="1233" w:type="pct"/>
          </w:tcPr>
          <w:p w14:paraId="2C13B5B6" w14:textId="5D0C3F54" w:rsidR="005E2AFC" w:rsidRDefault="005E2AFC" w:rsidP="005E2AFC">
            <w:pPr>
              <w:pStyle w:val="TableText"/>
              <w:spacing w:before="0"/>
              <w:rPr>
                <w:rFonts w:cs="Arial"/>
              </w:rPr>
            </w:pPr>
            <w:r>
              <w:rPr>
                <w:rFonts w:cs="Arial"/>
              </w:rPr>
              <w:t xml:space="preserve">Probability of MACE in those with LGE and </w:t>
            </w:r>
            <w:proofErr w:type="spellStart"/>
            <w:r>
              <w:rPr>
                <w:rFonts w:cs="Arial"/>
              </w:rPr>
              <w:t>pLVEF</w:t>
            </w:r>
            <w:proofErr w:type="spellEnd"/>
            <w:r>
              <w:rPr>
                <w:rFonts w:cs="Arial"/>
              </w:rPr>
              <w:t>, +10%</w:t>
            </w:r>
          </w:p>
        </w:tc>
        <w:tc>
          <w:tcPr>
            <w:tcW w:w="842" w:type="pct"/>
            <w:vAlign w:val="center"/>
          </w:tcPr>
          <w:p w14:paraId="0B2EC037" w14:textId="39E655E8" w:rsidR="005E2AFC" w:rsidRDefault="005E2AFC" w:rsidP="005E2AFC">
            <w:pPr>
              <w:pStyle w:val="TableText"/>
              <w:spacing w:before="0"/>
              <w:jc w:val="center"/>
              <w:rPr>
                <w:rFonts w:cs="Arial"/>
              </w:rPr>
            </w:pPr>
            <w:r>
              <w:rPr>
                <w:rFonts w:cs="Arial"/>
              </w:rPr>
              <w:t>$1,972</w:t>
            </w:r>
          </w:p>
        </w:tc>
        <w:tc>
          <w:tcPr>
            <w:tcW w:w="843" w:type="pct"/>
            <w:vAlign w:val="center"/>
          </w:tcPr>
          <w:p w14:paraId="1B90C132" w14:textId="547A6E56" w:rsidR="005E2AFC" w:rsidRDefault="005E2AFC" w:rsidP="005E2AFC">
            <w:pPr>
              <w:pStyle w:val="TableText"/>
              <w:spacing w:before="0"/>
              <w:jc w:val="center"/>
              <w:rPr>
                <w:rFonts w:cs="Arial"/>
              </w:rPr>
            </w:pPr>
            <w:r>
              <w:rPr>
                <w:rFonts w:cs="Arial"/>
              </w:rPr>
              <w:t>0.03</w:t>
            </w:r>
          </w:p>
        </w:tc>
        <w:tc>
          <w:tcPr>
            <w:tcW w:w="1030" w:type="pct"/>
            <w:vAlign w:val="center"/>
          </w:tcPr>
          <w:p w14:paraId="1B504C05" w14:textId="77E7B6E6" w:rsidR="005E2AFC" w:rsidRDefault="005E2AFC" w:rsidP="005E2AFC">
            <w:pPr>
              <w:pStyle w:val="TableText"/>
              <w:spacing w:before="0"/>
              <w:jc w:val="center"/>
              <w:rPr>
                <w:rFonts w:cs="Arial"/>
              </w:rPr>
            </w:pPr>
            <w:r>
              <w:rPr>
                <w:rFonts w:cs="Arial"/>
              </w:rPr>
              <w:t>$57,327.97</w:t>
            </w:r>
          </w:p>
        </w:tc>
        <w:tc>
          <w:tcPr>
            <w:tcW w:w="1051" w:type="pct"/>
            <w:vAlign w:val="center"/>
          </w:tcPr>
          <w:p w14:paraId="72811FC6" w14:textId="7021FD38" w:rsidR="005E2AFC" w:rsidRPr="00FD1B79" w:rsidRDefault="000E23F0" w:rsidP="005E2AFC">
            <w:pPr>
              <w:pStyle w:val="TableText"/>
              <w:spacing w:before="0"/>
              <w:rPr>
                <w:rFonts w:cs="Arial"/>
              </w:rPr>
            </w:pPr>
            <w:r>
              <w:rPr>
                <w:rFonts w:cs="Arial"/>
              </w:rPr>
              <w:t>-14%</w:t>
            </w:r>
          </w:p>
        </w:tc>
      </w:tr>
      <w:tr w:rsidR="00895144" w:rsidRPr="00FD1B79" w14:paraId="28358993" w14:textId="77777777" w:rsidTr="005E2AFC">
        <w:tc>
          <w:tcPr>
            <w:tcW w:w="1233" w:type="pct"/>
          </w:tcPr>
          <w:p w14:paraId="29EBEDDC" w14:textId="1120C36F" w:rsidR="005E2AFC" w:rsidRPr="00FD1B79" w:rsidRDefault="005E2AFC" w:rsidP="005E2AFC">
            <w:pPr>
              <w:pStyle w:val="TableText"/>
              <w:spacing w:before="0"/>
              <w:rPr>
                <w:rFonts w:cs="Arial"/>
              </w:rPr>
            </w:pPr>
            <w:r>
              <w:rPr>
                <w:rFonts w:cs="Arial"/>
              </w:rPr>
              <w:t xml:space="preserve">Probability of MACE in those with LGE and </w:t>
            </w:r>
            <w:proofErr w:type="spellStart"/>
            <w:r>
              <w:rPr>
                <w:rFonts w:cs="Arial"/>
              </w:rPr>
              <w:t>pLVEF</w:t>
            </w:r>
            <w:proofErr w:type="spellEnd"/>
            <w:r>
              <w:rPr>
                <w:rFonts w:cs="Arial"/>
              </w:rPr>
              <w:t>, -10%</w:t>
            </w:r>
          </w:p>
        </w:tc>
        <w:tc>
          <w:tcPr>
            <w:tcW w:w="842" w:type="pct"/>
            <w:vAlign w:val="center"/>
          </w:tcPr>
          <w:p w14:paraId="5B10CC6A" w14:textId="30F62F6C" w:rsidR="005E2AFC" w:rsidRPr="00644BBC" w:rsidRDefault="005E2AFC" w:rsidP="005E2AFC">
            <w:pPr>
              <w:pStyle w:val="TableText"/>
              <w:spacing w:before="0"/>
              <w:jc w:val="center"/>
              <w:rPr>
                <w:rFonts w:cs="Arial"/>
              </w:rPr>
            </w:pPr>
            <w:r>
              <w:rPr>
                <w:rFonts w:cs="Arial"/>
              </w:rPr>
              <w:t>$2,048</w:t>
            </w:r>
          </w:p>
        </w:tc>
        <w:tc>
          <w:tcPr>
            <w:tcW w:w="843" w:type="pct"/>
            <w:vAlign w:val="center"/>
          </w:tcPr>
          <w:p w14:paraId="2E7EE0E4" w14:textId="6F86219E" w:rsidR="005E2AFC" w:rsidRPr="00644BBC" w:rsidRDefault="005E2AFC" w:rsidP="005E2AFC">
            <w:pPr>
              <w:pStyle w:val="TableText"/>
              <w:spacing w:before="0"/>
              <w:jc w:val="center"/>
              <w:rPr>
                <w:rFonts w:cs="Arial"/>
              </w:rPr>
            </w:pPr>
            <w:r>
              <w:rPr>
                <w:rFonts w:cs="Arial"/>
              </w:rPr>
              <w:t>0.03</w:t>
            </w:r>
          </w:p>
        </w:tc>
        <w:tc>
          <w:tcPr>
            <w:tcW w:w="1030" w:type="pct"/>
            <w:vAlign w:val="center"/>
          </w:tcPr>
          <w:p w14:paraId="54865143" w14:textId="07C48D02" w:rsidR="005E2AFC" w:rsidRPr="00644BBC" w:rsidRDefault="005E2AFC" w:rsidP="005E2AFC">
            <w:pPr>
              <w:pStyle w:val="TableText"/>
              <w:spacing w:before="0"/>
              <w:jc w:val="center"/>
              <w:rPr>
                <w:rFonts w:cs="Arial"/>
              </w:rPr>
            </w:pPr>
            <w:r>
              <w:rPr>
                <w:rFonts w:cs="Arial"/>
              </w:rPr>
              <w:t>$78,858.75</w:t>
            </w:r>
          </w:p>
        </w:tc>
        <w:tc>
          <w:tcPr>
            <w:tcW w:w="1051" w:type="pct"/>
            <w:vAlign w:val="center"/>
          </w:tcPr>
          <w:p w14:paraId="3FE8474A" w14:textId="4B84D821" w:rsidR="005E2AFC" w:rsidRPr="00FD1B79" w:rsidRDefault="000E23F0" w:rsidP="005E2AFC">
            <w:pPr>
              <w:pStyle w:val="TableText"/>
              <w:spacing w:before="0"/>
              <w:rPr>
                <w:rFonts w:cs="Arial"/>
              </w:rPr>
            </w:pPr>
            <w:r>
              <w:rPr>
                <w:rFonts w:cs="Arial"/>
              </w:rPr>
              <w:t>+19%</w:t>
            </w:r>
          </w:p>
        </w:tc>
      </w:tr>
      <w:tr w:rsidR="00895144" w:rsidRPr="00FD1B79" w14:paraId="3F676C4B" w14:textId="77777777" w:rsidTr="005E2AFC">
        <w:tc>
          <w:tcPr>
            <w:tcW w:w="1233" w:type="pct"/>
          </w:tcPr>
          <w:p w14:paraId="222EA66D" w14:textId="4572CEFA" w:rsidR="005E2AFC" w:rsidRPr="00FD1B79" w:rsidRDefault="005E2AFC" w:rsidP="005E2AFC">
            <w:pPr>
              <w:pStyle w:val="TableText"/>
              <w:spacing w:before="0"/>
              <w:rPr>
                <w:rFonts w:cs="Arial"/>
              </w:rPr>
            </w:pPr>
            <w:r w:rsidRPr="00FD1B79">
              <w:rPr>
                <w:rFonts w:cs="Arial"/>
              </w:rPr>
              <w:t xml:space="preserve">Cost of </w:t>
            </w:r>
            <w:r>
              <w:rPr>
                <w:rFonts w:cs="Arial"/>
              </w:rPr>
              <w:t xml:space="preserve">cardiac </w:t>
            </w:r>
            <w:r w:rsidRPr="00FD1B79">
              <w:rPr>
                <w:rFonts w:cs="Arial"/>
              </w:rPr>
              <w:t>MR</w:t>
            </w:r>
            <w:r>
              <w:rPr>
                <w:rFonts w:cs="Arial"/>
              </w:rPr>
              <w:t>I</w:t>
            </w:r>
            <w:r w:rsidRPr="00FD1B79">
              <w:rPr>
                <w:rFonts w:cs="Arial"/>
              </w:rPr>
              <w:t xml:space="preserve">, </w:t>
            </w:r>
            <w:r>
              <w:rPr>
                <w:rFonts w:cs="Arial"/>
              </w:rPr>
              <w:t>+</w:t>
            </w:r>
            <w:r w:rsidRPr="00FD1B79">
              <w:rPr>
                <w:rFonts w:cs="Arial"/>
              </w:rPr>
              <w:t>25%</w:t>
            </w:r>
          </w:p>
        </w:tc>
        <w:tc>
          <w:tcPr>
            <w:tcW w:w="842" w:type="pct"/>
            <w:vAlign w:val="center"/>
          </w:tcPr>
          <w:p w14:paraId="72B366BB" w14:textId="607B2083" w:rsidR="005E2AFC" w:rsidRPr="00644BBC" w:rsidRDefault="005E2AFC" w:rsidP="005E2AFC">
            <w:pPr>
              <w:pStyle w:val="TableText"/>
              <w:spacing w:before="0"/>
              <w:jc w:val="center"/>
              <w:rPr>
                <w:rFonts w:cs="Arial"/>
              </w:rPr>
            </w:pPr>
            <w:r>
              <w:rPr>
                <w:rFonts w:cs="Arial"/>
              </w:rPr>
              <w:t>$2,247</w:t>
            </w:r>
          </w:p>
        </w:tc>
        <w:tc>
          <w:tcPr>
            <w:tcW w:w="843" w:type="pct"/>
            <w:vAlign w:val="center"/>
          </w:tcPr>
          <w:p w14:paraId="67790A8B" w14:textId="6E9B3DAB" w:rsidR="005E2AFC" w:rsidRPr="00644BBC" w:rsidRDefault="005E2AFC" w:rsidP="005E2AFC">
            <w:pPr>
              <w:pStyle w:val="TableText"/>
              <w:spacing w:before="0"/>
              <w:jc w:val="center"/>
              <w:rPr>
                <w:rFonts w:cs="Arial"/>
              </w:rPr>
            </w:pPr>
            <w:r>
              <w:rPr>
                <w:rFonts w:cs="Arial"/>
              </w:rPr>
              <w:t>0.03</w:t>
            </w:r>
          </w:p>
        </w:tc>
        <w:tc>
          <w:tcPr>
            <w:tcW w:w="1030" w:type="pct"/>
            <w:vAlign w:val="center"/>
          </w:tcPr>
          <w:p w14:paraId="29966504" w14:textId="5499C188" w:rsidR="005E2AFC" w:rsidRPr="00644BBC" w:rsidRDefault="005E2AFC" w:rsidP="005E2AFC">
            <w:pPr>
              <w:pStyle w:val="TableText"/>
              <w:spacing w:before="0"/>
              <w:jc w:val="center"/>
              <w:rPr>
                <w:rFonts w:cs="Arial"/>
              </w:rPr>
            </w:pPr>
            <w:r>
              <w:rPr>
                <w:rFonts w:cs="Arial"/>
              </w:rPr>
              <w:t>$74,216.53</w:t>
            </w:r>
          </w:p>
        </w:tc>
        <w:tc>
          <w:tcPr>
            <w:tcW w:w="1051" w:type="pct"/>
            <w:vAlign w:val="center"/>
          </w:tcPr>
          <w:p w14:paraId="09AE2139" w14:textId="3E65FAAC" w:rsidR="005E2AFC" w:rsidRPr="00FD1B79" w:rsidRDefault="000E23F0" w:rsidP="005E2AFC">
            <w:pPr>
              <w:pStyle w:val="TableText"/>
              <w:spacing w:before="0"/>
              <w:rPr>
                <w:rFonts w:cs="Arial"/>
              </w:rPr>
            </w:pPr>
            <w:r>
              <w:rPr>
                <w:rFonts w:cs="Arial"/>
              </w:rPr>
              <w:t>+12%</w:t>
            </w:r>
          </w:p>
        </w:tc>
      </w:tr>
      <w:tr w:rsidR="005E2AFC" w:rsidRPr="00FD1B79" w14:paraId="01F83BD1" w14:textId="77777777" w:rsidTr="005E2AFC">
        <w:tc>
          <w:tcPr>
            <w:tcW w:w="1233" w:type="pct"/>
          </w:tcPr>
          <w:p w14:paraId="527CA54A" w14:textId="538AC148" w:rsidR="005E2AFC" w:rsidRPr="00FD1B79" w:rsidRDefault="005E2AFC" w:rsidP="005E2AFC">
            <w:pPr>
              <w:pStyle w:val="TableText"/>
              <w:spacing w:before="0"/>
              <w:rPr>
                <w:rFonts w:cs="Arial"/>
              </w:rPr>
            </w:pPr>
            <w:r w:rsidRPr="00FD1B79">
              <w:rPr>
                <w:rFonts w:cs="Arial"/>
              </w:rPr>
              <w:t xml:space="preserve">Cost of </w:t>
            </w:r>
            <w:r>
              <w:rPr>
                <w:rFonts w:cs="Arial"/>
              </w:rPr>
              <w:t xml:space="preserve">cardiac </w:t>
            </w:r>
            <w:r w:rsidRPr="00FD1B79">
              <w:rPr>
                <w:rFonts w:cs="Arial"/>
              </w:rPr>
              <w:t>MR</w:t>
            </w:r>
            <w:r>
              <w:rPr>
                <w:rFonts w:cs="Arial"/>
              </w:rPr>
              <w:t>I</w:t>
            </w:r>
            <w:r w:rsidRPr="00FD1B79">
              <w:rPr>
                <w:rFonts w:cs="Arial"/>
              </w:rPr>
              <w:t>, -25%</w:t>
            </w:r>
          </w:p>
        </w:tc>
        <w:tc>
          <w:tcPr>
            <w:tcW w:w="842" w:type="pct"/>
            <w:vAlign w:val="center"/>
          </w:tcPr>
          <w:p w14:paraId="12DDF9B4" w14:textId="45449910" w:rsidR="005E2AFC" w:rsidRPr="00644BBC" w:rsidRDefault="005E2AFC" w:rsidP="005E2AFC">
            <w:pPr>
              <w:pStyle w:val="TableText"/>
              <w:spacing w:before="0"/>
              <w:jc w:val="center"/>
              <w:rPr>
                <w:rFonts w:cs="Arial"/>
              </w:rPr>
            </w:pPr>
            <w:r w:rsidRPr="00644BBC">
              <w:rPr>
                <w:rFonts w:cs="Arial"/>
              </w:rPr>
              <w:t>$1,</w:t>
            </w:r>
            <w:r>
              <w:rPr>
                <w:rFonts w:cs="Arial"/>
              </w:rPr>
              <w:t>771</w:t>
            </w:r>
          </w:p>
        </w:tc>
        <w:tc>
          <w:tcPr>
            <w:tcW w:w="843" w:type="pct"/>
            <w:vAlign w:val="center"/>
          </w:tcPr>
          <w:p w14:paraId="68C11E7E" w14:textId="7FB6E248" w:rsidR="005E2AFC" w:rsidRPr="00644BBC" w:rsidRDefault="005E2AFC" w:rsidP="005E2AFC">
            <w:pPr>
              <w:pStyle w:val="TableText"/>
              <w:spacing w:before="0"/>
              <w:jc w:val="center"/>
              <w:rPr>
                <w:rFonts w:cs="Arial"/>
              </w:rPr>
            </w:pPr>
            <w:r w:rsidRPr="00644BBC">
              <w:rPr>
                <w:rFonts w:cs="Arial"/>
              </w:rPr>
              <w:t>0.0</w:t>
            </w:r>
            <w:r>
              <w:rPr>
                <w:rFonts w:cs="Arial"/>
              </w:rPr>
              <w:t>3</w:t>
            </w:r>
          </w:p>
        </w:tc>
        <w:tc>
          <w:tcPr>
            <w:tcW w:w="1030" w:type="pct"/>
            <w:vAlign w:val="center"/>
          </w:tcPr>
          <w:p w14:paraId="53BBB924" w14:textId="244F78D4" w:rsidR="005E2AFC" w:rsidRPr="00644BBC" w:rsidRDefault="005E2AFC" w:rsidP="005E2AFC">
            <w:pPr>
              <w:pStyle w:val="TableText"/>
              <w:spacing w:before="0"/>
              <w:jc w:val="center"/>
              <w:rPr>
                <w:rFonts w:cs="Arial"/>
              </w:rPr>
            </w:pPr>
            <w:r w:rsidRPr="00644BBC">
              <w:rPr>
                <w:rFonts w:cs="Arial"/>
              </w:rPr>
              <w:t>$</w:t>
            </w:r>
            <w:r>
              <w:rPr>
                <w:rFonts w:cs="Arial"/>
              </w:rPr>
              <w:t>58,494.77</w:t>
            </w:r>
          </w:p>
        </w:tc>
        <w:tc>
          <w:tcPr>
            <w:tcW w:w="1051" w:type="pct"/>
            <w:vAlign w:val="center"/>
          </w:tcPr>
          <w:p w14:paraId="63BA6D19" w14:textId="06EA14B7" w:rsidR="005E2AFC" w:rsidRPr="00FD1B79" w:rsidRDefault="000E23F0" w:rsidP="005E2AFC">
            <w:pPr>
              <w:pStyle w:val="TableText"/>
              <w:spacing w:before="0"/>
              <w:rPr>
                <w:rFonts w:cs="Arial"/>
              </w:rPr>
            </w:pPr>
            <w:r>
              <w:rPr>
                <w:rFonts w:cs="Arial"/>
              </w:rPr>
              <w:t>-12%</w:t>
            </w:r>
          </w:p>
        </w:tc>
      </w:tr>
    </w:tbl>
    <w:p w14:paraId="6208753E" w14:textId="77777777" w:rsidR="00AA1DAA" w:rsidRDefault="00AA1DAA" w:rsidP="00AA1DAA">
      <w:pPr>
        <w:pStyle w:val="TableFooter"/>
        <w:jc w:val="left"/>
      </w:pPr>
      <w:r>
        <w:t xml:space="preserve">RR = relative risk; MACE = major adverse cardiovascular event; LGE = late gadolinium enhancement; </w:t>
      </w:r>
      <w:proofErr w:type="spellStart"/>
      <w:r>
        <w:t>pLVEF</w:t>
      </w:r>
      <w:proofErr w:type="spellEnd"/>
      <w:r>
        <w:t xml:space="preserve"> = preserved </w:t>
      </w:r>
      <w:r w:rsidRPr="00024627">
        <w:t xml:space="preserve">left ventricular </w:t>
      </w:r>
      <w:r>
        <w:t xml:space="preserve">ejection fraction; </w:t>
      </w:r>
      <w:r w:rsidRPr="77C7ED53">
        <w:t>ICER</w:t>
      </w:r>
      <w:r>
        <w:t xml:space="preserve"> =</w:t>
      </w:r>
      <w:r w:rsidRPr="77C7ED53">
        <w:t xml:space="preserve"> incremental cost-effectiveness ratio; QALY</w:t>
      </w:r>
      <w:r>
        <w:t xml:space="preserve"> =</w:t>
      </w:r>
      <w:r w:rsidRPr="77C7ED53">
        <w:t xml:space="preserve"> quality-adjusted life year</w:t>
      </w:r>
    </w:p>
    <w:p w14:paraId="7F3EC2BA" w14:textId="398FA0F8" w:rsidR="00AA1DAA" w:rsidRDefault="00AA1DAA" w:rsidP="00895144">
      <w:pPr>
        <w:pStyle w:val="Caption"/>
      </w:pPr>
      <w:bookmarkStart w:id="69" w:name="_Ref154044065"/>
      <w:bookmarkStart w:id="70" w:name="_Toc155173772"/>
      <w:r>
        <w:lastRenderedPageBreak/>
        <w:t xml:space="preserve">Table </w:t>
      </w:r>
      <w:r>
        <w:fldChar w:fldCharType="begin"/>
      </w:r>
      <w:r>
        <w:instrText>SEQ Table \* ARABIC</w:instrText>
      </w:r>
      <w:r>
        <w:fldChar w:fldCharType="separate"/>
      </w:r>
      <w:r w:rsidR="00251E62">
        <w:rPr>
          <w:noProof/>
        </w:rPr>
        <w:t>13</w:t>
      </w:r>
      <w:r>
        <w:fldChar w:fldCharType="end"/>
      </w:r>
      <w:bookmarkEnd w:id="69"/>
      <w:r>
        <w:t xml:space="preserve"> Sensitivity analyses for Population 2</w:t>
      </w:r>
      <w:bookmarkEnd w:id="70"/>
    </w:p>
    <w:tbl>
      <w:tblPr>
        <w:tblStyle w:val="TableGrid1"/>
        <w:tblW w:w="0" w:type="auto"/>
        <w:tblLook w:val="04A0" w:firstRow="1" w:lastRow="0" w:firstColumn="1" w:lastColumn="0" w:noHBand="0" w:noVBand="1"/>
      </w:tblPr>
      <w:tblGrid>
        <w:gridCol w:w="2128"/>
        <w:gridCol w:w="1580"/>
        <w:gridCol w:w="1580"/>
        <w:gridCol w:w="1858"/>
        <w:gridCol w:w="1870"/>
      </w:tblGrid>
      <w:tr w:rsidR="00895144" w:rsidRPr="00FF4212" w14:paraId="24E62D7E" w14:textId="77777777" w:rsidTr="005E2AFC">
        <w:trPr>
          <w:cnfStyle w:val="100000000000" w:firstRow="1" w:lastRow="0" w:firstColumn="0" w:lastColumn="0" w:oddVBand="0" w:evenVBand="0" w:oddHBand="0" w:evenHBand="0" w:firstRowFirstColumn="0" w:firstRowLastColumn="0" w:lastRowFirstColumn="0" w:lastRowLastColumn="0"/>
        </w:trPr>
        <w:tc>
          <w:tcPr>
            <w:tcW w:w="2128" w:type="dxa"/>
          </w:tcPr>
          <w:p w14:paraId="03FB7CFB" w14:textId="77777777" w:rsidR="00AA1DAA" w:rsidRPr="00B879C7" w:rsidRDefault="00AA1DAA" w:rsidP="00D955EA">
            <w:pPr>
              <w:pStyle w:val="TableText"/>
              <w:spacing w:before="0"/>
              <w:rPr>
                <w:rFonts w:cs="Arial"/>
                <w:b/>
                <w:bCs/>
              </w:rPr>
            </w:pPr>
            <w:r w:rsidRPr="00B879C7">
              <w:rPr>
                <w:rFonts w:cs="Arial"/>
                <w:b/>
                <w:bCs/>
              </w:rPr>
              <w:t>Description</w:t>
            </w:r>
          </w:p>
        </w:tc>
        <w:tc>
          <w:tcPr>
            <w:tcW w:w="1580" w:type="dxa"/>
          </w:tcPr>
          <w:p w14:paraId="61F66E7E" w14:textId="77777777" w:rsidR="00AA1DAA" w:rsidRPr="00B879C7" w:rsidRDefault="00AA1DAA" w:rsidP="005E2AFC">
            <w:pPr>
              <w:pStyle w:val="TableText"/>
              <w:spacing w:before="0"/>
              <w:jc w:val="center"/>
              <w:rPr>
                <w:rFonts w:cs="Arial"/>
                <w:b/>
                <w:bCs/>
              </w:rPr>
            </w:pPr>
            <w:r w:rsidRPr="00B879C7">
              <w:rPr>
                <w:rFonts w:cs="Arial"/>
                <w:b/>
                <w:bCs/>
              </w:rPr>
              <w:t>Incremental cost</w:t>
            </w:r>
          </w:p>
        </w:tc>
        <w:tc>
          <w:tcPr>
            <w:tcW w:w="1580" w:type="dxa"/>
          </w:tcPr>
          <w:p w14:paraId="45F9B249" w14:textId="77777777" w:rsidR="00AA1DAA" w:rsidRPr="00B879C7" w:rsidRDefault="00AA1DAA" w:rsidP="005E2AFC">
            <w:pPr>
              <w:pStyle w:val="TableText"/>
              <w:spacing w:before="0"/>
              <w:jc w:val="center"/>
              <w:rPr>
                <w:rFonts w:cs="Arial"/>
                <w:b/>
                <w:bCs/>
              </w:rPr>
            </w:pPr>
            <w:r w:rsidRPr="00B879C7">
              <w:rPr>
                <w:rFonts w:cs="Arial"/>
                <w:b/>
                <w:bCs/>
              </w:rPr>
              <w:t>Incremental QALY</w:t>
            </w:r>
          </w:p>
        </w:tc>
        <w:tc>
          <w:tcPr>
            <w:tcW w:w="1858" w:type="dxa"/>
          </w:tcPr>
          <w:p w14:paraId="1739848C" w14:textId="77777777" w:rsidR="00AA1DAA" w:rsidRPr="00B879C7" w:rsidRDefault="00AA1DAA" w:rsidP="005E2AFC">
            <w:pPr>
              <w:pStyle w:val="TableText"/>
              <w:spacing w:before="0"/>
              <w:jc w:val="center"/>
              <w:rPr>
                <w:rFonts w:cs="Arial"/>
                <w:b/>
                <w:bCs/>
              </w:rPr>
            </w:pPr>
            <w:r w:rsidRPr="00B879C7">
              <w:rPr>
                <w:rFonts w:cs="Arial"/>
                <w:b/>
                <w:bCs/>
              </w:rPr>
              <w:t>ICER</w:t>
            </w:r>
          </w:p>
        </w:tc>
        <w:tc>
          <w:tcPr>
            <w:tcW w:w="1870" w:type="dxa"/>
          </w:tcPr>
          <w:p w14:paraId="149EA32A" w14:textId="11AB68CD" w:rsidR="00AA1DAA" w:rsidRPr="00B879C7" w:rsidRDefault="000E23F0" w:rsidP="00D955EA">
            <w:pPr>
              <w:pStyle w:val="TableText"/>
              <w:spacing w:before="0"/>
              <w:rPr>
                <w:rFonts w:cs="Arial"/>
                <w:b/>
                <w:bCs/>
              </w:rPr>
            </w:pPr>
            <w:r>
              <w:rPr>
                <w:rFonts w:cs="Arial"/>
                <w:b/>
                <w:bCs/>
              </w:rPr>
              <w:t>% change from base case analysis</w:t>
            </w:r>
          </w:p>
        </w:tc>
      </w:tr>
      <w:tr w:rsidR="00895144" w:rsidRPr="00FF4212" w14:paraId="29B8769E" w14:textId="77777777" w:rsidTr="005E2AFC">
        <w:tc>
          <w:tcPr>
            <w:tcW w:w="2128" w:type="dxa"/>
          </w:tcPr>
          <w:p w14:paraId="2D6C0D32" w14:textId="399C2054" w:rsidR="005E2AFC" w:rsidRPr="00FF4212" w:rsidRDefault="005E2AFC" w:rsidP="005E2AFC">
            <w:pPr>
              <w:pStyle w:val="TableText"/>
              <w:spacing w:before="0"/>
              <w:rPr>
                <w:rFonts w:cs="Arial"/>
              </w:rPr>
            </w:pPr>
            <w:r w:rsidRPr="00FF4212">
              <w:rPr>
                <w:rFonts w:cs="Arial"/>
              </w:rPr>
              <w:t>Base case</w:t>
            </w:r>
          </w:p>
        </w:tc>
        <w:tc>
          <w:tcPr>
            <w:tcW w:w="1580" w:type="dxa"/>
            <w:vAlign w:val="center"/>
          </w:tcPr>
          <w:p w14:paraId="25430983" w14:textId="70778A92" w:rsidR="005E2AFC" w:rsidRPr="00FF4212" w:rsidRDefault="005E2AFC" w:rsidP="005E2AFC">
            <w:pPr>
              <w:pStyle w:val="TableText"/>
              <w:spacing w:before="0"/>
              <w:jc w:val="center"/>
              <w:rPr>
                <w:rFonts w:cs="Arial"/>
              </w:rPr>
            </w:pPr>
            <w:r w:rsidRPr="00E8319F">
              <w:t>$</w:t>
            </w:r>
            <w:r>
              <w:t>775</w:t>
            </w:r>
          </w:p>
        </w:tc>
        <w:tc>
          <w:tcPr>
            <w:tcW w:w="1580" w:type="dxa"/>
            <w:vAlign w:val="center"/>
          </w:tcPr>
          <w:p w14:paraId="17D0B1F8" w14:textId="5A417E55" w:rsidR="005E2AFC" w:rsidRPr="00FF4212" w:rsidRDefault="005E2AFC" w:rsidP="005E2AFC">
            <w:pPr>
              <w:pStyle w:val="TableText"/>
              <w:spacing w:before="0"/>
              <w:jc w:val="center"/>
              <w:rPr>
                <w:rFonts w:cs="Arial"/>
              </w:rPr>
            </w:pPr>
            <w:r w:rsidRPr="00AC0AA3">
              <w:t>0.</w:t>
            </w:r>
            <w:r>
              <w:t>05</w:t>
            </w:r>
          </w:p>
        </w:tc>
        <w:tc>
          <w:tcPr>
            <w:tcW w:w="1858" w:type="dxa"/>
            <w:vAlign w:val="center"/>
          </w:tcPr>
          <w:p w14:paraId="3C484698" w14:textId="2D552F17" w:rsidR="005E2AFC" w:rsidRPr="00FF4212" w:rsidRDefault="005E2AFC" w:rsidP="005E2AFC">
            <w:pPr>
              <w:pStyle w:val="TableText"/>
              <w:spacing w:before="0"/>
              <w:jc w:val="center"/>
              <w:rPr>
                <w:rFonts w:cs="Arial"/>
              </w:rPr>
            </w:pPr>
            <w:r w:rsidRPr="00C93235">
              <w:t>$</w:t>
            </w:r>
            <w:r>
              <w:t>15,786.91</w:t>
            </w:r>
          </w:p>
        </w:tc>
        <w:tc>
          <w:tcPr>
            <w:tcW w:w="1870" w:type="dxa"/>
          </w:tcPr>
          <w:p w14:paraId="3BC90458" w14:textId="78357B81" w:rsidR="005E2AFC" w:rsidRPr="00FF4212" w:rsidRDefault="005E2AFC" w:rsidP="005E2AFC">
            <w:pPr>
              <w:pStyle w:val="TableText"/>
              <w:spacing w:before="0"/>
              <w:rPr>
                <w:rFonts w:cs="Arial"/>
              </w:rPr>
            </w:pPr>
            <w:r w:rsidRPr="00FF4212">
              <w:rPr>
                <w:rFonts w:cs="Arial"/>
              </w:rPr>
              <w:t>-</w:t>
            </w:r>
          </w:p>
        </w:tc>
      </w:tr>
      <w:tr w:rsidR="00895144" w:rsidRPr="00FF4212" w14:paraId="4DD55294" w14:textId="77777777" w:rsidTr="005E2AFC">
        <w:tc>
          <w:tcPr>
            <w:tcW w:w="2128" w:type="dxa"/>
          </w:tcPr>
          <w:p w14:paraId="24AB4C4A" w14:textId="36D008A3" w:rsidR="005E2AFC" w:rsidRPr="00FF4212" w:rsidRDefault="005E2AFC" w:rsidP="005E2AFC">
            <w:pPr>
              <w:pStyle w:val="TableText"/>
              <w:spacing w:before="0"/>
              <w:rPr>
                <w:rFonts w:cs="Arial"/>
              </w:rPr>
            </w:pPr>
            <w:r w:rsidRPr="009A4AA3">
              <w:t>Time horizon, lifetime i.e., 85 years of age (20 years was used in base case)</w:t>
            </w:r>
          </w:p>
        </w:tc>
        <w:tc>
          <w:tcPr>
            <w:tcW w:w="1580" w:type="dxa"/>
            <w:vAlign w:val="center"/>
          </w:tcPr>
          <w:p w14:paraId="5A9A71E5" w14:textId="4932BE27" w:rsidR="005E2AFC" w:rsidRPr="00E8319F" w:rsidRDefault="005E2AFC" w:rsidP="005E2AFC">
            <w:pPr>
              <w:pStyle w:val="TableText"/>
              <w:spacing w:before="0"/>
              <w:jc w:val="center"/>
            </w:pPr>
            <w:r w:rsidRPr="009A4AA3">
              <w:t>$</w:t>
            </w:r>
            <w:r>
              <w:t>1,237</w:t>
            </w:r>
          </w:p>
        </w:tc>
        <w:tc>
          <w:tcPr>
            <w:tcW w:w="1580" w:type="dxa"/>
            <w:vAlign w:val="center"/>
          </w:tcPr>
          <w:p w14:paraId="7210552D" w14:textId="52521867" w:rsidR="005E2AFC" w:rsidRPr="00AC0AA3" w:rsidRDefault="005E2AFC" w:rsidP="005E2AFC">
            <w:pPr>
              <w:pStyle w:val="TableText"/>
              <w:spacing w:before="0"/>
              <w:jc w:val="center"/>
            </w:pPr>
            <w:r w:rsidRPr="009A4AA3">
              <w:t>0.1</w:t>
            </w:r>
            <w:r>
              <w:t>5</w:t>
            </w:r>
          </w:p>
        </w:tc>
        <w:tc>
          <w:tcPr>
            <w:tcW w:w="1858" w:type="dxa"/>
            <w:vAlign w:val="center"/>
          </w:tcPr>
          <w:p w14:paraId="77A08A44" w14:textId="0EE905B1" w:rsidR="005E2AFC" w:rsidRPr="00C93235" w:rsidRDefault="005E2AFC" w:rsidP="005E2AFC">
            <w:pPr>
              <w:pStyle w:val="TableText"/>
              <w:spacing w:before="0"/>
              <w:jc w:val="center"/>
            </w:pPr>
            <w:r w:rsidRPr="009A4AA3">
              <w:t>$5,770.88</w:t>
            </w:r>
          </w:p>
        </w:tc>
        <w:tc>
          <w:tcPr>
            <w:tcW w:w="1870" w:type="dxa"/>
            <w:vAlign w:val="center"/>
          </w:tcPr>
          <w:p w14:paraId="64E55AB2" w14:textId="4D60BEE6" w:rsidR="005E2AFC" w:rsidRPr="00FF4212" w:rsidRDefault="000E23F0" w:rsidP="005E2AFC">
            <w:pPr>
              <w:pStyle w:val="TableText"/>
              <w:spacing w:before="0"/>
              <w:rPr>
                <w:rFonts w:cs="Arial"/>
              </w:rPr>
            </w:pPr>
            <w:r>
              <w:t>-48%</w:t>
            </w:r>
          </w:p>
        </w:tc>
      </w:tr>
      <w:tr w:rsidR="00895144" w:rsidRPr="00FF4212" w14:paraId="7AC89297" w14:textId="77777777" w:rsidTr="005E2AFC">
        <w:tc>
          <w:tcPr>
            <w:tcW w:w="2128" w:type="dxa"/>
          </w:tcPr>
          <w:p w14:paraId="0BCDD189" w14:textId="33D82609" w:rsidR="005E2AFC" w:rsidRPr="00FF4212" w:rsidRDefault="005E2AFC" w:rsidP="005E2AFC">
            <w:pPr>
              <w:pStyle w:val="TableText"/>
              <w:spacing w:before="0"/>
              <w:rPr>
                <w:rFonts w:cs="Arial"/>
              </w:rPr>
            </w:pPr>
            <w:r w:rsidRPr="00545F69">
              <w:t xml:space="preserve">Time horizon, </w:t>
            </w:r>
            <w:r>
              <w:t>10 years</w:t>
            </w:r>
            <w:r w:rsidRPr="00545F69">
              <w:t xml:space="preserve"> (20 years was used in base case)</w:t>
            </w:r>
          </w:p>
        </w:tc>
        <w:tc>
          <w:tcPr>
            <w:tcW w:w="1580" w:type="dxa"/>
            <w:vAlign w:val="center"/>
          </w:tcPr>
          <w:p w14:paraId="71EC191B" w14:textId="06380755" w:rsidR="005E2AFC" w:rsidRPr="00D85C02" w:rsidRDefault="005E2AFC" w:rsidP="005E2AFC">
            <w:pPr>
              <w:pStyle w:val="TableText"/>
              <w:spacing w:before="0"/>
              <w:jc w:val="center"/>
              <w:rPr>
                <w:rFonts w:cs="Arial"/>
              </w:rPr>
            </w:pPr>
            <w:r>
              <w:t>$419</w:t>
            </w:r>
          </w:p>
        </w:tc>
        <w:tc>
          <w:tcPr>
            <w:tcW w:w="1580" w:type="dxa"/>
            <w:vAlign w:val="center"/>
          </w:tcPr>
          <w:p w14:paraId="098C24B0" w14:textId="2E7DF61C" w:rsidR="005E2AFC" w:rsidRPr="00D85C02" w:rsidRDefault="005E2AFC" w:rsidP="005E2AFC">
            <w:pPr>
              <w:pStyle w:val="TableText"/>
              <w:spacing w:before="0"/>
              <w:jc w:val="center"/>
              <w:rPr>
                <w:rFonts w:cs="Arial"/>
              </w:rPr>
            </w:pPr>
            <w:r>
              <w:t>0.01</w:t>
            </w:r>
          </w:p>
        </w:tc>
        <w:tc>
          <w:tcPr>
            <w:tcW w:w="1858" w:type="dxa"/>
            <w:vAlign w:val="center"/>
          </w:tcPr>
          <w:p w14:paraId="60681B6C" w14:textId="31576CC9" w:rsidR="005E2AFC" w:rsidRPr="00D85C02" w:rsidRDefault="005E2AFC" w:rsidP="005E2AFC">
            <w:pPr>
              <w:pStyle w:val="TableText"/>
              <w:spacing w:before="0"/>
              <w:jc w:val="center"/>
              <w:rPr>
                <w:rFonts w:cs="Arial"/>
              </w:rPr>
            </w:pPr>
            <w:r>
              <w:t>$37,129.97</w:t>
            </w:r>
          </w:p>
        </w:tc>
        <w:tc>
          <w:tcPr>
            <w:tcW w:w="1870" w:type="dxa"/>
            <w:vAlign w:val="center"/>
          </w:tcPr>
          <w:p w14:paraId="14F0F3E0" w14:textId="198DFE5D" w:rsidR="005E2AFC" w:rsidRPr="00FF4212" w:rsidRDefault="000E23F0" w:rsidP="005E2AFC">
            <w:pPr>
              <w:pStyle w:val="TableText"/>
              <w:spacing w:before="0"/>
              <w:rPr>
                <w:rFonts w:cs="Arial"/>
              </w:rPr>
            </w:pPr>
            <w:r>
              <w:rPr>
                <w:rFonts w:cs="Arial"/>
              </w:rPr>
              <w:t>+135%</w:t>
            </w:r>
          </w:p>
        </w:tc>
      </w:tr>
      <w:tr w:rsidR="00895144" w:rsidRPr="00FF4212" w14:paraId="43E3AEA3" w14:textId="77777777" w:rsidTr="005E2AFC">
        <w:tc>
          <w:tcPr>
            <w:tcW w:w="2128" w:type="dxa"/>
          </w:tcPr>
          <w:p w14:paraId="7BACB039" w14:textId="16353D2B" w:rsidR="005E2AFC" w:rsidRPr="00FF4212" w:rsidRDefault="005E2AFC" w:rsidP="005E2AFC">
            <w:pPr>
              <w:pStyle w:val="TableText"/>
              <w:spacing w:before="0"/>
              <w:rPr>
                <w:rFonts w:cs="Arial"/>
              </w:rPr>
            </w:pPr>
            <w:r w:rsidRPr="00545F69">
              <w:t xml:space="preserve">Time horizon, </w:t>
            </w:r>
            <w:r>
              <w:t>5 years</w:t>
            </w:r>
            <w:r w:rsidRPr="00545F69">
              <w:t xml:space="preserve"> (20 years was used in base case)</w:t>
            </w:r>
          </w:p>
        </w:tc>
        <w:tc>
          <w:tcPr>
            <w:tcW w:w="1580" w:type="dxa"/>
            <w:vAlign w:val="center"/>
          </w:tcPr>
          <w:p w14:paraId="2AF18733" w14:textId="137847CE" w:rsidR="005E2AFC" w:rsidRPr="00D85C02" w:rsidRDefault="005E2AFC" w:rsidP="005E2AFC">
            <w:pPr>
              <w:pStyle w:val="TableText"/>
              <w:spacing w:before="0"/>
              <w:jc w:val="center"/>
              <w:rPr>
                <w:rFonts w:cs="Arial"/>
              </w:rPr>
            </w:pPr>
            <w:r>
              <w:t>$202</w:t>
            </w:r>
          </w:p>
        </w:tc>
        <w:tc>
          <w:tcPr>
            <w:tcW w:w="1580" w:type="dxa"/>
            <w:vAlign w:val="center"/>
          </w:tcPr>
          <w:p w14:paraId="0EDC792F" w14:textId="0867719F" w:rsidR="005E2AFC" w:rsidRPr="00D85C02" w:rsidRDefault="005E2AFC" w:rsidP="005E2AFC">
            <w:pPr>
              <w:pStyle w:val="TableText"/>
              <w:spacing w:before="0"/>
              <w:jc w:val="center"/>
              <w:rPr>
                <w:rFonts w:cs="Arial"/>
              </w:rPr>
            </w:pPr>
            <w:r>
              <w:t>0.002</w:t>
            </w:r>
          </w:p>
        </w:tc>
        <w:tc>
          <w:tcPr>
            <w:tcW w:w="1858" w:type="dxa"/>
            <w:vAlign w:val="center"/>
          </w:tcPr>
          <w:p w14:paraId="3B21C8C1" w14:textId="037E94B1" w:rsidR="005E2AFC" w:rsidRPr="00D85C02" w:rsidRDefault="005E2AFC" w:rsidP="005E2AFC">
            <w:pPr>
              <w:pStyle w:val="TableText"/>
              <w:spacing w:before="0"/>
              <w:jc w:val="center"/>
              <w:rPr>
                <w:rFonts w:cs="Arial"/>
              </w:rPr>
            </w:pPr>
            <w:r>
              <w:t>$84,549.82</w:t>
            </w:r>
          </w:p>
        </w:tc>
        <w:tc>
          <w:tcPr>
            <w:tcW w:w="1870" w:type="dxa"/>
            <w:vAlign w:val="center"/>
          </w:tcPr>
          <w:p w14:paraId="1A1F754C" w14:textId="2406E05E" w:rsidR="005E2AFC" w:rsidRPr="00FF4212" w:rsidRDefault="000E23F0" w:rsidP="005E2AFC">
            <w:pPr>
              <w:pStyle w:val="TableText"/>
              <w:spacing w:before="0"/>
              <w:rPr>
                <w:rFonts w:cs="Arial"/>
              </w:rPr>
            </w:pPr>
            <w:r>
              <w:rPr>
                <w:rFonts w:cs="Arial"/>
              </w:rPr>
              <w:t>+436%</w:t>
            </w:r>
          </w:p>
        </w:tc>
      </w:tr>
      <w:tr w:rsidR="00895144" w:rsidRPr="00FF4212" w14:paraId="7B72B0E2" w14:textId="77777777" w:rsidTr="005E2AFC">
        <w:tc>
          <w:tcPr>
            <w:tcW w:w="2128" w:type="dxa"/>
          </w:tcPr>
          <w:p w14:paraId="10AF8EBD" w14:textId="67D1751C" w:rsidR="005E2AFC" w:rsidRDefault="005E2AFC" w:rsidP="005E2AFC">
            <w:pPr>
              <w:pStyle w:val="TableText"/>
              <w:spacing w:before="0"/>
              <w:rPr>
                <w:rFonts w:cs="Arial"/>
              </w:rPr>
            </w:pPr>
            <w:r w:rsidRPr="00FF4212">
              <w:rPr>
                <w:rFonts w:cs="Arial"/>
              </w:rPr>
              <w:t>Discount rate 0%</w:t>
            </w:r>
          </w:p>
        </w:tc>
        <w:tc>
          <w:tcPr>
            <w:tcW w:w="1580" w:type="dxa"/>
            <w:vAlign w:val="center"/>
          </w:tcPr>
          <w:p w14:paraId="3A03B53D" w14:textId="3B864E8F" w:rsidR="005E2AFC" w:rsidRPr="00D85C02" w:rsidRDefault="005E2AFC" w:rsidP="005E2AFC">
            <w:pPr>
              <w:pStyle w:val="TableText"/>
              <w:spacing w:before="0"/>
              <w:jc w:val="center"/>
              <w:rPr>
                <w:rFonts w:cs="Arial"/>
              </w:rPr>
            </w:pPr>
            <w:r w:rsidRPr="00D85C02">
              <w:rPr>
                <w:rFonts w:cs="Arial"/>
              </w:rPr>
              <w:t>$</w:t>
            </w:r>
            <w:r>
              <w:rPr>
                <w:rFonts w:cs="Arial"/>
              </w:rPr>
              <w:t>805</w:t>
            </w:r>
          </w:p>
        </w:tc>
        <w:tc>
          <w:tcPr>
            <w:tcW w:w="1580" w:type="dxa"/>
            <w:vAlign w:val="center"/>
          </w:tcPr>
          <w:p w14:paraId="3B4CB110" w14:textId="6E34EBB6" w:rsidR="005E2AFC" w:rsidRPr="00D85C02" w:rsidRDefault="005E2AFC" w:rsidP="005E2AFC">
            <w:pPr>
              <w:pStyle w:val="TableText"/>
              <w:spacing w:before="0"/>
              <w:jc w:val="center"/>
              <w:rPr>
                <w:rFonts w:cs="Arial"/>
              </w:rPr>
            </w:pPr>
            <w:r w:rsidRPr="00D85C02">
              <w:rPr>
                <w:rFonts w:cs="Arial"/>
              </w:rPr>
              <w:t>0.05</w:t>
            </w:r>
          </w:p>
        </w:tc>
        <w:tc>
          <w:tcPr>
            <w:tcW w:w="1858" w:type="dxa"/>
            <w:vAlign w:val="center"/>
          </w:tcPr>
          <w:p w14:paraId="08318CBB" w14:textId="3EA02A1D" w:rsidR="005E2AFC" w:rsidRPr="00D85C02" w:rsidRDefault="005E2AFC" w:rsidP="005E2AFC">
            <w:pPr>
              <w:pStyle w:val="TableText"/>
              <w:spacing w:before="0"/>
              <w:jc w:val="center"/>
              <w:rPr>
                <w:rFonts w:cs="Arial"/>
              </w:rPr>
            </w:pPr>
            <w:r w:rsidRPr="00D85C02">
              <w:rPr>
                <w:rFonts w:cs="Arial"/>
              </w:rPr>
              <w:t>$1</w:t>
            </w:r>
            <w:r>
              <w:rPr>
                <w:rFonts w:cs="Arial"/>
              </w:rPr>
              <w:t>5,510.70</w:t>
            </w:r>
          </w:p>
        </w:tc>
        <w:tc>
          <w:tcPr>
            <w:tcW w:w="1870" w:type="dxa"/>
            <w:vAlign w:val="center"/>
          </w:tcPr>
          <w:p w14:paraId="6FF09435" w14:textId="5EE2AB51" w:rsidR="005E2AFC" w:rsidRDefault="000E23F0" w:rsidP="005E2AFC">
            <w:pPr>
              <w:pStyle w:val="TableText"/>
              <w:spacing w:before="0"/>
              <w:rPr>
                <w:rFonts w:cs="Arial"/>
              </w:rPr>
            </w:pPr>
            <w:r>
              <w:rPr>
                <w:rFonts w:cs="Arial"/>
              </w:rPr>
              <w:t>-2%</w:t>
            </w:r>
          </w:p>
        </w:tc>
      </w:tr>
      <w:tr w:rsidR="00895144" w:rsidRPr="00FF4212" w14:paraId="360C7460" w14:textId="77777777" w:rsidTr="005E2AFC">
        <w:tc>
          <w:tcPr>
            <w:tcW w:w="2128" w:type="dxa"/>
          </w:tcPr>
          <w:p w14:paraId="79F8C336" w14:textId="58EF3706" w:rsidR="005E2AFC" w:rsidRDefault="005E2AFC" w:rsidP="005E2AFC">
            <w:pPr>
              <w:pStyle w:val="TableText"/>
              <w:spacing w:before="0"/>
              <w:rPr>
                <w:rFonts w:cs="Arial"/>
              </w:rPr>
            </w:pPr>
            <w:r w:rsidRPr="00FF4212">
              <w:rPr>
                <w:rFonts w:cs="Arial"/>
              </w:rPr>
              <w:t>Discount rate 3.5%</w:t>
            </w:r>
          </w:p>
        </w:tc>
        <w:tc>
          <w:tcPr>
            <w:tcW w:w="1580" w:type="dxa"/>
            <w:vAlign w:val="center"/>
          </w:tcPr>
          <w:p w14:paraId="5765EB39" w14:textId="03B2D087" w:rsidR="005E2AFC" w:rsidRPr="00D85C02" w:rsidRDefault="005E2AFC" w:rsidP="005E2AFC">
            <w:pPr>
              <w:pStyle w:val="TableText"/>
              <w:spacing w:before="0"/>
              <w:jc w:val="center"/>
              <w:rPr>
                <w:rFonts w:cs="Arial"/>
              </w:rPr>
            </w:pPr>
            <w:r w:rsidRPr="00D85C02">
              <w:rPr>
                <w:rFonts w:cs="Arial"/>
              </w:rPr>
              <w:t>$</w:t>
            </w:r>
            <w:r>
              <w:rPr>
                <w:rFonts w:cs="Arial"/>
              </w:rPr>
              <w:t>783</w:t>
            </w:r>
          </w:p>
        </w:tc>
        <w:tc>
          <w:tcPr>
            <w:tcW w:w="1580" w:type="dxa"/>
            <w:vAlign w:val="center"/>
          </w:tcPr>
          <w:p w14:paraId="7BFDC63D" w14:textId="71BD2334" w:rsidR="005E2AFC" w:rsidRPr="00D85C02" w:rsidRDefault="005E2AFC" w:rsidP="005E2AFC">
            <w:pPr>
              <w:pStyle w:val="TableText"/>
              <w:spacing w:before="0"/>
              <w:jc w:val="center"/>
              <w:rPr>
                <w:rFonts w:cs="Arial"/>
              </w:rPr>
            </w:pPr>
            <w:r w:rsidRPr="00D85C02">
              <w:rPr>
                <w:rFonts w:cs="Arial"/>
              </w:rPr>
              <w:t>0.05</w:t>
            </w:r>
          </w:p>
        </w:tc>
        <w:tc>
          <w:tcPr>
            <w:tcW w:w="1858" w:type="dxa"/>
            <w:vAlign w:val="center"/>
          </w:tcPr>
          <w:p w14:paraId="51AB1EE0" w14:textId="490A5DAD" w:rsidR="005E2AFC" w:rsidRPr="00D85C02" w:rsidRDefault="005E2AFC" w:rsidP="005E2AFC">
            <w:pPr>
              <w:pStyle w:val="TableText"/>
              <w:spacing w:before="0"/>
              <w:jc w:val="center"/>
              <w:rPr>
                <w:rFonts w:cs="Arial"/>
              </w:rPr>
            </w:pPr>
            <w:r w:rsidRPr="00D85C02">
              <w:rPr>
                <w:rFonts w:cs="Arial"/>
              </w:rPr>
              <w:t>$1</w:t>
            </w:r>
            <w:r>
              <w:rPr>
                <w:rFonts w:cs="Arial"/>
              </w:rPr>
              <w:t>5,703.18</w:t>
            </w:r>
          </w:p>
        </w:tc>
        <w:tc>
          <w:tcPr>
            <w:tcW w:w="1870" w:type="dxa"/>
            <w:vAlign w:val="center"/>
          </w:tcPr>
          <w:p w14:paraId="2CCC5603" w14:textId="2C2025E1" w:rsidR="005E2AFC" w:rsidRDefault="000E23F0" w:rsidP="005E2AFC">
            <w:pPr>
              <w:pStyle w:val="TableText"/>
              <w:spacing w:before="0"/>
              <w:rPr>
                <w:rFonts w:cs="Arial"/>
              </w:rPr>
            </w:pPr>
            <w:r>
              <w:rPr>
                <w:rFonts w:cs="Arial"/>
              </w:rPr>
              <w:t>-1%</w:t>
            </w:r>
          </w:p>
        </w:tc>
      </w:tr>
      <w:tr w:rsidR="00895144" w:rsidRPr="00FF4212" w14:paraId="4233CABD" w14:textId="77777777" w:rsidTr="005E2AFC">
        <w:tc>
          <w:tcPr>
            <w:tcW w:w="2128" w:type="dxa"/>
          </w:tcPr>
          <w:p w14:paraId="16D96510" w14:textId="00E19FDF" w:rsidR="005E2AFC" w:rsidRDefault="005E2AFC" w:rsidP="005E2AFC">
            <w:pPr>
              <w:pStyle w:val="TableText"/>
              <w:spacing w:before="0"/>
              <w:rPr>
                <w:rFonts w:cs="Arial"/>
              </w:rPr>
            </w:pPr>
            <w:r>
              <w:rPr>
                <w:rFonts w:cs="Arial"/>
              </w:rPr>
              <w:t xml:space="preserve">RR of MACE with monitoring and prophylactic treatment of those with LGE and </w:t>
            </w:r>
            <w:proofErr w:type="spellStart"/>
            <w:r>
              <w:rPr>
                <w:rFonts w:cs="Arial"/>
              </w:rPr>
              <w:t>pLVEF</w:t>
            </w:r>
            <w:proofErr w:type="spellEnd"/>
            <w:r>
              <w:rPr>
                <w:rFonts w:cs="Arial"/>
              </w:rPr>
              <w:t>, 0.75</w:t>
            </w:r>
          </w:p>
        </w:tc>
        <w:tc>
          <w:tcPr>
            <w:tcW w:w="1580" w:type="dxa"/>
            <w:vAlign w:val="center"/>
          </w:tcPr>
          <w:p w14:paraId="2D06D6A7" w14:textId="12D39DDA" w:rsidR="005E2AFC" w:rsidRPr="00D85C02" w:rsidRDefault="005E2AFC" w:rsidP="005E2AFC">
            <w:pPr>
              <w:pStyle w:val="TableText"/>
              <w:spacing w:before="0"/>
              <w:jc w:val="center"/>
              <w:rPr>
                <w:rFonts w:cs="Arial"/>
              </w:rPr>
            </w:pPr>
            <w:r w:rsidRPr="00D85C02">
              <w:rPr>
                <w:rFonts w:cs="Arial"/>
              </w:rPr>
              <w:t>$</w:t>
            </w:r>
            <w:r>
              <w:rPr>
                <w:rFonts w:cs="Arial"/>
              </w:rPr>
              <w:t>821</w:t>
            </w:r>
          </w:p>
        </w:tc>
        <w:tc>
          <w:tcPr>
            <w:tcW w:w="1580" w:type="dxa"/>
            <w:vAlign w:val="center"/>
          </w:tcPr>
          <w:p w14:paraId="7A659536" w14:textId="37E029F4" w:rsidR="005E2AFC" w:rsidRPr="00D85C02" w:rsidRDefault="005E2AFC" w:rsidP="005E2AFC">
            <w:pPr>
              <w:pStyle w:val="TableText"/>
              <w:spacing w:before="0"/>
              <w:jc w:val="center"/>
              <w:rPr>
                <w:rFonts w:cs="Arial"/>
              </w:rPr>
            </w:pPr>
            <w:r w:rsidRPr="00D85C02">
              <w:rPr>
                <w:rFonts w:cs="Arial"/>
              </w:rPr>
              <w:t>0.03</w:t>
            </w:r>
          </w:p>
        </w:tc>
        <w:tc>
          <w:tcPr>
            <w:tcW w:w="1858" w:type="dxa"/>
            <w:vAlign w:val="center"/>
          </w:tcPr>
          <w:p w14:paraId="261A42F0" w14:textId="20C5CE3A" w:rsidR="005E2AFC" w:rsidRPr="00D85C02" w:rsidRDefault="005E2AFC" w:rsidP="005E2AFC">
            <w:pPr>
              <w:pStyle w:val="TableText"/>
              <w:spacing w:before="0"/>
              <w:jc w:val="center"/>
              <w:rPr>
                <w:rFonts w:cs="Arial"/>
              </w:rPr>
            </w:pPr>
            <w:r w:rsidRPr="00D85C02">
              <w:rPr>
                <w:rFonts w:cs="Arial"/>
              </w:rPr>
              <w:t>$</w:t>
            </w:r>
            <w:r>
              <w:rPr>
                <w:rFonts w:cs="Arial"/>
              </w:rPr>
              <w:t>32,744.77</w:t>
            </w:r>
          </w:p>
        </w:tc>
        <w:tc>
          <w:tcPr>
            <w:tcW w:w="1870" w:type="dxa"/>
            <w:vAlign w:val="center"/>
          </w:tcPr>
          <w:p w14:paraId="5886B0A7" w14:textId="166C44B9" w:rsidR="005E2AFC" w:rsidRDefault="000E23F0" w:rsidP="005E2AFC">
            <w:pPr>
              <w:pStyle w:val="TableText"/>
              <w:spacing w:before="0"/>
              <w:rPr>
                <w:rFonts w:cs="Arial"/>
              </w:rPr>
            </w:pPr>
            <w:r>
              <w:rPr>
                <w:rFonts w:cs="Arial"/>
              </w:rPr>
              <w:t>+107%</w:t>
            </w:r>
          </w:p>
        </w:tc>
      </w:tr>
      <w:tr w:rsidR="00895144" w:rsidRPr="00FF4212" w14:paraId="24517533" w14:textId="77777777" w:rsidTr="005E2AFC">
        <w:tc>
          <w:tcPr>
            <w:tcW w:w="2128" w:type="dxa"/>
          </w:tcPr>
          <w:p w14:paraId="57F586DB" w14:textId="27B9D164" w:rsidR="005E2AFC" w:rsidRDefault="005E2AFC" w:rsidP="005E2AFC">
            <w:pPr>
              <w:pStyle w:val="TableText"/>
              <w:spacing w:before="0"/>
              <w:rPr>
                <w:rFonts w:cs="Arial"/>
              </w:rPr>
            </w:pPr>
            <w:r>
              <w:rPr>
                <w:rFonts w:cs="Arial"/>
              </w:rPr>
              <w:t xml:space="preserve">RR of MACE with monitoring and prophylactic treatment of those with LGE and </w:t>
            </w:r>
            <w:proofErr w:type="spellStart"/>
            <w:r>
              <w:rPr>
                <w:rFonts w:cs="Arial"/>
              </w:rPr>
              <w:t>pLVEF</w:t>
            </w:r>
            <w:proofErr w:type="spellEnd"/>
            <w:r>
              <w:rPr>
                <w:rFonts w:cs="Arial"/>
              </w:rPr>
              <w:t>, 0.25</w:t>
            </w:r>
          </w:p>
        </w:tc>
        <w:tc>
          <w:tcPr>
            <w:tcW w:w="1580" w:type="dxa"/>
            <w:vAlign w:val="center"/>
          </w:tcPr>
          <w:p w14:paraId="0143635E" w14:textId="1EA2B3A9" w:rsidR="005E2AFC" w:rsidRPr="00D85C02" w:rsidRDefault="005E2AFC" w:rsidP="005E2AFC">
            <w:pPr>
              <w:pStyle w:val="TableText"/>
              <w:spacing w:before="0"/>
              <w:jc w:val="center"/>
              <w:rPr>
                <w:rFonts w:cs="Arial"/>
              </w:rPr>
            </w:pPr>
            <w:r w:rsidRPr="00D85C02">
              <w:rPr>
                <w:rFonts w:cs="Arial"/>
              </w:rPr>
              <w:t>$</w:t>
            </w:r>
            <w:r>
              <w:rPr>
                <w:rFonts w:cs="Arial"/>
              </w:rPr>
              <w:t>726</w:t>
            </w:r>
          </w:p>
        </w:tc>
        <w:tc>
          <w:tcPr>
            <w:tcW w:w="1580" w:type="dxa"/>
            <w:vAlign w:val="center"/>
          </w:tcPr>
          <w:p w14:paraId="1147BE88" w14:textId="62D31510" w:rsidR="005E2AFC" w:rsidRPr="00D85C02" w:rsidRDefault="005E2AFC" w:rsidP="005E2AFC">
            <w:pPr>
              <w:pStyle w:val="TableText"/>
              <w:spacing w:before="0"/>
              <w:jc w:val="center"/>
              <w:rPr>
                <w:rFonts w:cs="Arial"/>
              </w:rPr>
            </w:pPr>
            <w:r w:rsidRPr="00D85C02">
              <w:rPr>
                <w:rFonts w:cs="Arial"/>
              </w:rPr>
              <w:t>0.0</w:t>
            </w:r>
            <w:r>
              <w:rPr>
                <w:rFonts w:cs="Arial"/>
              </w:rPr>
              <w:t>7</w:t>
            </w:r>
          </w:p>
        </w:tc>
        <w:tc>
          <w:tcPr>
            <w:tcW w:w="1858" w:type="dxa"/>
            <w:vAlign w:val="center"/>
          </w:tcPr>
          <w:p w14:paraId="08650F6C" w14:textId="56DBE944" w:rsidR="005E2AFC" w:rsidRPr="00D85C02" w:rsidRDefault="005E2AFC" w:rsidP="005E2AFC">
            <w:pPr>
              <w:pStyle w:val="TableText"/>
              <w:spacing w:before="0"/>
              <w:jc w:val="center"/>
              <w:rPr>
                <w:rFonts w:cs="Arial"/>
              </w:rPr>
            </w:pPr>
            <w:r w:rsidRPr="00D85C02">
              <w:rPr>
                <w:rFonts w:cs="Arial"/>
              </w:rPr>
              <w:t>$</w:t>
            </w:r>
            <w:r>
              <w:rPr>
                <w:rFonts w:cs="Arial"/>
              </w:rPr>
              <w:t>9,800.94</w:t>
            </w:r>
          </w:p>
        </w:tc>
        <w:tc>
          <w:tcPr>
            <w:tcW w:w="1870" w:type="dxa"/>
            <w:vAlign w:val="center"/>
          </w:tcPr>
          <w:p w14:paraId="280D6110" w14:textId="7836636E" w:rsidR="005E2AFC" w:rsidRDefault="000E23F0" w:rsidP="005E2AFC">
            <w:pPr>
              <w:pStyle w:val="TableText"/>
              <w:spacing w:before="0"/>
              <w:rPr>
                <w:rFonts w:cs="Arial"/>
              </w:rPr>
            </w:pPr>
            <w:r>
              <w:rPr>
                <w:rFonts w:cs="Arial"/>
              </w:rPr>
              <w:t>-38%</w:t>
            </w:r>
          </w:p>
        </w:tc>
      </w:tr>
      <w:tr w:rsidR="005E2AFC" w:rsidRPr="00FF4212" w14:paraId="2C2DEDA5" w14:textId="77777777" w:rsidTr="005E2AFC">
        <w:tc>
          <w:tcPr>
            <w:tcW w:w="2128" w:type="dxa"/>
          </w:tcPr>
          <w:p w14:paraId="5A267853" w14:textId="6DDEF0FE" w:rsidR="005E2AFC" w:rsidRDefault="005E2AFC" w:rsidP="005E2AFC">
            <w:pPr>
              <w:pStyle w:val="TableText"/>
              <w:spacing w:before="0"/>
              <w:rPr>
                <w:rFonts w:cs="Arial"/>
              </w:rPr>
            </w:pPr>
            <w:r>
              <w:rPr>
                <w:rFonts w:cs="Arial"/>
              </w:rPr>
              <w:t xml:space="preserve">Probability of MACE in those with LGE and </w:t>
            </w:r>
            <w:proofErr w:type="spellStart"/>
            <w:r>
              <w:rPr>
                <w:rFonts w:cs="Arial"/>
              </w:rPr>
              <w:t>pLVEF</w:t>
            </w:r>
            <w:proofErr w:type="spellEnd"/>
            <w:r>
              <w:rPr>
                <w:rFonts w:cs="Arial"/>
              </w:rPr>
              <w:t>, -10%</w:t>
            </w:r>
          </w:p>
        </w:tc>
        <w:tc>
          <w:tcPr>
            <w:tcW w:w="1580" w:type="dxa"/>
            <w:vAlign w:val="center"/>
          </w:tcPr>
          <w:p w14:paraId="10E2EBE3" w14:textId="0CACAEF6" w:rsidR="005E2AFC" w:rsidRPr="00D85C02" w:rsidRDefault="005E2AFC" w:rsidP="005E2AFC">
            <w:pPr>
              <w:pStyle w:val="TableText"/>
              <w:spacing w:before="0"/>
              <w:jc w:val="center"/>
              <w:rPr>
                <w:rFonts w:cs="Arial"/>
              </w:rPr>
            </w:pPr>
            <w:r>
              <w:rPr>
                <w:rFonts w:cs="Arial"/>
              </w:rPr>
              <w:t>$816</w:t>
            </w:r>
          </w:p>
        </w:tc>
        <w:tc>
          <w:tcPr>
            <w:tcW w:w="1580" w:type="dxa"/>
            <w:vAlign w:val="center"/>
          </w:tcPr>
          <w:p w14:paraId="6C800DDF" w14:textId="15DC65C7" w:rsidR="005E2AFC" w:rsidRPr="00D85C02" w:rsidRDefault="005E2AFC" w:rsidP="005E2AFC">
            <w:pPr>
              <w:pStyle w:val="TableText"/>
              <w:spacing w:before="0"/>
              <w:jc w:val="center"/>
              <w:rPr>
                <w:rFonts w:cs="Arial"/>
              </w:rPr>
            </w:pPr>
            <w:r>
              <w:rPr>
                <w:rFonts w:cs="Arial"/>
              </w:rPr>
              <w:t>0.04</w:t>
            </w:r>
          </w:p>
        </w:tc>
        <w:tc>
          <w:tcPr>
            <w:tcW w:w="1858" w:type="dxa"/>
            <w:vAlign w:val="center"/>
          </w:tcPr>
          <w:p w14:paraId="07A11CE0" w14:textId="4314F9A6" w:rsidR="005E2AFC" w:rsidRPr="00D85C02" w:rsidRDefault="005E2AFC" w:rsidP="005E2AFC">
            <w:pPr>
              <w:pStyle w:val="TableText"/>
              <w:spacing w:before="0"/>
              <w:jc w:val="center"/>
              <w:rPr>
                <w:rFonts w:cs="Arial"/>
              </w:rPr>
            </w:pPr>
            <w:r>
              <w:rPr>
                <w:rFonts w:cs="Arial"/>
              </w:rPr>
              <w:t>$19,920.91</w:t>
            </w:r>
          </w:p>
        </w:tc>
        <w:tc>
          <w:tcPr>
            <w:tcW w:w="1870" w:type="dxa"/>
            <w:vAlign w:val="center"/>
          </w:tcPr>
          <w:p w14:paraId="4ADD7067" w14:textId="302F2E70" w:rsidR="005E2AFC" w:rsidRDefault="000E23F0" w:rsidP="005E2AFC">
            <w:pPr>
              <w:pStyle w:val="TableText"/>
              <w:spacing w:before="0"/>
              <w:rPr>
                <w:rFonts w:cs="Arial"/>
              </w:rPr>
            </w:pPr>
            <w:r>
              <w:rPr>
                <w:rFonts w:cs="Arial"/>
              </w:rPr>
              <w:t>+26%</w:t>
            </w:r>
          </w:p>
        </w:tc>
      </w:tr>
      <w:tr w:rsidR="005E2AFC" w:rsidRPr="00FF4212" w14:paraId="2E353B70" w14:textId="77777777" w:rsidTr="005E2AFC">
        <w:tc>
          <w:tcPr>
            <w:tcW w:w="2128" w:type="dxa"/>
            <w:vAlign w:val="center"/>
          </w:tcPr>
          <w:p w14:paraId="1EF5D0BB" w14:textId="1ED7D244" w:rsidR="005E2AFC" w:rsidRDefault="005E2AFC" w:rsidP="005E2AFC">
            <w:pPr>
              <w:pStyle w:val="TableText"/>
              <w:spacing w:before="0"/>
              <w:rPr>
                <w:rFonts w:cs="Arial"/>
              </w:rPr>
            </w:pPr>
            <w:r>
              <w:rPr>
                <w:rFonts w:cs="Arial"/>
              </w:rPr>
              <w:t xml:space="preserve">Probability of MACE in those with LGE and </w:t>
            </w:r>
            <w:proofErr w:type="spellStart"/>
            <w:r>
              <w:rPr>
                <w:rFonts w:cs="Arial"/>
              </w:rPr>
              <w:t>pLVEF</w:t>
            </w:r>
            <w:proofErr w:type="spellEnd"/>
            <w:r>
              <w:rPr>
                <w:rFonts w:cs="Arial"/>
              </w:rPr>
              <w:t>, +10%</w:t>
            </w:r>
          </w:p>
        </w:tc>
        <w:tc>
          <w:tcPr>
            <w:tcW w:w="1580" w:type="dxa"/>
            <w:vAlign w:val="center"/>
          </w:tcPr>
          <w:p w14:paraId="57554896" w14:textId="58AA3033" w:rsidR="005E2AFC" w:rsidRPr="00D85C02" w:rsidRDefault="005E2AFC" w:rsidP="005E2AFC">
            <w:pPr>
              <w:pStyle w:val="TableText"/>
              <w:spacing w:before="0"/>
              <w:jc w:val="center"/>
              <w:rPr>
                <w:rFonts w:cs="Arial"/>
              </w:rPr>
            </w:pPr>
            <w:r>
              <w:rPr>
                <w:rFonts w:cs="Arial"/>
              </w:rPr>
              <w:t>$735</w:t>
            </w:r>
          </w:p>
        </w:tc>
        <w:tc>
          <w:tcPr>
            <w:tcW w:w="1580" w:type="dxa"/>
            <w:vAlign w:val="center"/>
          </w:tcPr>
          <w:p w14:paraId="7DCE743C" w14:textId="140808E5" w:rsidR="005E2AFC" w:rsidRPr="00D85C02" w:rsidRDefault="005E2AFC" w:rsidP="005E2AFC">
            <w:pPr>
              <w:pStyle w:val="TableText"/>
              <w:spacing w:before="0"/>
              <w:jc w:val="center"/>
              <w:rPr>
                <w:rFonts w:cs="Arial"/>
              </w:rPr>
            </w:pPr>
            <w:r>
              <w:rPr>
                <w:rFonts w:cs="Arial"/>
              </w:rPr>
              <w:t>0.06</w:t>
            </w:r>
          </w:p>
        </w:tc>
        <w:tc>
          <w:tcPr>
            <w:tcW w:w="1858" w:type="dxa"/>
            <w:vAlign w:val="center"/>
          </w:tcPr>
          <w:p w14:paraId="744E2884" w14:textId="1349F00B" w:rsidR="005E2AFC" w:rsidRPr="00D85C02" w:rsidRDefault="005E2AFC" w:rsidP="005E2AFC">
            <w:pPr>
              <w:pStyle w:val="TableText"/>
              <w:spacing w:before="0"/>
              <w:jc w:val="center"/>
              <w:rPr>
                <w:rFonts w:cs="Arial"/>
              </w:rPr>
            </w:pPr>
            <w:r>
              <w:rPr>
                <w:rFonts w:cs="Arial"/>
              </w:rPr>
              <w:t>$12,941.59</w:t>
            </w:r>
          </w:p>
        </w:tc>
        <w:tc>
          <w:tcPr>
            <w:tcW w:w="1870" w:type="dxa"/>
            <w:vAlign w:val="center"/>
          </w:tcPr>
          <w:p w14:paraId="7575406B" w14:textId="34B76BA5" w:rsidR="005E2AFC" w:rsidRDefault="000E23F0" w:rsidP="005E2AFC">
            <w:pPr>
              <w:pStyle w:val="TableText"/>
              <w:spacing w:before="0"/>
              <w:rPr>
                <w:rFonts w:cs="Arial"/>
              </w:rPr>
            </w:pPr>
            <w:r>
              <w:rPr>
                <w:rFonts w:cs="Arial"/>
              </w:rPr>
              <w:t>-18%</w:t>
            </w:r>
          </w:p>
        </w:tc>
      </w:tr>
      <w:tr w:rsidR="005E2AFC" w:rsidRPr="00FF4212" w14:paraId="03681FA0" w14:textId="77777777" w:rsidTr="005E2AFC">
        <w:tc>
          <w:tcPr>
            <w:tcW w:w="2128" w:type="dxa"/>
          </w:tcPr>
          <w:p w14:paraId="34974697" w14:textId="5B8F3B37" w:rsidR="005E2AFC" w:rsidRDefault="005E2AFC" w:rsidP="005E2AFC">
            <w:pPr>
              <w:pStyle w:val="TableText"/>
              <w:spacing w:before="0"/>
              <w:rPr>
                <w:rFonts w:cs="Arial"/>
              </w:rPr>
            </w:pPr>
            <w:r>
              <w:rPr>
                <w:rFonts w:cs="Arial"/>
              </w:rPr>
              <w:t>Cost of cardiac MRI, +25%</w:t>
            </w:r>
          </w:p>
        </w:tc>
        <w:tc>
          <w:tcPr>
            <w:tcW w:w="1580" w:type="dxa"/>
            <w:vAlign w:val="center"/>
          </w:tcPr>
          <w:p w14:paraId="2A7BEF24" w14:textId="131A1058" w:rsidR="005E2AFC" w:rsidRPr="00D85C02" w:rsidRDefault="005E2AFC" w:rsidP="005E2AFC">
            <w:pPr>
              <w:pStyle w:val="TableText"/>
              <w:spacing w:before="0"/>
              <w:jc w:val="center"/>
              <w:rPr>
                <w:rFonts w:cs="Arial"/>
              </w:rPr>
            </w:pPr>
            <w:r w:rsidRPr="00D85C02">
              <w:rPr>
                <w:rFonts w:cs="Arial"/>
              </w:rPr>
              <w:t>$</w:t>
            </w:r>
            <w:r>
              <w:rPr>
                <w:rFonts w:cs="Arial"/>
              </w:rPr>
              <w:t>1,013</w:t>
            </w:r>
          </w:p>
        </w:tc>
        <w:tc>
          <w:tcPr>
            <w:tcW w:w="1580" w:type="dxa"/>
            <w:vAlign w:val="center"/>
          </w:tcPr>
          <w:p w14:paraId="6F91FB36" w14:textId="3B0D2EE9" w:rsidR="005E2AFC" w:rsidRPr="00D85C02" w:rsidRDefault="005E2AFC" w:rsidP="005E2AFC">
            <w:pPr>
              <w:pStyle w:val="TableText"/>
              <w:spacing w:before="0"/>
              <w:jc w:val="center"/>
              <w:rPr>
                <w:rFonts w:cs="Arial"/>
              </w:rPr>
            </w:pPr>
            <w:r w:rsidRPr="00D85C02">
              <w:rPr>
                <w:rFonts w:cs="Arial"/>
              </w:rPr>
              <w:t>0.05</w:t>
            </w:r>
          </w:p>
        </w:tc>
        <w:tc>
          <w:tcPr>
            <w:tcW w:w="1858" w:type="dxa"/>
            <w:vAlign w:val="center"/>
          </w:tcPr>
          <w:p w14:paraId="4E5F3D3A" w14:textId="1D087626" w:rsidR="005E2AFC" w:rsidRPr="00D85C02" w:rsidRDefault="005E2AFC" w:rsidP="005E2AFC">
            <w:pPr>
              <w:pStyle w:val="TableText"/>
              <w:spacing w:before="0"/>
              <w:jc w:val="center"/>
              <w:rPr>
                <w:rFonts w:cs="Arial"/>
              </w:rPr>
            </w:pPr>
            <w:r w:rsidRPr="00D85C02">
              <w:rPr>
                <w:rFonts w:cs="Arial"/>
              </w:rPr>
              <w:t>$</w:t>
            </w:r>
            <w:r>
              <w:rPr>
                <w:rFonts w:cs="Arial"/>
              </w:rPr>
              <w:t>20,638.61</w:t>
            </w:r>
          </w:p>
        </w:tc>
        <w:tc>
          <w:tcPr>
            <w:tcW w:w="1870" w:type="dxa"/>
            <w:vAlign w:val="center"/>
          </w:tcPr>
          <w:p w14:paraId="36BCC897" w14:textId="68FBB39A" w:rsidR="005E2AFC" w:rsidRDefault="000E23F0" w:rsidP="005E2AFC">
            <w:pPr>
              <w:pStyle w:val="TableText"/>
              <w:spacing w:before="0"/>
              <w:rPr>
                <w:rFonts w:cs="Arial"/>
              </w:rPr>
            </w:pPr>
            <w:r>
              <w:rPr>
                <w:rFonts w:cs="Arial"/>
              </w:rPr>
              <w:t>+31%</w:t>
            </w:r>
          </w:p>
        </w:tc>
      </w:tr>
      <w:tr w:rsidR="005E2AFC" w:rsidRPr="00FF4212" w14:paraId="270D9E83" w14:textId="77777777" w:rsidTr="005E2AFC">
        <w:tc>
          <w:tcPr>
            <w:tcW w:w="2128" w:type="dxa"/>
          </w:tcPr>
          <w:p w14:paraId="04343898" w14:textId="294AC1F9" w:rsidR="005E2AFC" w:rsidRDefault="005E2AFC" w:rsidP="005E2AFC">
            <w:pPr>
              <w:pStyle w:val="TableText"/>
              <w:spacing w:before="0"/>
              <w:rPr>
                <w:rFonts w:cs="Arial"/>
              </w:rPr>
            </w:pPr>
            <w:r>
              <w:rPr>
                <w:rFonts w:cs="Arial"/>
              </w:rPr>
              <w:t>Cost of cardiac MRI, -25%</w:t>
            </w:r>
          </w:p>
        </w:tc>
        <w:tc>
          <w:tcPr>
            <w:tcW w:w="1580" w:type="dxa"/>
            <w:vAlign w:val="center"/>
          </w:tcPr>
          <w:p w14:paraId="626BCE1F" w14:textId="340048F2" w:rsidR="005E2AFC" w:rsidRPr="00D85C02" w:rsidRDefault="005E2AFC" w:rsidP="005E2AFC">
            <w:pPr>
              <w:pStyle w:val="TableText"/>
              <w:spacing w:before="0"/>
              <w:jc w:val="center"/>
              <w:rPr>
                <w:rFonts w:cs="Arial"/>
              </w:rPr>
            </w:pPr>
            <w:r>
              <w:rPr>
                <w:rFonts w:cs="Arial"/>
              </w:rPr>
              <w:t>$536</w:t>
            </w:r>
          </w:p>
        </w:tc>
        <w:tc>
          <w:tcPr>
            <w:tcW w:w="1580" w:type="dxa"/>
            <w:vAlign w:val="center"/>
          </w:tcPr>
          <w:p w14:paraId="5CCF7039" w14:textId="09FB3D71" w:rsidR="005E2AFC" w:rsidRPr="00D85C02" w:rsidRDefault="005E2AFC" w:rsidP="005E2AFC">
            <w:pPr>
              <w:pStyle w:val="TableText"/>
              <w:spacing w:before="0"/>
              <w:jc w:val="center"/>
              <w:rPr>
                <w:rFonts w:cs="Arial"/>
              </w:rPr>
            </w:pPr>
            <w:r>
              <w:rPr>
                <w:rFonts w:cs="Arial"/>
              </w:rPr>
              <w:t>0.05</w:t>
            </w:r>
          </w:p>
        </w:tc>
        <w:tc>
          <w:tcPr>
            <w:tcW w:w="1858" w:type="dxa"/>
            <w:vAlign w:val="center"/>
          </w:tcPr>
          <w:p w14:paraId="1D11294E" w14:textId="0670BD25" w:rsidR="005E2AFC" w:rsidRPr="00D85C02" w:rsidRDefault="005E2AFC" w:rsidP="005E2AFC">
            <w:pPr>
              <w:pStyle w:val="TableText"/>
              <w:spacing w:before="0"/>
              <w:jc w:val="center"/>
              <w:rPr>
                <w:rFonts w:cs="Arial"/>
              </w:rPr>
            </w:pPr>
            <w:r>
              <w:rPr>
                <w:rFonts w:cs="Arial"/>
              </w:rPr>
              <w:t>$10,935.20</w:t>
            </w:r>
          </w:p>
        </w:tc>
        <w:tc>
          <w:tcPr>
            <w:tcW w:w="1870" w:type="dxa"/>
            <w:vAlign w:val="center"/>
          </w:tcPr>
          <w:p w14:paraId="366A4CB5" w14:textId="15837432" w:rsidR="005E2AFC" w:rsidRDefault="000E23F0" w:rsidP="005E2AFC">
            <w:pPr>
              <w:pStyle w:val="TableText"/>
              <w:spacing w:before="0"/>
              <w:rPr>
                <w:rFonts w:cs="Arial"/>
              </w:rPr>
            </w:pPr>
            <w:r>
              <w:rPr>
                <w:rFonts w:cs="Arial"/>
              </w:rPr>
              <w:t>-31%</w:t>
            </w:r>
          </w:p>
        </w:tc>
      </w:tr>
      <w:tr w:rsidR="005E2AFC" w:rsidRPr="00FF4212" w14:paraId="2D227451" w14:textId="77777777" w:rsidTr="005E2AFC">
        <w:tc>
          <w:tcPr>
            <w:tcW w:w="2128" w:type="dxa"/>
          </w:tcPr>
          <w:p w14:paraId="55D3A852" w14:textId="729099DC" w:rsidR="005E2AFC" w:rsidRDefault="005E2AFC" w:rsidP="005E2AFC">
            <w:pPr>
              <w:pStyle w:val="TableText"/>
              <w:spacing w:before="0"/>
              <w:rPr>
                <w:rFonts w:cs="Arial"/>
              </w:rPr>
            </w:pPr>
            <w:r w:rsidRPr="00D85C02">
              <w:rPr>
                <w:rFonts w:cs="Arial"/>
              </w:rPr>
              <w:t>Cost of prophylactic ACS medication</w:t>
            </w:r>
            <w:r>
              <w:rPr>
                <w:rFonts w:cs="Arial"/>
              </w:rPr>
              <w:t>-25%</w:t>
            </w:r>
          </w:p>
        </w:tc>
        <w:tc>
          <w:tcPr>
            <w:tcW w:w="1580" w:type="dxa"/>
            <w:vAlign w:val="center"/>
          </w:tcPr>
          <w:p w14:paraId="33ED4268" w14:textId="48E477E1" w:rsidR="005E2AFC" w:rsidRPr="00D85C02" w:rsidRDefault="005E2AFC" w:rsidP="005E2AFC">
            <w:pPr>
              <w:pStyle w:val="TableText"/>
              <w:spacing w:before="0"/>
              <w:jc w:val="center"/>
              <w:rPr>
                <w:rFonts w:cs="Arial"/>
              </w:rPr>
            </w:pPr>
            <w:r>
              <w:rPr>
                <w:rFonts w:cs="Arial"/>
              </w:rPr>
              <w:t>$952</w:t>
            </w:r>
          </w:p>
        </w:tc>
        <w:tc>
          <w:tcPr>
            <w:tcW w:w="1580" w:type="dxa"/>
            <w:vAlign w:val="center"/>
          </w:tcPr>
          <w:p w14:paraId="301969D9" w14:textId="280C4211" w:rsidR="005E2AFC" w:rsidRPr="00D85C02" w:rsidRDefault="005E2AFC" w:rsidP="005E2AFC">
            <w:pPr>
              <w:pStyle w:val="TableText"/>
              <w:spacing w:before="0"/>
              <w:jc w:val="center"/>
              <w:rPr>
                <w:rFonts w:cs="Arial"/>
              </w:rPr>
            </w:pPr>
            <w:r>
              <w:rPr>
                <w:rFonts w:cs="Arial"/>
              </w:rPr>
              <w:t>0.05</w:t>
            </w:r>
          </w:p>
        </w:tc>
        <w:tc>
          <w:tcPr>
            <w:tcW w:w="1858" w:type="dxa"/>
            <w:vAlign w:val="center"/>
          </w:tcPr>
          <w:p w14:paraId="59FE6A0B" w14:textId="7906662C" w:rsidR="005E2AFC" w:rsidRPr="00D85C02" w:rsidRDefault="005E2AFC" w:rsidP="005E2AFC">
            <w:pPr>
              <w:pStyle w:val="TableText"/>
              <w:spacing w:before="0"/>
              <w:jc w:val="center"/>
              <w:rPr>
                <w:rFonts w:cs="Arial"/>
              </w:rPr>
            </w:pPr>
            <w:r>
              <w:rPr>
                <w:rFonts w:cs="Arial"/>
              </w:rPr>
              <w:t>$19,410.07</w:t>
            </w:r>
          </w:p>
        </w:tc>
        <w:tc>
          <w:tcPr>
            <w:tcW w:w="1870" w:type="dxa"/>
            <w:vAlign w:val="center"/>
          </w:tcPr>
          <w:p w14:paraId="10371B64" w14:textId="3051493A" w:rsidR="005E2AFC" w:rsidRDefault="000E23F0" w:rsidP="005E2AFC">
            <w:pPr>
              <w:pStyle w:val="TableText"/>
              <w:spacing w:before="0"/>
              <w:rPr>
                <w:rFonts w:cs="Arial"/>
              </w:rPr>
            </w:pPr>
            <w:r>
              <w:rPr>
                <w:rFonts w:cs="Arial"/>
              </w:rPr>
              <w:t>+23%</w:t>
            </w:r>
          </w:p>
        </w:tc>
      </w:tr>
    </w:tbl>
    <w:p w14:paraId="6409E135" w14:textId="77777777" w:rsidR="00AA1DAA" w:rsidRDefault="00AA1DAA" w:rsidP="00AA1DAA">
      <w:pPr>
        <w:pStyle w:val="TableFooter"/>
      </w:pPr>
      <w:r>
        <w:t>RR = relative risk; MACE = major adverse cardiovascular event</w:t>
      </w:r>
      <w:r w:rsidRPr="007C18B2">
        <w:t xml:space="preserve">; </w:t>
      </w:r>
      <w:r>
        <w:t xml:space="preserve">LGE = late gadolinium enhancement; </w:t>
      </w:r>
      <w:proofErr w:type="spellStart"/>
      <w:r>
        <w:t>pLVEF</w:t>
      </w:r>
      <w:proofErr w:type="spellEnd"/>
      <w:r>
        <w:t xml:space="preserve"> = preserved left ventricular ejection fraction; </w:t>
      </w:r>
      <w:r w:rsidRPr="007C18B2">
        <w:t>ICER</w:t>
      </w:r>
      <w:r>
        <w:t xml:space="preserve"> =</w:t>
      </w:r>
      <w:r w:rsidRPr="007C18B2">
        <w:t xml:space="preserve"> incremental cost-effectiveness ratio; QALY</w:t>
      </w:r>
      <w:r>
        <w:t xml:space="preserve"> =</w:t>
      </w:r>
      <w:r w:rsidRPr="007C18B2">
        <w:t xml:space="preserve"> quality-adjusted life year</w:t>
      </w:r>
      <w:r>
        <w:t>.</w:t>
      </w:r>
    </w:p>
    <w:p w14:paraId="2E687B66" w14:textId="5E8C76CA" w:rsidR="009E2CEB" w:rsidRDefault="009E2CEB" w:rsidP="009E2CEB">
      <w:r>
        <w:rPr>
          <w:rStyle w:val="InstructionaltextChar"/>
          <w:color w:val="000000" w:themeColor="text1"/>
        </w:rPr>
        <w:t>Additionally, s</w:t>
      </w:r>
      <w:r w:rsidRPr="74ADE1E7">
        <w:rPr>
          <w:rStyle w:val="InstructionaltextChar"/>
          <w:color w:val="000000" w:themeColor="text1"/>
        </w:rPr>
        <w:t xml:space="preserve">everal alternate scenarios for the cost-effectiveness of </w:t>
      </w:r>
      <w:r w:rsidRPr="2B37EE1D">
        <w:rPr>
          <w:rStyle w:val="InstructionaltextChar"/>
          <w:color w:val="000000" w:themeColor="text1"/>
        </w:rPr>
        <w:t>cardiac MRI</w:t>
      </w:r>
      <w:r w:rsidRPr="74ADE1E7">
        <w:rPr>
          <w:rStyle w:val="InstructionaltextChar"/>
          <w:color w:val="000000" w:themeColor="text1"/>
        </w:rPr>
        <w:t xml:space="preserve"> </w:t>
      </w:r>
      <w:r>
        <w:rPr>
          <w:rStyle w:val="InstructionaltextChar"/>
          <w:color w:val="000000" w:themeColor="text1"/>
        </w:rPr>
        <w:t>were explored</w:t>
      </w:r>
      <w:r w:rsidR="00D37558">
        <w:rPr>
          <w:rStyle w:val="InstructionaltextChar"/>
          <w:color w:val="000000" w:themeColor="text1"/>
        </w:rPr>
        <w:t xml:space="preserve"> in population 2</w:t>
      </w:r>
      <w:r>
        <w:rPr>
          <w:rStyle w:val="InstructionaltextChar"/>
          <w:color w:val="000000" w:themeColor="text1"/>
        </w:rPr>
        <w:t>.</w:t>
      </w:r>
    </w:p>
    <w:p w14:paraId="1B6FC8DA" w14:textId="1D550042" w:rsidR="49146F40" w:rsidRDefault="00D37558" w:rsidP="00867E94">
      <w:pPr>
        <w:rPr>
          <w:rFonts w:eastAsia="Franklin Gothic Book" w:cs="Franklin Gothic Book"/>
        </w:rPr>
      </w:pPr>
      <w:r>
        <w:rPr>
          <w:rFonts w:eastAsia="Franklin Gothic Book" w:cs="Franklin Gothic Book"/>
        </w:rPr>
        <w:t>A</w:t>
      </w:r>
      <w:r w:rsidR="0031272B">
        <w:rPr>
          <w:rFonts w:eastAsia="Franklin Gothic Book" w:cs="Franklin Gothic Book"/>
        </w:rPr>
        <w:t xml:space="preserve">ssuming </w:t>
      </w:r>
      <w:r w:rsidR="00D91C3A">
        <w:rPr>
          <w:rFonts w:eastAsia="Franklin Gothic Book" w:cs="Franklin Gothic Book"/>
        </w:rPr>
        <w:t xml:space="preserve">50% </w:t>
      </w:r>
      <w:r w:rsidR="49146F40" w:rsidRPr="2B37EE1D">
        <w:rPr>
          <w:rFonts w:eastAsia="Franklin Gothic Book" w:cs="Franklin Gothic Book"/>
        </w:rPr>
        <w:t xml:space="preserve">uptake of cardiac MRI </w:t>
      </w:r>
      <w:r w:rsidR="00D91C3A">
        <w:rPr>
          <w:rFonts w:eastAsia="Franklin Gothic Book" w:cs="Franklin Gothic Book"/>
        </w:rPr>
        <w:t>(based on expert opinion) the ICER remained unchanged ($1</w:t>
      </w:r>
      <w:r w:rsidR="004F322A">
        <w:rPr>
          <w:rFonts w:eastAsia="Franklin Gothic Book" w:cs="Franklin Gothic Book"/>
        </w:rPr>
        <w:t>5,787</w:t>
      </w:r>
      <w:r w:rsidR="00D91C3A">
        <w:rPr>
          <w:rFonts w:eastAsia="Franklin Gothic Book" w:cs="Franklin Gothic Book"/>
        </w:rPr>
        <w:t xml:space="preserve">/QALY gained). The reduction in costs was accompanied by a simultaneous reduction in QALYs. In Population 2, if cardiac MRI was </w:t>
      </w:r>
      <w:r w:rsidR="00D91C3A" w:rsidRPr="0031272B">
        <w:rPr>
          <w:rStyle w:val="InstructionaltextChar"/>
          <w:color w:val="000000" w:themeColor="text1"/>
        </w:rPr>
        <w:t>performed as a second line investigation</w:t>
      </w:r>
      <w:r w:rsidR="00D91C3A" w:rsidRPr="2B37EE1D">
        <w:rPr>
          <w:rFonts w:eastAsia="Franklin Gothic Book" w:cs="Franklin Gothic Book"/>
        </w:rPr>
        <w:t xml:space="preserve"> </w:t>
      </w:r>
      <w:r w:rsidR="00D91C3A">
        <w:rPr>
          <w:rFonts w:eastAsia="Franklin Gothic Book" w:cs="Franklin Gothic Book"/>
        </w:rPr>
        <w:t>after ruling out obstructive CAD using CTCA with/without TTE, the ICER was $</w:t>
      </w:r>
      <w:r w:rsidR="00A063D2">
        <w:rPr>
          <w:rFonts w:eastAsia="Franklin Gothic Book" w:cs="Franklin Gothic Book"/>
        </w:rPr>
        <w:t>2</w:t>
      </w:r>
      <w:r w:rsidR="00C32B0A">
        <w:rPr>
          <w:rFonts w:eastAsia="Franklin Gothic Book" w:cs="Franklin Gothic Book"/>
        </w:rPr>
        <w:t>1,</w:t>
      </w:r>
      <w:r w:rsidR="00764513">
        <w:rPr>
          <w:rFonts w:eastAsia="Franklin Gothic Book" w:cs="Franklin Gothic Book"/>
        </w:rPr>
        <w:t>426</w:t>
      </w:r>
      <w:r w:rsidR="00D91C3A">
        <w:rPr>
          <w:rFonts w:eastAsia="Franklin Gothic Book" w:cs="Franklin Gothic Book"/>
        </w:rPr>
        <w:t xml:space="preserve">/QALY. </w:t>
      </w:r>
    </w:p>
    <w:p w14:paraId="4C0DF050" w14:textId="7A93B110" w:rsidR="005B7B44" w:rsidRDefault="17B0E71C" w:rsidP="00867E94">
      <w:pPr>
        <w:rPr>
          <w:rStyle w:val="InstructionaltextChar"/>
          <w:color w:val="000000" w:themeColor="text1"/>
        </w:rPr>
      </w:pPr>
      <w:r w:rsidRPr="2B37EE1D">
        <w:rPr>
          <w:rStyle w:val="InstructionaltextChar"/>
          <w:color w:val="000000" w:themeColor="text1"/>
        </w:rPr>
        <w:t>In conclusion, t</w:t>
      </w:r>
      <w:r w:rsidR="00603B21" w:rsidRPr="2B37EE1D">
        <w:rPr>
          <w:rStyle w:val="InstructionaltextChar"/>
          <w:color w:val="000000" w:themeColor="text1"/>
        </w:rPr>
        <w:t>he</w:t>
      </w:r>
      <w:r w:rsidR="00603B21">
        <w:rPr>
          <w:rStyle w:val="InstructionaltextChar"/>
          <w:color w:val="000000" w:themeColor="text1"/>
        </w:rPr>
        <w:t xml:space="preserve"> management pathway with </w:t>
      </w:r>
      <w:r w:rsidR="000E5457">
        <w:rPr>
          <w:rStyle w:val="InstructionaltextChar"/>
          <w:color w:val="000000" w:themeColor="text1"/>
        </w:rPr>
        <w:t>cardiac MRI</w:t>
      </w:r>
      <w:r w:rsidR="00603B21">
        <w:rPr>
          <w:rStyle w:val="InstructionaltextChar"/>
          <w:color w:val="000000" w:themeColor="text1"/>
        </w:rPr>
        <w:t xml:space="preserve"> </w:t>
      </w:r>
      <w:r w:rsidR="005B7B44">
        <w:rPr>
          <w:rStyle w:val="InstructionaltextChar"/>
          <w:color w:val="000000" w:themeColor="text1"/>
        </w:rPr>
        <w:t>resulted in an ICER of $</w:t>
      </w:r>
      <w:r w:rsidR="00261AA2">
        <w:rPr>
          <w:rStyle w:val="InstructionaltextChar"/>
          <w:color w:val="000000" w:themeColor="text1"/>
        </w:rPr>
        <w:t>66,356</w:t>
      </w:r>
      <w:r w:rsidR="005B7B44">
        <w:rPr>
          <w:rStyle w:val="InstructionaltextChar"/>
          <w:color w:val="000000" w:themeColor="text1"/>
        </w:rPr>
        <w:t xml:space="preserve">/QALY in population 1. </w:t>
      </w:r>
      <w:r w:rsidR="000F5D15">
        <w:rPr>
          <w:rStyle w:val="InstructionaltextChar"/>
          <w:color w:val="000000" w:themeColor="text1"/>
        </w:rPr>
        <w:t>The assessment group considered that t</w:t>
      </w:r>
      <w:r w:rsidR="005B7B44">
        <w:rPr>
          <w:rStyle w:val="InstructionaltextChar"/>
          <w:color w:val="000000" w:themeColor="text1"/>
        </w:rPr>
        <w:t>hese findings may have been primarily driven by the absence of a comparable investigative health technology to contrast the increased cost of cardiac MRI for the diagnosis or exclusion of myocarditis in the current management pathway.</w:t>
      </w:r>
    </w:p>
    <w:p w14:paraId="23ACA612" w14:textId="6A96227F" w:rsidR="00603B21" w:rsidRDefault="00C55D52" w:rsidP="00867E94">
      <w:pPr>
        <w:rPr>
          <w:rStyle w:val="InstructionaltextChar"/>
          <w:color w:val="000000" w:themeColor="text1"/>
        </w:rPr>
      </w:pPr>
      <w:r>
        <w:rPr>
          <w:rStyle w:val="InstructionaltextChar"/>
          <w:color w:val="000000" w:themeColor="text1"/>
        </w:rPr>
        <w:lastRenderedPageBreak/>
        <w:t xml:space="preserve">In population 2, the management pathway with cardiac MRI resulted in </w:t>
      </w:r>
      <w:r w:rsidR="005B7B44">
        <w:rPr>
          <w:rStyle w:val="InstructionaltextChar"/>
          <w:color w:val="000000" w:themeColor="text1"/>
        </w:rPr>
        <w:t>an ICER of $1</w:t>
      </w:r>
      <w:r w:rsidR="00261AA2">
        <w:rPr>
          <w:rStyle w:val="InstructionaltextChar"/>
          <w:color w:val="000000" w:themeColor="text1"/>
        </w:rPr>
        <w:t>5,787</w:t>
      </w:r>
      <w:r w:rsidR="005B7B44">
        <w:rPr>
          <w:rStyle w:val="InstructionaltextChar"/>
          <w:color w:val="000000" w:themeColor="text1"/>
        </w:rPr>
        <w:t>/QALY</w:t>
      </w:r>
      <w:r>
        <w:rPr>
          <w:rStyle w:val="InstructionaltextChar"/>
          <w:color w:val="000000" w:themeColor="text1"/>
        </w:rPr>
        <w:t xml:space="preserve"> gained</w:t>
      </w:r>
      <w:r w:rsidR="005B7B44">
        <w:rPr>
          <w:rStyle w:val="InstructionaltextChar"/>
          <w:color w:val="000000" w:themeColor="text1"/>
        </w:rPr>
        <w:t xml:space="preserve">. </w:t>
      </w:r>
      <w:r w:rsidR="00603B21">
        <w:rPr>
          <w:rStyle w:val="InstructionaltextChar"/>
          <w:color w:val="000000" w:themeColor="text1"/>
        </w:rPr>
        <w:t xml:space="preserve">The </w:t>
      </w:r>
      <w:r w:rsidR="000F5D15">
        <w:rPr>
          <w:rStyle w:val="InstructionaltextChar"/>
          <w:color w:val="000000" w:themeColor="text1"/>
        </w:rPr>
        <w:t xml:space="preserve">assessment group considered </w:t>
      </w:r>
      <w:r>
        <w:rPr>
          <w:rStyle w:val="InstructionaltextChar"/>
          <w:color w:val="000000" w:themeColor="text1"/>
        </w:rPr>
        <w:t xml:space="preserve">improved </w:t>
      </w:r>
      <w:r w:rsidR="00603B21">
        <w:rPr>
          <w:rStyle w:val="InstructionaltextChar"/>
          <w:color w:val="000000" w:themeColor="text1"/>
        </w:rPr>
        <w:t xml:space="preserve">value for money of </w:t>
      </w:r>
      <w:r w:rsidR="000E5457">
        <w:rPr>
          <w:rStyle w:val="InstructionaltextChar"/>
          <w:color w:val="000000" w:themeColor="text1"/>
        </w:rPr>
        <w:t>cardiac MRI</w:t>
      </w:r>
      <w:r w:rsidR="00603B21">
        <w:rPr>
          <w:rStyle w:val="InstructionaltextChar"/>
          <w:color w:val="000000" w:themeColor="text1"/>
        </w:rPr>
        <w:t xml:space="preserve"> in population </w:t>
      </w:r>
      <w:r>
        <w:rPr>
          <w:rStyle w:val="InstructionaltextChar"/>
          <w:color w:val="000000" w:themeColor="text1"/>
        </w:rPr>
        <w:t>2</w:t>
      </w:r>
      <w:r w:rsidR="005B7B44">
        <w:rPr>
          <w:rStyle w:val="InstructionaltextChar"/>
          <w:color w:val="000000" w:themeColor="text1"/>
        </w:rPr>
        <w:t xml:space="preserve"> </w:t>
      </w:r>
      <w:r w:rsidR="00603B21">
        <w:rPr>
          <w:rStyle w:val="InstructionaltextChar"/>
          <w:color w:val="000000" w:themeColor="text1"/>
        </w:rPr>
        <w:t xml:space="preserve">may be driven by the prognostic value of </w:t>
      </w:r>
      <w:r w:rsidR="000E5457">
        <w:rPr>
          <w:rStyle w:val="InstructionaltextChar"/>
          <w:color w:val="000000" w:themeColor="text1"/>
        </w:rPr>
        <w:t>cardiac MRI</w:t>
      </w:r>
      <w:r w:rsidR="00603B21">
        <w:rPr>
          <w:rStyle w:val="InstructionaltextChar"/>
          <w:color w:val="000000" w:themeColor="text1"/>
        </w:rPr>
        <w:t xml:space="preserve"> in highlighting patients with</w:t>
      </w:r>
      <w:r w:rsidR="00D37558">
        <w:rPr>
          <w:rStyle w:val="InstructionaltextChar"/>
          <w:color w:val="000000" w:themeColor="text1"/>
        </w:rPr>
        <w:t xml:space="preserve"> </w:t>
      </w:r>
      <w:r w:rsidR="00603B21">
        <w:rPr>
          <w:rStyle w:val="InstructionaltextChar"/>
          <w:color w:val="000000" w:themeColor="text1"/>
        </w:rPr>
        <w:t xml:space="preserve">fibrosis via the presence of LGE and the potential risk reduction of a downstream MACE in these patients with monitoring. The avoidable costs of placing potential myocarditis patients on prophylactic ACS medications was another factor that contributed to the </w:t>
      </w:r>
      <w:r w:rsidR="00616D58">
        <w:rPr>
          <w:rStyle w:val="InstructionaltextChar"/>
          <w:color w:val="000000" w:themeColor="text1"/>
        </w:rPr>
        <w:t>cost-effectiveness</w:t>
      </w:r>
      <w:r w:rsidR="00603B21">
        <w:rPr>
          <w:rStyle w:val="InstructionaltextChar"/>
          <w:color w:val="000000" w:themeColor="text1"/>
        </w:rPr>
        <w:t xml:space="preserve"> of </w:t>
      </w:r>
      <w:r w:rsidR="000E5457">
        <w:rPr>
          <w:rStyle w:val="InstructionaltextChar"/>
          <w:color w:val="000000" w:themeColor="text1"/>
        </w:rPr>
        <w:t>cardiac MRI</w:t>
      </w:r>
      <w:r w:rsidR="00603B21">
        <w:rPr>
          <w:rStyle w:val="InstructionaltextChar"/>
          <w:color w:val="000000" w:themeColor="text1"/>
        </w:rPr>
        <w:t xml:space="preserve"> in this population. Further, compared to </w:t>
      </w:r>
      <w:r w:rsidR="00500B37">
        <w:rPr>
          <w:rStyle w:val="InstructionaltextChar"/>
          <w:color w:val="000000" w:themeColor="text1"/>
        </w:rPr>
        <w:t>Population</w:t>
      </w:r>
      <w:r w:rsidR="00603B21">
        <w:rPr>
          <w:rStyle w:val="InstructionaltextChar"/>
          <w:color w:val="000000" w:themeColor="text1"/>
        </w:rPr>
        <w:t xml:space="preserve"> 1, a higher proportion of patients in </w:t>
      </w:r>
      <w:r w:rsidR="00500B37">
        <w:rPr>
          <w:rStyle w:val="InstructionaltextChar"/>
          <w:color w:val="000000" w:themeColor="text1"/>
        </w:rPr>
        <w:t>Population</w:t>
      </w:r>
      <w:r w:rsidR="00603B21">
        <w:rPr>
          <w:rStyle w:val="InstructionaltextChar"/>
          <w:color w:val="000000" w:themeColor="text1"/>
        </w:rPr>
        <w:t xml:space="preserve"> 2 had LGE in their </w:t>
      </w:r>
      <w:r w:rsidR="000E5457">
        <w:rPr>
          <w:rStyle w:val="InstructionaltextChar"/>
          <w:color w:val="000000" w:themeColor="text1"/>
        </w:rPr>
        <w:t>cardiac MRI</w:t>
      </w:r>
      <w:r w:rsidR="00603B21">
        <w:rPr>
          <w:rStyle w:val="InstructionaltextChar"/>
          <w:color w:val="000000" w:themeColor="text1"/>
        </w:rPr>
        <w:t xml:space="preserve"> findings </w:t>
      </w:r>
      <w:r w:rsidR="00EA4AEC">
        <w:rPr>
          <w:rStyle w:val="InstructionaltextChar"/>
          <w:color w:val="000000" w:themeColor="text1"/>
        </w:rPr>
        <w:t>(</w:t>
      </w:r>
      <w:r w:rsidR="00500B37">
        <w:rPr>
          <w:rStyle w:val="InstructionaltextChar"/>
          <w:color w:val="000000" w:themeColor="text1"/>
        </w:rPr>
        <w:t xml:space="preserve">Population </w:t>
      </w:r>
      <w:r w:rsidR="00603B21">
        <w:rPr>
          <w:rStyle w:val="InstructionaltextChar"/>
          <w:color w:val="000000" w:themeColor="text1"/>
        </w:rPr>
        <w:t>1:</w:t>
      </w:r>
      <w:r w:rsidR="00500B37">
        <w:rPr>
          <w:rStyle w:val="InstructionaltextChar"/>
          <w:color w:val="000000" w:themeColor="text1"/>
        </w:rPr>
        <w:t xml:space="preserve"> </w:t>
      </w:r>
      <w:r w:rsidR="00603B21">
        <w:rPr>
          <w:rStyle w:val="InstructionaltextChar"/>
          <w:color w:val="000000" w:themeColor="text1"/>
        </w:rPr>
        <w:t xml:space="preserve">39%, </w:t>
      </w:r>
      <w:r w:rsidR="00500B37">
        <w:rPr>
          <w:rStyle w:val="InstructionaltextChar"/>
          <w:color w:val="000000" w:themeColor="text1"/>
        </w:rPr>
        <w:t>P</w:t>
      </w:r>
      <w:r w:rsidR="00603B21">
        <w:rPr>
          <w:rStyle w:val="InstructionaltextChar"/>
          <w:color w:val="000000" w:themeColor="text1"/>
        </w:rPr>
        <w:t xml:space="preserve">opulation 2: 48%). </w:t>
      </w:r>
    </w:p>
    <w:p w14:paraId="25AE2BAC" w14:textId="529CCF46" w:rsidR="00772829" w:rsidRPr="00CE28E3" w:rsidRDefault="00C36633" w:rsidP="002A18BE">
      <w:pPr>
        <w:pStyle w:val="Heading2"/>
        <w:numPr>
          <w:ilvl w:val="0"/>
          <w:numId w:val="0"/>
        </w:numPr>
      </w:pPr>
      <w:bookmarkStart w:id="71" w:name="_Toc155189748"/>
      <w:r>
        <w:t>1</w:t>
      </w:r>
      <w:r w:rsidR="00F226F7">
        <w:t>4</w:t>
      </w:r>
      <w:r>
        <w:t>.</w:t>
      </w:r>
      <w:r>
        <w:tab/>
      </w:r>
      <w:r w:rsidR="00772829" w:rsidRPr="00CE28E3">
        <w:t>Financial/budgetary impacts</w:t>
      </w:r>
      <w:bookmarkEnd w:id="71"/>
    </w:p>
    <w:p w14:paraId="0BD39733" w14:textId="0D123C49" w:rsidR="0096106D" w:rsidRDefault="0096106D" w:rsidP="00867E94">
      <w:r>
        <w:t>An epidemiological approach was used to estimate the expected extent of usage and the financial implications of listing cardiac MRI on the MBS. This approach was chosen instead of a market-based approach because the MBS items for the comparator tests (e.g., EMB, CTCA, or TTE) are not restricted to the proposed population.</w:t>
      </w:r>
    </w:p>
    <w:p w14:paraId="4FE2390F" w14:textId="5C549CBC" w:rsidR="0072578A" w:rsidRDefault="0096106D" w:rsidP="00867E94">
      <w:r w:rsidRPr="00CE28E3">
        <w:t xml:space="preserve">The </w:t>
      </w:r>
      <w:r w:rsidR="006A62CC">
        <w:t xml:space="preserve">net </w:t>
      </w:r>
      <w:r w:rsidRPr="00CE28E3">
        <w:t xml:space="preserve">financial implications to </w:t>
      </w:r>
      <w:r w:rsidRPr="00F34454">
        <w:t xml:space="preserve">the MBS </w:t>
      </w:r>
      <w:r w:rsidR="006A62CC">
        <w:t xml:space="preserve">for both Population 1 and 2 </w:t>
      </w:r>
      <w:r w:rsidRPr="00F34454">
        <w:t>resulting</w:t>
      </w:r>
      <w:r w:rsidRPr="00CE28E3">
        <w:t xml:space="preserve"> from the proposed listing of </w:t>
      </w:r>
      <w:r>
        <w:t>cardiac MRI</w:t>
      </w:r>
      <w:r w:rsidRPr="00CE28E3">
        <w:t xml:space="preserve"> are summarised in </w:t>
      </w:r>
      <w:r>
        <w:fldChar w:fldCharType="begin"/>
      </w:r>
      <w:r>
        <w:instrText>REF _Ref155701394</w:instrText>
      </w:r>
      <w:r>
        <w:fldChar w:fldCharType="separate"/>
      </w:r>
      <w:r w:rsidR="00EE5F4F">
        <w:t xml:space="preserve">Table </w:t>
      </w:r>
      <w:r w:rsidR="00EE5F4F">
        <w:rPr>
          <w:noProof/>
        </w:rPr>
        <w:t>14</w:t>
      </w:r>
      <w:r>
        <w:fldChar w:fldCharType="end"/>
      </w:r>
      <w:r>
        <w:t>.</w:t>
      </w:r>
    </w:p>
    <w:p w14:paraId="5DBCEDFE" w14:textId="350DCFA9" w:rsidR="00AA1DAA" w:rsidRDefault="00AA1DAA" w:rsidP="00D01C0A">
      <w:pPr>
        <w:pStyle w:val="Caption"/>
      </w:pPr>
      <w:bookmarkStart w:id="72" w:name="_Ref155701394"/>
      <w:bookmarkStart w:id="73" w:name="_Toc155173773"/>
      <w:r>
        <w:lastRenderedPageBreak/>
        <w:t xml:space="preserve">Table </w:t>
      </w:r>
      <w:r>
        <w:fldChar w:fldCharType="begin"/>
      </w:r>
      <w:r>
        <w:instrText>SEQ Table \* ARABIC</w:instrText>
      </w:r>
      <w:r>
        <w:fldChar w:fldCharType="separate"/>
      </w:r>
      <w:r w:rsidR="00251E62">
        <w:rPr>
          <w:noProof/>
        </w:rPr>
        <w:t>14</w:t>
      </w:r>
      <w:r>
        <w:fldChar w:fldCharType="end"/>
      </w:r>
      <w:bookmarkEnd w:id="72"/>
      <w:r>
        <w:t xml:space="preserve"> </w:t>
      </w:r>
      <w:r w:rsidRPr="00C43AA4">
        <w:t>Net financial implications of cardiac MRI to the MBS</w:t>
      </w:r>
      <w:bookmarkEnd w:id="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29"/>
        <w:gridCol w:w="1198"/>
        <w:gridCol w:w="1197"/>
        <w:gridCol w:w="1197"/>
        <w:gridCol w:w="1197"/>
        <w:gridCol w:w="1197"/>
        <w:gridCol w:w="1201"/>
      </w:tblGrid>
      <w:tr w:rsidR="00D01C0A" w14:paraId="66FC8E5A" w14:textId="77777777" w:rsidTr="00AA1DAA">
        <w:trPr>
          <w:tblHeader/>
        </w:trPr>
        <w:tc>
          <w:tcPr>
            <w:tcW w:w="10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E855A3" w14:textId="77777777" w:rsidR="00EF4EB7" w:rsidRDefault="00EF4EB7">
            <w:pPr>
              <w:pStyle w:val="TableText"/>
              <w:keepNext/>
              <w:spacing w:line="256" w:lineRule="auto"/>
              <w:rPr>
                <w:b/>
                <w:bCs/>
              </w:rPr>
            </w:pPr>
            <w:r>
              <w:rPr>
                <w:b/>
                <w:bCs/>
              </w:rPr>
              <w:t xml:space="preserve">Parameter </w:t>
            </w:r>
          </w:p>
        </w:tc>
        <w:tc>
          <w:tcPr>
            <w:tcW w:w="6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2A25C5" w14:textId="2B3E3462" w:rsidR="00EF4EB7" w:rsidRDefault="00EF4EB7">
            <w:pPr>
              <w:pStyle w:val="TableText"/>
              <w:keepNext/>
              <w:spacing w:line="256" w:lineRule="auto"/>
              <w:jc w:val="center"/>
              <w:rPr>
                <w:b/>
                <w:bCs/>
              </w:rPr>
            </w:pPr>
            <w:r>
              <w:rPr>
                <w:b/>
                <w:bCs/>
              </w:rPr>
              <w:t>Year 1</w:t>
            </w:r>
            <w:r w:rsidR="00D625CB">
              <w:rPr>
                <w:b/>
                <w:bCs/>
              </w:rPr>
              <w:br/>
              <w:t>(2024)</w:t>
            </w:r>
          </w:p>
        </w:tc>
        <w:tc>
          <w:tcPr>
            <w:tcW w:w="6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F7C6BD" w14:textId="418A90E9" w:rsidR="00EF4EB7" w:rsidRDefault="00EF4EB7">
            <w:pPr>
              <w:pStyle w:val="TableText"/>
              <w:keepNext/>
              <w:spacing w:line="256" w:lineRule="auto"/>
              <w:jc w:val="center"/>
              <w:rPr>
                <w:b/>
                <w:bCs/>
              </w:rPr>
            </w:pPr>
            <w:r>
              <w:rPr>
                <w:b/>
                <w:bCs/>
              </w:rPr>
              <w:t>Year 2</w:t>
            </w:r>
            <w:r w:rsidR="00D625CB">
              <w:rPr>
                <w:b/>
                <w:bCs/>
              </w:rPr>
              <w:br/>
              <w:t>(2025)</w:t>
            </w:r>
          </w:p>
        </w:tc>
        <w:tc>
          <w:tcPr>
            <w:tcW w:w="6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902824" w14:textId="4B07B898" w:rsidR="00EF4EB7" w:rsidRDefault="00EF4EB7">
            <w:pPr>
              <w:pStyle w:val="TableText"/>
              <w:keepNext/>
              <w:spacing w:line="256" w:lineRule="auto"/>
              <w:jc w:val="center"/>
              <w:rPr>
                <w:b/>
                <w:bCs/>
              </w:rPr>
            </w:pPr>
            <w:r>
              <w:rPr>
                <w:b/>
                <w:bCs/>
              </w:rPr>
              <w:t>Year 3</w:t>
            </w:r>
            <w:r w:rsidR="00D625CB">
              <w:rPr>
                <w:b/>
                <w:bCs/>
              </w:rPr>
              <w:br/>
              <w:t>(2026)</w:t>
            </w:r>
          </w:p>
        </w:tc>
        <w:tc>
          <w:tcPr>
            <w:tcW w:w="6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609AA3" w14:textId="7179662F" w:rsidR="00EF4EB7" w:rsidRDefault="00EF4EB7">
            <w:pPr>
              <w:pStyle w:val="TableText"/>
              <w:keepNext/>
              <w:spacing w:line="256" w:lineRule="auto"/>
              <w:jc w:val="center"/>
              <w:rPr>
                <w:b/>
                <w:bCs/>
              </w:rPr>
            </w:pPr>
            <w:r>
              <w:rPr>
                <w:b/>
                <w:bCs/>
              </w:rPr>
              <w:t>Year 4</w:t>
            </w:r>
            <w:r w:rsidR="00D625CB">
              <w:rPr>
                <w:b/>
                <w:bCs/>
              </w:rPr>
              <w:br/>
              <w:t>(2027)</w:t>
            </w:r>
          </w:p>
        </w:tc>
        <w:tc>
          <w:tcPr>
            <w:tcW w:w="6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192379" w14:textId="2F7BE3BA" w:rsidR="00EF4EB7" w:rsidRDefault="00EF4EB7">
            <w:pPr>
              <w:pStyle w:val="TableText"/>
              <w:keepNext/>
              <w:spacing w:line="256" w:lineRule="auto"/>
              <w:jc w:val="center"/>
              <w:rPr>
                <w:b/>
                <w:bCs/>
              </w:rPr>
            </w:pPr>
            <w:r>
              <w:rPr>
                <w:b/>
                <w:bCs/>
              </w:rPr>
              <w:t>Year 5</w:t>
            </w:r>
            <w:r w:rsidR="00D625CB">
              <w:rPr>
                <w:b/>
                <w:bCs/>
              </w:rPr>
              <w:br/>
              <w:t>(2028)</w:t>
            </w:r>
          </w:p>
        </w:tc>
        <w:tc>
          <w:tcPr>
            <w:tcW w:w="6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72C500" w14:textId="6F19FE8C" w:rsidR="00EF4EB7" w:rsidRDefault="00EF4EB7">
            <w:pPr>
              <w:pStyle w:val="TableText"/>
              <w:keepNext/>
              <w:spacing w:line="256" w:lineRule="auto"/>
              <w:jc w:val="center"/>
              <w:rPr>
                <w:b/>
                <w:bCs/>
              </w:rPr>
            </w:pPr>
            <w:r>
              <w:rPr>
                <w:b/>
                <w:bCs/>
              </w:rPr>
              <w:t>Year 6</w:t>
            </w:r>
            <w:r w:rsidR="00D625CB">
              <w:rPr>
                <w:b/>
                <w:bCs/>
              </w:rPr>
              <w:br/>
              <w:t>(2029)</w:t>
            </w:r>
          </w:p>
        </w:tc>
      </w:tr>
      <w:tr w:rsidR="00EF4EB7" w14:paraId="24B11ABB" w14:textId="77777777" w:rsidTr="00EF4EB7">
        <w:tc>
          <w:tcPr>
            <w:tcW w:w="5000" w:type="pct"/>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EE0E8E" w14:textId="77777777" w:rsidR="00EF4EB7" w:rsidRPr="001B3B17" w:rsidRDefault="00EF4EB7">
            <w:pPr>
              <w:pStyle w:val="TableText"/>
              <w:keepNext/>
              <w:spacing w:line="256" w:lineRule="auto"/>
              <w:rPr>
                <w:b/>
                <w:bCs/>
                <w:i/>
                <w:iCs/>
              </w:rPr>
            </w:pPr>
            <w:r w:rsidRPr="001B3B17">
              <w:rPr>
                <w:b/>
                <w:bCs/>
                <w:i/>
                <w:iCs/>
              </w:rPr>
              <w:t>Population 1</w:t>
            </w:r>
          </w:p>
        </w:tc>
      </w:tr>
      <w:tr w:rsidR="00EF4EB7" w14:paraId="7ADF3555" w14:textId="77777777" w:rsidTr="00EF4EB7">
        <w:tc>
          <w:tcPr>
            <w:tcW w:w="5000" w:type="pct"/>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5B33CE" w14:textId="77777777" w:rsidR="00EF4EB7" w:rsidRDefault="00EF4EB7">
            <w:pPr>
              <w:pStyle w:val="TableText"/>
              <w:keepNext/>
              <w:spacing w:line="256" w:lineRule="auto"/>
              <w:rPr>
                <w:b/>
                <w:bCs/>
              </w:rPr>
            </w:pPr>
            <w:r>
              <w:rPr>
                <w:b/>
                <w:bCs/>
              </w:rPr>
              <w:t>Estimated use and cost of the proposed health technology</w:t>
            </w:r>
          </w:p>
        </w:tc>
      </w:tr>
      <w:tr w:rsidR="00D01C0A" w14:paraId="09893855" w14:textId="77777777" w:rsidTr="00AA1DAA">
        <w:trPr>
          <w:trHeight w:val="131"/>
        </w:trPr>
        <w:tc>
          <w:tcPr>
            <w:tcW w:w="10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0DF35D" w14:textId="77777777" w:rsidR="00EF4EB7" w:rsidRDefault="00EF4EB7">
            <w:pPr>
              <w:pStyle w:val="TableText"/>
              <w:keepNext/>
              <w:spacing w:line="256" w:lineRule="auto"/>
            </w:pPr>
            <w:r>
              <w:t>Number of people eligible for cardiac MRI</w:t>
            </w:r>
          </w:p>
        </w:tc>
        <w:tc>
          <w:tcPr>
            <w:tcW w:w="6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3E2FCC" w14:textId="77777777" w:rsidR="00EF4EB7" w:rsidRDefault="00EF4EB7">
            <w:pPr>
              <w:pStyle w:val="TableText"/>
              <w:keepNext/>
              <w:spacing w:line="256" w:lineRule="auto"/>
              <w:jc w:val="center"/>
            </w:pPr>
            <w:r>
              <w:t xml:space="preserve"> 8,710 </w:t>
            </w:r>
          </w:p>
        </w:tc>
        <w:tc>
          <w:tcPr>
            <w:tcW w:w="6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BC65FF" w14:textId="77777777" w:rsidR="00EF4EB7" w:rsidRDefault="00EF4EB7">
            <w:pPr>
              <w:pStyle w:val="TableText"/>
              <w:keepNext/>
              <w:spacing w:line="256" w:lineRule="auto"/>
              <w:jc w:val="center"/>
            </w:pPr>
            <w:r>
              <w:t xml:space="preserve"> 8,839 </w:t>
            </w:r>
          </w:p>
        </w:tc>
        <w:tc>
          <w:tcPr>
            <w:tcW w:w="6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A1CD04" w14:textId="77777777" w:rsidR="00EF4EB7" w:rsidRDefault="00EF4EB7">
            <w:pPr>
              <w:pStyle w:val="TableText"/>
              <w:keepNext/>
              <w:spacing w:line="256" w:lineRule="auto"/>
              <w:jc w:val="center"/>
            </w:pPr>
            <w:r>
              <w:t xml:space="preserve"> 8,966 </w:t>
            </w:r>
          </w:p>
        </w:tc>
        <w:tc>
          <w:tcPr>
            <w:tcW w:w="6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42E327" w14:textId="77777777" w:rsidR="00EF4EB7" w:rsidRDefault="00EF4EB7">
            <w:pPr>
              <w:pStyle w:val="TableText"/>
              <w:keepNext/>
              <w:spacing w:line="256" w:lineRule="auto"/>
              <w:jc w:val="center"/>
            </w:pPr>
            <w:r>
              <w:t xml:space="preserve"> 9,091 </w:t>
            </w:r>
          </w:p>
        </w:tc>
        <w:tc>
          <w:tcPr>
            <w:tcW w:w="6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111AB3" w14:textId="77777777" w:rsidR="00EF4EB7" w:rsidRDefault="00EF4EB7">
            <w:pPr>
              <w:pStyle w:val="TableText"/>
              <w:keepNext/>
              <w:spacing w:line="256" w:lineRule="auto"/>
              <w:jc w:val="center"/>
            </w:pPr>
            <w:r>
              <w:t xml:space="preserve"> 9,214 </w:t>
            </w:r>
          </w:p>
        </w:tc>
        <w:tc>
          <w:tcPr>
            <w:tcW w:w="6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39FC19" w14:textId="77777777" w:rsidR="00EF4EB7" w:rsidRDefault="00EF4EB7">
            <w:pPr>
              <w:pStyle w:val="TableText"/>
              <w:keepNext/>
              <w:spacing w:line="256" w:lineRule="auto"/>
              <w:jc w:val="center"/>
            </w:pPr>
            <w:r>
              <w:t xml:space="preserve"> 9,337 </w:t>
            </w:r>
          </w:p>
        </w:tc>
      </w:tr>
      <w:tr w:rsidR="00D01C0A" w14:paraId="2959A4C8" w14:textId="77777777" w:rsidTr="00AA1DAA">
        <w:tc>
          <w:tcPr>
            <w:tcW w:w="10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42C1E8" w14:textId="77777777" w:rsidR="00EF4EB7" w:rsidRDefault="00EF4EB7">
            <w:pPr>
              <w:pStyle w:val="TableText"/>
              <w:keepNext/>
              <w:spacing w:line="256" w:lineRule="auto"/>
            </w:pPr>
            <w:r>
              <w:t xml:space="preserve">Number of people who receive cardiac MRI </w:t>
            </w:r>
          </w:p>
        </w:tc>
        <w:tc>
          <w:tcPr>
            <w:tcW w:w="6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15E7DA" w14:textId="77777777" w:rsidR="00EF4EB7" w:rsidRDefault="00EF4EB7">
            <w:pPr>
              <w:pStyle w:val="TableText"/>
              <w:keepNext/>
              <w:spacing w:line="256" w:lineRule="auto"/>
              <w:jc w:val="center"/>
            </w:pPr>
            <w:r>
              <w:t xml:space="preserve"> 4,355 </w:t>
            </w:r>
          </w:p>
        </w:tc>
        <w:tc>
          <w:tcPr>
            <w:tcW w:w="6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6C78B9" w14:textId="77777777" w:rsidR="00EF4EB7" w:rsidRDefault="00EF4EB7">
            <w:pPr>
              <w:pStyle w:val="TableText"/>
              <w:keepNext/>
              <w:spacing w:line="256" w:lineRule="auto"/>
              <w:jc w:val="center"/>
            </w:pPr>
            <w:r>
              <w:t xml:space="preserve"> 4,420 </w:t>
            </w:r>
          </w:p>
        </w:tc>
        <w:tc>
          <w:tcPr>
            <w:tcW w:w="6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604BF0" w14:textId="77777777" w:rsidR="00EF4EB7" w:rsidRDefault="00EF4EB7">
            <w:pPr>
              <w:pStyle w:val="TableText"/>
              <w:keepNext/>
              <w:spacing w:line="256" w:lineRule="auto"/>
              <w:jc w:val="center"/>
            </w:pPr>
            <w:r>
              <w:t xml:space="preserve"> 4,483 </w:t>
            </w:r>
          </w:p>
        </w:tc>
        <w:tc>
          <w:tcPr>
            <w:tcW w:w="6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4E2469" w14:textId="77777777" w:rsidR="00EF4EB7" w:rsidRDefault="00EF4EB7">
            <w:pPr>
              <w:pStyle w:val="TableText"/>
              <w:keepNext/>
              <w:spacing w:line="256" w:lineRule="auto"/>
              <w:jc w:val="center"/>
            </w:pPr>
            <w:r>
              <w:t xml:space="preserve"> 4,545 </w:t>
            </w:r>
          </w:p>
        </w:tc>
        <w:tc>
          <w:tcPr>
            <w:tcW w:w="6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D78B1D" w14:textId="77777777" w:rsidR="00EF4EB7" w:rsidRDefault="00EF4EB7">
            <w:pPr>
              <w:pStyle w:val="TableText"/>
              <w:keepNext/>
              <w:spacing w:line="256" w:lineRule="auto"/>
              <w:jc w:val="center"/>
            </w:pPr>
            <w:r>
              <w:t xml:space="preserve"> 4,607 </w:t>
            </w:r>
          </w:p>
        </w:tc>
        <w:tc>
          <w:tcPr>
            <w:tcW w:w="6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00AF81" w14:textId="77777777" w:rsidR="00EF4EB7" w:rsidRDefault="00EF4EB7">
            <w:pPr>
              <w:pStyle w:val="TableText"/>
              <w:keepNext/>
              <w:spacing w:line="256" w:lineRule="auto"/>
              <w:jc w:val="center"/>
            </w:pPr>
            <w:r>
              <w:t xml:space="preserve"> 4,669 </w:t>
            </w:r>
          </w:p>
        </w:tc>
      </w:tr>
      <w:tr w:rsidR="00D01C0A" w14:paraId="491BA576" w14:textId="77777777" w:rsidTr="00AA1DAA">
        <w:tc>
          <w:tcPr>
            <w:tcW w:w="10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1359FB" w14:textId="77777777" w:rsidR="00EF4EB7" w:rsidRDefault="00EF4EB7">
            <w:pPr>
              <w:pStyle w:val="TableText"/>
              <w:keepNext/>
              <w:spacing w:line="256" w:lineRule="auto"/>
            </w:pPr>
            <w:r>
              <w:t>Cost to the MBS</w:t>
            </w:r>
          </w:p>
        </w:tc>
        <w:tc>
          <w:tcPr>
            <w:tcW w:w="6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6FDD68" w14:textId="77777777" w:rsidR="00EF4EB7" w:rsidRDefault="00EF4EB7">
            <w:pPr>
              <w:pStyle w:val="TableText"/>
              <w:keepNext/>
              <w:spacing w:line="256" w:lineRule="auto"/>
              <w:jc w:val="center"/>
            </w:pPr>
            <w:r>
              <w:t>$3,685,782</w:t>
            </w:r>
          </w:p>
        </w:tc>
        <w:tc>
          <w:tcPr>
            <w:tcW w:w="6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8DB5EC" w14:textId="77777777" w:rsidR="00EF4EB7" w:rsidRDefault="00EF4EB7">
            <w:pPr>
              <w:pStyle w:val="TableText"/>
              <w:keepNext/>
              <w:spacing w:line="256" w:lineRule="auto"/>
              <w:jc w:val="center"/>
            </w:pPr>
            <w:r>
              <w:t>$3,740,374</w:t>
            </w:r>
          </w:p>
        </w:tc>
        <w:tc>
          <w:tcPr>
            <w:tcW w:w="6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890216" w14:textId="77777777" w:rsidR="00EF4EB7" w:rsidRDefault="00EF4EB7">
            <w:pPr>
              <w:pStyle w:val="TableText"/>
              <w:keepNext/>
              <w:spacing w:line="256" w:lineRule="auto"/>
              <w:jc w:val="center"/>
            </w:pPr>
            <w:r>
              <w:t>$3,794,116</w:t>
            </w:r>
          </w:p>
        </w:tc>
        <w:tc>
          <w:tcPr>
            <w:tcW w:w="6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2200A7" w14:textId="77777777" w:rsidR="00EF4EB7" w:rsidRDefault="00EF4EB7">
            <w:pPr>
              <w:pStyle w:val="TableText"/>
              <w:keepNext/>
              <w:spacing w:line="256" w:lineRule="auto"/>
              <w:jc w:val="center"/>
            </w:pPr>
            <w:r>
              <w:t>$3,846,726</w:t>
            </w:r>
          </w:p>
        </w:tc>
        <w:tc>
          <w:tcPr>
            <w:tcW w:w="6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7FC77C" w14:textId="77777777" w:rsidR="00EF4EB7" w:rsidRDefault="00EF4EB7">
            <w:pPr>
              <w:pStyle w:val="TableText"/>
              <w:keepNext/>
              <w:spacing w:line="256" w:lineRule="auto"/>
              <w:jc w:val="center"/>
            </w:pPr>
            <w:r>
              <w:t>$3,899,060</w:t>
            </w:r>
          </w:p>
        </w:tc>
        <w:tc>
          <w:tcPr>
            <w:tcW w:w="6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149817" w14:textId="77777777" w:rsidR="00EF4EB7" w:rsidRDefault="00EF4EB7">
            <w:pPr>
              <w:pStyle w:val="TableText"/>
              <w:keepNext/>
              <w:spacing w:line="256" w:lineRule="auto"/>
              <w:jc w:val="center"/>
            </w:pPr>
            <w:r>
              <w:t>$3,951,052</w:t>
            </w:r>
          </w:p>
        </w:tc>
      </w:tr>
      <w:tr w:rsidR="00EF4EB7" w14:paraId="6A78C974" w14:textId="77777777" w:rsidTr="00EF4EB7">
        <w:tc>
          <w:tcPr>
            <w:tcW w:w="5000" w:type="pct"/>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A78A7D" w14:textId="77777777" w:rsidR="00EF4EB7" w:rsidRDefault="00EF4EB7">
            <w:pPr>
              <w:pStyle w:val="TableText"/>
              <w:keepNext/>
              <w:spacing w:line="256" w:lineRule="auto"/>
              <w:rPr>
                <w:b/>
                <w:bCs/>
              </w:rPr>
            </w:pPr>
            <w:r>
              <w:rPr>
                <w:b/>
                <w:bCs/>
              </w:rPr>
              <w:t>Change in use and cost of other health technologies</w:t>
            </w:r>
          </w:p>
        </w:tc>
      </w:tr>
      <w:tr w:rsidR="00D01C0A" w14:paraId="42488E70" w14:textId="77777777" w:rsidTr="008E19F7">
        <w:tc>
          <w:tcPr>
            <w:tcW w:w="10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D5647F" w14:textId="77777777" w:rsidR="00EF4EB7" w:rsidRDefault="00EF4EB7">
            <w:pPr>
              <w:pStyle w:val="TableText"/>
              <w:keepNext/>
              <w:spacing w:line="256" w:lineRule="auto"/>
            </w:pPr>
            <w:r>
              <w:t>Change in use of EMB</w:t>
            </w:r>
          </w:p>
        </w:tc>
        <w:tc>
          <w:tcPr>
            <w:tcW w:w="6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7D318E" w14:textId="77777777" w:rsidR="00EF4EB7" w:rsidRDefault="00EF4EB7" w:rsidP="008E19F7">
            <w:pPr>
              <w:pStyle w:val="TableText"/>
              <w:keepNext/>
              <w:spacing w:line="256" w:lineRule="auto"/>
              <w:jc w:val="center"/>
            </w:pPr>
            <w:r>
              <w:rPr>
                <w:rFonts w:eastAsia="Calibri"/>
              </w:rPr>
              <w:t>0</w:t>
            </w:r>
          </w:p>
        </w:tc>
        <w:tc>
          <w:tcPr>
            <w:tcW w:w="6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E2F11F" w14:textId="77777777" w:rsidR="00EF4EB7" w:rsidRDefault="00EF4EB7" w:rsidP="008E19F7">
            <w:pPr>
              <w:pStyle w:val="TableText"/>
              <w:keepNext/>
              <w:spacing w:line="256" w:lineRule="auto"/>
              <w:jc w:val="center"/>
            </w:pPr>
            <w:r>
              <w:rPr>
                <w:rFonts w:eastAsia="Calibri"/>
              </w:rPr>
              <w:t>0</w:t>
            </w:r>
          </w:p>
        </w:tc>
        <w:tc>
          <w:tcPr>
            <w:tcW w:w="6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49189C" w14:textId="77777777" w:rsidR="00EF4EB7" w:rsidRDefault="00EF4EB7" w:rsidP="008E19F7">
            <w:pPr>
              <w:pStyle w:val="TableText"/>
              <w:keepNext/>
              <w:spacing w:line="256" w:lineRule="auto"/>
              <w:jc w:val="center"/>
            </w:pPr>
            <w:r>
              <w:rPr>
                <w:rFonts w:eastAsia="Calibri"/>
              </w:rPr>
              <w:t>0</w:t>
            </w:r>
          </w:p>
        </w:tc>
        <w:tc>
          <w:tcPr>
            <w:tcW w:w="6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421D86" w14:textId="77777777" w:rsidR="00EF4EB7" w:rsidRDefault="00EF4EB7" w:rsidP="008E19F7">
            <w:pPr>
              <w:pStyle w:val="TableText"/>
              <w:keepNext/>
              <w:spacing w:line="256" w:lineRule="auto"/>
              <w:jc w:val="center"/>
            </w:pPr>
            <w:r>
              <w:rPr>
                <w:rFonts w:eastAsia="Calibri"/>
              </w:rPr>
              <w:t>0</w:t>
            </w:r>
          </w:p>
        </w:tc>
        <w:tc>
          <w:tcPr>
            <w:tcW w:w="6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73531B" w14:textId="77777777" w:rsidR="00EF4EB7" w:rsidRDefault="00EF4EB7" w:rsidP="008E19F7">
            <w:pPr>
              <w:pStyle w:val="TableText"/>
              <w:keepNext/>
              <w:spacing w:line="256" w:lineRule="auto"/>
              <w:jc w:val="center"/>
            </w:pPr>
            <w:r>
              <w:rPr>
                <w:rFonts w:eastAsia="Calibri"/>
              </w:rPr>
              <w:t>0</w:t>
            </w:r>
          </w:p>
        </w:tc>
        <w:tc>
          <w:tcPr>
            <w:tcW w:w="6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47F9D6" w14:textId="77777777" w:rsidR="00EF4EB7" w:rsidRDefault="00EF4EB7" w:rsidP="008E19F7">
            <w:pPr>
              <w:pStyle w:val="TableText"/>
              <w:keepNext/>
              <w:spacing w:line="256" w:lineRule="auto"/>
              <w:jc w:val="center"/>
            </w:pPr>
            <w:r>
              <w:rPr>
                <w:rFonts w:eastAsia="Calibri"/>
              </w:rPr>
              <w:t>0</w:t>
            </w:r>
          </w:p>
        </w:tc>
      </w:tr>
      <w:tr w:rsidR="00D01C0A" w14:paraId="67CBC923" w14:textId="77777777" w:rsidTr="008E19F7">
        <w:tc>
          <w:tcPr>
            <w:tcW w:w="10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8D36BA" w14:textId="77777777" w:rsidR="00EF4EB7" w:rsidRDefault="00EF4EB7">
            <w:pPr>
              <w:pStyle w:val="TableText"/>
              <w:keepNext/>
              <w:spacing w:line="256" w:lineRule="auto"/>
            </w:pPr>
            <w:r>
              <w:t>Net change in costs to the MBS</w:t>
            </w:r>
          </w:p>
        </w:tc>
        <w:tc>
          <w:tcPr>
            <w:tcW w:w="6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7967D1" w14:textId="77777777" w:rsidR="00EF4EB7" w:rsidRDefault="00EF4EB7" w:rsidP="008E19F7">
            <w:pPr>
              <w:pStyle w:val="TableText"/>
              <w:keepNext/>
              <w:spacing w:line="256" w:lineRule="auto"/>
              <w:jc w:val="center"/>
            </w:pPr>
            <w:r>
              <w:t>$0</w:t>
            </w:r>
          </w:p>
        </w:tc>
        <w:tc>
          <w:tcPr>
            <w:tcW w:w="6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90ACA6" w14:textId="77777777" w:rsidR="00EF4EB7" w:rsidRDefault="00EF4EB7" w:rsidP="008E19F7">
            <w:pPr>
              <w:pStyle w:val="TableText"/>
              <w:keepNext/>
              <w:spacing w:line="256" w:lineRule="auto"/>
              <w:jc w:val="center"/>
            </w:pPr>
            <w:r>
              <w:t>$0</w:t>
            </w:r>
          </w:p>
        </w:tc>
        <w:tc>
          <w:tcPr>
            <w:tcW w:w="6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3C091E" w14:textId="77777777" w:rsidR="00EF4EB7" w:rsidRDefault="00EF4EB7" w:rsidP="008E19F7">
            <w:pPr>
              <w:pStyle w:val="TableText"/>
              <w:keepNext/>
              <w:spacing w:line="256" w:lineRule="auto"/>
              <w:jc w:val="center"/>
            </w:pPr>
            <w:r>
              <w:t>$0</w:t>
            </w:r>
          </w:p>
        </w:tc>
        <w:tc>
          <w:tcPr>
            <w:tcW w:w="6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3668D6" w14:textId="77777777" w:rsidR="00EF4EB7" w:rsidRDefault="00EF4EB7" w:rsidP="008E19F7">
            <w:pPr>
              <w:pStyle w:val="TableText"/>
              <w:keepNext/>
              <w:spacing w:line="256" w:lineRule="auto"/>
              <w:jc w:val="center"/>
            </w:pPr>
            <w:r>
              <w:t>$0</w:t>
            </w:r>
          </w:p>
        </w:tc>
        <w:tc>
          <w:tcPr>
            <w:tcW w:w="6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60C8A2" w14:textId="77777777" w:rsidR="00EF4EB7" w:rsidRDefault="00EF4EB7" w:rsidP="008E19F7">
            <w:pPr>
              <w:pStyle w:val="TableText"/>
              <w:keepNext/>
              <w:spacing w:line="256" w:lineRule="auto"/>
              <w:jc w:val="center"/>
            </w:pPr>
            <w:r>
              <w:t>$0</w:t>
            </w:r>
          </w:p>
        </w:tc>
        <w:tc>
          <w:tcPr>
            <w:tcW w:w="6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FDE876" w14:textId="77777777" w:rsidR="00EF4EB7" w:rsidRDefault="00EF4EB7" w:rsidP="008E19F7">
            <w:pPr>
              <w:pStyle w:val="TableText"/>
              <w:keepNext/>
              <w:spacing w:line="256" w:lineRule="auto"/>
              <w:jc w:val="center"/>
            </w:pPr>
            <w:r>
              <w:t>$0</w:t>
            </w:r>
          </w:p>
        </w:tc>
      </w:tr>
      <w:tr w:rsidR="00D01C0A" w14:paraId="0A9814AE" w14:textId="77777777" w:rsidTr="008E19F7">
        <w:tc>
          <w:tcPr>
            <w:tcW w:w="10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F02E7E" w14:textId="77777777" w:rsidR="00EF4EB7" w:rsidRDefault="00EF4EB7">
            <w:pPr>
              <w:pStyle w:val="TableText"/>
              <w:keepNext/>
              <w:spacing w:line="256" w:lineRule="auto"/>
              <w:rPr>
                <w:b/>
                <w:bCs/>
              </w:rPr>
            </w:pPr>
            <w:r>
              <w:rPr>
                <w:b/>
                <w:bCs/>
              </w:rPr>
              <w:t>Net financial impact to the MBS (Population 1)</w:t>
            </w:r>
          </w:p>
        </w:tc>
        <w:tc>
          <w:tcPr>
            <w:tcW w:w="6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344509" w14:textId="77777777" w:rsidR="00EF4EB7" w:rsidRPr="001B3B17" w:rsidRDefault="00EF4EB7" w:rsidP="008E19F7">
            <w:pPr>
              <w:pStyle w:val="TableText"/>
              <w:keepNext/>
              <w:spacing w:line="256" w:lineRule="auto"/>
              <w:jc w:val="center"/>
              <w:rPr>
                <w:b/>
                <w:bCs/>
              </w:rPr>
            </w:pPr>
            <w:r w:rsidRPr="001B3B17">
              <w:rPr>
                <w:b/>
                <w:bCs/>
              </w:rPr>
              <w:t>$3,685,782</w:t>
            </w:r>
          </w:p>
        </w:tc>
        <w:tc>
          <w:tcPr>
            <w:tcW w:w="6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4912A8" w14:textId="77777777" w:rsidR="00EF4EB7" w:rsidRPr="001B3B17" w:rsidRDefault="00EF4EB7" w:rsidP="008E19F7">
            <w:pPr>
              <w:pStyle w:val="TableText"/>
              <w:keepNext/>
              <w:spacing w:line="256" w:lineRule="auto"/>
              <w:jc w:val="center"/>
              <w:rPr>
                <w:b/>
                <w:bCs/>
              </w:rPr>
            </w:pPr>
            <w:r w:rsidRPr="001B3B17">
              <w:rPr>
                <w:b/>
                <w:bCs/>
              </w:rPr>
              <w:t>$3,740,374</w:t>
            </w:r>
          </w:p>
        </w:tc>
        <w:tc>
          <w:tcPr>
            <w:tcW w:w="6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5D8D33" w14:textId="77777777" w:rsidR="00EF4EB7" w:rsidRPr="001B3B17" w:rsidRDefault="00EF4EB7" w:rsidP="008E19F7">
            <w:pPr>
              <w:pStyle w:val="TableText"/>
              <w:keepNext/>
              <w:spacing w:line="256" w:lineRule="auto"/>
              <w:jc w:val="center"/>
              <w:rPr>
                <w:b/>
                <w:bCs/>
              </w:rPr>
            </w:pPr>
            <w:r w:rsidRPr="001B3B17">
              <w:rPr>
                <w:b/>
                <w:bCs/>
              </w:rPr>
              <w:t>$3,794,116</w:t>
            </w:r>
          </w:p>
        </w:tc>
        <w:tc>
          <w:tcPr>
            <w:tcW w:w="6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FEB305" w14:textId="77777777" w:rsidR="00EF4EB7" w:rsidRPr="001B3B17" w:rsidRDefault="00EF4EB7" w:rsidP="008E19F7">
            <w:pPr>
              <w:pStyle w:val="TableText"/>
              <w:keepNext/>
              <w:spacing w:line="256" w:lineRule="auto"/>
              <w:jc w:val="center"/>
              <w:rPr>
                <w:b/>
                <w:bCs/>
              </w:rPr>
            </w:pPr>
            <w:r w:rsidRPr="001B3B17">
              <w:rPr>
                <w:b/>
                <w:bCs/>
              </w:rPr>
              <w:t>$3,846,726</w:t>
            </w:r>
          </w:p>
        </w:tc>
        <w:tc>
          <w:tcPr>
            <w:tcW w:w="6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26AA53" w14:textId="77777777" w:rsidR="00EF4EB7" w:rsidRPr="001B3B17" w:rsidRDefault="00EF4EB7" w:rsidP="008E19F7">
            <w:pPr>
              <w:pStyle w:val="TableText"/>
              <w:keepNext/>
              <w:spacing w:line="256" w:lineRule="auto"/>
              <w:jc w:val="center"/>
              <w:rPr>
                <w:b/>
                <w:bCs/>
              </w:rPr>
            </w:pPr>
            <w:r w:rsidRPr="001B3B17">
              <w:rPr>
                <w:b/>
                <w:bCs/>
              </w:rPr>
              <w:t>$3,899,060</w:t>
            </w:r>
          </w:p>
        </w:tc>
        <w:tc>
          <w:tcPr>
            <w:tcW w:w="6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60EE04" w14:textId="77777777" w:rsidR="00EF4EB7" w:rsidRPr="001B3B17" w:rsidRDefault="00EF4EB7" w:rsidP="008E19F7">
            <w:pPr>
              <w:pStyle w:val="TableText"/>
              <w:keepNext/>
              <w:spacing w:line="256" w:lineRule="auto"/>
              <w:jc w:val="center"/>
              <w:rPr>
                <w:b/>
                <w:bCs/>
              </w:rPr>
            </w:pPr>
            <w:r w:rsidRPr="001B3B17">
              <w:rPr>
                <w:b/>
                <w:bCs/>
              </w:rPr>
              <w:t>$3,951,052</w:t>
            </w:r>
          </w:p>
        </w:tc>
      </w:tr>
      <w:tr w:rsidR="00EF4EB7" w14:paraId="4102EE9F" w14:textId="77777777" w:rsidTr="00EF4EB7">
        <w:tc>
          <w:tcPr>
            <w:tcW w:w="5000" w:type="pct"/>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5E201F" w14:textId="77777777" w:rsidR="00EF4EB7" w:rsidRPr="001B3B17" w:rsidRDefault="00EF4EB7">
            <w:pPr>
              <w:pStyle w:val="TableText"/>
              <w:keepNext/>
              <w:spacing w:line="256" w:lineRule="auto"/>
              <w:rPr>
                <w:b/>
                <w:bCs/>
                <w:i/>
                <w:iCs/>
              </w:rPr>
            </w:pPr>
            <w:r w:rsidRPr="001B3B17">
              <w:rPr>
                <w:b/>
                <w:bCs/>
                <w:i/>
                <w:iCs/>
              </w:rPr>
              <w:t>Population 2</w:t>
            </w:r>
          </w:p>
        </w:tc>
      </w:tr>
      <w:tr w:rsidR="00EF4EB7" w14:paraId="31AE8B08" w14:textId="77777777" w:rsidTr="00EF4EB7">
        <w:tc>
          <w:tcPr>
            <w:tcW w:w="5000" w:type="pct"/>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892DCB" w14:textId="77777777" w:rsidR="00EF4EB7" w:rsidRDefault="00EF4EB7">
            <w:pPr>
              <w:pStyle w:val="TableText"/>
              <w:keepNext/>
              <w:spacing w:line="256" w:lineRule="auto"/>
              <w:rPr>
                <w:b/>
                <w:bCs/>
              </w:rPr>
            </w:pPr>
            <w:r>
              <w:rPr>
                <w:b/>
                <w:bCs/>
              </w:rPr>
              <w:t xml:space="preserve">Estimated use and cost of the proposed health technology </w:t>
            </w:r>
          </w:p>
        </w:tc>
      </w:tr>
      <w:tr w:rsidR="00D01C0A" w14:paraId="0D4A667C" w14:textId="77777777" w:rsidTr="00AA1DAA">
        <w:tc>
          <w:tcPr>
            <w:tcW w:w="10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1873EC" w14:textId="77777777" w:rsidR="00EF4EB7" w:rsidRDefault="00EF4EB7">
            <w:pPr>
              <w:pStyle w:val="TableText"/>
              <w:keepNext/>
              <w:spacing w:line="256" w:lineRule="auto"/>
            </w:pPr>
            <w:r>
              <w:t>Number of people eligible for cardiac MRI</w:t>
            </w:r>
          </w:p>
        </w:tc>
        <w:tc>
          <w:tcPr>
            <w:tcW w:w="6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3D930" w14:textId="77777777" w:rsidR="00EF4EB7" w:rsidRDefault="00EF4EB7">
            <w:pPr>
              <w:pStyle w:val="TableText"/>
              <w:keepNext/>
              <w:spacing w:line="256" w:lineRule="auto"/>
              <w:jc w:val="center"/>
            </w:pPr>
            <w:r>
              <w:t xml:space="preserve"> 34,841 </w:t>
            </w:r>
          </w:p>
          <w:p w14:paraId="1B4FBF9C" w14:textId="77777777" w:rsidR="00EF4EB7" w:rsidRDefault="00EF4EB7">
            <w:pPr>
              <w:pStyle w:val="TableText"/>
              <w:keepNext/>
              <w:spacing w:line="256" w:lineRule="auto"/>
              <w:jc w:val="center"/>
            </w:pPr>
          </w:p>
        </w:tc>
        <w:tc>
          <w:tcPr>
            <w:tcW w:w="6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68DD9" w14:textId="77777777" w:rsidR="00EF4EB7" w:rsidRDefault="00EF4EB7">
            <w:pPr>
              <w:pStyle w:val="TableText"/>
              <w:keepNext/>
              <w:spacing w:line="256" w:lineRule="auto"/>
              <w:jc w:val="center"/>
            </w:pPr>
            <w:r>
              <w:t xml:space="preserve"> 35,357 </w:t>
            </w:r>
          </w:p>
          <w:p w14:paraId="282CB74B" w14:textId="77777777" w:rsidR="00EF4EB7" w:rsidRDefault="00EF4EB7">
            <w:pPr>
              <w:pStyle w:val="TableText"/>
              <w:keepNext/>
              <w:spacing w:line="256" w:lineRule="auto"/>
              <w:jc w:val="center"/>
            </w:pPr>
          </w:p>
        </w:tc>
        <w:tc>
          <w:tcPr>
            <w:tcW w:w="6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07C94" w14:textId="77777777" w:rsidR="00EF4EB7" w:rsidRDefault="00EF4EB7">
            <w:pPr>
              <w:pStyle w:val="TableText"/>
              <w:keepNext/>
              <w:spacing w:line="256" w:lineRule="auto"/>
              <w:jc w:val="center"/>
            </w:pPr>
            <w:r>
              <w:t xml:space="preserve"> 35,865 </w:t>
            </w:r>
          </w:p>
          <w:p w14:paraId="1A382CC8" w14:textId="77777777" w:rsidR="00EF4EB7" w:rsidRDefault="00EF4EB7">
            <w:pPr>
              <w:pStyle w:val="TableText"/>
              <w:keepNext/>
              <w:spacing w:line="256" w:lineRule="auto"/>
              <w:jc w:val="center"/>
            </w:pPr>
          </w:p>
        </w:tc>
        <w:tc>
          <w:tcPr>
            <w:tcW w:w="6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AC786" w14:textId="77777777" w:rsidR="00EF4EB7" w:rsidRDefault="00EF4EB7">
            <w:pPr>
              <w:pStyle w:val="TableText"/>
              <w:keepNext/>
              <w:spacing w:line="256" w:lineRule="auto"/>
              <w:jc w:val="center"/>
            </w:pPr>
            <w:r>
              <w:t xml:space="preserve"> 36,363 </w:t>
            </w:r>
          </w:p>
          <w:p w14:paraId="36655BD6" w14:textId="77777777" w:rsidR="00EF4EB7" w:rsidRDefault="00EF4EB7">
            <w:pPr>
              <w:pStyle w:val="TableText"/>
              <w:keepNext/>
              <w:spacing w:line="256" w:lineRule="auto"/>
              <w:jc w:val="center"/>
            </w:pPr>
          </w:p>
        </w:tc>
        <w:tc>
          <w:tcPr>
            <w:tcW w:w="6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80F9D4" w14:textId="77777777" w:rsidR="00EF4EB7" w:rsidRDefault="00EF4EB7">
            <w:pPr>
              <w:pStyle w:val="TableText"/>
              <w:keepNext/>
              <w:spacing w:line="256" w:lineRule="auto"/>
              <w:jc w:val="center"/>
            </w:pPr>
            <w:r>
              <w:t xml:space="preserve"> 36,857 </w:t>
            </w:r>
          </w:p>
          <w:p w14:paraId="13FD3919" w14:textId="77777777" w:rsidR="00EF4EB7" w:rsidRDefault="00EF4EB7">
            <w:pPr>
              <w:pStyle w:val="TableText"/>
              <w:keepNext/>
              <w:spacing w:line="256" w:lineRule="auto"/>
              <w:jc w:val="center"/>
            </w:pPr>
          </w:p>
        </w:tc>
        <w:tc>
          <w:tcPr>
            <w:tcW w:w="6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8429F4" w14:textId="77777777" w:rsidR="00EF4EB7" w:rsidRDefault="00EF4EB7">
            <w:pPr>
              <w:pStyle w:val="TableText"/>
              <w:keepNext/>
              <w:spacing w:line="256" w:lineRule="auto"/>
              <w:jc w:val="center"/>
            </w:pPr>
            <w:r>
              <w:t xml:space="preserve"> 37,349 </w:t>
            </w:r>
          </w:p>
        </w:tc>
      </w:tr>
      <w:tr w:rsidR="00D01C0A" w14:paraId="6B6341AC" w14:textId="77777777" w:rsidTr="00AA1DAA">
        <w:tc>
          <w:tcPr>
            <w:tcW w:w="10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4A6BCD" w14:textId="77777777" w:rsidR="00EF4EB7" w:rsidRDefault="00EF4EB7">
            <w:pPr>
              <w:pStyle w:val="TableText"/>
              <w:keepNext/>
              <w:spacing w:line="256" w:lineRule="auto"/>
            </w:pPr>
            <w:r>
              <w:t xml:space="preserve">Number of people who receive cardiac MRI </w:t>
            </w:r>
          </w:p>
        </w:tc>
        <w:tc>
          <w:tcPr>
            <w:tcW w:w="6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67FA0" w14:textId="77777777" w:rsidR="00EF4EB7" w:rsidRDefault="00EF4EB7">
            <w:pPr>
              <w:pStyle w:val="TableText"/>
              <w:keepNext/>
              <w:spacing w:line="256" w:lineRule="auto"/>
              <w:jc w:val="center"/>
            </w:pPr>
            <w:r>
              <w:t xml:space="preserve"> 17,421 </w:t>
            </w:r>
          </w:p>
          <w:p w14:paraId="3E2AE32F" w14:textId="77777777" w:rsidR="00EF4EB7" w:rsidRDefault="00EF4EB7">
            <w:pPr>
              <w:pStyle w:val="TableText"/>
              <w:keepNext/>
              <w:spacing w:line="256" w:lineRule="auto"/>
              <w:jc w:val="center"/>
            </w:pPr>
          </w:p>
        </w:tc>
        <w:tc>
          <w:tcPr>
            <w:tcW w:w="6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A558C" w14:textId="77777777" w:rsidR="00EF4EB7" w:rsidRDefault="00EF4EB7">
            <w:pPr>
              <w:pStyle w:val="TableText"/>
              <w:keepNext/>
              <w:spacing w:line="256" w:lineRule="auto"/>
              <w:jc w:val="center"/>
            </w:pPr>
            <w:r>
              <w:t xml:space="preserve"> 17,679 </w:t>
            </w:r>
          </w:p>
          <w:p w14:paraId="3A909CAC" w14:textId="77777777" w:rsidR="00EF4EB7" w:rsidRDefault="00EF4EB7">
            <w:pPr>
              <w:pStyle w:val="TableText"/>
              <w:keepNext/>
              <w:spacing w:line="256" w:lineRule="auto"/>
              <w:jc w:val="center"/>
            </w:pPr>
          </w:p>
        </w:tc>
        <w:tc>
          <w:tcPr>
            <w:tcW w:w="6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750E5" w14:textId="77777777" w:rsidR="00EF4EB7" w:rsidRDefault="00EF4EB7">
            <w:pPr>
              <w:pStyle w:val="TableText"/>
              <w:keepNext/>
              <w:spacing w:line="256" w:lineRule="auto"/>
              <w:jc w:val="center"/>
            </w:pPr>
            <w:r>
              <w:t xml:space="preserve"> 17,933 </w:t>
            </w:r>
          </w:p>
          <w:p w14:paraId="574735EF" w14:textId="77777777" w:rsidR="00EF4EB7" w:rsidRDefault="00EF4EB7">
            <w:pPr>
              <w:pStyle w:val="TableText"/>
              <w:keepNext/>
              <w:spacing w:line="256" w:lineRule="auto"/>
              <w:jc w:val="center"/>
            </w:pPr>
          </w:p>
        </w:tc>
        <w:tc>
          <w:tcPr>
            <w:tcW w:w="6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CFC5F" w14:textId="77777777" w:rsidR="00EF4EB7" w:rsidRDefault="00EF4EB7">
            <w:pPr>
              <w:pStyle w:val="TableText"/>
              <w:keepNext/>
              <w:spacing w:line="256" w:lineRule="auto"/>
              <w:jc w:val="center"/>
            </w:pPr>
            <w:r>
              <w:t xml:space="preserve"> 18,181 </w:t>
            </w:r>
          </w:p>
          <w:p w14:paraId="5B9AAD97" w14:textId="77777777" w:rsidR="00EF4EB7" w:rsidRDefault="00EF4EB7">
            <w:pPr>
              <w:pStyle w:val="TableText"/>
              <w:keepNext/>
              <w:spacing w:line="256" w:lineRule="auto"/>
              <w:jc w:val="center"/>
            </w:pPr>
          </w:p>
        </w:tc>
        <w:tc>
          <w:tcPr>
            <w:tcW w:w="6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254F8" w14:textId="77777777" w:rsidR="00EF4EB7" w:rsidRDefault="00EF4EB7">
            <w:pPr>
              <w:pStyle w:val="TableText"/>
              <w:keepNext/>
              <w:spacing w:line="256" w:lineRule="auto"/>
              <w:jc w:val="center"/>
            </w:pPr>
            <w:r>
              <w:t xml:space="preserve"> 18,429 </w:t>
            </w:r>
          </w:p>
          <w:p w14:paraId="6C828323" w14:textId="77777777" w:rsidR="00EF4EB7" w:rsidRDefault="00EF4EB7">
            <w:pPr>
              <w:pStyle w:val="TableText"/>
              <w:keepNext/>
              <w:spacing w:line="256" w:lineRule="auto"/>
              <w:jc w:val="center"/>
            </w:pPr>
          </w:p>
        </w:tc>
        <w:tc>
          <w:tcPr>
            <w:tcW w:w="6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EDB5C5" w14:textId="77777777" w:rsidR="00EF4EB7" w:rsidRDefault="00EF4EB7">
            <w:pPr>
              <w:pStyle w:val="TableText"/>
              <w:keepNext/>
              <w:spacing w:line="256" w:lineRule="auto"/>
              <w:jc w:val="center"/>
            </w:pPr>
            <w:r>
              <w:t xml:space="preserve"> 18,674 </w:t>
            </w:r>
          </w:p>
        </w:tc>
      </w:tr>
      <w:tr w:rsidR="00D01C0A" w14:paraId="5FA0B125" w14:textId="77777777" w:rsidTr="00AA1DAA">
        <w:tc>
          <w:tcPr>
            <w:tcW w:w="10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DB4E08" w14:textId="77777777" w:rsidR="00EF4EB7" w:rsidRDefault="00EF4EB7">
            <w:pPr>
              <w:pStyle w:val="TableText"/>
              <w:keepNext/>
              <w:spacing w:line="256" w:lineRule="auto"/>
            </w:pPr>
            <w:r>
              <w:t>Cost to the MBS</w:t>
            </w:r>
          </w:p>
        </w:tc>
        <w:tc>
          <w:tcPr>
            <w:tcW w:w="6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D6E22" w14:textId="77777777" w:rsidR="00EF4EB7" w:rsidRDefault="00EF4EB7">
            <w:pPr>
              <w:pStyle w:val="TableText"/>
              <w:keepNext/>
              <w:spacing w:line="256" w:lineRule="auto"/>
              <w:jc w:val="center"/>
            </w:pPr>
            <w:r>
              <w:t>$14,743,127</w:t>
            </w:r>
          </w:p>
          <w:p w14:paraId="2E86F767" w14:textId="77777777" w:rsidR="00EF4EB7" w:rsidRDefault="00EF4EB7">
            <w:pPr>
              <w:pStyle w:val="TableText"/>
              <w:spacing w:line="256" w:lineRule="auto"/>
              <w:jc w:val="center"/>
            </w:pPr>
          </w:p>
        </w:tc>
        <w:tc>
          <w:tcPr>
            <w:tcW w:w="6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CDF739" w14:textId="77777777" w:rsidR="00EF4EB7" w:rsidRDefault="00EF4EB7">
            <w:pPr>
              <w:pStyle w:val="TableText"/>
              <w:keepNext/>
              <w:spacing w:line="256" w:lineRule="auto"/>
              <w:jc w:val="center"/>
            </w:pPr>
            <w:r>
              <w:t>$14,961,496</w:t>
            </w:r>
          </w:p>
          <w:p w14:paraId="1A920027" w14:textId="77777777" w:rsidR="00EF4EB7" w:rsidRDefault="00EF4EB7">
            <w:pPr>
              <w:pStyle w:val="TableText"/>
              <w:spacing w:line="256" w:lineRule="auto"/>
              <w:jc w:val="center"/>
            </w:pPr>
          </w:p>
        </w:tc>
        <w:tc>
          <w:tcPr>
            <w:tcW w:w="6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CA5B7" w14:textId="77777777" w:rsidR="00EF4EB7" w:rsidRDefault="00EF4EB7">
            <w:pPr>
              <w:pStyle w:val="TableText"/>
              <w:keepNext/>
              <w:spacing w:line="256" w:lineRule="auto"/>
              <w:jc w:val="center"/>
            </w:pPr>
            <w:r>
              <w:t>$15,176,463</w:t>
            </w:r>
          </w:p>
          <w:p w14:paraId="5C0E5D9B" w14:textId="77777777" w:rsidR="00EF4EB7" w:rsidRDefault="00EF4EB7">
            <w:pPr>
              <w:pStyle w:val="TableText"/>
              <w:spacing w:line="256" w:lineRule="auto"/>
              <w:jc w:val="center"/>
            </w:pPr>
          </w:p>
        </w:tc>
        <w:tc>
          <w:tcPr>
            <w:tcW w:w="6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9F487" w14:textId="77777777" w:rsidR="00EF4EB7" w:rsidRDefault="00EF4EB7">
            <w:pPr>
              <w:pStyle w:val="TableText"/>
              <w:keepNext/>
              <w:spacing w:line="256" w:lineRule="auto"/>
              <w:jc w:val="center"/>
            </w:pPr>
            <w:r>
              <w:t>$15,386,905</w:t>
            </w:r>
          </w:p>
          <w:p w14:paraId="1A96A421" w14:textId="77777777" w:rsidR="00EF4EB7" w:rsidRDefault="00EF4EB7">
            <w:pPr>
              <w:pStyle w:val="TableText"/>
              <w:spacing w:line="256" w:lineRule="auto"/>
              <w:jc w:val="center"/>
            </w:pPr>
          </w:p>
        </w:tc>
        <w:tc>
          <w:tcPr>
            <w:tcW w:w="6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34B99" w14:textId="77777777" w:rsidR="00EF4EB7" w:rsidRDefault="00EF4EB7">
            <w:pPr>
              <w:pStyle w:val="TableText"/>
              <w:keepNext/>
              <w:spacing w:line="256" w:lineRule="auto"/>
              <w:jc w:val="center"/>
            </w:pPr>
            <w:r>
              <w:t>$15,596,240</w:t>
            </w:r>
          </w:p>
          <w:p w14:paraId="0517FC9C" w14:textId="77777777" w:rsidR="00EF4EB7" w:rsidRDefault="00EF4EB7">
            <w:pPr>
              <w:pStyle w:val="TableText"/>
              <w:spacing w:line="256" w:lineRule="auto"/>
              <w:jc w:val="center"/>
            </w:pPr>
          </w:p>
        </w:tc>
        <w:tc>
          <w:tcPr>
            <w:tcW w:w="6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29FDA" w14:textId="77777777" w:rsidR="00EF4EB7" w:rsidRDefault="00EF4EB7">
            <w:pPr>
              <w:pStyle w:val="TableText"/>
              <w:keepNext/>
              <w:spacing w:line="256" w:lineRule="auto"/>
              <w:jc w:val="center"/>
            </w:pPr>
            <w:r>
              <w:t>$15,804,206</w:t>
            </w:r>
          </w:p>
          <w:p w14:paraId="0AFB23FF" w14:textId="77777777" w:rsidR="00EF4EB7" w:rsidRDefault="00EF4EB7">
            <w:pPr>
              <w:pStyle w:val="TableText"/>
              <w:spacing w:line="256" w:lineRule="auto"/>
              <w:jc w:val="center"/>
            </w:pPr>
          </w:p>
        </w:tc>
      </w:tr>
      <w:tr w:rsidR="00EF4EB7" w14:paraId="7664FA3E" w14:textId="77777777" w:rsidTr="00EF4EB7">
        <w:tc>
          <w:tcPr>
            <w:tcW w:w="5000" w:type="pct"/>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B8CB88" w14:textId="77777777" w:rsidR="00EF4EB7" w:rsidRDefault="00EF4EB7">
            <w:pPr>
              <w:pStyle w:val="TableText"/>
              <w:keepNext/>
              <w:spacing w:line="256" w:lineRule="auto"/>
              <w:rPr>
                <w:b/>
                <w:bCs/>
              </w:rPr>
            </w:pPr>
            <w:r>
              <w:rPr>
                <w:b/>
                <w:bCs/>
              </w:rPr>
              <w:t>Change in use and cost of other health technologies</w:t>
            </w:r>
          </w:p>
        </w:tc>
      </w:tr>
      <w:tr w:rsidR="00D01C0A" w14:paraId="7F164748" w14:textId="77777777" w:rsidTr="00AA1DAA">
        <w:tc>
          <w:tcPr>
            <w:tcW w:w="10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E11490" w14:textId="77777777" w:rsidR="00EF4EB7" w:rsidRDefault="00EF4EB7">
            <w:pPr>
              <w:pStyle w:val="TableText"/>
              <w:keepNext/>
              <w:spacing w:line="256" w:lineRule="auto"/>
            </w:pPr>
            <w:r>
              <w:t>Change in use of CTCA</w:t>
            </w:r>
          </w:p>
        </w:tc>
        <w:tc>
          <w:tcPr>
            <w:tcW w:w="6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E8B7D" w14:textId="77777777" w:rsidR="00EF4EB7" w:rsidRDefault="00EF4EB7">
            <w:pPr>
              <w:pStyle w:val="TableText"/>
              <w:keepNext/>
              <w:spacing w:line="256" w:lineRule="auto"/>
              <w:jc w:val="center"/>
            </w:pPr>
            <w:r>
              <w:t>-17,421</w:t>
            </w:r>
          </w:p>
          <w:p w14:paraId="3F9A1693" w14:textId="77777777" w:rsidR="00EF4EB7" w:rsidRDefault="00EF4EB7">
            <w:pPr>
              <w:pStyle w:val="TableText"/>
              <w:keepNext/>
              <w:spacing w:line="256" w:lineRule="auto"/>
              <w:jc w:val="center"/>
            </w:pPr>
          </w:p>
        </w:tc>
        <w:tc>
          <w:tcPr>
            <w:tcW w:w="6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60C8EA" w14:textId="77777777" w:rsidR="00EF4EB7" w:rsidRDefault="00EF4EB7">
            <w:pPr>
              <w:pStyle w:val="TableText"/>
              <w:keepNext/>
              <w:spacing w:line="256" w:lineRule="auto"/>
              <w:jc w:val="center"/>
            </w:pPr>
            <w:r>
              <w:t>-17,679</w:t>
            </w:r>
          </w:p>
        </w:tc>
        <w:tc>
          <w:tcPr>
            <w:tcW w:w="6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0885BC" w14:textId="77777777" w:rsidR="00EF4EB7" w:rsidRDefault="00EF4EB7">
            <w:pPr>
              <w:pStyle w:val="TableText"/>
              <w:keepNext/>
              <w:spacing w:line="256" w:lineRule="auto"/>
              <w:jc w:val="center"/>
            </w:pPr>
            <w:r>
              <w:t>-17,933</w:t>
            </w:r>
          </w:p>
        </w:tc>
        <w:tc>
          <w:tcPr>
            <w:tcW w:w="6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FF5724" w14:textId="77777777" w:rsidR="00EF4EB7" w:rsidRDefault="00EF4EB7">
            <w:pPr>
              <w:pStyle w:val="TableText"/>
              <w:keepNext/>
              <w:spacing w:line="256" w:lineRule="auto"/>
              <w:jc w:val="center"/>
            </w:pPr>
            <w:r>
              <w:t>-18,181</w:t>
            </w:r>
          </w:p>
        </w:tc>
        <w:tc>
          <w:tcPr>
            <w:tcW w:w="6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BEAB64" w14:textId="77777777" w:rsidR="00EF4EB7" w:rsidRDefault="00EF4EB7">
            <w:pPr>
              <w:pStyle w:val="TableText"/>
              <w:keepNext/>
              <w:spacing w:line="256" w:lineRule="auto"/>
              <w:jc w:val="center"/>
            </w:pPr>
            <w:r>
              <w:t>-18,429</w:t>
            </w:r>
          </w:p>
        </w:tc>
        <w:tc>
          <w:tcPr>
            <w:tcW w:w="6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C1CE5B" w14:textId="77777777" w:rsidR="00EF4EB7" w:rsidRDefault="00EF4EB7">
            <w:pPr>
              <w:pStyle w:val="TableText"/>
              <w:keepNext/>
              <w:spacing w:line="256" w:lineRule="auto"/>
              <w:jc w:val="center"/>
            </w:pPr>
            <w:r>
              <w:t>-18,674</w:t>
            </w:r>
          </w:p>
        </w:tc>
      </w:tr>
      <w:tr w:rsidR="00D01C0A" w14:paraId="1A8F749E" w14:textId="77777777" w:rsidTr="00AA1DAA">
        <w:tc>
          <w:tcPr>
            <w:tcW w:w="10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B992C7" w14:textId="77777777" w:rsidR="00EF4EB7" w:rsidRDefault="00EF4EB7">
            <w:pPr>
              <w:pStyle w:val="TableText"/>
              <w:keepNext/>
              <w:spacing w:line="256" w:lineRule="auto"/>
            </w:pPr>
            <w:r>
              <w:t>Change in use of TTE</w:t>
            </w:r>
          </w:p>
        </w:tc>
        <w:tc>
          <w:tcPr>
            <w:tcW w:w="6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4090AB" w14:textId="77777777" w:rsidR="00EF4EB7" w:rsidRDefault="00EF4EB7">
            <w:pPr>
              <w:pStyle w:val="TableText"/>
              <w:keepNext/>
              <w:spacing w:line="256" w:lineRule="auto"/>
              <w:jc w:val="center"/>
            </w:pPr>
            <w:r>
              <w:t>-8,710</w:t>
            </w:r>
          </w:p>
        </w:tc>
        <w:tc>
          <w:tcPr>
            <w:tcW w:w="6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FAC8AF" w14:textId="77777777" w:rsidR="00EF4EB7" w:rsidRDefault="00EF4EB7">
            <w:pPr>
              <w:pStyle w:val="TableText"/>
              <w:keepNext/>
              <w:spacing w:line="256" w:lineRule="auto"/>
              <w:jc w:val="center"/>
            </w:pPr>
            <w:r>
              <w:t>-8,839</w:t>
            </w:r>
          </w:p>
        </w:tc>
        <w:tc>
          <w:tcPr>
            <w:tcW w:w="6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F1D63E" w14:textId="77777777" w:rsidR="00EF4EB7" w:rsidRDefault="00EF4EB7">
            <w:pPr>
              <w:pStyle w:val="TableText"/>
              <w:keepNext/>
              <w:spacing w:line="256" w:lineRule="auto"/>
              <w:jc w:val="center"/>
            </w:pPr>
            <w:r>
              <w:t>-8,966</w:t>
            </w:r>
          </w:p>
        </w:tc>
        <w:tc>
          <w:tcPr>
            <w:tcW w:w="6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B4B4F6" w14:textId="77777777" w:rsidR="00EF4EB7" w:rsidRDefault="00EF4EB7">
            <w:pPr>
              <w:pStyle w:val="TableText"/>
              <w:keepNext/>
              <w:spacing w:line="256" w:lineRule="auto"/>
              <w:jc w:val="center"/>
            </w:pPr>
            <w:r>
              <w:t>-9,091</w:t>
            </w:r>
          </w:p>
        </w:tc>
        <w:tc>
          <w:tcPr>
            <w:tcW w:w="6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8EE9D3" w14:textId="77777777" w:rsidR="00EF4EB7" w:rsidRDefault="00EF4EB7">
            <w:pPr>
              <w:pStyle w:val="TableText"/>
              <w:keepNext/>
              <w:spacing w:line="256" w:lineRule="auto"/>
              <w:jc w:val="center"/>
            </w:pPr>
            <w:r>
              <w:t>-9,214</w:t>
            </w:r>
          </w:p>
        </w:tc>
        <w:tc>
          <w:tcPr>
            <w:tcW w:w="6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AD4727" w14:textId="77777777" w:rsidR="00EF4EB7" w:rsidRDefault="00EF4EB7">
            <w:pPr>
              <w:pStyle w:val="TableText"/>
              <w:keepNext/>
              <w:spacing w:line="256" w:lineRule="auto"/>
              <w:jc w:val="center"/>
            </w:pPr>
            <w:r>
              <w:t>-9,337</w:t>
            </w:r>
          </w:p>
        </w:tc>
      </w:tr>
      <w:tr w:rsidR="00D01C0A" w14:paraId="1B5C5D1C" w14:textId="77777777" w:rsidTr="008E19F7">
        <w:tc>
          <w:tcPr>
            <w:tcW w:w="10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7995E3" w14:textId="77777777" w:rsidR="00EF4EB7" w:rsidRDefault="00EF4EB7">
            <w:pPr>
              <w:pStyle w:val="TableText"/>
              <w:keepNext/>
              <w:spacing w:line="256" w:lineRule="auto"/>
            </w:pPr>
            <w:r>
              <w:t>Change in use of EMB</w:t>
            </w:r>
          </w:p>
        </w:tc>
        <w:tc>
          <w:tcPr>
            <w:tcW w:w="6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77D9B1" w14:textId="77777777" w:rsidR="00EF4EB7" w:rsidRDefault="00EF4EB7" w:rsidP="008E19F7">
            <w:pPr>
              <w:pStyle w:val="TableText"/>
              <w:keepNext/>
              <w:spacing w:line="256" w:lineRule="auto"/>
              <w:jc w:val="center"/>
            </w:pPr>
            <w:r>
              <w:rPr>
                <w:rFonts w:eastAsia="Calibri"/>
              </w:rPr>
              <w:t>0</w:t>
            </w:r>
          </w:p>
        </w:tc>
        <w:tc>
          <w:tcPr>
            <w:tcW w:w="6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E725EE" w14:textId="77777777" w:rsidR="00EF4EB7" w:rsidRDefault="00EF4EB7" w:rsidP="008E19F7">
            <w:pPr>
              <w:pStyle w:val="TableText"/>
              <w:keepNext/>
              <w:spacing w:line="256" w:lineRule="auto"/>
              <w:jc w:val="center"/>
            </w:pPr>
            <w:r>
              <w:rPr>
                <w:rFonts w:eastAsia="Calibri"/>
              </w:rPr>
              <w:t>0</w:t>
            </w:r>
          </w:p>
        </w:tc>
        <w:tc>
          <w:tcPr>
            <w:tcW w:w="6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A6F200" w14:textId="77777777" w:rsidR="00EF4EB7" w:rsidRDefault="00EF4EB7" w:rsidP="008E19F7">
            <w:pPr>
              <w:pStyle w:val="TableText"/>
              <w:keepNext/>
              <w:spacing w:line="256" w:lineRule="auto"/>
              <w:jc w:val="center"/>
            </w:pPr>
            <w:r>
              <w:rPr>
                <w:rFonts w:eastAsia="Calibri"/>
              </w:rPr>
              <w:t>0</w:t>
            </w:r>
          </w:p>
        </w:tc>
        <w:tc>
          <w:tcPr>
            <w:tcW w:w="6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9EE256" w14:textId="77777777" w:rsidR="00EF4EB7" w:rsidRDefault="00EF4EB7" w:rsidP="008E19F7">
            <w:pPr>
              <w:pStyle w:val="TableText"/>
              <w:keepNext/>
              <w:spacing w:line="256" w:lineRule="auto"/>
              <w:jc w:val="center"/>
            </w:pPr>
            <w:r>
              <w:rPr>
                <w:rFonts w:eastAsia="Calibri"/>
              </w:rPr>
              <w:t>0</w:t>
            </w:r>
          </w:p>
        </w:tc>
        <w:tc>
          <w:tcPr>
            <w:tcW w:w="6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5DCC4C" w14:textId="77777777" w:rsidR="00EF4EB7" w:rsidRDefault="00EF4EB7" w:rsidP="008E19F7">
            <w:pPr>
              <w:pStyle w:val="TableText"/>
              <w:keepNext/>
              <w:spacing w:line="256" w:lineRule="auto"/>
              <w:jc w:val="center"/>
            </w:pPr>
            <w:r>
              <w:rPr>
                <w:rFonts w:eastAsia="Calibri"/>
              </w:rPr>
              <w:t>0</w:t>
            </w:r>
          </w:p>
        </w:tc>
        <w:tc>
          <w:tcPr>
            <w:tcW w:w="6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7324EC" w14:textId="77777777" w:rsidR="00EF4EB7" w:rsidRDefault="00EF4EB7" w:rsidP="008E19F7">
            <w:pPr>
              <w:pStyle w:val="TableText"/>
              <w:keepNext/>
              <w:spacing w:line="256" w:lineRule="auto"/>
              <w:jc w:val="center"/>
            </w:pPr>
            <w:r>
              <w:rPr>
                <w:rFonts w:eastAsia="Calibri"/>
              </w:rPr>
              <w:t>0</w:t>
            </w:r>
          </w:p>
        </w:tc>
      </w:tr>
      <w:tr w:rsidR="00D01C0A" w14:paraId="4F638ED0" w14:textId="77777777" w:rsidTr="008E19F7">
        <w:tc>
          <w:tcPr>
            <w:tcW w:w="10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6CB9D0" w14:textId="77777777" w:rsidR="00EF4EB7" w:rsidRDefault="00EF4EB7">
            <w:pPr>
              <w:pStyle w:val="TableText"/>
              <w:keepNext/>
              <w:spacing w:line="256" w:lineRule="auto"/>
            </w:pPr>
            <w:r>
              <w:t>Net change in costs to the MBS</w:t>
            </w:r>
          </w:p>
        </w:tc>
        <w:tc>
          <w:tcPr>
            <w:tcW w:w="6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2134B6" w14:textId="77777777" w:rsidR="00EF4EB7" w:rsidRDefault="00EF4EB7" w:rsidP="008E19F7">
            <w:pPr>
              <w:pStyle w:val="TableText"/>
              <w:keepNext/>
              <w:spacing w:line="256" w:lineRule="auto"/>
              <w:jc w:val="center"/>
            </w:pPr>
            <w:r>
              <w:t>-$13,341,633</w:t>
            </w:r>
          </w:p>
        </w:tc>
        <w:tc>
          <w:tcPr>
            <w:tcW w:w="6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EFDCEC" w14:textId="77777777" w:rsidR="00EF4EB7" w:rsidRDefault="00EF4EB7" w:rsidP="008E19F7">
            <w:pPr>
              <w:pStyle w:val="TableText"/>
              <w:keepNext/>
              <w:spacing w:line="256" w:lineRule="auto"/>
              <w:jc w:val="center"/>
            </w:pPr>
            <w:r>
              <w:t>-$13,539,243</w:t>
            </w:r>
          </w:p>
        </w:tc>
        <w:tc>
          <w:tcPr>
            <w:tcW w:w="6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FB030F" w14:textId="77777777" w:rsidR="00EF4EB7" w:rsidRDefault="00EF4EB7" w:rsidP="008E19F7">
            <w:pPr>
              <w:pStyle w:val="TableText"/>
              <w:keepNext/>
              <w:spacing w:line="256" w:lineRule="auto"/>
              <w:jc w:val="center"/>
            </w:pPr>
            <w:r>
              <w:t>-$13,733,776</w:t>
            </w:r>
          </w:p>
        </w:tc>
        <w:tc>
          <w:tcPr>
            <w:tcW w:w="6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B11F34" w14:textId="77777777" w:rsidR="00EF4EB7" w:rsidRDefault="00EF4EB7" w:rsidP="008E19F7">
            <w:pPr>
              <w:pStyle w:val="TableText"/>
              <w:keepNext/>
              <w:spacing w:line="256" w:lineRule="auto"/>
              <w:jc w:val="center"/>
            </w:pPr>
            <w:r>
              <w:t>-$13,924,212</w:t>
            </w:r>
          </w:p>
        </w:tc>
        <w:tc>
          <w:tcPr>
            <w:tcW w:w="6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06F60B" w14:textId="77777777" w:rsidR="00EF4EB7" w:rsidRDefault="00EF4EB7" w:rsidP="008E19F7">
            <w:pPr>
              <w:pStyle w:val="TableText"/>
              <w:keepNext/>
              <w:spacing w:line="256" w:lineRule="auto"/>
              <w:jc w:val="center"/>
            </w:pPr>
            <w:r>
              <w:t>-$14,113,648</w:t>
            </w:r>
          </w:p>
        </w:tc>
        <w:tc>
          <w:tcPr>
            <w:tcW w:w="6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19C9E8" w14:textId="77777777" w:rsidR="00EF4EB7" w:rsidRDefault="00EF4EB7" w:rsidP="008E19F7">
            <w:pPr>
              <w:pStyle w:val="TableText"/>
              <w:keepNext/>
              <w:spacing w:line="256" w:lineRule="auto"/>
              <w:jc w:val="center"/>
            </w:pPr>
            <w:r>
              <w:t>-$14,301,845</w:t>
            </w:r>
          </w:p>
        </w:tc>
      </w:tr>
      <w:tr w:rsidR="00D01C0A" w14:paraId="1ACBEEDB" w14:textId="77777777" w:rsidTr="00AB0D94">
        <w:tc>
          <w:tcPr>
            <w:tcW w:w="1014" w:type="pct"/>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hideMark/>
          </w:tcPr>
          <w:p w14:paraId="396AB0FB" w14:textId="77777777" w:rsidR="00EF4EB7" w:rsidRDefault="00EF4EB7">
            <w:pPr>
              <w:pStyle w:val="TableText"/>
              <w:keepNext/>
              <w:spacing w:line="256" w:lineRule="auto"/>
              <w:rPr>
                <w:b/>
                <w:bCs/>
              </w:rPr>
            </w:pPr>
            <w:r>
              <w:rPr>
                <w:b/>
                <w:bCs/>
              </w:rPr>
              <w:t>Net financial impact to the MBS (Population 2)</w:t>
            </w:r>
          </w:p>
        </w:tc>
        <w:tc>
          <w:tcPr>
            <w:tcW w:w="664" w:type="pct"/>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tcPr>
          <w:p w14:paraId="2353BC42" w14:textId="030FA81C" w:rsidR="00EF4EB7" w:rsidRPr="00AB0D94" w:rsidRDefault="00EF4EB7" w:rsidP="008E19F7">
            <w:pPr>
              <w:pStyle w:val="TableText"/>
              <w:keepNext/>
              <w:spacing w:line="256" w:lineRule="auto"/>
              <w:jc w:val="center"/>
              <w:rPr>
                <w:b/>
                <w:bCs/>
              </w:rPr>
            </w:pPr>
            <w:r w:rsidRPr="001B3B17">
              <w:rPr>
                <w:b/>
                <w:bCs/>
              </w:rPr>
              <w:t>$1,401,494</w:t>
            </w:r>
          </w:p>
        </w:tc>
        <w:tc>
          <w:tcPr>
            <w:tcW w:w="664" w:type="pct"/>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tcPr>
          <w:p w14:paraId="2235E910" w14:textId="42800F32" w:rsidR="00EF4EB7" w:rsidRPr="00AB0D94" w:rsidRDefault="00EF4EB7" w:rsidP="008E19F7">
            <w:pPr>
              <w:pStyle w:val="TableText"/>
              <w:keepNext/>
              <w:spacing w:line="256" w:lineRule="auto"/>
              <w:jc w:val="center"/>
              <w:rPr>
                <w:b/>
                <w:bCs/>
              </w:rPr>
            </w:pPr>
            <w:r w:rsidRPr="001B3B17">
              <w:rPr>
                <w:b/>
                <w:bCs/>
              </w:rPr>
              <w:t>$1,422,253</w:t>
            </w:r>
          </w:p>
        </w:tc>
        <w:tc>
          <w:tcPr>
            <w:tcW w:w="664" w:type="pct"/>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tcPr>
          <w:p w14:paraId="2D5B11CA" w14:textId="14497B88" w:rsidR="00EF4EB7" w:rsidRPr="00AB0D94" w:rsidRDefault="00EF4EB7" w:rsidP="008E19F7">
            <w:pPr>
              <w:pStyle w:val="TableText"/>
              <w:keepNext/>
              <w:spacing w:line="256" w:lineRule="auto"/>
              <w:jc w:val="center"/>
              <w:rPr>
                <w:b/>
                <w:bCs/>
              </w:rPr>
            </w:pPr>
            <w:r w:rsidRPr="001B3B17">
              <w:rPr>
                <w:b/>
                <w:bCs/>
              </w:rPr>
              <w:t>$1,442,688</w:t>
            </w:r>
          </w:p>
        </w:tc>
        <w:tc>
          <w:tcPr>
            <w:tcW w:w="664" w:type="pct"/>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hideMark/>
          </w:tcPr>
          <w:p w14:paraId="19C63FB6" w14:textId="77777777" w:rsidR="00EF4EB7" w:rsidRPr="00AB0D94" w:rsidRDefault="00EF4EB7" w:rsidP="008E19F7">
            <w:pPr>
              <w:pStyle w:val="TableText"/>
              <w:keepNext/>
              <w:spacing w:line="256" w:lineRule="auto"/>
              <w:jc w:val="center"/>
              <w:rPr>
                <w:b/>
                <w:bCs/>
              </w:rPr>
            </w:pPr>
            <w:r w:rsidRPr="001B3B17">
              <w:rPr>
                <w:b/>
                <w:bCs/>
              </w:rPr>
              <w:t>$1,462,692</w:t>
            </w:r>
          </w:p>
        </w:tc>
        <w:tc>
          <w:tcPr>
            <w:tcW w:w="664" w:type="pct"/>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hideMark/>
          </w:tcPr>
          <w:p w14:paraId="6586EDF9" w14:textId="77777777" w:rsidR="00EF4EB7" w:rsidRPr="001B3B17" w:rsidRDefault="00EF4EB7" w:rsidP="008E19F7">
            <w:pPr>
              <w:pStyle w:val="TableText"/>
              <w:keepNext/>
              <w:spacing w:line="256" w:lineRule="auto"/>
              <w:jc w:val="center"/>
              <w:rPr>
                <w:b/>
                <w:bCs/>
              </w:rPr>
            </w:pPr>
            <w:r w:rsidRPr="001B3B17">
              <w:rPr>
                <w:b/>
                <w:bCs/>
              </w:rPr>
              <w:t>$1,482,592</w:t>
            </w:r>
          </w:p>
        </w:tc>
        <w:tc>
          <w:tcPr>
            <w:tcW w:w="666" w:type="pct"/>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hideMark/>
          </w:tcPr>
          <w:p w14:paraId="046466E4" w14:textId="77777777" w:rsidR="00EF4EB7" w:rsidRPr="001B3B17" w:rsidRDefault="00EF4EB7" w:rsidP="008E19F7">
            <w:pPr>
              <w:pStyle w:val="TableText"/>
              <w:keepNext/>
              <w:spacing w:line="256" w:lineRule="auto"/>
              <w:jc w:val="center"/>
              <w:rPr>
                <w:b/>
                <w:bCs/>
              </w:rPr>
            </w:pPr>
            <w:r w:rsidRPr="001B3B17">
              <w:rPr>
                <w:b/>
                <w:bCs/>
              </w:rPr>
              <w:t>$1,502,361</w:t>
            </w:r>
          </w:p>
        </w:tc>
      </w:tr>
      <w:tr w:rsidR="00D01C0A" w14:paraId="2D23967A" w14:textId="77777777" w:rsidTr="00AB0D94">
        <w:tc>
          <w:tcPr>
            <w:tcW w:w="1014" w:type="pct"/>
            <w:tcBorders>
              <w:top w:val="doub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96F99D" w14:textId="77777777" w:rsidR="00EF4EB7" w:rsidRDefault="00EF4EB7">
            <w:pPr>
              <w:pStyle w:val="TableText"/>
              <w:keepNext/>
              <w:spacing w:line="256" w:lineRule="auto"/>
              <w:rPr>
                <w:b/>
                <w:bCs/>
              </w:rPr>
            </w:pPr>
            <w:r>
              <w:rPr>
                <w:b/>
                <w:bCs/>
              </w:rPr>
              <w:t>Total net financial impact to the MBS (Population 1 and 2)</w:t>
            </w:r>
          </w:p>
        </w:tc>
        <w:tc>
          <w:tcPr>
            <w:tcW w:w="664" w:type="pct"/>
            <w:tcBorders>
              <w:top w:val="doub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F2BC66" w14:textId="77777777" w:rsidR="00EF4EB7" w:rsidRPr="001B3B17" w:rsidRDefault="00EF4EB7">
            <w:pPr>
              <w:pStyle w:val="TableText"/>
              <w:keepNext/>
              <w:spacing w:line="256" w:lineRule="auto"/>
              <w:jc w:val="center"/>
              <w:rPr>
                <w:b/>
                <w:bCs/>
              </w:rPr>
            </w:pPr>
            <w:r w:rsidRPr="001B3B17">
              <w:rPr>
                <w:b/>
                <w:bCs/>
              </w:rPr>
              <w:t>$5,087,276</w:t>
            </w:r>
          </w:p>
        </w:tc>
        <w:tc>
          <w:tcPr>
            <w:tcW w:w="664" w:type="pct"/>
            <w:tcBorders>
              <w:top w:val="doub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9327005" w14:textId="77777777" w:rsidR="00EF4EB7" w:rsidRPr="001B3B17" w:rsidRDefault="00EF4EB7">
            <w:pPr>
              <w:pStyle w:val="TableText"/>
              <w:keepNext/>
              <w:spacing w:line="256" w:lineRule="auto"/>
              <w:jc w:val="center"/>
              <w:rPr>
                <w:b/>
                <w:bCs/>
              </w:rPr>
            </w:pPr>
            <w:r w:rsidRPr="001B3B17">
              <w:rPr>
                <w:b/>
                <w:bCs/>
              </w:rPr>
              <w:t>$5,162,627</w:t>
            </w:r>
          </w:p>
        </w:tc>
        <w:tc>
          <w:tcPr>
            <w:tcW w:w="664" w:type="pct"/>
            <w:tcBorders>
              <w:top w:val="doub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0036EC" w14:textId="77777777" w:rsidR="00EF4EB7" w:rsidRPr="001B3B17" w:rsidRDefault="00EF4EB7">
            <w:pPr>
              <w:pStyle w:val="TableText"/>
              <w:keepNext/>
              <w:spacing w:line="256" w:lineRule="auto"/>
              <w:jc w:val="center"/>
              <w:rPr>
                <w:b/>
                <w:bCs/>
              </w:rPr>
            </w:pPr>
            <w:r w:rsidRPr="001B3B17">
              <w:rPr>
                <w:b/>
                <w:bCs/>
              </w:rPr>
              <w:t>$5,236,803</w:t>
            </w:r>
          </w:p>
        </w:tc>
        <w:tc>
          <w:tcPr>
            <w:tcW w:w="664" w:type="pct"/>
            <w:tcBorders>
              <w:top w:val="doub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47E408" w14:textId="77777777" w:rsidR="00EF4EB7" w:rsidRPr="001B3B17" w:rsidRDefault="00EF4EB7">
            <w:pPr>
              <w:pStyle w:val="TableText"/>
              <w:keepNext/>
              <w:spacing w:line="256" w:lineRule="auto"/>
              <w:jc w:val="center"/>
              <w:rPr>
                <w:b/>
                <w:bCs/>
              </w:rPr>
            </w:pPr>
            <w:r w:rsidRPr="001B3B17">
              <w:rPr>
                <w:b/>
                <w:bCs/>
              </w:rPr>
              <w:t>$5,309,418</w:t>
            </w:r>
          </w:p>
        </w:tc>
        <w:tc>
          <w:tcPr>
            <w:tcW w:w="664" w:type="pct"/>
            <w:tcBorders>
              <w:top w:val="doub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04011D" w14:textId="77777777" w:rsidR="00EF4EB7" w:rsidRPr="001B3B17" w:rsidRDefault="00EF4EB7">
            <w:pPr>
              <w:pStyle w:val="TableText"/>
              <w:keepNext/>
              <w:spacing w:line="256" w:lineRule="auto"/>
              <w:jc w:val="center"/>
              <w:rPr>
                <w:b/>
                <w:bCs/>
              </w:rPr>
            </w:pPr>
            <w:r w:rsidRPr="001B3B17">
              <w:rPr>
                <w:b/>
                <w:bCs/>
              </w:rPr>
              <w:t>$5,381,652</w:t>
            </w:r>
          </w:p>
        </w:tc>
        <w:tc>
          <w:tcPr>
            <w:tcW w:w="666" w:type="pct"/>
            <w:tcBorders>
              <w:top w:val="doub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AB9944" w14:textId="77777777" w:rsidR="00EF4EB7" w:rsidRPr="001B3B17" w:rsidRDefault="00EF4EB7">
            <w:pPr>
              <w:pStyle w:val="TableText"/>
              <w:keepNext/>
              <w:spacing w:line="256" w:lineRule="auto"/>
              <w:jc w:val="center"/>
              <w:rPr>
                <w:b/>
                <w:bCs/>
              </w:rPr>
            </w:pPr>
            <w:r w:rsidRPr="001B3B17">
              <w:rPr>
                <w:b/>
                <w:bCs/>
              </w:rPr>
              <w:t>$5,453,413</w:t>
            </w:r>
          </w:p>
        </w:tc>
      </w:tr>
    </w:tbl>
    <w:p w14:paraId="5D83EB73" w14:textId="53A4AF6E" w:rsidR="0096106D" w:rsidRDefault="0096106D" w:rsidP="0096106D">
      <w:pPr>
        <w:pStyle w:val="TableFigureFooter"/>
      </w:pPr>
      <w:r>
        <w:t xml:space="preserve">EMB = endomyocardial biopsy; </w:t>
      </w:r>
      <w:r w:rsidRPr="00494B15">
        <w:t>CTCA</w:t>
      </w:r>
      <w:r>
        <w:t xml:space="preserve"> = </w:t>
      </w:r>
      <w:r w:rsidRPr="00494B15">
        <w:t>computed tomography coronary angiography, EMB</w:t>
      </w:r>
      <w:r>
        <w:t xml:space="preserve"> = </w:t>
      </w:r>
      <w:r w:rsidRPr="00494B15">
        <w:t>endomyocardial biopsy, MBS</w:t>
      </w:r>
      <w:r>
        <w:t xml:space="preserve"> =</w:t>
      </w:r>
      <w:r w:rsidRPr="00494B15">
        <w:t xml:space="preserve"> Medicare Benefits Schedule, TTE</w:t>
      </w:r>
      <w:r>
        <w:t xml:space="preserve"> = </w:t>
      </w:r>
      <w:r w:rsidRPr="00494B15">
        <w:t>transthoracic echocardiogram.</w:t>
      </w:r>
    </w:p>
    <w:p w14:paraId="167E5251" w14:textId="51DB1BE6" w:rsidR="0096106D" w:rsidRDefault="0096106D" w:rsidP="00867E94">
      <w:r w:rsidRPr="00621497">
        <w:lastRenderedPageBreak/>
        <w:t xml:space="preserve">Estimations of the extent of use and financial implications of </w:t>
      </w:r>
      <w:r w:rsidRPr="0096106D">
        <w:t>cardiac MRI</w:t>
      </w:r>
      <w:r w:rsidRPr="00621497">
        <w:t xml:space="preserve"> </w:t>
      </w:r>
      <w:r w:rsidR="007148A5">
        <w:t>we</w:t>
      </w:r>
      <w:r w:rsidRPr="00621497">
        <w:t xml:space="preserve">re highly uncertain due </w:t>
      </w:r>
      <w:r>
        <w:t xml:space="preserve">to </w:t>
      </w:r>
      <w:r w:rsidRPr="00621497">
        <w:t>numerous assumptions that were required to estimate the financial impact. F</w:t>
      </w:r>
      <w:r>
        <w:t>or example</w:t>
      </w:r>
      <w:r w:rsidRPr="00621497">
        <w:t xml:space="preserve">, in estimating the financial impact, it was assumed that 50% of CTCA±TTE procedures would be avoided due to the listing of </w:t>
      </w:r>
      <w:r w:rsidRPr="0096106D">
        <w:t>cardiac MRI</w:t>
      </w:r>
      <w:r>
        <w:t xml:space="preserve"> in Population 2</w:t>
      </w:r>
      <w:r w:rsidRPr="00621497">
        <w:t xml:space="preserve">. However, based on feedback from a clinical expert, majority of patients presenting with signs and symptoms of ACS undergo CTCA±TTE to rule out CAD before undergoing </w:t>
      </w:r>
      <w:r>
        <w:t>cardiac MRI</w:t>
      </w:r>
      <w:r w:rsidRPr="00621497">
        <w:t xml:space="preserve"> testing. As a result, the use of CTCA±TTE may have been underestimated, which likely underestimate</w:t>
      </w:r>
      <w:r w:rsidR="003965A5">
        <w:t>d</w:t>
      </w:r>
      <w:r w:rsidRPr="00621497">
        <w:t xml:space="preserve"> the financial imp</w:t>
      </w:r>
      <w:r>
        <w:t>act of listing</w:t>
      </w:r>
      <w:r w:rsidRPr="00621497">
        <w:t xml:space="preserve"> </w:t>
      </w:r>
      <w:r>
        <w:t>cardiac MRI</w:t>
      </w:r>
      <w:r w:rsidRPr="00621497">
        <w:t>.</w:t>
      </w:r>
      <w:r>
        <w:t xml:space="preserve"> </w:t>
      </w:r>
      <w:r w:rsidR="00903ED8">
        <w:t>Furthermore, t</w:t>
      </w:r>
      <w:r w:rsidRPr="00621497">
        <w:t xml:space="preserve">he financial estimates were </w:t>
      </w:r>
      <w:r>
        <w:t xml:space="preserve">also </w:t>
      </w:r>
      <w:r w:rsidRPr="00621497">
        <w:t xml:space="preserve">sensitive to incidence of myocarditis, proportion of patients in </w:t>
      </w:r>
      <w:r w:rsidR="00500B37">
        <w:t>P</w:t>
      </w:r>
      <w:r w:rsidRPr="00621497">
        <w:t xml:space="preserve">opulation 1 and 2, and uptake rate of </w:t>
      </w:r>
      <w:r>
        <w:t>cardiac MRI</w:t>
      </w:r>
      <w:r w:rsidRPr="00621497">
        <w:t>.</w:t>
      </w:r>
    </w:p>
    <w:p w14:paraId="7838A9FF" w14:textId="7F4D29A1" w:rsidR="00772829" w:rsidRDefault="00C36633" w:rsidP="002A18BE">
      <w:pPr>
        <w:pStyle w:val="Heading2"/>
        <w:numPr>
          <w:ilvl w:val="0"/>
          <w:numId w:val="0"/>
        </w:numPr>
      </w:pPr>
      <w:bookmarkStart w:id="74" w:name="_Toc155189749"/>
      <w:r>
        <w:t>1</w:t>
      </w:r>
      <w:r w:rsidR="00F226F7">
        <w:t>5</w:t>
      </w:r>
      <w:r>
        <w:t>.</w:t>
      </w:r>
      <w:r>
        <w:tab/>
      </w:r>
      <w:r w:rsidR="00772829" w:rsidRPr="00CE28E3">
        <w:t xml:space="preserve">Other relevant </w:t>
      </w:r>
      <w:r w:rsidR="00FA5766">
        <w:t>information</w:t>
      </w:r>
      <w:bookmarkEnd w:id="74"/>
    </w:p>
    <w:p w14:paraId="2900E179" w14:textId="5FF2F69A" w:rsidR="003843F3" w:rsidRDefault="003843F3" w:rsidP="003843F3">
      <w:r>
        <w:t>Nil</w:t>
      </w:r>
    </w:p>
    <w:p w14:paraId="794D0AEE" w14:textId="77777777" w:rsidR="00F226F7" w:rsidRDefault="00F226F7" w:rsidP="00F226F7">
      <w:pPr>
        <w:pStyle w:val="Heading2"/>
        <w:numPr>
          <w:ilvl w:val="0"/>
          <w:numId w:val="0"/>
        </w:numPr>
      </w:pPr>
      <w:r>
        <w:t>16.</w:t>
      </w:r>
      <w:r>
        <w:tab/>
        <w:t>Key issues from ESC to MSAC</w:t>
      </w:r>
    </w:p>
    <w:p w14:paraId="1727727B" w14:textId="77777777" w:rsidR="00F226F7" w:rsidRDefault="00F226F7" w:rsidP="00F226F7">
      <w:pPr>
        <w:pStyle w:val="BoxName0"/>
      </w:pPr>
      <w:r>
        <w:t>Main issues for MSAC consideration</w:t>
      </w:r>
    </w:p>
    <w:p w14:paraId="5F5FA1D0" w14:textId="77777777" w:rsidR="00F226F7" w:rsidRDefault="00F226F7" w:rsidP="00F226F7">
      <w:pPr>
        <w:pStyle w:val="BoxHeading"/>
      </w:pPr>
      <w:r>
        <w:t>Clinical issues:</w:t>
      </w:r>
    </w:p>
    <w:p w14:paraId="72CF8D30" w14:textId="77777777" w:rsidR="00F226F7" w:rsidRDefault="00F226F7" w:rsidP="00F226F7">
      <w:pPr>
        <w:pStyle w:val="BoxBullet"/>
      </w:pPr>
      <w:r w:rsidRPr="006B6110">
        <w:rPr>
          <w:rStyle w:val="Strong"/>
          <w:b w:val="0"/>
          <w:bCs w:val="0"/>
        </w:rPr>
        <w:t xml:space="preserve">Temporary </w:t>
      </w:r>
      <w:r>
        <w:rPr>
          <w:rStyle w:val="Strong"/>
          <w:b w:val="0"/>
          <w:bCs w:val="0"/>
        </w:rPr>
        <w:t>Medicare Benefits Schedule (</w:t>
      </w:r>
      <w:r w:rsidRPr="006B6110">
        <w:rPr>
          <w:rStyle w:val="Strong"/>
          <w:b w:val="0"/>
          <w:bCs w:val="0"/>
        </w:rPr>
        <w:t>MBS</w:t>
      </w:r>
      <w:r>
        <w:rPr>
          <w:rStyle w:val="Strong"/>
          <w:b w:val="0"/>
          <w:bCs w:val="0"/>
        </w:rPr>
        <w:t>)</w:t>
      </w:r>
      <w:r w:rsidRPr="006B6110">
        <w:rPr>
          <w:rStyle w:val="Strong"/>
          <w:b w:val="0"/>
          <w:bCs w:val="0"/>
        </w:rPr>
        <w:t xml:space="preserve"> item</w:t>
      </w:r>
      <w:r>
        <w:rPr>
          <w:rStyle w:val="Strong"/>
        </w:rPr>
        <w:t xml:space="preserve"> </w:t>
      </w:r>
      <w:r>
        <w:rPr>
          <w:rFonts w:cs="Aldhabi"/>
          <w:szCs w:val="22"/>
        </w:rPr>
        <w:t>63399 for cardiac MRI for mRNA-associated myocarditis is due to cease in December 2024. This application will inform whether this service should continue for eligible patients. MSAC will need to consider how patients can access a cardiac MRI, which may assist with accessing the COVID-19 vaccine claims scheme, noting that usage of MBS item 63399 is in decline.</w:t>
      </w:r>
    </w:p>
    <w:p w14:paraId="1F686878" w14:textId="77777777" w:rsidR="00F226F7" w:rsidRDefault="00F226F7" w:rsidP="00F226F7">
      <w:pPr>
        <w:pStyle w:val="BoxBullet"/>
      </w:pPr>
      <w:r>
        <w:t xml:space="preserve">The proposed item descriptor did not include patients with suspected myocarditis who have a low risk of </w:t>
      </w:r>
      <w:r>
        <w:rPr>
          <w:color w:val="auto"/>
        </w:rPr>
        <w:t>obstructive coronary artery disease (CAD)</w:t>
      </w:r>
      <w:r>
        <w:t>. This means the proposed item would result in a service gap for some patients currently able to access this service</w:t>
      </w:r>
      <w:r w:rsidRPr="00A35129">
        <w:t xml:space="preserve"> under MBS Item 63399</w:t>
      </w:r>
      <w:r>
        <w:t>. MSAC may want to consider cardiac MRI in all patients suspected of having myocarditis regardless of cause.</w:t>
      </w:r>
    </w:p>
    <w:p w14:paraId="037C8B27" w14:textId="77777777" w:rsidR="00F226F7" w:rsidRDefault="00F226F7" w:rsidP="00F226F7">
      <w:pPr>
        <w:pStyle w:val="BoxBullet"/>
      </w:pPr>
      <w:r>
        <w:rPr>
          <w:lang w:val="en-GB"/>
        </w:rPr>
        <w:t xml:space="preserve">The </w:t>
      </w:r>
      <w:r w:rsidRPr="00537CE2">
        <w:rPr>
          <w:lang w:val="en-GB"/>
        </w:rPr>
        <w:t xml:space="preserve">evidence </w:t>
      </w:r>
      <w:r>
        <w:rPr>
          <w:lang w:val="en-GB"/>
        </w:rPr>
        <w:t>supported that</w:t>
      </w:r>
      <w:r w:rsidRPr="00537CE2">
        <w:rPr>
          <w:lang w:val="en-GB"/>
        </w:rPr>
        <w:t xml:space="preserve"> cardiac MRI ha</w:t>
      </w:r>
      <w:r>
        <w:rPr>
          <w:lang w:val="en-GB"/>
        </w:rPr>
        <w:t>d</w:t>
      </w:r>
      <w:r w:rsidRPr="00537CE2">
        <w:rPr>
          <w:lang w:val="en-GB"/>
        </w:rPr>
        <w:t xml:space="preserve"> high sensitivity and specificity in diagnosing myocarditis compared to </w:t>
      </w:r>
      <w:r>
        <w:rPr>
          <w:lang w:val="en-GB"/>
        </w:rPr>
        <w:t>endomyocardial biopsy (</w:t>
      </w:r>
      <w:r w:rsidRPr="00537CE2">
        <w:rPr>
          <w:lang w:val="en-GB"/>
        </w:rPr>
        <w:t>EMB</w:t>
      </w:r>
      <w:r>
        <w:rPr>
          <w:lang w:val="en-GB"/>
        </w:rPr>
        <w:t>) and it likely also had superior</w:t>
      </w:r>
      <w:r w:rsidRPr="00537CE2">
        <w:rPr>
          <w:lang w:val="en-GB"/>
        </w:rPr>
        <w:t xml:space="preserve"> safe</w:t>
      </w:r>
      <w:r>
        <w:rPr>
          <w:lang w:val="en-GB"/>
        </w:rPr>
        <w:t xml:space="preserve">ty, but </w:t>
      </w:r>
      <w:r>
        <w:t xml:space="preserve">there was no evidence that cardiac MRI changed health outcomes or management. </w:t>
      </w:r>
    </w:p>
    <w:p w14:paraId="5BF31C8D" w14:textId="77777777" w:rsidR="00F226F7" w:rsidRDefault="00F226F7" w:rsidP="00F226F7">
      <w:pPr>
        <w:pStyle w:val="BoxBullet"/>
      </w:pPr>
      <w:r>
        <w:rPr>
          <w:lang w:val="en-GB"/>
        </w:rPr>
        <w:t>There may be additional clinical utility that was not captured in the assessment, in identifying patients with myocarditis-pericarditis.</w:t>
      </w:r>
    </w:p>
    <w:p w14:paraId="189B2EB5" w14:textId="77777777" w:rsidR="00F226F7" w:rsidRDefault="00F226F7" w:rsidP="00F226F7">
      <w:pPr>
        <w:pStyle w:val="BoxBullet"/>
      </w:pPr>
      <w:r>
        <w:t xml:space="preserve">Population 2 was very </w:t>
      </w:r>
      <w:proofErr w:type="gramStart"/>
      <w:r>
        <w:t>broad</w:t>
      </w:r>
      <w:proofErr w:type="gramEnd"/>
      <w:r>
        <w:t xml:space="preserve"> and the risk of leakage seems likely. Patients that have had a cardiac MRI will still always undergo coronary imaging to rule out obstruction, so it will be an adjunct rather than a replacement. Cardiac MRI was positioned before coronary imaging in the clinical algorithm, which was not congruent with the wording of the item descriptor. Proposing cardiac MRI as a replacement rather than adjunct to coronary imaging for population 2 does not reflect clinical practice and will also have implications for the economics.</w:t>
      </w:r>
    </w:p>
    <w:p w14:paraId="145B954C" w14:textId="77777777" w:rsidR="00F226F7" w:rsidRDefault="00F226F7" w:rsidP="00F226F7">
      <w:pPr>
        <w:pStyle w:val="BoxBullet"/>
      </w:pPr>
      <w:r>
        <w:t>The proposed MBS item descriptor and fee were consistent with temporary MBS item 63399, however the appropriate fee may be lower than this, because it is a less resource-intensive MRI procedure than other current cardiomyopathy MRI procedures, and lowering the fee would bring this item in line with comparable cardiac MRI MBS items.</w:t>
      </w:r>
    </w:p>
    <w:p w14:paraId="187B3949" w14:textId="77777777" w:rsidR="00F226F7" w:rsidRDefault="00F226F7" w:rsidP="00F226F7">
      <w:pPr>
        <w:pStyle w:val="BoxHeading"/>
      </w:pPr>
      <w:r>
        <w:t>Economic issues:</w:t>
      </w:r>
    </w:p>
    <w:p w14:paraId="4A517398" w14:textId="77777777" w:rsidR="00F226F7" w:rsidRDefault="00F226F7" w:rsidP="00F226F7">
      <w:pPr>
        <w:pStyle w:val="BoxBullet"/>
      </w:pPr>
      <w:r>
        <w:t xml:space="preserve">In the absence of published evidence on the change in management following detection of </w:t>
      </w:r>
      <w:r w:rsidRPr="00DE0CD5">
        <w:t>late gadolinium enhancement (</w:t>
      </w:r>
      <w:r>
        <w:t xml:space="preserve">LGE) changes and the relative effectiveness of regular </w:t>
      </w:r>
      <w:r>
        <w:lastRenderedPageBreak/>
        <w:t>monitoring compared to standard of care, expert opinion was used to inform some key model inputs. Reliance on expert opinion made the outcomes highly uncertain.</w:t>
      </w:r>
    </w:p>
    <w:p w14:paraId="31CC7266" w14:textId="77777777" w:rsidR="00F226F7" w:rsidRDefault="00F226F7" w:rsidP="00F226F7">
      <w:pPr>
        <w:pStyle w:val="BoxHeading"/>
      </w:pPr>
      <w:r>
        <w:t>Financial issues:</w:t>
      </w:r>
    </w:p>
    <w:p w14:paraId="0B4D8747" w14:textId="77777777" w:rsidR="00F226F7" w:rsidRDefault="00F226F7" w:rsidP="00F226F7">
      <w:pPr>
        <w:pStyle w:val="BoxBullet"/>
      </w:pPr>
      <w:r>
        <w:t>There were a lack of prevalence and incidence data for myocarditis in Australia; therefore, the applicability of the estimated utilisation was uncertain as it was based on international sources.</w:t>
      </w:r>
    </w:p>
    <w:p w14:paraId="384B6890" w14:textId="77777777" w:rsidR="00F226F7" w:rsidRDefault="00F226F7" w:rsidP="00F226F7">
      <w:pPr>
        <w:pStyle w:val="BoxBullet"/>
      </w:pPr>
      <w:r>
        <w:t xml:space="preserve">The financial estimates were highly uncertain, and likely under-estimated. The assumption that 50% of </w:t>
      </w:r>
      <w:r w:rsidRPr="00561FE4">
        <w:t>computed tomography coronary angiography (CTCA)</w:t>
      </w:r>
      <w:r w:rsidRPr="00DE0CD5" w:rsidDel="008C62B0">
        <w:t xml:space="preserve"> </w:t>
      </w:r>
      <w:r w:rsidRPr="00DE0CD5">
        <w:t>± transthoracic echocardiogram (TTE)</w:t>
      </w:r>
      <w:r>
        <w:t>procedures would be avoided due to the listing of cardiac MRI for population 2 may not be realised in clinical practice. This assumption also had a major impact on the ICER.</w:t>
      </w:r>
    </w:p>
    <w:p w14:paraId="3FF737E0" w14:textId="77777777" w:rsidR="00F226F7" w:rsidRDefault="00F226F7" w:rsidP="00F226F7">
      <w:pPr>
        <w:pStyle w:val="BoxBullet"/>
      </w:pPr>
      <w:r>
        <w:t>The financial estimates were sensitive to the incidence of myocarditis, proportion of patients in population 1 vs 2, and the uptake rate of cardiac MRI, all of which were uncertain.</w:t>
      </w:r>
    </w:p>
    <w:p w14:paraId="0A2764DE" w14:textId="77777777" w:rsidR="00F226F7" w:rsidRDefault="00F226F7" w:rsidP="00F226F7">
      <w:pPr>
        <w:pStyle w:val="BoxText"/>
      </w:pPr>
      <w:r>
        <w:rPr>
          <w:b/>
          <w:bCs/>
        </w:rPr>
        <w:t>Other relevant issues:</w:t>
      </w:r>
    </w:p>
    <w:p w14:paraId="24555FFB" w14:textId="77777777" w:rsidR="00F226F7" w:rsidRPr="006B6110" w:rsidRDefault="00F226F7" w:rsidP="00F226F7">
      <w:pPr>
        <w:pStyle w:val="BoxBullet"/>
        <w:rPr>
          <w:color w:val="auto"/>
        </w:rPr>
      </w:pPr>
      <w:r w:rsidRPr="006B6110">
        <w:rPr>
          <w:color w:val="auto"/>
        </w:rPr>
        <w:t xml:space="preserve">The applicant proposed the service be performed by CSANZ-certified specialists. However, this </w:t>
      </w:r>
      <w:r>
        <w:rPr>
          <w:color w:val="auto"/>
        </w:rPr>
        <w:t>would</w:t>
      </w:r>
      <w:r w:rsidRPr="006B6110">
        <w:rPr>
          <w:color w:val="auto"/>
        </w:rPr>
        <w:t xml:space="preserve"> limit patient access</w:t>
      </w:r>
      <w:r>
        <w:rPr>
          <w:color w:val="auto"/>
        </w:rPr>
        <w:t>,</w:t>
      </w:r>
      <w:r w:rsidRPr="006B6110">
        <w:rPr>
          <w:color w:val="auto"/>
        </w:rPr>
        <w:t xml:space="preserve"> and </w:t>
      </w:r>
      <w:r>
        <w:rPr>
          <w:color w:val="auto"/>
        </w:rPr>
        <w:t>no restriction (in terms of certification) should be considered</w:t>
      </w:r>
      <w:r w:rsidRPr="006B6110">
        <w:rPr>
          <w:color w:val="auto"/>
        </w:rPr>
        <w:t xml:space="preserve"> for consistency with MBS-listed MRI services. </w:t>
      </w:r>
    </w:p>
    <w:p w14:paraId="7A4FF706" w14:textId="77777777" w:rsidR="00F226F7" w:rsidRPr="006B4E4A" w:rsidRDefault="00F226F7" w:rsidP="00F226F7">
      <w:pPr>
        <w:keepNext/>
        <w:spacing w:before="240"/>
        <w:outlineLvl w:val="1"/>
        <w:rPr>
          <w:rFonts w:cs="Arial"/>
          <w:b/>
          <w:bCs/>
          <w:iCs/>
          <w:sz w:val="24"/>
          <w:szCs w:val="28"/>
          <w:lang w:eastAsia="en-AU"/>
        </w:rPr>
      </w:pPr>
      <w:r w:rsidRPr="006B4E4A">
        <w:rPr>
          <w:rFonts w:cs="Arial"/>
          <w:b/>
          <w:bCs/>
          <w:iCs/>
          <w:sz w:val="24"/>
          <w:szCs w:val="28"/>
          <w:lang w:eastAsia="en-AU"/>
        </w:rPr>
        <w:t>ESC discussion</w:t>
      </w:r>
    </w:p>
    <w:p w14:paraId="68C48F06" w14:textId="1495DFC3" w:rsidR="00F226F7" w:rsidRDefault="00F226F7" w:rsidP="00F226F7">
      <w:pPr>
        <w:rPr>
          <w:lang w:val="en-US"/>
        </w:rPr>
      </w:pPr>
      <w:r w:rsidRPr="00DE0CD5">
        <w:rPr>
          <w:rStyle w:val="Strong"/>
          <w:b w:val="0"/>
          <w:bCs w:val="0"/>
        </w:rPr>
        <w:t xml:space="preserve">ESC noted that this application from the Cardiac Society of Australia and New Zealand (CSANZ) </w:t>
      </w:r>
      <w:r>
        <w:rPr>
          <w:rStyle w:val="Strong"/>
          <w:b w:val="0"/>
          <w:bCs w:val="0"/>
        </w:rPr>
        <w:t>requested</w:t>
      </w:r>
      <w:r w:rsidRPr="00DE0CD5">
        <w:rPr>
          <w:rStyle w:val="Strong"/>
          <w:b w:val="0"/>
          <w:bCs w:val="0"/>
        </w:rPr>
        <w:t xml:space="preserve"> Medicare Benefits Schedule (MBS) listing of cardiac magnetic resonance imaging (MRI) for the diagnosis of myocarditis. </w:t>
      </w:r>
      <w:r>
        <w:rPr>
          <w:rStyle w:val="Strong"/>
          <w:b w:val="0"/>
          <w:bCs w:val="0"/>
        </w:rPr>
        <w:t xml:space="preserve">ESC noted that </w:t>
      </w:r>
      <w:r>
        <w:t>MSAC has not previously considered cardiac MRI for the diagnosis of myocarditis. However, ESC noted that in April 2017, MSAC considered</w:t>
      </w:r>
      <w:r w:rsidRPr="00DE0CD5" w:rsidDel="008E63D6">
        <w:rPr>
          <w:rStyle w:val="Strong"/>
          <w:b w:val="0"/>
          <w:bCs w:val="0"/>
        </w:rPr>
        <w:t xml:space="preserve"> </w:t>
      </w:r>
      <w:r w:rsidRPr="006B6110">
        <w:rPr>
          <w:rStyle w:val="Strong"/>
          <w:b w:val="0"/>
          <w:bCs w:val="0"/>
          <w:i/>
          <w:iCs/>
        </w:rPr>
        <w:t>Application 1432 – Cardiac MRI of patients with suspected non-ischaemic cardiomyopathy (Part B)</w:t>
      </w:r>
      <w:r w:rsidRPr="00CC645C">
        <w:rPr>
          <w:rStyle w:val="Strong"/>
          <w:b w:val="0"/>
          <w:bCs w:val="0"/>
        </w:rPr>
        <w:t xml:space="preserve">. </w:t>
      </w:r>
      <w:r>
        <w:t xml:space="preserve">Population 5 of Application 1432 included patients with cardiomyopathies due to acute coronary syndrome (ACS), </w:t>
      </w:r>
      <w:r w:rsidRPr="00E7052B">
        <w:t>myocarditis</w:t>
      </w:r>
      <w:r>
        <w:t xml:space="preserve"> or Takotsubo cardiomyopathy (TTC)</w:t>
      </w:r>
      <w:r w:rsidRPr="00DE0CD5">
        <w:rPr>
          <w:rStyle w:val="Strong"/>
          <w:b w:val="0"/>
          <w:bCs w:val="0"/>
        </w:rPr>
        <w:t>.</w:t>
      </w:r>
      <w:r>
        <w:rPr>
          <w:rStyle w:val="Strong"/>
          <w:b w:val="0"/>
          <w:bCs w:val="0"/>
        </w:rPr>
        <w:t xml:space="preserve"> At the time MSAC did not support population 5 as the cost-effectiveness analysis (CEA) was highly uncertain due to limited </w:t>
      </w:r>
      <w:r>
        <w:t>evidence on long term health outcomes</w:t>
      </w:r>
      <w:r>
        <w:rPr>
          <w:rStyle w:val="Strong"/>
          <w:b w:val="0"/>
          <w:bCs w:val="0"/>
        </w:rPr>
        <w:t xml:space="preserve">. MSAC advised </w:t>
      </w:r>
      <w:r w:rsidRPr="000E4925">
        <w:t xml:space="preserve">a more comprehensive </w:t>
      </w:r>
      <w:r>
        <w:t>CEA</w:t>
      </w:r>
      <w:r w:rsidRPr="000E4925">
        <w:t xml:space="preserve"> </w:t>
      </w:r>
      <w:r>
        <w:t xml:space="preserve">with </w:t>
      </w:r>
      <w:r w:rsidRPr="000E4925">
        <w:t xml:space="preserve">more inputs and </w:t>
      </w:r>
      <w:r>
        <w:t xml:space="preserve">a </w:t>
      </w:r>
      <w:r w:rsidRPr="000E4925">
        <w:t>longer time horizon</w:t>
      </w:r>
      <w:r>
        <w:t xml:space="preserve"> was</w:t>
      </w:r>
      <w:r w:rsidRPr="000E4925">
        <w:t xml:space="preserve"> required</w:t>
      </w:r>
      <w:r>
        <w:t xml:space="preserve">. ESC noted that during the COVID-19 pandemic, on 6 December 2021 the </w:t>
      </w:r>
      <w:r w:rsidRPr="00EB7B98">
        <w:rPr>
          <w:rFonts w:cstheme="minorHAnsi"/>
        </w:rPr>
        <w:t xml:space="preserve">MSAC </w:t>
      </w:r>
      <w:r>
        <w:rPr>
          <w:rFonts w:cstheme="minorHAnsi"/>
        </w:rPr>
        <w:t>Executive supported</w:t>
      </w:r>
      <w:r w:rsidRPr="00EB7B98">
        <w:t xml:space="preserve"> </w:t>
      </w:r>
      <w:r>
        <w:t>a temporary c</w:t>
      </w:r>
      <w:r w:rsidRPr="00132EBA">
        <w:t xml:space="preserve">ardiac MRI </w:t>
      </w:r>
      <w:r>
        <w:t xml:space="preserve">MBS item </w:t>
      </w:r>
      <w:r w:rsidRPr="00132EBA">
        <w:t xml:space="preserve">for </w:t>
      </w:r>
      <w:r>
        <w:rPr>
          <w:lang w:val="en-US"/>
        </w:rPr>
        <w:t xml:space="preserve">suspected </w:t>
      </w:r>
      <w:r w:rsidRPr="00132EBA">
        <w:rPr>
          <w:lang w:val="en-US"/>
        </w:rPr>
        <w:t>mRNA COVID-19 vaccine</w:t>
      </w:r>
      <w:r>
        <w:rPr>
          <w:lang w:val="en-US"/>
        </w:rPr>
        <w:t>-</w:t>
      </w:r>
      <w:r w:rsidRPr="00132EBA">
        <w:rPr>
          <w:lang w:val="en-US"/>
        </w:rPr>
        <w:t>associated myocarditis (</w:t>
      </w:r>
      <w:r>
        <w:rPr>
          <w:lang w:val="en-US"/>
        </w:rPr>
        <w:t xml:space="preserve">MBS </w:t>
      </w:r>
      <w:r w:rsidRPr="00132EBA">
        <w:rPr>
          <w:lang w:val="en-US"/>
        </w:rPr>
        <w:t>item 6339</w:t>
      </w:r>
      <w:r>
        <w:rPr>
          <w:lang w:val="en-US"/>
        </w:rPr>
        <w:t xml:space="preserve">9) at a fee of $904.70, and the MSAC Executive then </w:t>
      </w:r>
      <w:r w:rsidRPr="48FB1B5E">
        <w:rPr>
          <w:lang w:val="en-US"/>
        </w:rPr>
        <w:t xml:space="preserve">supported </w:t>
      </w:r>
      <w:r>
        <w:rPr>
          <w:lang w:val="en-US"/>
        </w:rPr>
        <w:t>extending the temporary item on 19 August 2022</w:t>
      </w:r>
      <w:r w:rsidRPr="48FB1B5E">
        <w:rPr>
          <w:lang w:val="en-US"/>
        </w:rPr>
        <w:t>, pending the consideration of this application</w:t>
      </w:r>
      <w:r>
        <w:rPr>
          <w:lang w:val="en-US"/>
        </w:rPr>
        <w:t>.</w:t>
      </w:r>
    </w:p>
    <w:p w14:paraId="57AFBE1B" w14:textId="77777777" w:rsidR="00F226F7" w:rsidRPr="00DE0CD5" w:rsidRDefault="00F226F7" w:rsidP="00F226F7">
      <w:pPr>
        <w:rPr>
          <w:rStyle w:val="Strong"/>
          <w:b w:val="0"/>
          <w:bCs w:val="0"/>
        </w:rPr>
      </w:pPr>
      <w:r>
        <w:rPr>
          <w:lang w:val="en-US"/>
        </w:rPr>
        <w:t xml:space="preserve">ESC noted myocarditis is </w:t>
      </w:r>
      <w:r w:rsidRPr="007A7BA6">
        <w:t xml:space="preserve">inflammation of the </w:t>
      </w:r>
      <w:r>
        <w:t>heart muscle (</w:t>
      </w:r>
      <w:r w:rsidRPr="007A7BA6">
        <w:t>myocardium</w:t>
      </w:r>
      <w:r>
        <w:t>)</w:t>
      </w:r>
      <w:r w:rsidRPr="007A7BA6">
        <w:t xml:space="preserve"> </w:t>
      </w:r>
      <w:r>
        <w:t>characterised by</w:t>
      </w:r>
      <w:r w:rsidRPr="007A7BA6">
        <w:t xml:space="preserve"> presence of inflammatory infiltrate, degenerative and necrotic changes to cardiomyocytes.</w:t>
      </w:r>
      <w:r>
        <w:t xml:space="preserve"> ESC noted although the aetiology of myocarditis remains unknown in ~50% of cases, it can be caused by viral infections, </w:t>
      </w:r>
      <w:r w:rsidRPr="008F7DD7">
        <w:t>drugs, environmental</w:t>
      </w:r>
      <w:r>
        <w:t xml:space="preserve"> </w:t>
      </w:r>
      <w:proofErr w:type="gramStart"/>
      <w:r>
        <w:t>factors</w:t>
      </w:r>
      <w:proofErr w:type="gramEnd"/>
      <w:r>
        <w:t xml:space="preserve"> and </w:t>
      </w:r>
      <w:r w:rsidRPr="008F7DD7">
        <w:t>autoimmune</w:t>
      </w:r>
      <w:r>
        <w:t xml:space="preserve"> diseases. The diagnosis of myocarditis is challenging as patient presentation ranges from being </w:t>
      </w:r>
      <w:r w:rsidRPr="0023487E">
        <w:t xml:space="preserve">asymptomatic to </w:t>
      </w:r>
      <w:r>
        <w:t xml:space="preserve">presenting with </w:t>
      </w:r>
      <w:r w:rsidRPr="0023487E">
        <w:t>subtle cardiogenic shock to sudden death</w:t>
      </w:r>
      <w:r>
        <w:t xml:space="preserve">. The symptoms include a sudden onset of acute chest pain, </w:t>
      </w:r>
      <w:r w:rsidRPr="00CA26B7">
        <w:t xml:space="preserve">dyspnoea, </w:t>
      </w:r>
      <w:r>
        <w:t xml:space="preserve">persistent or intermittent palpitations within &lt;1 month of symptom onset and diagnosis. ESC noted that the investigation results of electrocardiogram (ECG), echocardiogram, cardiac markers in patients with myocarditis are abnormal and the condition often mimics acute coronary syndrome (ACS).  </w:t>
      </w:r>
    </w:p>
    <w:p w14:paraId="0C1D055A" w14:textId="77777777" w:rsidR="00F226F7" w:rsidRPr="00DE0CD5" w:rsidRDefault="00F226F7" w:rsidP="00F226F7">
      <w:r w:rsidRPr="00DE0CD5">
        <w:rPr>
          <w:rStyle w:val="Strong"/>
          <w:b w:val="0"/>
          <w:bCs w:val="0"/>
        </w:rPr>
        <w:t xml:space="preserve">ESC noted that </w:t>
      </w:r>
      <w:r w:rsidRPr="00DE0CD5">
        <w:t xml:space="preserve">cardiac MRI is a non-invasive </w:t>
      </w:r>
      <w:r>
        <w:t xml:space="preserve">imaging </w:t>
      </w:r>
      <w:r w:rsidRPr="00DE0CD5">
        <w:t xml:space="preserve">technique that can evaluate both the structure and function of the heart without </w:t>
      </w:r>
      <w:r>
        <w:t xml:space="preserve">the use of </w:t>
      </w:r>
      <w:r w:rsidRPr="00DE0CD5">
        <w:t>ionising radiation. Cardiac MRI is MBS-listed for other indications: congenital heart disease (MBS item 63385, fee $</w:t>
      </w:r>
      <w:r>
        <w:t>473.90</w:t>
      </w:r>
      <w:r w:rsidRPr="00DE0CD5">
        <w:t>), aortic disease (MBS item 63391, fee $426.50), arrhythmogenic right ventricular cardiomyopathy (MBS items 63395 and 63397, fee $904.70) and cardiac mass (MBS item 63388, fee $473.90).</w:t>
      </w:r>
    </w:p>
    <w:p w14:paraId="5063049E" w14:textId="77777777" w:rsidR="00F226F7" w:rsidRPr="00DE0CD5" w:rsidRDefault="00F226F7" w:rsidP="00F226F7">
      <w:pPr>
        <w:rPr>
          <w:rStyle w:val="Strong"/>
          <w:b w:val="0"/>
          <w:bCs w:val="0"/>
        </w:rPr>
      </w:pPr>
      <w:r w:rsidRPr="00DE0CD5">
        <w:lastRenderedPageBreak/>
        <w:t>ESC noted that the current gold standard for diagnosing myocarditis is through endomyocardial biopsy (EMB)</w:t>
      </w:r>
      <w:r>
        <w:t xml:space="preserve"> that can assess the severity of fibrosis in the heart, enable immunohistochemical analysis and help detect viruses via polymerase chain reaction (PCR)</w:t>
      </w:r>
      <w:r w:rsidRPr="00DE0CD5">
        <w:t xml:space="preserve">. However, </w:t>
      </w:r>
      <w:r>
        <w:t>EMB</w:t>
      </w:r>
      <w:r w:rsidRPr="00DE0CD5">
        <w:t xml:space="preserve"> is a technically challenging procedure that is only performed in specialist centres, resulting in access issues for some patient</w:t>
      </w:r>
      <w:r>
        <w:t xml:space="preserve">s. </w:t>
      </w:r>
      <w:r w:rsidRPr="00DE0CD5">
        <w:t xml:space="preserve">Therefore, many patients are </w:t>
      </w:r>
      <w:r>
        <w:t xml:space="preserve">typically </w:t>
      </w:r>
      <w:r w:rsidRPr="00DE0CD5">
        <w:t xml:space="preserve">diagnosed with clinically suspected myocarditis based on symptoms, </w:t>
      </w:r>
      <w:proofErr w:type="gramStart"/>
      <w:r w:rsidRPr="00DE0CD5">
        <w:t>signs</w:t>
      </w:r>
      <w:proofErr w:type="gramEnd"/>
      <w:r w:rsidRPr="00DE0CD5">
        <w:t xml:space="preserve"> and other cardiac tests. However, other cardiac conditions can present similarly to myocarditis, which makes </w:t>
      </w:r>
      <w:r>
        <w:t>ascertaining, or excluding, a specific diagnosis</w:t>
      </w:r>
      <w:r w:rsidRPr="00DE0CD5">
        <w:t xml:space="preserve"> challenging.</w:t>
      </w:r>
    </w:p>
    <w:p w14:paraId="01B500B6" w14:textId="77777777" w:rsidR="00F226F7" w:rsidRDefault="00F226F7" w:rsidP="00F226F7">
      <w:r w:rsidRPr="00DE0CD5">
        <w:rPr>
          <w:rStyle w:val="Strong"/>
          <w:b w:val="0"/>
          <w:bCs w:val="0"/>
        </w:rPr>
        <w:t>ESC noted that t</w:t>
      </w:r>
      <w:r w:rsidRPr="00DE0CD5">
        <w:t xml:space="preserve">here </w:t>
      </w:r>
      <w:r>
        <w:t>were</w:t>
      </w:r>
      <w:r w:rsidRPr="00DE0CD5">
        <w:t xml:space="preserve"> no Australian prevalence </w:t>
      </w:r>
      <w:r>
        <w:t xml:space="preserve">nor incidence </w:t>
      </w:r>
      <w:r w:rsidRPr="00DE0CD5">
        <w:t xml:space="preserve">data for myocarditis. The applicant estimated </w:t>
      </w:r>
      <w:r>
        <w:t xml:space="preserve">the overall incidence was </w:t>
      </w:r>
      <w:r w:rsidRPr="00DE0CD5">
        <w:t>30 cases per 100,000</w:t>
      </w:r>
      <w:r>
        <w:t>-</w:t>
      </w:r>
      <w:r w:rsidRPr="00DE0CD5">
        <w:t xml:space="preserve">person years, with </w:t>
      </w:r>
      <w:r>
        <w:t>~</w:t>
      </w:r>
      <w:r w:rsidRPr="00DE0CD5">
        <w:t xml:space="preserve">7,900 cases per year in Australia. </w:t>
      </w:r>
      <w:r>
        <w:t>ESC considered the size of the population eligible for testing</w:t>
      </w:r>
      <w:r w:rsidRPr="00DE0CD5">
        <w:t xml:space="preserve"> </w:t>
      </w:r>
      <w:r>
        <w:t>remained</w:t>
      </w:r>
      <w:r w:rsidRPr="00DE0CD5">
        <w:t xml:space="preserve"> uncertain</w:t>
      </w:r>
      <w:r>
        <w:t>, due to the uncertain applicability of the international evidence</w:t>
      </w:r>
      <w:r w:rsidRPr="00DE0CD5">
        <w:t>.</w:t>
      </w:r>
    </w:p>
    <w:p w14:paraId="17E8FB65" w14:textId="76CB89A7" w:rsidR="00F226F7" w:rsidRPr="006B6110" w:rsidRDefault="00F226F7" w:rsidP="00F226F7">
      <w:pPr>
        <w:tabs>
          <w:tab w:val="left" w:pos="3686"/>
        </w:tabs>
        <w:spacing w:line="256" w:lineRule="auto"/>
        <w:rPr>
          <w:rFonts w:eastAsia="Calibri" w:cs="Arial"/>
          <w:bCs/>
        </w:rPr>
      </w:pPr>
      <w:bookmarkStart w:id="75" w:name="_Hlk158718302"/>
      <w:r w:rsidRPr="006B6110">
        <w:rPr>
          <w:rFonts w:eastAsia="Calibri" w:cs="Arial"/>
          <w:bCs/>
        </w:rPr>
        <w:t xml:space="preserve">ESC noted and welcomed consultation inputs from six (6) professional organisations, two (2) consumer organisations and seven (7) individuals, of which </w:t>
      </w:r>
      <w:r w:rsidR="00B56589">
        <w:rPr>
          <w:rFonts w:eastAsia="Calibri" w:cs="Arial"/>
          <w:bCs/>
        </w:rPr>
        <w:t>six (</w:t>
      </w:r>
      <w:r w:rsidRPr="006B6110">
        <w:rPr>
          <w:rFonts w:eastAsia="Calibri" w:cs="Arial"/>
          <w:bCs/>
        </w:rPr>
        <w:t>6</w:t>
      </w:r>
      <w:r w:rsidR="00B56589">
        <w:rPr>
          <w:rFonts w:eastAsia="Calibri" w:cs="Arial"/>
          <w:bCs/>
        </w:rPr>
        <w:t>)</w:t>
      </w:r>
      <w:r w:rsidRPr="006B6110">
        <w:rPr>
          <w:rFonts w:eastAsia="Calibri" w:cs="Arial"/>
          <w:bCs/>
        </w:rPr>
        <w:t xml:space="preserve"> were specialists and </w:t>
      </w:r>
      <w:r>
        <w:rPr>
          <w:rFonts w:eastAsia="Calibri" w:cs="Arial"/>
          <w:bCs/>
        </w:rPr>
        <w:t>one (</w:t>
      </w:r>
      <w:r w:rsidRPr="006B6110">
        <w:rPr>
          <w:rFonts w:eastAsia="Calibri" w:cs="Arial"/>
          <w:bCs/>
        </w:rPr>
        <w:t>1</w:t>
      </w:r>
      <w:r>
        <w:rPr>
          <w:rFonts w:eastAsia="Calibri" w:cs="Arial"/>
          <w:bCs/>
        </w:rPr>
        <w:t>)</w:t>
      </w:r>
      <w:r w:rsidRPr="006B6110">
        <w:rPr>
          <w:rFonts w:eastAsia="Calibri" w:cs="Arial"/>
          <w:bCs/>
        </w:rPr>
        <w:t xml:space="preserve"> a family member of a consumer.</w:t>
      </w:r>
      <w:bookmarkEnd w:id="75"/>
    </w:p>
    <w:p w14:paraId="60010ACA" w14:textId="77777777" w:rsidR="00F226F7" w:rsidRDefault="00F226F7" w:rsidP="00F226F7">
      <w:pPr>
        <w:rPr>
          <w:rStyle w:val="Strong"/>
          <w:b w:val="0"/>
          <w:bCs w:val="0"/>
        </w:rPr>
      </w:pPr>
      <w:r w:rsidRPr="00DE0CD5">
        <w:rPr>
          <w:rStyle w:val="Strong"/>
          <w:b w:val="0"/>
          <w:bCs w:val="0"/>
        </w:rPr>
        <w:t>ESC noted support for the application from consumers</w:t>
      </w:r>
      <w:r>
        <w:rPr>
          <w:rStyle w:val="Strong"/>
          <w:b w:val="0"/>
          <w:bCs w:val="0"/>
        </w:rPr>
        <w:t xml:space="preserve">, </w:t>
      </w:r>
      <w:proofErr w:type="gramStart"/>
      <w:r>
        <w:rPr>
          <w:rStyle w:val="Strong"/>
          <w:b w:val="0"/>
          <w:bCs w:val="0"/>
        </w:rPr>
        <w:t>specialists</w:t>
      </w:r>
      <w:proofErr w:type="gramEnd"/>
      <w:r w:rsidRPr="00DE0CD5">
        <w:rPr>
          <w:rStyle w:val="Strong"/>
          <w:b w:val="0"/>
          <w:bCs w:val="0"/>
        </w:rPr>
        <w:t xml:space="preserve"> and cardiac organisations, </w:t>
      </w:r>
      <w:r>
        <w:rPr>
          <w:rStyle w:val="Strong"/>
          <w:b w:val="0"/>
          <w:bCs w:val="0"/>
        </w:rPr>
        <w:t>with consultation input</w:t>
      </w:r>
      <w:r w:rsidRPr="00DE0CD5">
        <w:rPr>
          <w:rStyle w:val="Strong"/>
          <w:b w:val="0"/>
          <w:bCs w:val="0"/>
        </w:rPr>
        <w:t xml:space="preserve"> point</w:t>
      </w:r>
      <w:r>
        <w:rPr>
          <w:rStyle w:val="Strong"/>
          <w:b w:val="0"/>
          <w:bCs w:val="0"/>
        </w:rPr>
        <w:t>ing</w:t>
      </w:r>
      <w:r w:rsidRPr="00DE0CD5">
        <w:rPr>
          <w:rStyle w:val="Strong"/>
          <w:b w:val="0"/>
          <w:bCs w:val="0"/>
        </w:rPr>
        <w:t xml:space="preserve"> to the benefits of cardiac MRI over biopsy and improved access for patients. </w:t>
      </w:r>
      <w:r>
        <w:rPr>
          <w:rStyle w:val="Strong"/>
          <w:b w:val="0"/>
          <w:bCs w:val="0"/>
        </w:rPr>
        <w:t xml:space="preserve">ESC noted specialist comment about the potential additional non-health value of the test for early accurate diagnosis of myocarditis in people such as heavy vehicle drivers and pilots who may need to have restrictions put in place, or whose ability to work may hinge on their diagnosis. The </w:t>
      </w:r>
      <w:r w:rsidRPr="00116A8A">
        <w:rPr>
          <w:rStyle w:val="Strong"/>
          <w:b w:val="0"/>
          <w:bCs w:val="0"/>
        </w:rPr>
        <w:t xml:space="preserve">Australian Society of Medical Imaging and Radiation Therapy </w:t>
      </w:r>
      <w:r>
        <w:rPr>
          <w:rStyle w:val="Strong"/>
          <w:b w:val="0"/>
          <w:bCs w:val="0"/>
        </w:rPr>
        <w:t xml:space="preserve">(ASMIRT) expressed some concern </w:t>
      </w:r>
      <w:r w:rsidRPr="00F127FA">
        <w:rPr>
          <w:rStyle w:val="Strong"/>
          <w:b w:val="0"/>
          <w:bCs w:val="0"/>
        </w:rPr>
        <w:t xml:space="preserve">regarding </w:t>
      </w:r>
      <w:r w:rsidRPr="00DE0CD5">
        <w:rPr>
          <w:rStyle w:val="Strong"/>
          <w:b w:val="0"/>
          <w:bCs w:val="0"/>
        </w:rPr>
        <w:t>the applicant’s recommendation that delivery of the proposed service be restricted to certified clinicians</w:t>
      </w:r>
      <w:r w:rsidRPr="00DE0CD5">
        <w:t xml:space="preserve">. </w:t>
      </w:r>
      <w:r>
        <w:t xml:space="preserve">Currently </w:t>
      </w:r>
      <w:r w:rsidRPr="00F127FA">
        <w:rPr>
          <w:rStyle w:val="Strong"/>
          <w:b w:val="0"/>
          <w:bCs w:val="0"/>
        </w:rPr>
        <w:t>the certification require</w:t>
      </w:r>
      <w:r>
        <w:rPr>
          <w:rStyle w:val="Strong"/>
          <w:b w:val="0"/>
          <w:bCs w:val="0"/>
        </w:rPr>
        <w:t xml:space="preserve">s an </w:t>
      </w:r>
      <w:r w:rsidRPr="007A6D09">
        <w:rPr>
          <w:rStyle w:val="Strong"/>
          <w:b w:val="0"/>
          <w:bCs w:val="0"/>
        </w:rPr>
        <w:t xml:space="preserve">external examination </w:t>
      </w:r>
      <w:r>
        <w:rPr>
          <w:rStyle w:val="Strong"/>
          <w:b w:val="0"/>
          <w:bCs w:val="0"/>
        </w:rPr>
        <w:t xml:space="preserve">to be completed </w:t>
      </w:r>
      <w:r w:rsidRPr="007A6D09">
        <w:rPr>
          <w:rStyle w:val="Strong"/>
          <w:b w:val="0"/>
          <w:bCs w:val="0"/>
        </w:rPr>
        <w:t xml:space="preserve">and this exam is not currently </w:t>
      </w:r>
      <w:r>
        <w:rPr>
          <w:rStyle w:val="Strong"/>
          <w:b w:val="0"/>
          <w:bCs w:val="0"/>
        </w:rPr>
        <w:t>conducted</w:t>
      </w:r>
      <w:r w:rsidRPr="007A6D09">
        <w:rPr>
          <w:rStyle w:val="Strong"/>
          <w:b w:val="0"/>
          <w:bCs w:val="0"/>
        </w:rPr>
        <w:t xml:space="preserve"> in Australia</w:t>
      </w:r>
      <w:r>
        <w:rPr>
          <w:rStyle w:val="Strong"/>
          <w:b w:val="0"/>
          <w:bCs w:val="0"/>
        </w:rPr>
        <w:t>.</w:t>
      </w:r>
      <w:r w:rsidRPr="007A6D09">
        <w:rPr>
          <w:rStyle w:val="Strong"/>
          <w:b w:val="0"/>
          <w:bCs w:val="0"/>
        </w:rPr>
        <w:t xml:space="preserve"> </w:t>
      </w:r>
      <w:r w:rsidRPr="00DE0CD5">
        <w:t xml:space="preserve">However, ESC </w:t>
      </w:r>
      <w:r>
        <w:t>noted</w:t>
      </w:r>
      <w:r w:rsidRPr="00DE0CD5">
        <w:t xml:space="preserve"> </w:t>
      </w:r>
      <w:r>
        <w:t>the proposed certification</w:t>
      </w:r>
      <w:r w:rsidRPr="00DE0CD5">
        <w:t xml:space="preserve"> requirement is not in other cardiac MRI applications or approved MBS items</w:t>
      </w:r>
      <w:r>
        <w:t xml:space="preserve">. ESC considered that including it here </w:t>
      </w:r>
      <w:r w:rsidRPr="00DE0CD5">
        <w:t>would limit patient access</w:t>
      </w:r>
      <w:r>
        <w:t>, and recommended it not be added</w:t>
      </w:r>
      <w:r w:rsidRPr="00DE0CD5">
        <w:t>.</w:t>
      </w:r>
      <w:r>
        <w:t xml:space="preserve"> ESC noted that consumer concern may arise if an item to assess mRNA COVID-19 vaccine related complications is not available on the MBS.</w:t>
      </w:r>
    </w:p>
    <w:p w14:paraId="2307C199" w14:textId="77777777" w:rsidR="00F226F7" w:rsidRPr="00DE0CD5" w:rsidRDefault="00F226F7" w:rsidP="00F226F7">
      <w:pPr>
        <w:pStyle w:val="NormalBeforeBullet0"/>
        <w:rPr>
          <w:rStyle w:val="Strong"/>
          <w:b w:val="0"/>
          <w:bCs w:val="0"/>
          <w:szCs w:val="22"/>
        </w:rPr>
      </w:pPr>
      <w:r w:rsidRPr="00DE0CD5">
        <w:rPr>
          <w:rStyle w:val="Strong"/>
          <w:b w:val="0"/>
          <w:bCs w:val="0"/>
          <w:szCs w:val="22"/>
        </w:rPr>
        <w:t>ESC noted the application</w:t>
      </w:r>
      <w:r>
        <w:rPr>
          <w:rStyle w:val="Strong"/>
          <w:b w:val="0"/>
          <w:bCs w:val="0"/>
          <w:szCs w:val="22"/>
        </w:rPr>
        <w:t xml:space="preserve"> proposed</w:t>
      </w:r>
      <w:r w:rsidRPr="00DE0CD5">
        <w:rPr>
          <w:rStyle w:val="Strong"/>
          <w:b w:val="0"/>
          <w:bCs w:val="0"/>
          <w:szCs w:val="22"/>
        </w:rPr>
        <w:t xml:space="preserve"> </w:t>
      </w:r>
      <w:r>
        <w:rPr>
          <w:rStyle w:val="Strong"/>
          <w:b w:val="0"/>
          <w:bCs w:val="0"/>
          <w:szCs w:val="22"/>
        </w:rPr>
        <w:t xml:space="preserve">two </w:t>
      </w:r>
      <w:r w:rsidRPr="00DE0CD5">
        <w:rPr>
          <w:rStyle w:val="Strong"/>
          <w:b w:val="0"/>
          <w:bCs w:val="0"/>
          <w:szCs w:val="22"/>
        </w:rPr>
        <w:t>populations:</w:t>
      </w:r>
    </w:p>
    <w:p w14:paraId="7B9AD8BB" w14:textId="77777777" w:rsidR="00F226F7" w:rsidRPr="00DE0CD5" w:rsidRDefault="00F226F7" w:rsidP="00F226F7">
      <w:pPr>
        <w:pStyle w:val="Bullet"/>
        <w:numPr>
          <w:ilvl w:val="0"/>
          <w:numId w:val="19"/>
        </w:numPr>
        <w:tabs>
          <w:tab w:val="left" w:pos="720"/>
        </w:tabs>
        <w:spacing w:before="0"/>
        <w:rPr>
          <w:rFonts w:ascii="Franklin Gothic Book" w:hAnsi="Franklin Gothic Book"/>
        </w:rPr>
      </w:pPr>
      <w:r>
        <w:rPr>
          <w:rFonts w:ascii="Franklin Gothic Book" w:hAnsi="Franklin Gothic Book"/>
        </w:rPr>
        <w:t xml:space="preserve">Population 1 – </w:t>
      </w:r>
      <w:r w:rsidRPr="00DE0CD5">
        <w:rPr>
          <w:rFonts w:ascii="Franklin Gothic Book" w:hAnsi="Franklin Gothic Book"/>
        </w:rPr>
        <w:t>patients with</w:t>
      </w:r>
      <w:r>
        <w:rPr>
          <w:rFonts w:ascii="Franklin Gothic Book" w:hAnsi="Franklin Gothic Book"/>
        </w:rPr>
        <w:t xml:space="preserve"> signs and symptoms of</w:t>
      </w:r>
      <w:r w:rsidRPr="00DE0CD5">
        <w:rPr>
          <w:rFonts w:ascii="Franklin Gothic Book" w:hAnsi="Franklin Gothic Book"/>
        </w:rPr>
        <w:t xml:space="preserve"> acute onset cardiomyopathy </w:t>
      </w:r>
      <w:r w:rsidRPr="004B0889">
        <w:rPr>
          <w:rFonts w:ascii="Franklin Gothic Book" w:hAnsi="Franklin Gothic Book"/>
        </w:rPr>
        <w:t>(acute heart failure and/or arrythmia) suggestive</w:t>
      </w:r>
      <w:r>
        <w:rPr>
          <w:rFonts w:ascii="Franklin Gothic Book" w:hAnsi="Franklin Gothic Book"/>
        </w:rPr>
        <w:t xml:space="preserve"> of</w:t>
      </w:r>
      <w:r w:rsidRPr="00DE0CD5">
        <w:rPr>
          <w:rFonts w:ascii="Franklin Gothic Book" w:hAnsi="Franklin Gothic Book"/>
        </w:rPr>
        <w:t xml:space="preserve"> acute myocarditis</w:t>
      </w:r>
      <w:r>
        <w:rPr>
          <w:rFonts w:ascii="Franklin Gothic Book" w:hAnsi="Franklin Gothic Book"/>
        </w:rPr>
        <w:t>.</w:t>
      </w:r>
      <w:r w:rsidRPr="00DE0CD5">
        <w:rPr>
          <w:rFonts w:ascii="Franklin Gothic Book" w:hAnsi="Franklin Gothic Book"/>
        </w:rPr>
        <w:t xml:space="preserve"> </w:t>
      </w:r>
    </w:p>
    <w:p w14:paraId="7E796914" w14:textId="77777777" w:rsidR="00F226F7" w:rsidRPr="00DE0CD5" w:rsidRDefault="00F226F7" w:rsidP="00F226F7">
      <w:pPr>
        <w:pStyle w:val="BulletLast"/>
        <w:numPr>
          <w:ilvl w:val="0"/>
          <w:numId w:val="19"/>
        </w:numPr>
        <w:tabs>
          <w:tab w:val="left" w:pos="720"/>
        </w:tabs>
        <w:rPr>
          <w:szCs w:val="22"/>
        </w:rPr>
      </w:pPr>
      <w:r>
        <w:rPr>
          <w:szCs w:val="22"/>
        </w:rPr>
        <w:t xml:space="preserve">Population 2 – </w:t>
      </w:r>
      <w:r w:rsidRPr="00DE0CD5">
        <w:rPr>
          <w:szCs w:val="22"/>
        </w:rPr>
        <w:t xml:space="preserve">patients </w:t>
      </w:r>
      <w:r w:rsidRPr="00231571">
        <w:rPr>
          <w:szCs w:val="22"/>
        </w:rPr>
        <w:t xml:space="preserve">presenting </w:t>
      </w:r>
      <w:r w:rsidRPr="00DE0CD5">
        <w:rPr>
          <w:szCs w:val="22"/>
        </w:rPr>
        <w:t>with signs and symptoms of acute coronary syndrome (ACS)</w:t>
      </w:r>
      <w:r>
        <w:rPr>
          <w:szCs w:val="22"/>
        </w:rPr>
        <w:t xml:space="preserve"> </w:t>
      </w:r>
      <w:r w:rsidRPr="00B25B51">
        <w:rPr>
          <w:szCs w:val="22"/>
        </w:rPr>
        <w:t>with an intermediate risk of obstructive coronary artery disease</w:t>
      </w:r>
      <w:r>
        <w:rPr>
          <w:szCs w:val="22"/>
        </w:rPr>
        <w:t xml:space="preserve"> (CAD)</w:t>
      </w:r>
      <w:r w:rsidRPr="00B25B51">
        <w:rPr>
          <w:szCs w:val="22"/>
        </w:rPr>
        <w:t>, or suspected myocarditis</w:t>
      </w:r>
      <w:r w:rsidRPr="00DE0CD5">
        <w:rPr>
          <w:szCs w:val="22"/>
        </w:rPr>
        <w:t>.</w:t>
      </w:r>
    </w:p>
    <w:p w14:paraId="1530F1E6" w14:textId="4411C921" w:rsidR="00F226F7" w:rsidRPr="00DE0CD5" w:rsidRDefault="00F226F7" w:rsidP="00F226F7">
      <w:pPr>
        <w:pStyle w:val="NormalBeforeBullet0"/>
      </w:pPr>
      <w:r w:rsidRPr="00DE0CD5">
        <w:rPr>
          <w:rStyle w:val="Strong"/>
          <w:b w:val="0"/>
          <w:bCs w:val="0"/>
        </w:rPr>
        <w:t xml:space="preserve">ESC noted that the first-line investigations for population 1 currently include </w:t>
      </w:r>
      <w:r w:rsidRPr="00DE0CD5">
        <w:t xml:space="preserve">chest X-ray, ECG, echocardiogram, cardiac biomarker measurements and </w:t>
      </w:r>
      <w:r>
        <w:t xml:space="preserve">can include </w:t>
      </w:r>
      <w:r w:rsidRPr="00DE0CD5">
        <w:t xml:space="preserve">cardiac MRI. EMB is a second-line investigation. ESC noted that EMB is clinically recommended </w:t>
      </w:r>
      <w:r>
        <w:t>and may be</w:t>
      </w:r>
      <w:r w:rsidRPr="00DE0CD5">
        <w:t xml:space="preserve"> favour</w:t>
      </w:r>
      <w:r>
        <w:t>ed</w:t>
      </w:r>
      <w:r w:rsidRPr="00DE0CD5">
        <w:t xml:space="preserve"> o</w:t>
      </w:r>
      <w:r>
        <w:t>ver</w:t>
      </w:r>
      <w:r w:rsidRPr="00DE0CD5">
        <w:t xml:space="preserve"> cardiac MRI for some cases, but that some patients cannot undergo EMB due to complex anatomy. ESC also noted the applicant’s claim that about 50% of patients will undergo a cardiac MRI if EMB results are non-specific.</w:t>
      </w:r>
      <w:r>
        <w:t xml:space="preserve"> ESC considered the risk of leakage for population 1 was high, as almost all patients with heart failure have myocarditis as a differential diagnosis for their heart failure and/or arrythmia.</w:t>
      </w:r>
    </w:p>
    <w:p w14:paraId="11BCB4F6" w14:textId="77777777" w:rsidR="00F226F7" w:rsidRPr="00DE0CD5" w:rsidRDefault="00F226F7" w:rsidP="00F226F7">
      <w:pPr>
        <w:rPr>
          <w:rStyle w:val="Strong"/>
          <w:b w:val="0"/>
          <w:bCs w:val="0"/>
        </w:rPr>
      </w:pPr>
      <w:r w:rsidRPr="00DE0CD5">
        <w:t xml:space="preserve">ESC noted that, for population 2, myocarditis can mimic ACS, as </w:t>
      </w:r>
      <w:r>
        <w:t xml:space="preserve">in </w:t>
      </w:r>
      <w:r w:rsidRPr="00DE0CD5">
        <w:t xml:space="preserve">both </w:t>
      </w:r>
      <w:r>
        <w:t xml:space="preserve">cases patients </w:t>
      </w:r>
      <w:r w:rsidRPr="00DE0CD5">
        <w:t xml:space="preserve">can have abnormal ECG and cardiac biomarker levels. </w:t>
      </w:r>
      <w:r>
        <w:t xml:space="preserve">ESC noted </w:t>
      </w:r>
      <w:proofErr w:type="gramStart"/>
      <w:r>
        <w:t>the majority of</w:t>
      </w:r>
      <w:proofErr w:type="gramEnd"/>
      <w:r w:rsidRPr="00DE0CD5">
        <w:t xml:space="preserve"> patients presenting with ACS will receive a coronary angiogram or coronary computed tomography (CT) scan. ESC noted that some patients will receive treatment for ACS </w:t>
      </w:r>
      <w:r>
        <w:t xml:space="preserve">with anti-platelet therapies </w:t>
      </w:r>
      <w:r w:rsidRPr="00DE0CD5">
        <w:t xml:space="preserve">when they really have undiagnosed myocarditis. ESC agreed with PASC that population 2 </w:t>
      </w:r>
      <w:r>
        <w:t>wa</w:t>
      </w:r>
      <w:r w:rsidRPr="00DE0CD5">
        <w:t>s broad due to the various aetiologies, making it difficult to characterise</w:t>
      </w:r>
      <w:r>
        <w:t>,</w:t>
      </w:r>
      <w:r w:rsidRPr="00DE0CD5">
        <w:t xml:space="preserve"> </w:t>
      </w:r>
      <w:r>
        <w:t xml:space="preserve">and </w:t>
      </w:r>
      <w:r w:rsidRPr="00DE0CD5">
        <w:t>thus</w:t>
      </w:r>
      <w:r>
        <w:t xml:space="preserve"> considered there was a high risk </w:t>
      </w:r>
      <w:r>
        <w:lastRenderedPageBreak/>
        <w:t xml:space="preserve">of </w:t>
      </w:r>
      <w:r w:rsidRPr="00DE0CD5">
        <w:t>leakage</w:t>
      </w:r>
      <w:r>
        <w:t xml:space="preserve"> for cardiac MRI in population 2</w:t>
      </w:r>
      <w:r w:rsidRPr="00DE0CD5">
        <w:t xml:space="preserve">. </w:t>
      </w:r>
      <w:r>
        <w:t xml:space="preserve">ESC noted </w:t>
      </w:r>
      <w:r w:rsidRPr="00DE0CD5">
        <w:t xml:space="preserve">PASC </w:t>
      </w:r>
      <w:r>
        <w:t xml:space="preserve">had </w:t>
      </w:r>
      <w:r w:rsidRPr="00DE0CD5">
        <w:t xml:space="preserve">suggested </w:t>
      </w:r>
      <w:r>
        <w:t xml:space="preserve">including pre-test probabilities of CAD as described in National Heart foundation (NHF)-CSANZ guidelines to identify population that would benefit from the test, and that the DCAR had added this to the practice note. ESC noted PASC had also suggested </w:t>
      </w:r>
      <w:r w:rsidRPr="00DE0CD5">
        <w:t xml:space="preserve">limiting </w:t>
      </w:r>
      <w:r>
        <w:t xml:space="preserve">the test </w:t>
      </w:r>
      <w:r w:rsidRPr="00DE0CD5">
        <w:t xml:space="preserve">to patients who do not improve after </w:t>
      </w:r>
      <w:r>
        <w:t>a certain</w:t>
      </w:r>
      <w:r w:rsidRPr="00DE0CD5">
        <w:t xml:space="preserve"> </w:t>
      </w:r>
      <w:r>
        <w:t>time</w:t>
      </w:r>
      <w:r w:rsidRPr="00DE0CD5">
        <w:t xml:space="preserve"> (</w:t>
      </w:r>
      <w:proofErr w:type="gramStart"/>
      <w:r w:rsidRPr="00DE0CD5">
        <w:t>i.e.</w:t>
      </w:r>
      <w:proofErr w:type="gramEnd"/>
      <w:r w:rsidRPr="00DE0CD5">
        <w:t xml:space="preserve"> chronic ACS) or have high troponin levels. ESC noted the applicant’s argument that MRI is useful in the acute setting and that troponin laboratory tests are variable </w:t>
      </w:r>
      <w:r>
        <w:t>but</w:t>
      </w:r>
      <w:r w:rsidRPr="00DE0CD5">
        <w:t xml:space="preserve"> unreliable.</w:t>
      </w:r>
    </w:p>
    <w:p w14:paraId="0F7701E2" w14:textId="77777777" w:rsidR="00F226F7" w:rsidRDefault="00F226F7" w:rsidP="00F226F7">
      <w:pPr>
        <w:rPr>
          <w:rFonts w:cs="Aldhabi"/>
        </w:rPr>
      </w:pPr>
      <w:r w:rsidRPr="00DE0CD5">
        <w:rPr>
          <w:rStyle w:val="Strong"/>
          <w:b w:val="0"/>
          <w:bCs w:val="0"/>
        </w:rPr>
        <w:t xml:space="preserve">ESC noted the temporary MBS item </w:t>
      </w:r>
      <w:r w:rsidRPr="00DE0CD5">
        <w:rPr>
          <w:rFonts w:cs="Aldhabi"/>
        </w:rPr>
        <w:t xml:space="preserve">63399 for cardiac MRI for </w:t>
      </w:r>
      <w:r>
        <w:rPr>
          <w:rFonts w:cs="Aldhabi"/>
        </w:rPr>
        <w:t xml:space="preserve">suspected </w:t>
      </w:r>
      <w:r w:rsidRPr="00DE0CD5">
        <w:rPr>
          <w:rFonts w:cs="Aldhabi"/>
        </w:rPr>
        <w:t xml:space="preserve">mRNA-associated myocarditis, </w:t>
      </w:r>
      <w:r>
        <w:rPr>
          <w:rFonts w:cs="Aldhabi"/>
        </w:rPr>
        <w:t>wa</w:t>
      </w:r>
      <w:r w:rsidRPr="00DE0CD5">
        <w:rPr>
          <w:rFonts w:cs="Aldhabi"/>
        </w:rPr>
        <w:t xml:space="preserve">s due to end </w:t>
      </w:r>
      <w:r w:rsidRPr="48FB1B5E">
        <w:rPr>
          <w:rFonts w:cs="Aldhabi"/>
        </w:rPr>
        <w:t>on 31</w:t>
      </w:r>
      <w:r w:rsidRPr="00DE0CD5">
        <w:rPr>
          <w:rFonts w:cs="Aldhabi"/>
        </w:rPr>
        <w:t xml:space="preserve"> December 2024. ESC noted </w:t>
      </w:r>
      <w:r>
        <w:rPr>
          <w:rFonts w:cs="Aldhabi"/>
        </w:rPr>
        <w:t>other patient populations</w:t>
      </w:r>
      <w:r w:rsidRPr="00DE0CD5">
        <w:rPr>
          <w:rFonts w:cs="Aldhabi"/>
        </w:rPr>
        <w:t xml:space="preserve"> such as young adults</w:t>
      </w:r>
      <w:r w:rsidRPr="48FB1B5E">
        <w:rPr>
          <w:rFonts w:cs="Aldhabi"/>
        </w:rPr>
        <w:t>,</w:t>
      </w:r>
      <w:r w:rsidRPr="00DE0CD5">
        <w:rPr>
          <w:rFonts w:cs="Aldhabi"/>
        </w:rPr>
        <w:t xml:space="preserve"> and those with cancer immunotherapy-related myocarditis</w:t>
      </w:r>
      <w:r w:rsidRPr="48FB1B5E">
        <w:rPr>
          <w:rFonts w:cs="Aldhabi"/>
        </w:rPr>
        <w:t>,</w:t>
      </w:r>
      <w:r>
        <w:rPr>
          <w:rFonts w:cs="Aldhabi"/>
        </w:rPr>
        <w:t xml:space="preserve"> would not be covered by the testing proposed in this application as they </w:t>
      </w:r>
      <w:r w:rsidRPr="00DE0CD5">
        <w:rPr>
          <w:rFonts w:cs="Aldhabi"/>
        </w:rPr>
        <w:t>will be considered to have “low risk coronary artery disease (CAD)”</w:t>
      </w:r>
      <w:r>
        <w:rPr>
          <w:rFonts w:cs="Aldhabi"/>
        </w:rPr>
        <w:t xml:space="preserve">. </w:t>
      </w:r>
      <w:r w:rsidRPr="48FB1B5E">
        <w:rPr>
          <w:rFonts w:cs="Aldhabi"/>
        </w:rPr>
        <w:t xml:space="preserve">ESC </w:t>
      </w:r>
      <w:r>
        <w:rPr>
          <w:rFonts w:cs="Aldhabi"/>
        </w:rPr>
        <w:t>considered</w:t>
      </w:r>
      <w:r w:rsidRPr="48FB1B5E">
        <w:rPr>
          <w:rFonts w:cs="Aldhabi"/>
        </w:rPr>
        <w:t xml:space="preserve"> this means that after December 2024, some patients currently covered by MBS item 63399 will no longer have access to this service.</w:t>
      </w:r>
      <w:r w:rsidRPr="00DE0CD5">
        <w:rPr>
          <w:rFonts w:cs="Aldhabi"/>
        </w:rPr>
        <w:t xml:space="preserve"> ESC noted that in the pre-ESC response, the applicant stated that such patients would qualify for the service if they had previous abnormal cardiac test results</w:t>
      </w:r>
      <w:r>
        <w:rPr>
          <w:rFonts w:cs="Aldhabi"/>
        </w:rPr>
        <w:t xml:space="preserve">, which </w:t>
      </w:r>
      <w:r w:rsidRPr="00DE0CD5">
        <w:rPr>
          <w:rFonts w:cs="Aldhabi"/>
        </w:rPr>
        <w:t xml:space="preserve">ESC </w:t>
      </w:r>
      <w:r>
        <w:rPr>
          <w:rFonts w:cs="Aldhabi"/>
        </w:rPr>
        <w:t>disagreed with. ESC considered that young adults or cancer immunotherapy related myocarditis may not have signs or symptoms of cardiomyopathy (population 1) and the population 2 item descriptor clearly is intended for ‘intermediate risk CAD’ patients.</w:t>
      </w:r>
      <w:r w:rsidRPr="00DE0CD5">
        <w:rPr>
          <w:rFonts w:cs="Aldhabi"/>
        </w:rPr>
        <w:t xml:space="preserve"> </w:t>
      </w:r>
    </w:p>
    <w:p w14:paraId="638FFDA3" w14:textId="77777777" w:rsidR="00F226F7" w:rsidRPr="00DE0CD5" w:rsidRDefault="00F226F7" w:rsidP="00F226F7">
      <w:pPr>
        <w:rPr>
          <w:rFonts w:cs="Aldhabi"/>
        </w:rPr>
      </w:pPr>
      <w:r w:rsidRPr="3EDEA5D1">
        <w:rPr>
          <w:rFonts w:cs="Aldhabi"/>
        </w:rPr>
        <w:t xml:space="preserve">ESC forewarned the ending of </w:t>
      </w:r>
      <w:r w:rsidRPr="3EDEA5D1">
        <w:rPr>
          <w:rStyle w:val="Strong"/>
          <w:b w:val="0"/>
          <w:bCs w:val="0"/>
        </w:rPr>
        <w:t xml:space="preserve">temporary MBS item </w:t>
      </w:r>
      <w:r w:rsidRPr="3EDEA5D1">
        <w:rPr>
          <w:rFonts w:cs="Aldhabi"/>
        </w:rPr>
        <w:t>63399 ending in December 2024 may deprive patients of a service that may assist in accessing the COVID-19 vaccine claims scheme, although these patients may potentially be able to receive an MRI in the public system, and ESC also noted that usage of MBS item 63399 is in decline. To address the loss of access for some patients after the current temporary item ends and lack of coverage for patients with suspected myocarditis with ‘low risk CAD’, ESC queried whether the item proposed under this application should expand the eligible population to all patients with suspected myocarditis, regardless of cause. ESC considered MSAC should consider the gap in coverage if this is not supported, and to what extent the gap is clinically relevant.</w:t>
      </w:r>
    </w:p>
    <w:p w14:paraId="26023B72" w14:textId="77777777" w:rsidR="00F226F7" w:rsidRPr="00DE0CD5" w:rsidRDefault="00F226F7" w:rsidP="00F226F7">
      <w:pPr>
        <w:rPr>
          <w:rStyle w:val="Strong"/>
          <w:rFonts w:cs="Times New Roman"/>
          <w:b w:val="0"/>
          <w:bCs w:val="0"/>
        </w:rPr>
      </w:pPr>
      <w:r w:rsidRPr="3EDEA5D1">
        <w:rPr>
          <w:rStyle w:val="Strong"/>
          <w:b w:val="0"/>
          <w:bCs w:val="0"/>
        </w:rPr>
        <w:t xml:space="preserve">ESC noted the single proposed MBS item descriptor covered both proposed populations and was based on the temporary item descriptor (MBS item </w:t>
      </w:r>
      <w:r w:rsidRPr="3EDEA5D1">
        <w:rPr>
          <w:rFonts w:cs="Aldhabi"/>
        </w:rPr>
        <w:t xml:space="preserve">63399). </w:t>
      </w:r>
      <w:r>
        <w:t>ESC noted the proposed fee of $904.70 was also the same as fee for the temporary MBS item (and a small extra fee was also included where gadolinium contrast is used). However, ESC also noted that most other cardiac MRIs attract lower MBS fees: around $400 to $500. ESC considered that a fee around $900 was relatively high compared to the likely time ‘on magnet’ for this service in its experience, although the resources required for a cardiac MRI can also vary between patients. ESC considered that funding medical services related to COVID-19 had been a matter of urgency during the pandemic. Overall, ESC considered the higher fee for the COVID-related MRI item did not accurately reflect the resources required for this service nor the appropriate relativity to other cardiac MRI items, and proposed that a more appropriate fee would be more closely aligned with the fees for the other cardiac MRI MBS items.</w:t>
      </w:r>
    </w:p>
    <w:p w14:paraId="3EAF471A" w14:textId="77777777" w:rsidR="00F226F7" w:rsidRDefault="00F226F7" w:rsidP="00F226F7">
      <w:pPr>
        <w:rPr>
          <w:rStyle w:val="Strong"/>
          <w:b w:val="0"/>
          <w:bCs w:val="0"/>
        </w:rPr>
      </w:pPr>
      <w:r w:rsidRPr="00DE0CD5">
        <w:rPr>
          <w:rStyle w:val="Strong"/>
          <w:b w:val="0"/>
          <w:bCs w:val="0"/>
        </w:rPr>
        <w:t xml:space="preserve">ESC noted the clinical management algorithms. </w:t>
      </w:r>
      <w:r>
        <w:rPr>
          <w:rStyle w:val="Strong"/>
          <w:b w:val="0"/>
          <w:bCs w:val="0"/>
        </w:rPr>
        <w:t xml:space="preserve">ESC noted for population 1, current management is that </w:t>
      </w:r>
      <w:r w:rsidRPr="00236DBB">
        <w:t>patients presenting</w:t>
      </w:r>
      <w:r>
        <w:t xml:space="preserve"> with signs and symptoms of</w:t>
      </w:r>
      <w:r w:rsidRPr="00236DBB">
        <w:t xml:space="preserve"> acute onset of heart failure with or without arrythmia</w:t>
      </w:r>
      <w:r>
        <w:rPr>
          <w:rStyle w:val="Strong"/>
          <w:b w:val="0"/>
          <w:bCs w:val="0"/>
        </w:rPr>
        <w:t xml:space="preserve"> undergo standard investigations and if they do not improve, they go onto have EMB for a definitive diagnosis. In the proposed clinical management pathway, patients with clinically suspected myocarditis who are </w:t>
      </w:r>
      <w:r w:rsidRPr="00C74145">
        <w:t>h</w:t>
      </w:r>
      <w:r>
        <w:t>a</w:t>
      </w:r>
      <w:r w:rsidRPr="00C74145">
        <w:t>emodynamically stable</w:t>
      </w:r>
      <w:r w:rsidRPr="00DE0CD5">
        <w:rPr>
          <w:rStyle w:val="Strong"/>
          <w:b w:val="0"/>
          <w:bCs w:val="0"/>
        </w:rPr>
        <w:t xml:space="preserve"> </w:t>
      </w:r>
      <w:r>
        <w:rPr>
          <w:rStyle w:val="Strong"/>
          <w:b w:val="0"/>
          <w:bCs w:val="0"/>
        </w:rPr>
        <w:t xml:space="preserve">would receive </w:t>
      </w:r>
      <w:r w:rsidRPr="00C74145">
        <w:t>cardiac MRI</w:t>
      </w:r>
      <w:r>
        <w:t>.</w:t>
      </w:r>
      <w:r w:rsidRPr="00C74145">
        <w:t xml:space="preserve"> In instances</w:t>
      </w:r>
      <w:r>
        <w:t xml:space="preserve"> where patient does not improve or a histological diagnosis is required to guide treatment, EMB will still be performed.</w:t>
      </w:r>
      <w:r w:rsidRPr="00DE0CD5">
        <w:rPr>
          <w:rStyle w:val="Strong"/>
          <w:b w:val="0"/>
          <w:bCs w:val="0"/>
        </w:rPr>
        <w:t xml:space="preserve"> </w:t>
      </w:r>
      <w:r>
        <w:rPr>
          <w:rStyle w:val="Strong"/>
          <w:b w:val="0"/>
          <w:bCs w:val="0"/>
        </w:rPr>
        <w:t xml:space="preserve">ESC noted the applicant’s claim that with cardiac MRI, 80% of patients can avoid an invasive EMB. ESC considered that in its experience, in real-world clinical practice very few people with myocarditis end up receiving an EMB test, and the clinical decision is often to make a diagnosis without an EMB. ESC therefore considered that assuming </w:t>
      </w:r>
      <w:r>
        <w:rPr>
          <w:rStyle w:val="Strong"/>
          <w:b w:val="0"/>
          <w:bCs w:val="0"/>
        </w:rPr>
        <w:lastRenderedPageBreak/>
        <w:t>such high uptake of EMB in the comparator for population 1 was likely inappropriate.</w:t>
      </w:r>
      <w:r w:rsidRPr="00D95AFA">
        <w:rPr>
          <w:rStyle w:val="Strong"/>
          <w:b w:val="0"/>
          <w:bCs w:val="0"/>
        </w:rPr>
        <w:t xml:space="preserve"> </w:t>
      </w:r>
      <w:r>
        <w:rPr>
          <w:rStyle w:val="Strong"/>
          <w:b w:val="0"/>
          <w:bCs w:val="0"/>
        </w:rPr>
        <w:t xml:space="preserve">ESC suggested evidence on the proportion of patients in population 1 who would </w:t>
      </w:r>
      <w:proofErr w:type="gramStart"/>
      <w:r>
        <w:rPr>
          <w:rStyle w:val="Strong"/>
          <w:b w:val="0"/>
          <w:bCs w:val="0"/>
        </w:rPr>
        <w:t>actually receive</w:t>
      </w:r>
      <w:proofErr w:type="gramEnd"/>
      <w:r>
        <w:rPr>
          <w:rStyle w:val="Strong"/>
          <w:b w:val="0"/>
          <w:bCs w:val="0"/>
        </w:rPr>
        <w:t xml:space="preserve"> an EMB test (as this is based on clinical discretion) under current testing would be helpful to inform more accurate estimates of the cost-effectiveness and cost.</w:t>
      </w:r>
    </w:p>
    <w:p w14:paraId="65477D3F" w14:textId="77777777" w:rsidR="00F226F7" w:rsidRPr="00DE0CD5" w:rsidRDefault="00F226F7" w:rsidP="00F226F7">
      <w:pPr>
        <w:rPr>
          <w:rStyle w:val="Strong"/>
          <w:b w:val="0"/>
          <w:bCs w:val="0"/>
        </w:rPr>
      </w:pPr>
      <w:r>
        <w:rPr>
          <w:rStyle w:val="Strong"/>
          <w:b w:val="0"/>
          <w:bCs w:val="0"/>
        </w:rPr>
        <w:t>ESC noted that in the current algorithm f</w:t>
      </w:r>
      <w:r w:rsidRPr="00DE0CD5">
        <w:rPr>
          <w:rStyle w:val="Strong"/>
          <w:b w:val="0"/>
          <w:bCs w:val="0"/>
        </w:rPr>
        <w:t xml:space="preserve">or </w:t>
      </w:r>
      <w:r>
        <w:rPr>
          <w:rStyle w:val="Strong"/>
          <w:b w:val="0"/>
          <w:bCs w:val="0"/>
        </w:rPr>
        <w:t xml:space="preserve">the ‘ACS mimic’ </w:t>
      </w:r>
      <w:r w:rsidRPr="00DE0CD5">
        <w:rPr>
          <w:rStyle w:val="Strong"/>
          <w:b w:val="0"/>
          <w:bCs w:val="0"/>
        </w:rPr>
        <w:t>population 2</w:t>
      </w:r>
      <w:r>
        <w:rPr>
          <w:rStyle w:val="Strong"/>
          <w:b w:val="0"/>
          <w:bCs w:val="0"/>
        </w:rPr>
        <w:t xml:space="preserve">, high-risk unstable patients undergo invasive coronary angiography (ICA) following standard investigations. If patient is stable and have intermediate risk of CAD, they receive </w:t>
      </w:r>
      <w:r w:rsidRPr="00561FE4">
        <w:t>computed tomography coronary angiography (CTCA)</w:t>
      </w:r>
      <w:r w:rsidRPr="00DE0CD5" w:rsidDel="008C62B0">
        <w:t xml:space="preserve"> </w:t>
      </w:r>
      <w:r w:rsidRPr="00DE0CD5">
        <w:t>± transthoracic echocardiogram (TTE)</w:t>
      </w:r>
      <w:r>
        <w:rPr>
          <w:rStyle w:val="Strong"/>
          <w:b w:val="0"/>
          <w:bCs w:val="0"/>
        </w:rPr>
        <w:t xml:space="preserve">. ESC noted in this population only patients with unconfirmed obstructive CAD and suspected myocarditis would receive an EMB. ESC noted </w:t>
      </w:r>
      <w:r>
        <w:t>i</w:t>
      </w:r>
      <w:r w:rsidRPr="00903ED8">
        <w:t xml:space="preserve">n the proposed </w:t>
      </w:r>
      <w:r>
        <w:t>algorithm</w:t>
      </w:r>
      <w:r w:rsidRPr="00903ED8">
        <w:t xml:space="preserve">, when obstructive CAD cannot be confirmed, cardiac MRI </w:t>
      </w:r>
      <w:r>
        <w:t>would be</w:t>
      </w:r>
      <w:r w:rsidRPr="00903ED8">
        <w:t xml:space="preserve"> used to diagnose myocarditis.</w:t>
      </w:r>
      <w:r>
        <w:t xml:space="preserve"> </w:t>
      </w:r>
      <w:r w:rsidRPr="00DE0CD5">
        <w:rPr>
          <w:rStyle w:val="Strong"/>
          <w:b w:val="0"/>
          <w:bCs w:val="0"/>
        </w:rPr>
        <w:t xml:space="preserve">ESC agreed with PASC’s concerns that cardiac MRI would be introduced earlier than proposed as a triage test before obstructive CAD is excluded. ESC </w:t>
      </w:r>
      <w:r>
        <w:rPr>
          <w:rStyle w:val="Strong"/>
          <w:b w:val="0"/>
          <w:bCs w:val="0"/>
        </w:rPr>
        <w:t xml:space="preserve">also </w:t>
      </w:r>
      <w:r w:rsidRPr="00DE0CD5">
        <w:rPr>
          <w:rStyle w:val="Strong"/>
          <w:b w:val="0"/>
          <w:bCs w:val="0"/>
        </w:rPr>
        <w:t>noted the applicant’s claim that</w:t>
      </w:r>
      <w:r w:rsidRPr="00DE0CD5">
        <w:t xml:space="preserve"> myocarditis is the most likely diagnosis for </w:t>
      </w:r>
      <w:r>
        <w:t>population 2 patients</w:t>
      </w:r>
      <w:r w:rsidRPr="00DE0CD5">
        <w:t xml:space="preserve">, and that cardiac MRI would reduce the number of patients requiring coronary imaging and thus </w:t>
      </w:r>
      <w:r>
        <w:t xml:space="preserve">exposure to </w:t>
      </w:r>
      <w:r w:rsidRPr="00DE0CD5">
        <w:t xml:space="preserve">ionising radiation. </w:t>
      </w:r>
      <w:r>
        <w:t xml:space="preserve">However, ESC considered that </w:t>
      </w:r>
      <w:r w:rsidRPr="00DE0CD5">
        <w:t xml:space="preserve">in </w:t>
      </w:r>
      <w:r>
        <w:t xml:space="preserve">real-world </w:t>
      </w:r>
      <w:r w:rsidRPr="00DE0CD5">
        <w:t>practice</w:t>
      </w:r>
      <w:r>
        <w:t>,</w:t>
      </w:r>
      <w:r w:rsidRPr="00DE0CD5">
        <w:t xml:space="preserve"> cardiac MRI would</w:t>
      </w:r>
      <w:r>
        <w:t xml:space="preserve"> always</w:t>
      </w:r>
      <w:r w:rsidRPr="00DE0CD5">
        <w:t xml:space="preserve"> be performed </w:t>
      </w:r>
      <w:r>
        <w:t>in addition to (rather than replacing)</w:t>
      </w:r>
      <w:r w:rsidRPr="00DE0CD5">
        <w:t xml:space="preserve"> </w:t>
      </w:r>
      <w:r>
        <w:t>angiography in patients with an intermediate risk of ACS – therefore the replacement of imaging would be zero in population 2</w:t>
      </w:r>
      <w:r w:rsidRPr="00DE0CD5">
        <w:t xml:space="preserve">. ESC considered the positioning of cardiac MRI in the clinical management algorithm before coronary angiogram or cardiac CT </w:t>
      </w:r>
      <w:r>
        <w:t>was</w:t>
      </w:r>
      <w:r w:rsidRPr="00DE0CD5">
        <w:t xml:space="preserve"> at odds with the wording in the proposed item descriptor</w:t>
      </w:r>
      <w:r>
        <w:t xml:space="preserve"> stating</w:t>
      </w:r>
      <w:r w:rsidRPr="00DE0CD5">
        <w:t xml:space="preserve"> “… the purpose of cardiac MRI in this population is to diagnose myocarditis and not to rule out CAD”. Thus, ESC questioned the </w:t>
      </w:r>
      <w:r>
        <w:t xml:space="preserve">appropriate </w:t>
      </w:r>
      <w:r w:rsidRPr="00DE0CD5">
        <w:t xml:space="preserve">clinical </w:t>
      </w:r>
      <w:r>
        <w:t>place</w:t>
      </w:r>
      <w:r w:rsidRPr="00DE0CD5">
        <w:t xml:space="preserve"> of cardiac MRI for population 2.</w:t>
      </w:r>
      <w:r>
        <w:t xml:space="preserve"> </w:t>
      </w:r>
    </w:p>
    <w:p w14:paraId="029CBAB3" w14:textId="77777777" w:rsidR="00F226F7" w:rsidRPr="00DE0CD5" w:rsidRDefault="00F226F7" w:rsidP="00F226F7">
      <w:r w:rsidRPr="00DE0CD5">
        <w:rPr>
          <w:rStyle w:val="Strong"/>
          <w:b w:val="0"/>
          <w:bCs w:val="0"/>
        </w:rPr>
        <w:t>ESC noted that the clinical evidence underpinning the clinical effectiveness and safety claims was from a s</w:t>
      </w:r>
      <w:r w:rsidRPr="00DE0CD5">
        <w:t xml:space="preserve">ystematic review and meta-analyses of cardiac MRI for diagnosis of myocarditis, including either diagnosis via EMB or clinical suspected myocarditis. </w:t>
      </w:r>
      <w:r>
        <w:t>ESC noted there was n</w:t>
      </w:r>
      <w:r w:rsidRPr="00DE0CD5">
        <w:t xml:space="preserve">o direct test-to-health outcomes evidence available for cardiac MRI for diagnosis of acute myocarditis. ESC noted that populations 1 and 2 could not be </w:t>
      </w:r>
      <w:r>
        <w:rPr>
          <w:rStyle w:val="normaltextrun"/>
          <w:color w:val="000000"/>
          <w:bdr w:val="none" w:sz="0" w:space="0" w:color="auto" w:frame="1"/>
        </w:rPr>
        <w:t>disaggregated</w:t>
      </w:r>
      <w:r w:rsidRPr="00DE0CD5">
        <w:t xml:space="preserve"> in the evidence, </w:t>
      </w:r>
      <w:r>
        <w:t>and</w:t>
      </w:r>
      <w:r w:rsidRPr="00DE0CD5">
        <w:t xml:space="preserve"> </w:t>
      </w:r>
      <w:r>
        <w:t xml:space="preserve">that </w:t>
      </w:r>
      <w:r w:rsidRPr="00DE0CD5">
        <w:t>a linked evidence approach was used.</w:t>
      </w:r>
    </w:p>
    <w:p w14:paraId="51B30C37" w14:textId="77777777" w:rsidR="00F226F7" w:rsidRPr="00DE0CD5" w:rsidRDefault="00F226F7" w:rsidP="00F226F7">
      <w:pPr>
        <w:pStyle w:val="NormalBeforeBullet0"/>
        <w:rPr>
          <w:szCs w:val="22"/>
        </w:rPr>
      </w:pPr>
      <w:r w:rsidRPr="00DE0CD5">
        <w:rPr>
          <w:szCs w:val="22"/>
        </w:rPr>
        <w:t>ESC noted that three clinical aspects of cardiac MRI were addressed</w:t>
      </w:r>
      <w:r>
        <w:rPr>
          <w:szCs w:val="22"/>
        </w:rPr>
        <w:t xml:space="preserve"> in the DCAR</w:t>
      </w:r>
      <w:r w:rsidRPr="00DE0CD5">
        <w:rPr>
          <w:szCs w:val="22"/>
        </w:rPr>
        <w:t>:</w:t>
      </w:r>
    </w:p>
    <w:p w14:paraId="5CE873BF" w14:textId="77777777" w:rsidR="00F226F7" w:rsidRPr="00DE0CD5" w:rsidRDefault="00F226F7" w:rsidP="00F226F7">
      <w:pPr>
        <w:pStyle w:val="Bullet"/>
        <w:numPr>
          <w:ilvl w:val="0"/>
          <w:numId w:val="16"/>
        </w:numPr>
        <w:spacing w:before="0"/>
        <w:rPr>
          <w:rFonts w:ascii="Franklin Gothic Book" w:hAnsi="Franklin Gothic Book"/>
        </w:rPr>
      </w:pPr>
      <w:r w:rsidRPr="00DE0CD5">
        <w:rPr>
          <w:rFonts w:ascii="Franklin Gothic Book" w:hAnsi="Franklin Gothic Book"/>
        </w:rPr>
        <w:t>relative safety of performing cardiac MRI</w:t>
      </w:r>
    </w:p>
    <w:p w14:paraId="5CAD4817" w14:textId="77777777" w:rsidR="00F226F7" w:rsidRPr="00DE0CD5" w:rsidRDefault="00F226F7" w:rsidP="00F226F7">
      <w:pPr>
        <w:pStyle w:val="Bullet"/>
        <w:numPr>
          <w:ilvl w:val="0"/>
          <w:numId w:val="16"/>
        </w:numPr>
        <w:spacing w:before="0"/>
        <w:rPr>
          <w:rFonts w:ascii="Franklin Gothic Book" w:hAnsi="Franklin Gothic Book"/>
        </w:rPr>
      </w:pPr>
      <w:r w:rsidRPr="00DE0CD5">
        <w:rPr>
          <w:rFonts w:ascii="Franklin Gothic Book" w:hAnsi="Franklin Gothic Book"/>
        </w:rPr>
        <w:t>diagnostic accuracy of cardiac MRI compared with EMB</w:t>
      </w:r>
      <w:r>
        <w:rPr>
          <w:rFonts w:ascii="Franklin Gothic Book" w:hAnsi="Franklin Gothic Book"/>
        </w:rPr>
        <w:t>/</w:t>
      </w:r>
      <w:r w:rsidRPr="00DE0CD5">
        <w:rPr>
          <w:rFonts w:ascii="Franklin Gothic Book" w:hAnsi="Franklin Gothic Book"/>
        </w:rPr>
        <w:t xml:space="preserve">clinical </w:t>
      </w:r>
      <w:proofErr w:type="gramStart"/>
      <w:r w:rsidRPr="00DE0CD5">
        <w:rPr>
          <w:rFonts w:ascii="Franklin Gothic Book" w:hAnsi="Franklin Gothic Book"/>
        </w:rPr>
        <w:t>criteria</w:t>
      </w:r>
      <w:proofErr w:type="gramEnd"/>
    </w:p>
    <w:p w14:paraId="7EB39529" w14:textId="77777777" w:rsidR="00F226F7" w:rsidRPr="00DE0CD5" w:rsidRDefault="00F226F7" w:rsidP="00F226F7">
      <w:pPr>
        <w:pStyle w:val="BulletLast"/>
        <w:numPr>
          <w:ilvl w:val="0"/>
          <w:numId w:val="16"/>
        </w:numPr>
        <w:rPr>
          <w:szCs w:val="22"/>
        </w:rPr>
      </w:pPr>
      <w:r w:rsidRPr="00DE0CD5">
        <w:rPr>
          <w:szCs w:val="22"/>
        </w:rPr>
        <w:t>prognostic value (longitudinal accuracy) of cardiac MRI in patients with suspected or acute myocarditis, clinical utility of the investigative medical service in terms of impact on patient management, and the impact on health outcomes.</w:t>
      </w:r>
    </w:p>
    <w:p w14:paraId="4A6E3AEF" w14:textId="77777777" w:rsidR="00F226F7" w:rsidRPr="00DE0CD5" w:rsidRDefault="00F226F7" w:rsidP="00F226F7">
      <w:r w:rsidRPr="00DE0CD5">
        <w:rPr>
          <w:rStyle w:val="Strong"/>
          <w:b w:val="0"/>
          <w:bCs w:val="0"/>
        </w:rPr>
        <w:t xml:space="preserve">ESC noted that there </w:t>
      </w:r>
      <w:r>
        <w:rPr>
          <w:rStyle w:val="Strong"/>
          <w:b w:val="0"/>
          <w:bCs w:val="0"/>
        </w:rPr>
        <w:t>was</w:t>
      </w:r>
      <w:r w:rsidRPr="00DE0CD5">
        <w:rPr>
          <w:rStyle w:val="Strong"/>
          <w:b w:val="0"/>
          <w:bCs w:val="0"/>
        </w:rPr>
        <w:t xml:space="preserve"> no direct </w:t>
      </w:r>
      <w:r>
        <w:rPr>
          <w:rStyle w:val="Strong"/>
          <w:b w:val="0"/>
          <w:bCs w:val="0"/>
        </w:rPr>
        <w:t>evidence</w:t>
      </w:r>
      <w:r w:rsidRPr="00DE0CD5">
        <w:rPr>
          <w:rStyle w:val="Strong"/>
          <w:b w:val="0"/>
          <w:bCs w:val="0"/>
        </w:rPr>
        <w:t xml:space="preserve"> to assess </w:t>
      </w:r>
      <w:r>
        <w:rPr>
          <w:rStyle w:val="Strong"/>
          <w:b w:val="0"/>
          <w:bCs w:val="0"/>
        </w:rPr>
        <w:t xml:space="preserve">comparative </w:t>
      </w:r>
      <w:r w:rsidRPr="00DE0CD5">
        <w:rPr>
          <w:rStyle w:val="Strong"/>
          <w:b w:val="0"/>
          <w:bCs w:val="0"/>
        </w:rPr>
        <w:t>safety, so</w:t>
      </w:r>
      <w:r w:rsidRPr="00DE0CD5">
        <w:t xml:space="preserve"> general safety data for cardiac MRI (with gadolinium contrast) </w:t>
      </w:r>
      <w:r>
        <w:t>were</w:t>
      </w:r>
      <w:r w:rsidRPr="00DE0CD5">
        <w:t xml:space="preserve"> used. </w:t>
      </w:r>
      <w:r>
        <w:t>ESC noted the a</w:t>
      </w:r>
      <w:r w:rsidRPr="00DE0CD5">
        <w:t xml:space="preserve">dvantages of cardiac MRI include a good safety profile without </w:t>
      </w:r>
      <w:r>
        <w:t xml:space="preserve">exposure to </w:t>
      </w:r>
      <w:r w:rsidRPr="00DE0CD5">
        <w:t>ionising radiation (lower risk of long-term radiation-induced cancer) and limited nephrotoxicity risk</w:t>
      </w:r>
      <w:r>
        <w:t>;</w:t>
      </w:r>
      <w:r w:rsidRPr="00DE0CD5">
        <w:t xml:space="preserve"> potential harms and disadvantages include </w:t>
      </w:r>
      <w:r>
        <w:t>its inability to</w:t>
      </w:r>
      <w:r w:rsidRPr="00DE0CD5">
        <w:t xml:space="preserve"> be used in patients with medical devices (pacemakers) or </w:t>
      </w:r>
      <w:r>
        <w:t xml:space="preserve">suffering from </w:t>
      </w:r>
      <w:r w:rsidRPr="00DE0CD5">
        <w:t xml:space="preserve">claustrophobia, and gadolinium </w:t>
      </w:r>
      <w:r>
        <w:t xml:space="preserve">use </w:t>
      </w:r>
      <w:r w:rsidRPr="00DE0CD5">
        <w:t xml:space="preserve">has a rare risk of acute allergy (in 0.07% of patients) and </w:t>
      </w:r>
      <w:r>
        <w:t xml:space="preserve">may cause </w:t>
      </w:r>
      <w:r w:rsidRPr="00DE0CD5">
        <w:t>nephrogenic fibrosis.</w:t>
      </w:r>
      <w:r>
        <w:t xml:space="preserve"> Overall ESC considered superior safety was likely reasonable.</w:t>
      </w:r>
    </w:p>
    <w:p w14:paraId="01D7B22D" w14:textId="77777777" w:rsidR="00F226F7" w:rsidRPr="00DE0CD5" w:rsidRDefault="00F226F7" w:rsidP="00F226F7">
      <w:r w:rsidRPr="00DE0CD5">
        <w:rPr>
          <w:rStyle w:val="Strong"/>
          <w:b w:val="0"/>
          <w:bCs w:val="0"/>
        </w:rPr>
        <w:t xml:space="preserve">Regarding accuracy and test performance, ESC noted that the included </w:t>
      </w:r>
      <w:r>
        <w:rPr>
          <w:rStyle w:val="Strong"/>
          <w:b w:val="0"/>
          <w:bCs w:val="0"/>
        </w:rPr>
        <w:t xml:space="preserve">five </w:t>
      </w:r>
      <w:r w:rsidRPr="00DE0CD5">
        <w:rPr>
          <w:rStyle w:val="Strong"/>
          <w:b w:val="0"/>
          <w:bCs w:val="0"/>
        </w:rPr>
        <w:t>studies were systematic reviews and meta-analyses (n = 7,522) that ha</w:t>
      </w:r>
      <w:r>
        <w:rPr>
          <w:rStyle w:val="Strong"/>
          <w:b w:val="0"/>
          <w:bCs w:val="0"/>
        </w:rPr>
        <w:t>d</w:t>
      </w:r>
      <w:r w:rsidRPr="00DE0CD5">
        <w:rPr>
          <w:rStyle w:val="Strong"/>
          <w:b w:val="0"/>
          <w:bCs w:val="0"/>
        </w:rPr>
        <w:t xml:space="preserve"> a high risk of bias. Sixteen</w:t>
      </w:r>
      <w:r>
        <w:rPr>
          <w:rStyle w:val="Strong"/>
          <w:b w:val="0"/>
          <w:bCs w:val="0"/>
        </w:rPr>
        <w:t xml:space="preserve"> </w:t>
      </w:r>
      <w:r w:rsidRPr="00DE0CD5">
        <w:rPr>
          <w:rStyle w:val="Strong"/>
          <w:b w:val="0"/>
          <w:bCs w:val="0"/>
        </w:rPr>
        <w:t xml:space="preserve">individual studies were also included (n = 1,246), nine of which were assessed to have a low risk of bias. </w:t>
      </w:r>
      <w:r w:rsidRPr="00DE0CD5">
        <w:t xml:space="preserve">Four cardiac MRI sequences </w:t>
      </w:r>
      <w:r>
        <w:t xml:space="preserve">(index tests) </w:t>
      </w:r>
      <w:r w:rsidRPr="00DE0CD5">
        <w:t xml:space="preserve">were considered: T1 mapping, T2 mapping, late gadolinium enhancement (LGE) and Lake Louise Criteria </w:t>
      </w:r>
      <w:r>
        <w:t>(</w:t>
      </w:r>
      <w:r w:rsidRPr="00DE0CD5">
        <w:t>LLC</w:t>
      </w:r>
      <w:r>
        <w:t>)</w:t>
      </w:r>
      <w:r w:rsidRPr="00DE0CD5">
        <w:t xml:space="preserve">. The systematic review revealed that, for each index test, cardiac MRI demonstrated high sensitivity and high specificity, and a </w:t>
      </w:r>
      <w:r w:rsidRPr="00DE0CD5">
        <w:lastRenderedPageBreak/>
        <w:t xml:space="preserve">positive likelihood ratio of &gt;5 and a negative likelihood ratio of &lt;1. ESC </w:t>
      </w:r>
      <w:r>
        <w:t>considered</w:t>
      </w:r>
      <w:r w:rsidRPr="00DE0CD5">
        <w:t xml:space="preserve"> that in the combined analysis, cardiac MRI showed higher sensitivity and specificity </w:t>
      </w:r>
      <w:r>
        <w:t xml:space="preserve">than EMB </w:t>
      </w:r>
      <w:r w:rsidRPr="00DE0CD5">
        <w:t>for each of the four </w:t>
      </w:r>
      <w:r>
        <w:t xml:space="preserve">MRI </w:t>
      </w:r>
      <w:r w:rsidRPr="00DE0CD5">
        <w:t>sequences.</w:t>
      </w:r>
    </w:p>
    <w:p w14:paraId="4ADB2989" w14:textId="77777777" w:rsidR="00F226F7" w:rsidRPr="00DE0CD5" w:rsidRDefault="00F226F7" w:rsidP="00F226F7">
      <w:r w:rsidRPr="00DE0CD5">
        <w:t xml:space="preserve">For prognostic value, ESC noted that the included </w:t>
      </w:r>
      <w:r>
        <w:t xml:space="preserve">two </w:t>
      </w:r>
      <w:r w:rsidRPr="00DE0CD5">
        <w:t xml:space="preserve">studies were </w:t>
      </w:r>
      <w:r w:rsidRPr="00DE0CD5">
        <w:rPr>
          <w:rStyle w:val="Strong"/>
          <w:b w:val="0"/>
          <w:bCs w:val="0"/>
        </w:rPr>
        <w:t xml:space="preserve">systematic reviews and meta-analyses (n = 3,647) that had a moderate risk of bias. Nine individual studies were also included (n = 2,139), two of which were included in the systematic review. ESC noted that </w:t>
      </w:r>
      <w:r>
        <w:t xml:space="preserve">detection of </w:t>
      </w:r>
      <w:r w:rsidRPr="00DE0CD5">
        <w:t xml:space="preserve">LGE was the strongest independent predictor of </w:t>
      </w:r>
      <w:r>
        <w:t xml:space="preserve">clinical </w:t>
      </w:r>
      <w:r w:rsidRPr="00DE0CD5">
        <w:t>outcome</w:t>
      </w:r>
      <w:r>
        <w:t>s:</w:t>
      </w:r>
      <w:r w:rsidRPr="00DE0CD5">
        <w:t xml:space="preserve"> patients </w:t>
      </w:r>
      <w:r>
        <w:t xml:space="preserve">with LGE </w:t>
      </w:r>
      <w:r w:rsidRPr="00DE0CD5">
        <w:t xml:space="preserve">had three times increased risk of dying or developing major </w:t>
      </w:r>
      <w:r>
        <w:t xml:space="preserve">adverse </w:t>
      </w:r>
      <w:r w:rsidRPr="00DE0CD5">
        <w:t xml:space="preserve">cardiovascular events (MACE) during a mean 2-year follow-up compared to </w:t>
      </w:r>
      <w:r>
        <w:t xml:space="preserve">patients with </w:t>
      </w:r>
      <w:r w:rsidRPr="00DE0CD5">
        <w:t>no LGE</w:t>
      </w:r>
      <w:r>
        <w:t xml:space="preserve"> on their cardiac MRI</w:t>
      </w:r>
      <w:r>
        <w:rPr>
          <w:rStyle w:val="FootnoteReference"/>
        </w:rPr>
        <w:footnoteReference w:id="22"/>
      </w:r>
      <w:r w:rsidRPr="00DE0CD5">
        <w:t>.</w:t>
      </w:r>
    </w:p>
    <w:p w14:paraId="54D547A9" w14:textId="77777777" w:rsidR="00F226F7" w:rsidRPr="00DE0CD5" w:rsidRDefault="00F226F7" w:rsidP="00F226F7">
      <w:pPr>
        <w:pStyle w:val="NormalBeforeBullet0"/>
        <w:rPr>
          <w:szCs w:val="22"/>
        </w:rPr>
      </w:pPr>
      <w:r>
        <w:rPr>
          <w:rStyle w:val="Strong"/>
          <w:b w:val="0"/>
          <w:bCs w:val="0"/>
          <w:szCs w:val="22"/>
        </w:rPr>
        <w:t xml:space="preserve">However, </w:t>
      </w:r>
      <w:r w:rsidRPr="00DE0CD5">
        <w:rPr>
          <w:rStyle w:val="Strong"/>
          <w:b w:val="0"/>
          <w:bCs w:val="0"/>
          <w:szCs w:val="22"/>
        </w:rPr>
        <w:t>ESC noted that no evidence was available to assess change in management or health outcomes</w:t>
      </w:r>
      <w:r>
        <w:rPr>
          <w:rStyle w:val="Strong"/>
          <w:b w:val="0"/>
          <w:bCs w:val="0"/>
          <w:szCs w:val="22"/>
        </w:rPr>
        <w:t xml:space="preserve"> using cardiac MRI in patients with acute myocarditis</w:t>
      </w:r>
      <w:r w:rsidRPr="00DE0CD5">
        <w:rPr>
          <w:rStyle w:val="Strong"/>
          <w:b w:val="0"/>
          <w:bCs w:val="0"/>
          <w:szCs w:val="22"/>
        </w:rPr>
        <w:t xml:space="preserve">. </w:t>
      </w:r>
      <w:r>
        <w:rPr>
          <w:rStyle w:val="Strong"/>
          <w:b w:val="0"/>
          <w:bCs w:val="0"/>
          <w:szCs w:val="22"/>
        </w:rPr>
        <w:t>ESC noted l</w:t>
      </w:r>
      <w:r w:rsidRPr="00DE0CD5">
        <w:rPr>
          <w:rStyle w:val="Strong"/>
          <w:b w:val="0"/>
          <w:bCs w:val="0"/>
          <w:szCs w:val="22"/>
        </w:rPr>
        <w:t xml:space="preserve">inked evidence </w:t>
      </w:r>
      <w:r>
        <w:rPr>
          <w:rStyle w:val="Strong"/>
          <w:b w:val="0"/>
          <w:bCs w:val="0"/>
          <w:szCs w:val="22"/>
        </w:rPr>
        <w:t>showed</w:t>
      </w:r>
      <w:r w:rsidRPr="00DE0CD5">
        <w:rPr>
          <w:rStyle w:val="Strong"/>
          <w:b w:val="0"/>
          <w:bCs w:val="0"/>
          <w:szCs w:val="22"/>
        </w:rPr>
        <w:t xml:space="preserve"> that:</w:t>
      </w:r>
    </w:p>
    <w:p w14:paraId="152AF58A" w14:textId="77777777" w:rsidR="00F226F7" w:rsidRPr="00DE0CD5" w:rsidRDefault="00F226F7" w:rsidP="00F226F7">
      <w:pPr>
        <w:pStyle w:val="Bullet"/>
        <w:numPr>
          <w:ilvl w:val="0"/>
          <w:numId w:val="16"/>
        </w:numPr>
        <w:spacing w:before="0"/>
        <w:rPr>
          <w:rFonts w:ascii="Franklin Gothic Book" w:hAnsi="Franklin Gothic Book"/>
        </w:rPr>
      </w:pPr>
      <w:r w:rsidRPr="00DE0CD5">
        <w:rPr>
          <w:rFonts w:ascii="Franklin Gothic Book" w:hAnsi="Franklin Gothic Book"/>
        </w:rPr>
        <w:t xml:space="preserve">for population 1, although MRI findings can help stratify risk, there </w:t>
      </w:r>
      <w:r>
        <w:rPr>
          <w:rFonts w:ascii="Franklin Gothic Book" w:hAnsi="Franklin Gothic Book"/>
        </w:rPr>
        <w:t>we</w:t>
      </w:r>
      <w:r w:rsidRPr="00DE0CD5">
        <w:rPr>
          <w:rFonts w:ascii="Franklin Gothic Book" w:hAnsi="Franklin Gothic Book"/>
        </w:rPr>
        <w:t>re no clear guidelines on how myocarditis patients should be monitored or managed</w:t>
      </w:r>
      <w:r>
        <w:rPr>
          <w:rFonts w:ascii="Franklin Gothic Book" w:hAnsi="Franklin Gothic Book"/>
        </w:rPr>
        <w:t>.</w:t>
      </w:r>
    </w:p>
    <w:p w14:paraId="2C1A6C20" w14:textId="77777777" w:rsidR="00F226F7" w:rsidRPr="00DE0CD5" w:rsidRDefault="00F226F7" w:rsidP="00F226F7">
      <w:pPr>
        <w:pStyle w:val="BulletLast"/>
        <w:numPr>
          <w:ilvl w:val="0"/>
          <w:numId w:val="16"/>
        </w:numPr>
        <w:rPr>
          <w:szCs w:val="22"/>
        </w:rPr>
      </w:pPr>
      <w:r w:rsidRPr="00DE0CD5">
        <w:rPr>
          <w:szCs w:val="22"/>
        </w:rPr>
        <w:t xml:space="preserve">for population 2, cardiac MRI can reduce the use of coronary CT (to rule out CAD) by confirming diagnosis of myocarditis through exclusion, and it </w:t>
      </w:r>
      <w:r>
        <w:rPr>
          <w:szCs w:val="22"/>
        </w:rPr>
        <w:t>can allow avoiding</w:t>
      </w:r>
      <w:r w:rsidRPr="00DE0CD5">
        <w:rPr>
          <w:szCs w:val="22"/>
        </w:rPr>
        <w:t xml:space="preserve"> unnecessary medications (anti-platelet therapy). However, ESC considered this to be highly uncertain due to the low-quality evidence</w:t>
      </w:r>
      <w:r>
        <w:rPr>
          <w:szCs w:val="22"/>
        </w:rPr>
        <w:t xml:space="preserve"> presented</w:t>
      </w:r>
      <w:r w:rsidRPr="00DE0CD5">
        <w:rPr>
          <w:szCs w:val="22"/>
        </w:rPr>
        <w:t>.</w:t>
      </w:r>
    </w:p>
    <w:p w14:paraId="0CB2DBEC" w14:textId="77777777" w:rsidR="00F226F7" w:rsidRPr="00DE0CD5" w:rsidRDefault="00F226F7" w:rsidP="00F226F7">
      <w:r w:rsidRPr="00DE0CD5">
        <w:t xml:space="preserve">Overall, ESC </w:t>
      </w:r>
      <w:r>
        <w:t>considered</w:t>
      </w:r>
      <w:r w:rsidRPr="00DE0CD5">
        <w:t xml:space="preserve"> that cardiac MRI </w:t>
      </w:r>
      <w:r>
        <w:t>wa</w:t>
      </w:r>
      <w:r w:rsidRPr="00DE0CD5">
        <w:t xml:space="preserve">s likely superior in terms of diagnostic accuracy and prognosis compared with clinical criteria and EMB, but </w:t>
      </w:r>
      <w:r>
        <w:t>there was</w:t>
      </w:r>
      <w:r w:rsidRPr="00DE0CD5">
        <w:t xml:space="preserve"> </w:t>
      </w:r>
      <w:r>
        <w:t>no evidence of</w:t>
      </w:r>
      <w:r w:rsidRPr="00DE0CD5">
        <w:t xml:space="preserve"> change in management or </w:t>
      </w:r>
      <w:r>
        <w:t xml:space="preserve">improved </w:t>
      </w:r>
      <w:r w:rsidRPr="00DE0CD5">
        <w:t>health outcomes. ESC considered that a claim of non-inferior effectiveness may be more appropriate.</w:t>
      </w:r>
    </w:p>
    <w:p w14:paraId="44ABAD79" w14:textId="77777777" w:rsidR="00F226F7" w:rsidRPr="00DE0CD5" w:rsidRDefault="00F226F7" w:rsidP="00F226F7">
      <w:r w:rsidRPr="00DE0CD5">
        <w:t xml:space="preserve">ESC agreed with PASC that </w:t>
      </w:r>
      <w:r>
        <w:t xml:space="preserve">a diagnosis of myocarditis had </w:t>
      </w:r>
      <w:r w:rsidRPr="00DE0CD5">
        <w:t xml:space="preserve">value of knowing, with the main benefit being </w:t>
      </w:r>
      <w:r>
        <w:t>to enable diagnosed patients</w:t>
      </w:r>
      <w:r w:rsidRPr="00C90B4E">
        <w:t xml:space="preserve"> </w:t>
      </w:r>
      <w:r w:rsidRPr="00DE0CD5">
        <w:t>to resume or avoid exercise.</w:t>
      </w:r>
      <w:r>
        <w:t xml:space="preserve"> However, ESC considered the potential value of knowing was uncertain as there was no evidence or guideline-directed management for those patients in whom cardiac MRI detects LGE changes.</w:t>
      </w:r>
    </w:p>
    <w:p w14:paraId="092AD267" w14:textId="77777777" w:rsidR="00F226F7" w:rsidRPr="00DE0CD5" w:rsidRDefault="00F226F7" w:rsidP="00F226F7">
      <w:pPr>
        <w:rPr>
          <w:rStyle w:val="Strong"/>
          <w:b w:val="0"/>
          <w:bCs w:val="0"/>
        </w:rPr>
      </w:pPr>
      <w:r w:rsidRPr="00DE0CD5">
        <w:rPr>
          <w:rStyle w:val="Strong"/>
          <w:b w:val="0"/>
          <w:bCs w:val="0"/>
        </w:rPr>
        <w:t xml:space="preserve">ESC noted that the economic evaluation </w:t>
      </w:r>
      <w:r>
        <w:rPr>
          <w:rStyle w:val="Strong"/>
          <w:b w:val="0"/>
          <w:bCs w:val="0"/>
        </w:rPr>
        <w:t xml:space="preserve">included separately modelling each population and that </w:t>
      </w:r>
      <w:r w:rsidRPr="00DE0CD5">
        <w:rPr>
          <w:rStyle w:val="Strong"/>
          <w:b w:val="0"/>
          <w:bCs w:val="0"/>
        </w:rPr>
        <w:t xml:space="preserve">for both populations </w:t>
      </w:r>
      <w:r>
        <w:rPr>
          <w:rStyle w:val="Strong"/>
          <w:b w:val="0"/>
          <w:bCs w:val="0"/>
        </w:rPr>
        <w:t xml:space="preserve">the model </w:t>
      </w:r>
      <w:r w:rsidRPr="00DE0CD5">
        <w:rPr>
          <w:rStyle w:val="Strong"/>
          <w:b w:val="0"/>
          <w:bCs w:val="0"/>
        </w:rPr>
        <w:t xml:space="preserve">was a </w:t>
      </w:r>
      <w:r>
        <w:rPr>
          <w:rStyle w:val="Strong"/>
          <w:b w:val="0"/>
          <w:bCs w:val="0"/>
        </w:rPr>
        <w:t>CEA</w:t>
      </w:r>
      <w:r w:rsidRPr="00DE0CD5">
        <w:rPr>
          <w:rStyle w:val="Strong"/>
          <w:b w:val="0"/>
          <w:bCs w:val="0"/>
        </w:rPr>
        <w:t xml:space="preserve"> using a Markov multi-state health transition analysis with a time horizon of 20 years. ESC noted that the analyses used decision trees that attempted to mimic the </w:t>
      </w:r>
      <w:r>
        <w:rPr>
          <w:rStyle w:val="Strong"/>
          <w:b w:val="0"/>
          <w:bCs w:val="0"/>
        </w:rPr>
        <w:t xml:space="preserve">placement of MRI in the proposed </w:t>
      </w:r>
      <w:r w:rsidRPr="00DE0CD5">
        <w:rPr>
          <w:rStyle w:val="Strong"/>
          <w:b w:val="0"/>
          <w:bCs w:val="0"/>
        </w:rPr>
        <w:t>clinical management algorithm</w:t>
      </w:r>
      <w:r>
        <w:rPr>
          <w:rStyle w:val="Strong"/>
          <w:b w:val="0"/>
          <w:bCs w:val="0"/>
        </w:rPr>
        <w:t>s: ESC considered this was reasonable for population 1, but uncertain for population 2</w:t>
      </w:r>
      <w:r w:rsidRPr="00DE0CD5">
        <w:rPr>
          <w:rStyle w:val="Strong"/>
          <w:b w:val="0"/>
          <w:bCs w:val="0"/>
        </w:rPr>
        <w:t>.</w:t>
      </w:r>
      <w:r>
        <w:rPr>
          <w:rStyle w:val="Strong"/>
          <w:b w:val="0"/>
          <w:bCs w:val="0"/>
        </w:rPr>
        <w:t xml:space="preserve"> ESC considered the models were overall structurally sound, however the results were highly uncertain due to low quality inputs.</w:t>
      </w:r>
    </w:p>
    <w:p w14:paraId="4AD66BEB" w14:textId="77777777" w:rsidR="00F226F7" w:rsidRPr="006B6110" w:rsidRDefault="00F226F7" w:rsidP="00F226F7">
      <w:pPr>
        <w:rPr>
          <w:rStyle w:val="Strong"/>
          <w:b w:val="0"/>
          <w:bCs w:val="0"/>
        </w:rPr>
      </w:pPr>
      <w:r w:rsidRPr="00DE0CD5">
        <w:rPr>
          <w:rStyle w:val="Strong"/>
          <w:b w:val="0"/>
          <w:bCs w:val="0"/>
        </w:rPr>
        <w:t>For population 1, ESC noted that the model was structured so that c</w:t>
      </w:r>
      <w:r w:rsidRPr="006B6110">
        <w:rPr>
          <w:rStyle w:val="Strong"/>
          <w:b w:val="0"/>
          <w:bCs w:val="0"/>
        </w:rPr>
        <w:t>ardiac MRI is provided to all patients and is expected to identify myocarditis with or without fibrosis via the presence or absence of LGE in their imaging results. Myocarditis patients in this population were expected to have preserved or reduced left ventricular ejection fraction (LVEF) at presentation and a likelihood of developing MACE (hospitalisation for heart failure, with or without ventricular arrythmias and ensuing sudden death over time). ESC noted that the probabilities of MACE (derived from a previous clinical trial)</w:t>
      </w:r>
      <w:r w:rsidRPr="006B6110">
        <w:rPr>
          <w:rStyle w:val="Strong"/>
          <w:b w:val="0"/>
          <w:bCs w:val="0"/>
        </w:rPr>
        <w:footnoteReference w:id="23"/>
      </w:r>
      <w:r w:rsidRPr="006B6110">
        <w:rPr>
          <w:rStyle w:val="Strong"/>
          <w:b w:val="0"/>
          <w:bCs w:val="0"/>
        </w:rPr>
        <w:t xml:space="preserve"> were anticipated to be higher for patients with LGE findings. The model assumed that identifying patients with increased risk would provide the </w:t>
      </w:r>
      <w:r w:rsidRPr="006B6110">
        <w:rPr>
          <w:rStyle w:val="Strong"/>
          <w:b w:val="0"/>
          <w:bCs w:val="0"/>
        </w:rPr>
        <w:lastRenderedPageBreak/>
        <w:t xml:space="preserve">opportunity to monitor those patients more frequently over an extended </w:t>
      </w:r>
      <w:proofErr w:type="gramStart"/>
      <w:r w:rsidRPr="006B6110">
        <w:rPr>
          <w:rStyle w:val="Strong"/>
          <w:b w:val="0"/>
          <w:bCs w:val="0"/>
        </w:rPr>
        <w:t>period of time</w:t>
      </w:r>
      <w:proofErr w:type="gramEnd"/>
      <w:r w:rsidRPr="006B6110">
        <w:rPr>
          <w:rStyle w:val="Strong"/>
          <w:b w:val="0"/>
          <w:bCs w:val="0"/>
        </w:rPr>
        <w:t xml:space="preserve">, and result in an overall risk reduction of MACE. </w:t>
      </w:r>
    </w:p>
    <w:p w14:paraId="1EF7008C" w14:textId="77777777" w:rsidR="00F226F7" w:rsidRDefault="00F226F7" w:rsidP="00F226F7">
      <w:pPr>
        <w:rPr>
          <w:rStyle w:val="Strong"/>
          <w:b w:val="0"/>
          <w:bCs w:val="0"/>
        </w:rPr>
      </w:pPr>
      <w:r w:rsidRPr="00DE0CD5">
        <w:t xml:space="preserve">ESC </w:t>
      </w:r>
      <w:r>
        <w:t>considered</w:t>
      </w:r>
      <w:r w:rsidRPr="00DE0CD5">
        <w:t xml:space="preserve"> that </w:t>
      </w:r>
      <w:r>
        <w:t xml:space="preserve">while the DCAR had populated the model with the best available data, </w:t>
      </w:r>
      <w:r w:rsidRPr="00DE0CD5">
        <w:t>some of the</w:t>
      </w:r>
      <w:r>
        <w:t xml:space="preserve"> key</w:t>
      </w:r>
      <w:r w:rsidRPr="00DE0CD5">
        <w:t xml:space="preserve"> inputs were </w:t>
      </w:r>
      <w:r>
        <w:t>of</w:t>
      </w:r>
      <w:r w:rsidRPr="00DE0CD5">
        <w:t xml:space="preserve"> low-quality </w:t>
      </w:r>
      <w:r>
        <w:t xml:space="preserve">and therefore highly uncertain as they were based on </w:t>
      </w:r>
      <w:r w:rsidRPr="00DE0CD5">
        <w:t>expert opinion</w:t>
      </w:r>
      <w:r>
        <w:t>: these were</w:t>
      </w:r>
      <w:r w:rsidRPr="00DE0CD5">
        <w:t xml:space="preserve"> frequency (once every 6 months) and duration of monitoring (lifetime), and the effectiveness </w:t>
      </w:r>
      <w:r>
        <w:t xml:space="preserve">of monitoring </w:t>
      </w:r>
      <w:r w:rsidRPr="00DE0CD5">
        <w:t xml:space="preserve">(50% risk reduction of MACE). </w:t>
      </w:r>
      <w:r w:rsidRPr="00DE0CD5">
        <w:rPr>
          <w:rStyle w:val="Strong"/>
          <w:b w:val="0"/>
          <w:bCs w:val="0"/>
        </w:rPr>
        <w:t xml:space="preserve">ESC </w:t>
      </w:r>
      <w:r>
        <w:rPr>
          <w:rStyle w:val="Strong"/>
          <w:b w:val="0"/>
          <w:bCs w:val="0"/>
        </w:rPr>
        <w:t>considered there were</w:t>
      </w:r>
      <w:r w:rsidRPr="00DE0CD5">
        <w:rPr>
          <w:rStyle w:val="Strong"/>
          <w:b w:val="0"/>
          <w:bCs w:val="0"/>
        </w:rPr>
        <w:t xml:space="preserve"> multiple issues that affected the economic evaluation, </w:t>
      </w:r>
      <w:r>
        <w:rPr>
          <w:rStyle w:val="Strong"/>
          <w:b w:val="0"/>
          <w:bCs w:val="0"/>
        </w:rPr>
        <w:t>some of which also</w:t>
      </w:r>
      <w:r w:rsidRPr="00DE0CD5">
        <w:rPr>
          <w:rStyle w:val="Strong"/>
          <w:b w:val="0"/>
          <w:bCs w:val="0"/>
        </w:rPr>
        <w:t xml:space="preserve"> </w:t>
      </w:r>
      <w:r>
        <w:rPr>
          <w:rStyle w:val="Strong"/>
          <w:b w:val="0"/>
          <w:bCs w:val="0"/>
        </w:rPr>
        <w:t>affected</w:t>
      </w:r>
      <w:r w:rsidRPr="00DE0CD5">
        <w:rPr>
          <w:rStyle w:val="Strong"/>
          <w:b w:val="0"/>
          <w:bCs w:val="0"/>
        </w:rPr>
        <w:t xml:space="preserve"> the financial estimates</w:t>
      </w:r>
      <w:r>
        <w:rPr>
          <w:rStyle w:val="Strong"/>
          <w:b w:val="0"/>
          <w:bCs w:val="0"/>
        </w:rPr>
        <w:t>:</w:t>
      </w:r>
    </w:p>
    <w:p w14:paraId="04DCBD1A" w14:textId="77777777" w:rsidR="00F226F7" w:rsidRDefault="00F226F7" w:rsidP="00F226F7">
      <w:pPr>
        <w:pStyle w:val="Bullet"/>
        <w:numPr>
          <w:ilvl w:val="0"/>
          <w:numId w:val="16"/>
        </w:numPr>
        <w:spacing w:before="0"/>
        <w:rPr>
          <w:rFonts w:ascii="Franklin Gothic Book" w:hAnsi="Franklin Gothic Book"/>
        </w:rPr>
      </w:pPr>
      <w:r w:rsidRPr="00633C14">
        <w:rPr>
          <w:rFonts w:ascii="Franklin Gothic Book" w:hAnsi="Franklin Gothic Book"/>
        </w:rPr>
        <w:t xml:space="preserve">The analysis </w:t>
      </w:r>
      <w:r>
        <w:rPr>
          <w:rFonts w:ascii="Franklin Gothic Book" w:hAnsi="Franklin Gothic Book"/>
        </w:rPr>
        <w:t>used</w:t>
      </w:r>
      <w:r w:rsidRPr="00633C14">
        <w:rPr>
          <w:rFonts w:ascii="Franklin Gothic Book" w:hAnsi="Franklin Gothic Book"/>
        </w:rPr>
        <w:t xml:space="preserve"> international </w:t>
      </w:r>
      <w:r>
        <w:rPr>
          <w:rFonts w:ascii="Franklin Gothic Book" w:hAnsi="Franklin Gothic Book"/>
        </w:rPr>
        <w:t>estimates of incidence and prevalence</w:t>
      </w:r>
      <w:r w:rsidRPr="00633C14">
        <w:rPr>
          <w:rFonts w:ascii="Franklin Gothic Book" w:hAnsi="Franklin Gothic Book"/>
        </w:rPr>
        <w:t xml:space="preserve">, as no Australian </w:t>
      </w:r>
      <w:r>
        <w:rPr>
          <w:rFonts w:ascii="Franklin Gothic Book" w:hAnsi="Franklin Gothic Book"/>
        </w:rPr>
        <w:t>estimates</w:t>
      </w:r>
      <w:r w:rsidRPr="00633C14">
        <w:rPr>
          <w:rFonts w:ascii="Franklin Gothic Book" w:hAnsi="Franklin Gothic Book"/>
        </w:rPr>
        <w:t xml:space="preserve"> were available. </w:t>
      </w:r>
      <w:r>
        <w:rPr>
          <w:rFonts w:ascii="Franklin Gothic Book" w:hAnsi="Franklin Gothic Book"/>
        </w:rPr>
        <w:t>Other</w:t>
      </w:r>
      <w:r w:rsidRPr="00633C14">
        <w:rPr>
          <w:rFonts w:ascii="Franklin Gothic Book" w:hAnsi="Franklin Gothic Book"/>
        </w:rPr>
        <w:t xml:space="preserve"> input parameters were derived from relevant studies</w:t>
      </w:r>
      <w:r>
        <w:rPr>
          <w:rFonts w:ascii="Franklin Gothic Book" w:hAnsi="Franklin Gothic Book"/>
        </w:rPr>
        <w:t>,</w:t>
      </w:r>
      <w:r w:rsidRPr="00633C14">
        <w:rPr>
          <w:rFonts w:ascii="Franklin Gothic Book" w:hAnsi="Franklin Gothic Book"/>
        </w:rPr>
        <w:t xml:space="preserve"> and </w:t>
      </w:r>
      <w:r w:rsidRPr="008C2707">
        <w:rPr>
          <w:rFonts w:ascii="Franklin Gothic Book" w:hAnsi="Franklin Gothic Book"/>
        </w:rPr>
        <w:t>where data were unavailable</w:t>
      </w:r>
      <w:r w:rsidRPr="00B073BB">
        <w:rPr>
          <w:rFonts w:ascii="Franklin Gothic Book" w:hAnsi="Franklin Gothic Book"/>
        </w:rPr>
        <w:t xml:space="preserve"> </w:t>
      </w:r>
      <w:r>
        <w:rPr>
          <w:rFonts w:ascii="Franklin Gothic Book" w:hAnsi="Franklin Gothic Book"/>
        </w:rPr>
        <w:t>(</w:t>
      </w:r>
      <w:proofErr w:type="gramStart"/>
      <w:r>
        <w:rPr>
          <w:rFonts w:ascii="Franklin Gothic Book" w:hAnsi="Franklin Gothic Book"/>
        </w:rPr>
        <w:t>e.g.</w:t>
      </w:r>
      <w:proofErr w:type="gramEnd"/>
      <w:r>
        <w:rPr>
          <w:rFonts w:ascii="Franklin Gothic Book" w:hAnsi="Franklin Gothic Book"/>
        </w:rPr>
        <w:t xml:space="preserve"> changes in management with LGE, the relative effectiveness of regular monitoring compared to standard care, uptake of cardiac MRI), then inputs were sourced from </w:t>
      </w:r>
      <w:r w:rsidRPr="00633C14">
        <w:rPr>
          <w:rFonts w:ascii="Franklin Gothic Book" w:hAnsi="Franklin Gothic Book"/>
        </w:rPr>
        <w:t xml:space="preserve">expert opinion. </w:t>
      </w:r>
    </w:p>
    <w:p w14:paraId="234F3170" w14:textId="77777777" w:rsidR="00F226F7" w:rsidRPr="00633C14" w:rsidRDefault="00F226F7" w:rsidP="00F226F7">
      <w:pPr>
        <w:pStyle w:val="Bullet"/>
        <w:numPr>
          <w:ilvl w:val="0"/>
          <w:numId w:val="16"/>
        </w:numPr>
        <w:spacing w:before="0"/>
        <w:rPr>
          <w:rFonts w:ascii="Franklin Gothic Book" w:hAnsi="Franklin Gothic Book"/>
        </w:rPr>
      </w:pPr>
      <w:r>
        <w:rPr>
          <w:rFonts w:ascii="Franklin Gothic Book" w:hAnsi="Franklin Gothic Book"/>
        </w:rPr>
        <w:t>V</w:t>
      </w:r>
      <w:r w:rsidRPr="00633C14">
        <w:rPr>
          <w:rFonts w:ascii="Franklin Gothic Book" w:hAnsi="Franklin Gothic Book"/>
        </w:rPr>
        <w:t>ery few people with myocarditis receive an EMB in current clinical practice</w:t>
      </w:r>
      <w:r>
        <w:rPr>
          <w:rFonts w:ascii="Franklin Gothic Book" w:hAnsi="Franklin Gothic Book"/>
        </w:rPr>
        <w:t>.</w:t>
      </w:r>
      <w:r w:rsidRPr="00633C14">
        <w:rPr>
          <w:rFonts w:ascii="Franklin Gothic Book" w:hAnsi="Franklin Gothic Book"/>
        </w:rPr>
        <w:t xml:space="preserve"> </w:t>
      </w:r>
      <w:r>
        <w:rPr>
          <w:rFonts w:ascii="Franklin Gothic Book" w:hAnsi="Franklin Gothic Book"/>
        </w:rPr>
        <w:t xml:space="preserve">ESC considered </w:t>
      </w:r>
      <w:r w:rsidRPr="00633C14">
        <w:rPr>
          <w:rFonts w:ascii="Franklin Gothic Book" w:hAnsi="Franklin Gothic Book"/>
        </w:rPr>
        <w:t>that information on this proportion if available would be informative for MSAC decision-making.</w:t>
      </w:r>
    </w:p>
    <w:p w14:paraId="302868DC" w14:textId="77777777" w:rsidR="00F226F7" w:rsidRDefault="00F226F7" w:rsidP="00F226F7">
      <w:pPr>
        <w:pStyle w:val="Bullet"/>
        <w:numPr>
          <w:ilvl w:val="0"/>
          <w:numId w:val="16"/>
        </w:numPr>
        <w:spacing w:before="0"/>
        <w:rPr>
          <w:rFonts w:ascii="Franklin Gothic Book" w:hAnsi="Franklin Gothic Book"/>
        </w:rPr>
      </w:pPr>
      <w:r>
        <w:rPr>
          <w:rFonts w:ascii="Franklin Gothic Book" w:hAnsi="Franklin Gothic Book"/>
        </w:rPr>
        <w:t>I</w:t>
      </w:r>
      <w:r w:rsidRPr="00DE0CD5">
        <w:rPr>
          <w:rFonts w:ascii="Franklin Gothic Book" w:hAnsi="Franklin Gothic Book"/>
        </w:rPr>
        <w:t xml:space="preserve">t was assumed </w:t>
      </w:r>
      <w:r>
        <w:rPr>
          <w:rFonts w:ascii="Franklin Gothic Book" w:hAnsi="Franklin Gothic Book"/>
        </w:rPr>
        <w:t xml:space="preserve">based on expert opinion </w:t>
      </w:r>
      <w:r w:rsidRPr="00DE0CD5">
        <w:rPr>
          <w:rFonts w:ascii="Franklin Gothic Book" w:hAnsi="Franklin Gothic Book"/>
        </w:rPr>
        <w:t xml:space="preserve">that 50% of </w:t>
      </w:r>
      <w:r>
        <w:rPr>
          <w:rFonts w:ascii="Franklin Gothic Book" w:hAnsi="Franklin Gothic Book"/>
        </w:rPr>
        <w:t>CTCA</w:t>
      </w:r>
      <w:r w:rsidRPr="00DE0CD5">
        <w:rPr>
          <w:rFonts w:ascii="Franklin Gothic Book" w:hAnsi="Franklin Gothic Book"/>
        </w:rPr>
        <w:t xml:space="preserve">±TTE procedures would be avoided due to the listing of cardiac MRI in population 2. </w:t>
      </w:r>
      <w:r>
        <w:rPr>
          <w:rFonts w:ascii="Franklin Gothic Book" w:hAnsi="Franklin Gothic Book"/>
        </w:rPr>
        <w:t>However, in its experience ESC considered</w:t>
      </w:r>
      <w:r w:rsidRPr="00DE0CD5">
        <w:rPr>
          <w:rFonts w:ascii="Franklin Gothic Book" w:hAnsi="Franklin Gothic Book"/>
        </w:rPr>
        <w:t xml:space="preserve"> most patients presenting with signs and symptoms of ACS undergo </w:t>
      </w:r>
      <w:r>
        <w:rPr>
          <w:rFonts w:ascii="Franklin Gothic Book" w:hAnsi="Franklin Gothic Book"/>
        </w:rPr>
        <w:t>CTCA</w:t>
      </w:r>
      <w:r w:rsidRPr="00DE0CD5">
        <w:rPr>
          <w:rFonts w:ascii="Franklin Gothic Book" w:hAnsi="Franklin Gothic Book"/>
        </w:rPr>
        <w:t>±TTE to rule out CAD before undergoing cardiac MRI testing.</w:t>
      </w:r>
      <w:r>
        <w:rPr>
          <w:rFonts w:ascii="Franklin Gothic Book" w:hAnsi="Franklin Gothic Book"/>
        </w:rPr>
        <w:t xml:space="preserve"> ESC considered this cost-offset from CTCA+/-TTE avoided was unlikely to be realised in practice, and that this will have substantially affected the economic and financial analyses.</w:t>
      </w:r>
    </w:p>
    <w:p w14:paraId="194B8B3A" w14:textId="77777777" w:rsidR="00F226F7" w:rsidRDefault="00F226F7" w:rsidP="00F226F7">
      <w:pPr>
        <w:pStyle w:val="Bullet"/>
        <w:numPr>
          <w:ilvl w:val="0"/>
          <w:numId w:val="16"/>
        </w:numPr>
        <w:spacing w:before="0"/>
        <w:rPr>
          <w:rFonts w:ascii="Franklin Gothic Book" w:hAnsi="Franklin Gothic Book"/>
        </w:rPr>
      </w:pPr>
      <w:r>
        <w:rPr>
          <w:rFonts w:ascii="Franklin Gothic Book" w:hAnsi="Franklin Gothic Book"/>
        </w:rPr>
        <w:t>A</w:t>
      </w:r>
      <w:r w:rsidRPr="00633C14">
        <w:rPr>
          <w:rFonts w:ascii="Franklin Gothic Book" w:hAnsi="Franklin Gothic Book"/>
        </w:rPr>
        <w:t xml:space="preserve"> 20-year time horizon was used to reflect </w:t>
      </w:r>
      <w:r>
        <w:rPr>
          <w:rFonts w:ascii="Franklin Gothic Book" w:hAnsi="Franklin Gothic Book"/>
        </w:rPr>
        <w:t xml:space="preserve">the </w:t>
      </w:r>
      <w:r w:rsidRPr="00633C14">
        <w:rPr>
          <w:rFonts w:ascii="Franklin Gothic Book" w:hAnsi="Franklin Gothic Book"/>
        </w:rPr>
        <w:t xml:space="preserve">follow-up time in </w:t>
      </w:r>
      <w:proofErr w:type="spellStart"/>
      <w:r w:rsidRPr="00633C14">
        <w:rPr>
          <w:rFonts w:ascii="Franklin Gothic Book" w:hAnsi="Franklin Gothic Book"/>
        </w:rPr>
        <w:t>Grani</w:t>
      </w:r>
      <w:proofErr w:type="spellEnd"/>
      <w:r w:rsidRPr="00633C14">
        <w:rPr>
          <w:rFonts w:ascii="Franklin Gothic Book" w:hAnsi="Franklin Gothic Book"/>
        </w:rPr>
        <w:t xml:space="preserve"> et al. (2017), but ESC considered it likely tha</w:t>
      </w:r>
      <w:r>
        <w:rPr>
          <w:rFonts w:ascii="Franklin Gothic Book" w:hAnsi="Franklin Gothic Book"/>
        </w:rPr>
        <w:t>t</w:t>
      </w:r>
      <w:r w:rsidRPr="00633C14">
        <w:rPr>
          <w:rFonts w:ascii="Franklin Gothic Book" w:hAnsi="Franklin Gothic Book"/>
        </w:rPr>
        <w:t xml:space="preserve"> after 20 years patients may develop other cardiovascular diseases due to risk factors such as ageing.</w:t>
      </w:r>
    </w:p>
    <w:p w14:paraId="0228F89B" w14:textId="77777777" w:rsidR="00F226F7" w:rsidRPr="00633C14" w:rsidRDefault="00F226F7" w:rsidP="00F226F7">
      <w:pPr>
        <w:pStyle w:val="Bullet"/>
        <w:numPr>
          <w:ilvl w:val="0"/>
          <w:numId w:val="16"/>
        </w:numPr>
        <w:spacing w:before="0"/>
        <w:rPr>
          <w:rFonts w:ascii="Franklin Gothic Book" w:hAnsi="Franklin Gothic Book"/>
        </w:rPr>
      </w:pPr>
      <w:r>
        <w:rPr>
          <w:rFonts w:ascii="Franklin Gothic Book" w:hAnsi="Franklin Gothic Book"/>
        </w:rPr>
        <w:t>A</w:t>
      </w:r>
      <w:r w:rsidRPr="00633C14">
        <w:rPr>
          <w:rFonts w:ascii="Franklin Gothic Book" w:hAnsi="Franklin Gothic Book"/>
        </w:rPr>
        <w:t xml:space="preserve">ge-specific utilities of patients with preserved LVEF were </w:t>
      </w:r>
      <w:r>
        <w:rPr>
          <w:rFonts w:ascii="Franklin Gothic Book" w:hAnsi="Franklin Gothic Book"/>
        </w:rPr>
        <w:t>assumed</w:t>
      </w:r>
      <w:r w:rsidRPr="00633C14">
        <w:rPr>
          <w:rFonts w:ascii="Franklin Gothic Book" w:hAnsi="Franklin Gothic Book"/>
        </w:rPr>
        <w:t xml:space="preserve"> to be </w:t>
      </w:r>
      <w:proofErr w:type="gramStart"/>
      <w:r w:rsidRPr="00633C14">
        <w:rPr>
          <w:rFonts w:ascii="Franklin Gothic Book" w:hAnsi="Franklin Gothic Book"/>
        </w:rPr>
        <w:t>similar to</w:t>
      </w:r>
      <w:proofErr w:type="gramEnd"/>
      <w:r w:rsidRPr="00633C14">
        <w:rPr>
          <w:rFonts w:ascii="Franklin Gothic Book" w:hAnsi="Franklin Gothic Book"/>
        </w:rPr>
        <w:t xml:space="preserve"> the general population of Australia and were derived from the study by Clemens et al. (2014)</w:t>
      </w:r>
      <w:r w:rsidRPr="00633C14">
        <w:rPr>
          <w:rFonts w:ascii="Franklin Gothic Book" w:hAnsi="Franklin Gothic Book"/>
          <w:vertAlign w:val="superscript"/>
        </w:rPr>
        <w:footnoteReference w:id="24"/>
      </w:r>
      <w:r w:rsidRPr="00633C14">
        <w:rPr>
          <w:rFonts w:ascii="Franklin Gothic Book" w:hAnsi="Franklin Gothic Book"/>
        </w:rPr>
        <w:t>, and patients with reduced LVEF were assumed to have the health utility associated with chronic heart failure.</w:t>
      </w:r>
    </w:p>
    <w:p w14:paraId="78D5FF30" w14:textId="77777777" w:rsidR="00F226F7" w:rsidRPr="00DE0CD5" w:rsidRDefault="00F226F7" w:rsidP="00F226F7">
      <w:r>
        <w:t>ESC noted t</w:t>
      </w:r>
      <w:r w:rsidRPr="00DE0CD5">
        <w:t>he</w:t>
      </w:r>
      <w:r>
        <w:t xml:space="preserve"> incremental</w:t>
      </w:r>
      <w:r w:rsidRPr="00DE0CD5">
        <w:t xml:space="preserve"> cost-effectiveness ratio (ICER) for population 1 was </w:t>
      </w:r>
      <w:r>
        <w:t xml:space="preserve">reported at </w:t>
      </w:r>
      <w:r w:rsidRPr="00DE0CD5">
        <w:t>$66,35</w:t>
      </w:r>
      <w:r>
        <w:t>6</w:t>
      </w:r>
      <w:r w:rsidRPr="00DE0CD5">
        <w:t xml:space="preserve"> per quality-adjusted life year (QALY), </w:t>
      </w:r>
      <w:r>
        <w:t>however</w:t>
      </w:r>
      <w:r w:rsidRPr="00DE0CD5">
        <w:t xml:space="preserve"> ESC considered this</w:t>
      </w:r>
      <w:r>
        <w:t xml:space="preserve"> result</w:t>
      </w:r>
      <w:r w:rsidRPr="00DE0CD5">
        <w:t xml:space="preserve"> to be </w:t>
      </w:r>
      <w:r>
        <w:t xml:space="preserve">extremely </w:t>
      </w:r>
      <w:r w:rsidRPr="00DE0CD5">
        <w:t xml:space="preserve">uncertain due to the </w:t>
      </w:r>
      <w:r>
        <w:t>reliance on expert opinion</w:t>
      </w:r>
      <w:r w:rsidRPr="00DE0CD5">
        <w:t>.</w:t>
      </w:r>
      <w:r>
        <w:t xml:space="preserve"> </w:t>
      </w:r>
      <w:r w:rsidRPr="00DE0CD5">
        <w:t>ESC noted that the key drivers of the ICER for population 1 were</w:t>
      </w:r>
      <w:r>
        <w:t xml:space="preserve"> </w:t>
      </w:r>
      <w:r w:rsidRPr="00DE0CD5">
        <w:t>time horizon</w:t>
      </w:r>
      <w:r>
        <w:t>,</w:t>
      </w:r>
      <w:r w:rsidRPr="00DE0CD5">
        <w:t xml:space="preserve"> risk reduction of MACE</w:t>
      </w:r>
      <w:r>
        <w:t>,</w:t>
      </w:r>
      <w:r w:rsidRPr="00DE0CD5">
        <w:t xml:space="preserve"> probability of MACE</w:t>
      </w:r>
      <w:r>
        <w:t>, and the</w:t>
      </w:r>
      <w:r w:rsidRPr="00DE0CD5">
        <w:t xml:space="preserve"> cost of cardiac MRI.</w:t>
      </w:r>
      <w:r>
        <w:t xml:space="preserve"> </w:t>
      </w:r>
      <w:r w:rsidRPr="00DE0CD5">
        <w:t xml:space="preserve">ESC considered that the ICER for population 1 </w:t>
      </w:r>
      <w:r>
        <w:t>wa</w:t>
      </w:r>
      <w:r w:rsidRPr="00DE0CD5">
        <w:t>s primarily driven by the absence of a comparable investigative health technology to contrast the increased cost of cardiac MRI for the diagnosis or exclusion of myocarditis in the current management pathway.</w:t>
      </w:r>
    </w:p>
    <w:p w14:paraId="44ABCD13" w14:textId="77777777" w:rsidR="00F226F7" w:rsidRPr="00DE0CD5" w:rsidRDefault="00F226F7" w:rsidP="00F226F7">
      <w:r w:rsidRPr="00DE0CD5">
        <w:t xml:space="preserve">For population 2, ESC noted that the model was structured so that cardiac MRI confirms a myocarditis diagnosis and informs prognosis for MACE. </w:t>
      </w:r>
      <w:r>
        <w:t>The model</w:t>
      </w:r>
      <w:r w:rsidRPr="00DE0CD5">
        <w:t xml:space="preserve"> assumed that all patients in this population have preserved ejection fraction at baseline (unlike population 1), and that patients transition to chronic heart failure, advanced heart failure or ventricular arrythmias, with a possibility of sudden death. The model also assumed myocarditis patients </w:t>
      </w:r>
      <w:r>
        <w:t>who</w:t>
      </w:r>
      <w:r w:rsidRPr="00DE0CD5">
        <w:t xml:space="preserve"> have LGE are likely to have a higher incidence of MACE, and the proposed management pathway reduce</w:t>
      </w:r>
      <w:r>
        <w:t>d</w:t>
      </w:r>
      <w:r w:rsidRPr="00DE0CD5">
        <w:t xml:space="preserve"> this risk via targeted monitoring.</w:t>
      </w:r>
    </w:p>
    <w:p w14:paraId="0DE72D65" w14:textId="77777777" w:rsidR="00F226F7" w:rsidRPr="00DE0CD5" w:rsidRDefault="00F226F7" w:rsidP="00F226F7">
      <w:r w:rsidRPr="00DE0CD5">
        <w:t xml:space="preserve">ESC also noted the model was structured so that patients who are not diagnosed with myocarditis through cardiac MRI will go on to </w:t>
      </w:r>
      <w:r w:rsidRPr="006B6110">
        <w:t>CTCA</w:t>
      </w:r>
      <w:r w:rsidRPr="00DE0CD5">
        <w:t xml:space="preserve">±TTE to rule out obstructive CAD, and that </w:t>
      </w:r>
      <w:r w:rsidRPr="00DE0CD5">
        <w:lastRenderedPageBreak/>
        <w:t xml:space="preserve">management guidelines will be followed for those conditions. Also, </w:t>
      </w:r>
      <w:r>
        <w:t xml:space="preserve">the model assumed that currently </w:t>
      </w:r>
      <w:r w:rsidRPr="00DE0CD5">
        <w:t xml:space="preserve">all patients will undergo </w:t>
      </w:r>
      <w:r>
        <w:t>CTCA</w:t>
      </w:r>
      <w:r w:rsidRPr="00DE0CD5">
        <w:t xml:space="preserve">±TTE to investigate their risk of CAD. ESC recalled that the application’s claim was that cardiac MRI will reduce the </w:t>
      </w:r>
      <w:r>
        <w:t>proportion</w:t>
      </w:r>
      <w:r w:rsidRPr="00DE0CD5">
        <w:t xml:space="preserve"> of</w:t>
      </w:r>
      <w:r>
        <w:t xml:space="preserve"> patients receiving</w:t>
      </w:r>
      <w:r w:rsidRPr="00DE0CD5">
        <w:t xml:space="preserve"> </w:t>
      </w:r>
      <w:r>
        <w:t>CTCA</w:t>
      </w:r>
      <w:r w:rsidRPr="00DE0CD5">
        <w:t>±TTE,</w:t>
      </w:r>
      <w:r>
        <w:t xml:space="preserve"> but considered this may not be realised in real-world practice and led to an overestimation of the cost offsets.</w:t>
      </w:r>
    </w:p>
    <w:p w14:paraId="78C526D9" w14:textId="77777777" w:rsidR="00F226F7" w:rsidRPr="00DE0CD5" w:rsidRDefault="00F226F7" w:rsidP="00F226F7">
      <w:r w:rsidRPr="00DE0CD5">
        <w:rPr>
          <w:rStyle w:val="Strong"/>
          <w:b w:val="0"/>
          <w:bCs w:val="0"/>
        </w:rPr>
        <w:t>ESC noted that i</w:t>
      </w:r>
      <w:r w:rsidRPr="00DE0CD5">
        <w:t xml:space="preserve">n the </w:t>
      </w:r>
      <w:r>
        <w:t>comparator arm</w:t>
      </w:r>
      <w:r w:rsidRPr="00DE0CD5">
        <w:t xml:space="preserve"> a diagnosis of myocarditis was </w:t>
      </w:r>
      <w:r>
        <w:t xml:space="preserve">reached </w:t>
      </w:r>
      <w:r w:rsidRPr="00DE0CD5">
        <w:t>based on the exclusion of other relevant conditions</w:t>
      </w:r>
      <w:r>
        <w:t>, yet t</w:t>
      </w:r>
      <w:r w:rsidRPr="00DE0CD5">
        <w:t>hese patients were modelled to receive no risk reduction of MACE. ESC queried this rationale, as it considered a diagnosis by exclusion to still be a diagnosis</w:t>
      </w:r>
      <w:r>
        <w:t>, and that patients would still receive monitoring for a diagnosis reached through exclusion</w:t>
      </w:r>
      <w:r w:rsidRPr="00DE0CD5">
        <w:t xml:space="preserve">. </w:t>
      </w:r>
      <w:r>
        <w:t>ESC noted p</w:t>
      </w:r>
      <w:r w:rsidRPr="00DE0CD5">
        <w:t xml:space="preserve">atients without obstructive CAD would receive prophylactic anti-platelet therapy for at least one year in line with the National Heart Foundation (NHF)–CSANZ guidelines. </w:t>
      </w:r>
    </w:p>
    <w:p w14:paraId="3E7044A6" w14:textId="77777777" w:rsidR="00F226F7" w:rsidRPr="00DE0CD5" w:rsidRDefault="00F226F7" w:rsidP="00F226F7">
      <w:pPr>
        <w:pStyle w:val="NormalBeforeBullet0"/>
        <w:rPr>
          <w:szCs w:val="22"/>
        </w:rPr>
      </w:pPr>
      <w:r w:rsidRPr="00DE0CD5">
        <w:rPr>
          <w:szCs w:val="22"/>
        </w:rPr>
        <w:t>ESC noted the ICER for population 2 was $15,78</w:t>
      </w:r>
      <w:r>
        <w:rPr>
          <w:szCs w:val="22"/>
        </w:rPr>
        <w:t xml:space="preserve">7 per </w:t>
      </w:r>
      <w:r w:rsidRPr="00DE0CD5">
        <w:rPr>
          <w:szCs w:val="22"/>
        </w:rPr>
        <w:t xml:space="preserve">QALY. </w:t>
      </w:r>
      <w:r>
        <w:t>ESC considered t</w:t>
      </w:r>
      <w:r w:rsidRPr="00DE0CD5">
        <w:t>he avoidable costs of placing potential myocarditis patients on unnecessary prophylactic ACS medications also contributed to the cost-effectiveness of cardiac MRI in this population.</w:t>
      </w:r>
      <w:r>
        <w:t xml:space="preserve"> </w:t>
      </w:r>
      <w:r w:rsidRPr="00DE0CD5">
        <w:rPr>
          <w:szCs w:val="22"/>
        </w:rPr>
        <w:t>ESC noted that the key drivers of this ICER were</w:t>
      </w:r>
      <w:r>
        <w:t xml:space="preserve"> </w:t>
      </w:r>
      <w:r w:rsidRPr="00DE0CD5">
        <w:t>time horizon</w:t>
      </w:r>
      <w:r>
        <w:t>,</w:t>
      </w:r>
      <w:r w:rsidRPr="00DE0CD5">
        <w:t xml:space="preserve"> risk reduction of MACE</w:t>
      </w:r>
      <w:r>
        <w:t xml:space="preserve">, </w:t>
      </w:r>
      <w:r w:rsidRPr="00DE0CD5">
        <w:t>probability of MACE</w:t>
      </w:r>
      <w:r>
        <w:t>,</w:t>
      </w:r>
      <w:r w:rsidRPr="00DE0CD5">
        <w:t xml:space="preserve"> cost of cardiac MRI</w:t>
      </w:r>
      <w:r>
        <w:t>, and</w:t>
      </w:r>
      <w:r w:rsidRPr="00DE0CD5">
        <w:t xml:space="preserve"> </w:t>
      </w:r>
      <w:r w:rsidRPr="00DE0CD5">
        <w:rPr>
          <w:szCs w:val="22"/>
        </w:rPr>
        <w:t>cost of prophylactic ACS medications.</w:t>
      </w:r>
    </w:p>
    <w:p w14:paraId="74066AD8" w14:textId="77777777" w:rsidR="00F226F7" w:rsidRDefault="00F226F7" w:rsidP="00F226F7">
      <w:r>
        <w:t>ESC raised concerns whether the claimed 50% reduction in the use of CTCA</w:t>
      </w:r>
      <w:r w:rsidRPr="00DE0CD5">
        <w:t>±</w:t>
      </w:r>
      <w:r>
        <w:t>TTE (from expert opinion) would be realised in practice as in its experience patients would likely undergo CTCA</w:t>
      </w:r>
      <w:r w:rsidRPr="00DE0CD5">
        <w:t>±</w:t>
      </w:r>
      <w:r>
        <w:t xml:space="preserve">TTE to rule out CAD before cardiac MRI. ESC noted additional scenario analyses were modelled </w:t>
      </w:r>
      <w:r w:rsidRPr="0C8EDB6D">
        <w:rPr>
          <w:rFonts w:eastAsia="Calibri" w:cs="Times New Roman"/>
        </w:rPr>
        <w:t>utili</w:t>
      </w:r>
      <w:r>
        <w:rPr>
          <w:rFonts w:eastAsia="Calibri" w:cs="Times New Roman"/>
        </w:rPr>
        <w:t xml:space="preserve">sing cardiac MRI </w:t>
      </w:r>
      <w:r w:rsidRPr="0C8EDB6D">
        <w:rPr>
          <w:rFonts w:eastAsia="Calibri" w:cs="Times New Roman"/>
        </w:rPr>
        <w:t xml:space="preserve">as a second line investigation </w:t>
      </w:r>
      <w:r>
        <w:rPr>
          <w:rFonts w:eastAsia="Calibri" w:cs="Times New Roman"/>
        </w:rPr>
        <w:t xml:space="preserve">after CTCA </w:t>
      </w:r>
      <w:r w:rsidRPr="00DE0CD5">
        <w:t>±</w:t>
      </w:r>
      <w:r>
        <w:t xml:space="preserve">TTE </w:t>
      </w:r>
      <w:r w:rsidRPr="0C8EDB6D">
        <w:rPr>
          <w:rFonts w:eastAsia="Calibri" w:cs="Times New Roman"/>
        </w:rPr>
        <w:t>in patients without obstructive CAD</w:t>
      </w:r>
      <w:r>
        <w:t xml:space="preserve">. ESC noted that the ICER for cardiac MRI as a second-line test was $21,426 per QALY. A further scenario analysis adding weighting of CTCA and ICA </w:t>
      </w:r>
      <w:r w:rsidRPr="0C8EDB6D">
        <w:rPr>
          <w:rFonts w:eastAsia="Calibri" w:cs="Times New Roman"/>
        </w:rPr>
        <w:t>(50% weighted distribution of CTCA and ICA)</w:t>
      </w:r>
      <w:r>
        <w:rPr>
          <w:rFonts w:eastAsia="Calibri" w:cs="Times New Roman"/>
        </w:rPr>
        <w:t xml:space="preserve"> further</w:t>
      </w:r>
      <w:r w:rsidRPr="0C8EDB6D">
        <w:rPr>
          <w:rFonts w:eastAsia="Calibri" w:cs="Times New Roman"/>
        </w:rPr>
        <w:t xml:space="preserve"> </w:t>
      </w:r>
      <w:r>
        <w:t xml:space="preserve">increased the ICER to $39,210 per QALY. </w:t>
      </w:r>
    </w:p>
    <w:p w14:paraId="353DD8CE" w14:textId="77777777" w:rsidR="00F226F7" w:rsidRPr="00DE0CD5" w:rsidRDefault="00F226F7" w:rsidP="00F226F7">
      <w:r>
        <w:t>ESC noted that compared to population 1, a higher proportion of patients in population 2 had LGE changes in their MRI (39% vs 48% respectively). Further to this</w:t>
      </w:r>
      <w:r w:rsidRPr="00DE0CD5">
        <w:t>, ESC considered population 2 to be</w:t>
      </w:r>
      <w:r>
        <w:t xml:space="preserve"> a broad </w:t>
      </w:r>
      <w:r w:rsidRPr="00DE0CD5">
        <w:t xml:space="preserve">low-risk patient group </w:t>
      </w:r>
      <w:r>
        <w:t>in which</w:t>
      </w:r>
      <w:r w:rsidRPr="00DE0CD5">
        <w:t xml:space="preserve"> realistically all patients </w:t>
      </w:r>
      <w:r>
        <w:t xml:space="preserve">will </w:t>
      </w:r>
      <w:r w:rsidRPr="00DE0CD5">
        <w:t>go on to receive medications and monitoring after any investigative test(s). Thus, ESC considered it</w:t>
      </w:r>
      <w:r>
        <w:t xml:space="preserve"> was</w:t>
      </w:r>
      <w:r w:rsidRPr="00DE0CD5">
        <w:t xml:space="preserve"> unrealistic to assume a change in management </w:t>
      </w:r>
      <w:r>
        <w:t>relative to the comparator, given the lack of</w:t>
      </w:r>
      <w:r w:rsidRPr="00DE0CD5">
        <w:t xml:space="preserve"> evidence demonstrating </w:t>
      </w:r>
      <w:r>
        <w:t>a change in management</w:t>
      </w:r>
      <w:r w:rsidRPr="00DE0CD5">
        <w:t>.</w:t>
      </w:r>
    </w:p>
    <w:p w14:paraId="20B325E3" w14:textId="77777777" w:rsidR="00F226F7" w:rsidRPr="00DE0CD5" w:rsidRDefault="00F226F7" w:rsidP="00F226F7">
      <w:pPr>
        <w:rPr>
          <w:rStyle w:val="Strong"/>
          <w:b w:val="0"/>
          <w:bCs w:val="0"/>
        </w:rPr>
      </w:pPr>
      <w:r w:rsidRPr="00DE0CD5">
        <w:rPr>
          <w:rStyle w:val="Strong"/>
          <w:b w:val="0"/>
          <w:bCs w:val="0"/>
        </w:rPr>
        <w:t xml:space="preserve">ESC noted the </w:t>
      </w:r>
      <w:r>
        <w:rPr>
          <w:rStyle w:val="Strong"/>
          <w:b w:val="0"/>
          <w:bCs w:val="0"/>
        </w:rPr>
        <w:t xml:space="preserve">utilisation and </w:t>
      </w:r>
      <w:r w:rsidRPr="00DE0CD5">
        <w:rPr>
          <w:rStyle w:val="Strong"/>
          <w:b w:val="0"/>
          <w:bCs w:val="0"/>
        </w:rPr>
        <w:t xml:space="preserve">financial impact </w:t>
      </w:r>
      <w:r>
        <w:rPr>
          <w:rStyle w:val="Strong"/>
          <w:b w:val="0"/>
          <w:bCs w:val="0"/>
        </w:rPr>
        <w:t>calculations used</w:t>
      </w:r>
      <w:r w:rsidRPr="00DE0CD5">
        <w:rPr>
          <w:rStyle w:val="Strong"/>
          <w:b w:val="0"/>
          <w:bCs w:val="0"/>
        </w:rPr>
        <w:t xml:space="preserve"> an epidemiological approach, which </w:t>
      </w:r>
      <w:r>
        <w:rPr>
          <w:rStyle w:val="Strong"/>
          <w:b w:val="0"/>
          <w:bCs w:val="0"/>
        </w:rPr>
        <w:t xml:space="preserve">it considered </w:t>
      </w:r>
      <w:r w:rsidRPr="00DE0CD5">
        <w:rPr>
          <w:rStyle w:val="Strong"/>
          <w:b w:val="0"/>
          <w:bCs w:val="0"/>
        </w:rPr>
        <w:t xml:space="preserve">was appropriate. </w:t>
      </w:r>
      <w:r>
        <w:rPr>
          <w:rStyle w:val="Strong"/>
          <w:b w:val="0"/>
          <w:bCs w:val="0"/>
        </w:rPr>
        <w:t>ESC noted f</w:t>
      </w:r>
      <w:r w:rsidRPr="00DE0CD5">
        <w:rPr>
          <w:rStyle w:val="Strong"/>
          <w:b w:val="0"/>
          <w:bCs w:val="0"/>
        </w:rPr>
        <w:t>or population 1 the total cost to the MBS was estimated to be $3.685 million in year 1 increasing to $3.951 million in year 6</w:t>
      </w:r>
      <w:r>
        <w:rPr>
          <w:rStyle w:val="Strong"/>
          <w:b w:val="0"/>
          <w:bCs w:val="0"/>
        </w:rPr>
        <w:t>; f</w:t>
      </w:r>
      <w:r w:rsidRPr="00DE0CD5">
        <w:rPr>
          <w:rStyle w:val="Strong"/>
          <w:b w:val="0"/>
          <w:bCs w:val="0"/>
        </w:rPr>
        <w:t>or population 2 the total cost to the MBS was estimated to be $1.401 million in year 1 increasing to $1.502 million in year 6.</w:t>
      </w:r>
    </w:p>
    <w:p w14:paraId="13C14125" w14:textId="77777777" w:rsidR="00F226F7" w:rsidRPr="00DE0CD5" w:rsidRDefault="00F226F7" w:rsidP="00F226F7">
      <w:pPr>
        <w:pStyle w:val="NormalBeforeBullet0"/>
      </w:pPr>
      <w:r w:rsidRPr="00DE0CD5">
        <w:rPr>
          <w:rStyle w:val="Strong"/>
          <w:b w:val="0"/>
          <w:bCs w:val="0"/>
          <w:szCs w:val="22"/>
        </w:rPr>
        <w:t xml:space="preserve">However, ESC considered the </w:t>
      </w:r>
      <w:r w:rsidRPr="00DE0CD5">
        <w:rPr>
          <w:szCs w:val="22"/>
        </w:rPr>
        <w:t>estimat</w:t>
      </w:r>
      <w:r>
        <w:rPr>
          <w:szCs w:val="22"/>
        </w:rPr>
        <w:t>ed</w:t>
      </w:r>
      <w:r w:rsidRPr="00DE0CD5">
        <w:rPr>
          <w:szCs w:val="22"/>
        </w:rPr>
        <w:t xml:space="preserve"> u</w:t>
      </w:r>
      <w:r>
        <w:rPr>
          <w:szCs w:val="22"/>
        </w:rPr>
        <w:t>tilisation</w:t>
      </w:r>
      <w:r w:rsidRPr="00DE0CD5">
        <w:rPr>
          <w:szCs w:val="22"/>
        </w:rPr>
        <w:t xml:space="preserve"> to be highly uncertain due to </w:t>
      </w:r>
      <w:r>
        <w:rPr>
          <w:szCs w:val="22"/>
        </w:rPr>
        <w:t>the multiple</w:t>
      </w:r>
      <w:r w:rsidRPr="00DE0CD5">
        <w:rPr>
          <w:szCs w:val="22"/>
        </w:rPr>
        <w:t xml:space="preserve"> assumptions that were required to estimate the financial impact</w:t>
      </w:r>
      <w:r>
        <w:rPr>
          <w:szCs w:val="22"/>
        </w:rPr>
        <w:t xml:space="preserve">. </w:t>
      </w:r>
      <w:proofErr w:type="gramStart"/>
      <w:r>
        <w:rPr>
          <w:szCs w:val="22"/>
        </w:rPr>
        <w:t xml:space="preserve">In particular, </w:t>
      </w:r>
      <w:r w:rsidRPr="008479A0">
        <w:rPr>
          <w:szCs w:val="22"/>
        </w:rPr>
        <w:t>ESC</w:t>
      </w:r>
      <w:proofErr w:type="gramEnd"/>
      <w:r w:rsidRPr="008479A0">
        <w:rPr>
          <w:szCs w:val="22"/>
        </w:rPr>
        <w:t xml:space="preserve"> considered the reduced use of CTCA±TTE had been overestimated, meaning the financial cost for population 2 had </w:t>
      </w:r>
      <w:r>
        <w:rPr>
          <w:szCs w:val="22"/>
        </w:rPr>
        <w:t xml:space="preserve">highly likely </w:t>
      </w:r>
      <w:r w:rsidRPr="008479A0">
        <w:rPr>
          <w:szCs w:val="22"/>
        </w:rPr>
        <w:t>been underestimated.</w:t>
      </w:r>
      <w:r w:rsidRPr="00D87290">
        <w:t xml:space="preserve"> </w:t>
      </w:r>
      <w:r w:rsidRPr="00DE0CD5">
        <w:t>ESC</w:t>
      </w:r>
      <w:r>
        <w:t xml:space="preserve"> also</w:t>
      </w:r>
      <w:r w:rsidRPr="00DE0CD5">
        <w:t xml:space="preserve"> </w:t>
      </w:r>
      <w:r>
        <w:t>considered</w:t>
      </w:r>
      <w:r w:rsidRPr="00DE0CD5">
        <w:t xml:space="preserve"> the risk of leakage for population 1 </w:t>
      </w:r>
      <w:r>
        <w:t>wa</w:t>
      </w:r>
      <w:r w:rsidRPr="00DE0CD5">
        <w:t xml:space="preserve">s high, as cardiac MRI is performed </w:t>
      </w:r>
      <w:r>
        <w:t>to allow a</w:t>
      </w:r>
      <w:r w:rsidRPr="00DE0CD5">
        <w:t xml:space="preserve"> differential diagnosis when patients with heart failure </w:t>
      </w:r>
      <w:r>
        <w:t xml:space="preserve">do </w:t>
      </w:r>
      <w:r w:rsidRPr="00DE0CD5">
        <w:t>not improv</w:t>
      </w:r>
      <w:r>
        <w:t>e</w:t>
      </w:r>
      <w:r w:rsidRPr="00DE0CD5">
        <w:t>.</w:t>
      </w:r>
    </w:p>
    <w:p w14:paraId="77ECED73" w14:textId="77777777" w:rsidR="00F226F7" w:rsidRPr="00DE0CD5" w:rsidRDefault="00F226F7" w:rsidP="00F226F7">
      <w:pPr>
        <w:pStyle w:val="NormalBeforeBullet0"/>
      </w:pPr>
      <w:r>
        <w:t>ESC noted t</w:t>
      </w:r>
      <w:r w:rsidRPr="00B073BB">
        <w:t xml:space="preserve">he financial impact estimates were sensitive to the incidence of myocarditis, proportion of patients in population 1 </w:t>
      </w:r>
      <w:r>
        <w:t>vs</w:t>
      </w:r>
      <w:r w:rsidRPr="00B073BB">
        <w:t xml:space="preserve"> 2, and the uptake rate of cardiac MRI.</w:t>
      </w:r>
      <w:r>
        <w:t xml:space="preserve"> </w:t>
      </w:r>
    </w:p>
    <w:p w14:paraId="575E39C8" w14:textId="77777777" w:rsidR="00F226F7" w:rsidRDefault="00F226F7" w:rsidP="00F226F7">
      <w:r w:rsidRPr="00DE0CD5">
        <w:t xml:space="preserve">ESC acknowledged that cardiac MRI can </w:t>
      </w:r>
      <w:r>
        <w:t xml:space="preserve">also </w:t>
      </w:r>
      <w:r w:rsidRPr="00DE0CD5">
        <w:t xml:space="preserve">provide </w:t>
      </w:r>
      <w:r>
        <w:t xml:space="preserve">an </w:t>
      </w:r>
      <w:r w:rsidRPr="00DE0CD5">
        <w:t>accurate diagnos</w:t>
      </w:r>
      <w:r>
        <w:t>i</w:t>
      </w:r>
      <w:r w:rsidRPr="00DE0CD5">
        <w:t xml:space="preserve">s </w:t>
      </w:r>
      <w:r>
        <w:t>o</w:t>
      </w:r>
      <w:r w:rsidRPr="00DE0CD5">
        <w:t>f several</w:t>
      </w:r>
      <w:r>
        <w:t xml:space="preserve"> other</w:t>
      </w:r>
      <w:r w:rsidRPr="00DE0CD5">
        <w:t xml:space="preserve"> cardiac conditions. ESC considered that the DCAR underestimated some of the benefits of cardiac MRI by using a binary, rather than composite, approach. As a result, ESC considered that the DCAR did not assess some benefits of cardiac MRI, such as for </w:t>
      </w:r>
      <w:r>
        <w:t xml:space="preserve">allowing a diagnosis of </w:t>
      </w:r>
      <w:r w:rsidRPr="00DE0CD5">
        <w:t>pericarditis</w:t>
      </w:r>
      <w:r>
        <w:t xml:space="preserve"> – although </w:t>
      </w:r>
      <w:r w:rsidRPr="00DE0CD5">
        <w:t>ESC acknowledged that this may be difficult to model.</w:t>
      </w:r>
    </w:p>
    <w:p w14:paraId="54DB81CD" w14:textId="77777777" w:rsidR="00F226F7" w:rsidRDefault="00F226F7" w:rsidP="00F226F7">
      <w:r w:rsidRPr="00DE0CD5">
        <w:lastRenderedPageBreak/>
        <w:t xml:space="preserve">ESC also </w:t>
      </w:r>
      <w:r>
        <w:t>raised</w:t>
      </w:r>
      <w:r w:rsidRPr="00DE0CD5">
        <w:t xml:space="preserve"> whether data were available to demonstrate that reducing uncertainty in a cardiac-related diagnosis improves health outcomes, but conceded these data </w:t>
      </w:r>
      <w:r>
        <w:t>were likely not</w:t>
      </w:r>
      <w:r w:rsidRPr="00DE0CD5">
        <w:t xml:space="preserve"> available.</w:t>
      </w:r>
    </w:p>
    <w:p w14:paraId="16B3ADD2" w14:textId="77777777" w:rsidR="00F226F7" w:rsidRDefault="00F226F7" w:rsidP="00F226F7">
      <w:pPr>
        <w:pStyle w:val="Heading2"/>
        <w:numPr>
          <w:ilvl w:val="0"/>
          <w:numId w:val="0"/>
        </w:numPr>
      </w:pPr>
      <w:r>
        <w:t>17.</w:t>
      </w:r>
      <w:r>
        <w:tab/>
        <w:t>Applicant comments on MSAC’s Public Summary Document</w:t>
      </w:r>
    </w:p>
    <w:p w14:paraId="06202224" w14:textId="40DC50B3" w:rsidR="00F226F7" w:rsidRPr="00B909B2" w:rsidRDefault="004027B5" w:rsidP="00F226F7">
      <w:pPr>
        <w:spacing w:after="240"/>
      </w:pPr>
      <w:r w:rsidRPr="00275973">
        <w:t>T</w:t>
      </w:r>
      <w:r w:rsidRPr="00B909B2">
        <w:t xml:space="preserve">he cost impacts were evaluated based on the proposed item number rebate </w:t>
      </w:r>
      <w:r w:rsidR="00946814" w:rsidRPr="00B909B2">
        <w:t xml:space="preserve">in the application </w:t>
      </w:r>
      <w:r w:rsidR="00F442D3" w:rsidRPr="00B909B2">
        <w:t>that was</w:t>
      </w:r>
      <w:r w:rsidRPr="00B909B2">
        <w:t xml:space="preserve"> consistent with the current new items for vaccine myocarditis and ARVC (both being around $850), however the descriptor has subsequently been left blank with regards to the proposed new item number rebate. </w:t>
      </w:r>
      <w:r w:rsidR="003425C7" w:rsidRPr="00B909B2">
        <w:t>It is unclear</w:t>
      </w:r>
      <w:r w:rsidR="00D12F81" w:rsidRPr="00B909B2">
        <w:t xml:space="preserve"> </w:t>
      </w:r>
      <w:r w:rsidR="00F501DE" w:rsidRPr="00B909B2">
        <w:t xml:space="preserve">how an economic assessment </w:t>
      </w:r>
      <w:r w:rsidR="003425C7" w:rsidRPr="00B909B2">
        <w:t>was</w:t>
      </w:r>
      <w:r w:rsidR="00F501DE" w:rsidRPr="00B909B2">
        <w:t xml:space="preserve"> </w:t>
      </w:r>
      <w:r w:rsidR="00B64D8B" w:rsidRPr="00B909B2">
        <w:t>made using</w:t>
      </w:r>
      <w:r w:rsidR="00F501DE" w:rsidRPr="00B909B2">
        <w:t xml:space="preserve"> a cost that </w:t>
      </w:r>
      <w:r w:rsidR="00547104" w:rsidRPr="00B909B2">
        <w:t>was not</w:t>
      </w:r>
      <w:r w:rsidR="00F501DE" w:rsidRPr="00B909B2">
        <w:t xml:space="preserve"> quantified</w:t>
      </w:r>
      <w:r w:rsidR="00B64D8B" w:rsidRPr="00B909B2">
        <w:t>.</w:t>
      </w:r>
      <w:r w:rsidR="006F61D6" w:rsidRPr="00B909B2">
        <w:t xml:space="preserve"> </w:t>
      </w:r>
    </w:p>
    <w:p w14:paraId="19CA722F" w14:textId="77777777" w:rsidR="00F226F7" w:rsidRDefault="00F226F7" w:rsidP="00F226F7">
      <w:pPr>
        <w:pStyle w:val="Heading2"/>
        <w:numPr>
          <w:ilvl w:val="0"/>
          <w:numId w:val="0"/>
        </w:numPr>
      </w:pPr>
      <w:r>
        <w:t>18.</w:t>
      </w:r>
      <w:r>
        <w:tab/>
        <w:t>Further information on MSAC</w:t>
      </w:r>
    </w:p>
    <w:p w14:paraId="66B05E88" w14:textId="56686238" w:rsidR="00F226F7" w:rsidRPr="00F226F7" w:rsidRDefault="00F226F7" w:rsidP="00F226F7">
      <w:pPr>
        <w:pStyle w:val="BodyText"/>
        <w:rPr>
          <w:rFonts w:ascii="Franklin Gothic Book" w:hAnsi="Franklin Gothic Book"/>
          <w:b/>
          <w:bCs/>
          <w:i/>
          <w:iCs/>
          <w:sz w:val="22"/>
        </w:rPr>
      </w:pPr>
      <w:r w:rsidRPr="00F309FA">
        <w:rPr>
          <w:rFonts w:ascii="Franklin Gothic Book" w:hAnsi="Franklin Gothic Book"/>
          <w:bCs/>
          <w:iCs/>
          <w:sz w:val="22"/>
        </w:rPr>
        <w:t xml:space="preserve">MSAC Terms of Reference and other information are available on the MSAC Website: </w:t>
      </w:r>
      <w:hyperlink r:id="rId22" w:tooltip="Link to the MSAC website" w:history="1">
        <w:r w:rsidRPr="00F309FA">
          <w:rPr>
            <w:rStyle w:val="Hyperlink"/>
            <w:rFonts w:ascii="Franklin Gothic Book" w:hAnsi="Franklin Gothic Book"/>
            <w:bCs/>
            <w:iCs/>
            <w:sz w:val="22"/>
          </w:rPr>
          <w:t>visit the MSAC website</w:t>
        </w:r>
      </w:hyperlink>
    </w:p>
    <w:sectPr w:rsidR="00F226F7" w:rsidRPr="00F226F7" w:rsidSect="004558DD">
      <w:headerReference w:type="even" r:id="rId23"/>
      <w:headerReference w:type="default" r:id="rId24"/>
      <w:footerReference w:type="even" r:id="rId25"/>
      <w:footerReference w:type="default" r:id="rId26"/>
      <w:headerReference w:type="first" r:id="rId27"/>
      <w:footerReference w:type="first" r:id="rId28"/>
      <w:type w:val="oddPag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4E062" w14:textId="77777777" w:rsidR="00C36CEA" w:rsidRDefault="00C36CEA" w:rsidP="00B62DF2">
      <w:pPr>
        <w:spacing w:after="0" w:line="240" w:lineRule="auto"/>
      </w:pPr>
      <w:r>
        <w:separator/>
      </w:r>
    </w:p>
  </w:endnote>
  <w:endnote w:type="continuationSeparator" w:id="0">
    <w:p w14:paraId="78C32CC2" w14:textId="77777777" w:rsidR="00C36CEA" w:rsidRDefault="00C36CEA" w:rsidP="00B62DF2">
      <w:pPr>
        <w:spacing w:after="0" w:line="240" w:lineRule="auto"/>
      </w:pPr>
      <w:r>
        <w:continuationSeparator/>
      </w:r>
    </w:p>
  </w:endnote>
  <w:endnote w:type="continuationNotice" w:id="1">
    <w:p w14:paraId="765069E2" w14:textId="77777777" w:rsidR="00C36CEA" w:rsidRDefault="00C36CE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altName w:val="Menlo Bold"/>
    <w:panose1 w:val="020B0502040204020203"/>
    <w:charset w:val="00"/>
    <w:family w:val="swiss"/>
    <w:pitch w:val="variable"/>
    <w:sig w:usb0="E4002EFF" w:usb1="C000E47F" w:usb2="00000009" w:usb3="00000000" w:csb0="000001FF" w:csb1="00000000"/>
  </w:font>
  <w:font w:name="@Yu Gothic Light">
    <w:charset w:val="80"/>
    <w:family w:val="swiss"/>
    <w:pitch w:val="variable"/>
    <w:sig w:usb0="E00002FF" w:usb1="2AC7FDFF" w:usb2="00000016"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ldhabi">
    <w:charset w:val="B2"/>
    <w:family w:val="auto"/>
    <w:pitch w:val="variable"/>
    <w:sig w:usb0="8000200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2B13A" w14:textId="6E275148" w:rsidR="00D35210" w:rsidRDefault="00D35210" w:rsidP="004230A3">
    <w:pPr>
      <w:pStyle w:val="Footer"/>
      <w:jc w:val="right"/>
    </w:pPr>
    <w:r>
      <w:fldChar w:fldCharType="begin"/>
    </w:r>
    <w:r>
      <w:instrText xml:space="preserve"> PAGE   \* MERGEFORMAT </w:instrText>
    </w:r>
    <w:r>
      <w:fldChar w:fldCharType="separate"/>
    </w:r>
    <w:r>
      <w:rPr>
        <w:noProof/>
      </w:rPr>
      <w:t>72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769295"/>
      <w:docPartObj>
        <w:docPartGallery w:val="Page Numbers (Bottom of Page)"/>
        <w:docPartUnique/>
      </w:docPartObj>
    </w:sdtPr>
    <w:sdtEndPr>
      <w:rPr>
        <w:noProof/>
      </w:rPr>
    </w:sdtEndPr>
    <w:sdtContent>
      <w:p w14:paraId="654CB618" w14:textId="4E3C88FD" w:rsidR="00D35210" w:rsidRDefault="00D35210" w:rsidP="00052DD3">
        <w:pPr>
          <w:pStyle w:val="Footer"/>
          <w:jc w:val="right"/>
        </w:pPr>
        <w:r>
          <w:fldChar w:fldCharType="begin"/>
        </w:r>
        <w:r>
          <w:instrText xml:space="preserve"> PAGE   \* MERGEFORMAT </w:instrText>
        </w:r>
        <w:r>
          <w:fldChar w:fldCharType="separate"/>
        </w:r>
        <w:r>
          <w:rPr>
            <w:noProof/>
          </w:rPr>
          <w:t>73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89CAD" w14:textId="77777777" w:rsidR="00266B3B" w:rsidRDefault="00266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06F60" w14:textId="77777777" w:rsidR="00C36CEA" w:rsidRDefault="00C36CEA" w:rsidP="00B62DF2">
      <w:pPr>
        <w:spacing w:after="0" w:line="240" w:lineRule="auto"/>
      </w:pPr>
      <w:r>
        <w:separator/>
      </w:r>
    </w:p>
  </w:footnote>
  <w:footnote w:type="continuationSeparator" w:id="0">
    <w:p w14:paraId="0F32938E" w14:textId="77777777" w:rsidR="00C36CEA" w:rsidRDefault="00C36CEA" w:rsidP="00B62DF2">
      <w:pPr>
        <w:spacing w:after="0" w:line="240" w:lineRule="auto"/>
      </w:pPr>
      <w:r>
        <w:continuationSeparator/>
      </w:r>
    </w:p>
  </w:footnote>
  <w:footnote w:type="continuationNotice" w:id="1">
    <w:p w14:paraId="7721AC3C" w14:textId="77777777" w:rsidR="00C36CEA" w:rsidRDefault="00C36CEA">
      <w:pPr>
        <w:spacing w:before="0" w:after="0" w:line="240" w:lineRule="auto"/>
      </w:pPr>
    </w:p>
  </w:footnote>
  <w:footnote w:id="2">
    <w:p w14:paraId="25543421" w14:textId="54ED6216" w:rsidR="007E5189" w:rsidRDefault="007E5189">
      <w:pPr>
        <w:pStyle w:val="FootnoteText"/>
      </w:pPr>
      <w:r>
        <w:rPr>
          <w:rStyle w:val="FootnoteReference"/>
        </w:rPr>
        <w:footnoteRef/>
      </w:r>
      <w:r>
        <w:t xml:space="preserve"> </w:t>
      </w:r>
      <w:hyperlink r:id="rId1" w:history="1">
        <w:r>
          <w:rPr>
            <w:rStyle w:val="Hyperlink"/>
          </w:rPr>
          <w:t>MSAC Public Summary Document (PSD) Application 1432, April 2017</w:t>
        </w:r>
      </w:hyperlink>
    </w:p>
  </w:footnote>
  <w:footnote w:id="3">
    <w:p w14:paraId="302320E1" w14:textId="242E0863" w:rsidR="00F06267" w:rsidRDefault="00F06267">
      <w:pPr>
        <w:pStyle w:val="FootnoteText"/>
      </w:pPr>
      <w:r>
        <w:rPr>
          <w:rStyle w:val="FootnoteReference"/>
        </w:rPr>
        <w:footnoteRef/>
      </w:r>
      <w:r>
        <w:t xml:space="preserve"> </w:t>
      </w:r>
      <w:r w:rsidR="00EC5844" w:rsidRPr="00EC5844">
        <w:t>McDonagh TA,</w:t>
      </w:r>
      <w:r w:rsidR="00EC5844">
        <w:t xml:space="preserve"> et al</w:t>
      </w:r>
      <w:r w:rsidR="00EC5844" w:rsidRPr="00EC5844">
        <w:t xml:space="preserve">. </w:t>
      </w:r>
      <w:r w:rsidR="00EC5844">
        <w:t>(</w:t>
      </w:r>
      <w:r w:rsidR="00EC5844" w:rsidRPr="00EC5844">
        <w:t>2021</w:t>
      </w:r>
      <w:r w:rsidR="00EC5844">
        <w:t>)</w:t>
      </w:r>
      <w:r w:rsidR="00EC5844" w:rsidRPr="00EC5844">
        <w:t xml:space="preserve"> ESC Guidelines for the diagnosis and treatment of acute and chronic heart failure. </w:t>
      </w:r>
      <w:r w:rsidR="00EC5844" w:rsidRPr="00341DB5">
        <w:rPr>
          <w:i/>
          <w:iCs/>
        </w:rPr>
        <w:t>Eur Heart J</w:t>
      </w:r>
      <w:r w:rsidR="00EC5844" w:rsidRPr="00EC5844">
        <w:t xml:space="preserve">. Sep 21;42(36):3599-3726. doi: 10.1093/eurheartj/ehab368. Erratum in: Eur Heart J. 2021 Oct </w:t>
      </w:r>
      <w:proofErr w:type="gramStart"/>
      <w:r w:rsidR="00EC5844" w:rsidRPr="00EC5844">
        <w:t>14;:</w:t>
      </w:r>
      <w:proofErr w:type="gramEnd"/>
      <w:r w:rsidR="00EC5844" w:rsidRPr="00EC5844">
        <w:t xml:space="preserve"> PMID: 34447992.</w:t>
      </w:r>
    </w:p>
  </w:footnote>
  <w:footnote w:id="4">
    <w:p w14:paraId="58B77AAF" w14:textId="32F4BF71" w:rsidR="007C626C" w:rsidRDefault="007C626C">
      <w:pPr>
        <w:pStyle w:val="FootnoteText"/>
      </w:pPr>
      <w:r>
        <w:rPr>
          <w:rStyle w:val="FootnoteReference"/>
        </w:rPr>
        <w:footnoteRef/>
      </w:r>
      <w:r>
        <w:t xml:space="preserve"> </w:t>
      </w:r>
      <w:r w:rsidR="009B51F0" w:rsidRPr="009B51F0">
        <w:t xml:space="preserve">Wang, Y.-W.-Y., </w:t>
      </w:r>
      <w:r w:rsidR="000959AE">
        <w:t>et al</w:t>
      </w:r>
      <w:r w:rsidR="009B51F0" w:rsidRPr="009B51F0">
        <w:t xml:space="preserve">. (2023). Global, regional, and national burdens of myocarditis, 1990–2019: systematic analysis from GBD 2019. </w:t>
      </w:r>
      <w:r w:rsidR="009B51F0" w:rsidRPr="006B6110">
        <w:rPr>
          <w:i/>
          <w:iCs/>
        </w:rPr>
        <w:t>BMC Public Health</w:t>
      </w:r>
      <w:r w:rsidR="009B51F0" w:rsidRPr="009B51F0">
        <w:t>, 23(1), 714.</w:t>
      </w:r>
    </w:p>
  </w:footnote>
  <w:footnote w:id="5">
    <w:p w14:paraId="7B3DD297" w14:textId="54B5F229" w:rsidR="0059745D" w:rsidRDefault="0059745D" w:rsidP="0059745D">
      <w:pPr>
        <w:pStyle w:val="FootnoteText"/>
      </w:pPr>
      <w:r>
        <w:rPr>
          <w:rStyle w:val="FootnoteReference"/>
        </w:rPr>
        <w:footnoteRef/>
      </w:r>
      <w:r>
        <w:t xml:space="preserve"> </w:t>
      </w:r>
      <w:r w:rsidRPr="00E75BF8">
        <w:t>Kotanidis, C. P</w:t>
      </w:r>
      <w:r w:rsidR="005C6838">
        <w:t xml:space="preserve"> </w:t>
      </w:r>
      <w:r w:rsidR="00F16364">
        <w:t>et al</w:t>
      </w:r>
      <w:r w:rsidRPr="00E75BF8">
        <w:t xml:space="preserve"> (2018). Diagnostic Accuracy of Cardiovascular Magnetic Resonance in Acute Myocarditis: A Systematic Review and Meta-Analysis [Article]. </w:t>
      </w:r>
      <w:r w:rsidRPr="00341DB5">
        <w:rPr>
          <w:i/>
          <w:iCs/>
        </w:rPr>
        <w:t>JACC: Cardiovasc Imaging</w:t>
      </w:r>
      <w:r w:rsidRPr="00E75BF8">
        <w:t>, 11(11), 1583-1590.</w:t>
      </w:r>
    </w:p>
  </w:footnote>
  <w:footnote w:id="6">
    <w:p w14:paraId="2D7E0609" w14:textId="2E55D4BA" w:rsidR="00BF3877" w:rsidRDefault="00BF3877" w:rsidP="00BF3877">
      <w:pPr>
        <w:pStyle w:val="FootnoteText"/>
      </w:pPr>
      <w:r>
        <w:rPr>
          <w:rStyle w:val="FootnoteReference"/>
        </w:rPr>
        <w:footnoteRef/>
      </w:r>
      <w:r>
        <w:t xml:space="preserve"> </w:t>
      </w:r>
      <w:r w:rsidRPr="00D55ABF">
        <w:t xml:space="preserve">Shea, B. J., </w:t>
      </w:r>
      <w:r w:rsidR="00A95C3C">
        <w:t>et al</w:t>
      </w:r>
      <w:r w:rsidRPr="00D55ABF">
        <w:t xml:space="preserve"> (2017). AMSTAR 2: a critical appraisal tool for systematic reviews that include randomised or non-randomised studies of healthcare interventions, or both. </w:t>
      </w:r>
      <w:r w:rsidRPr="006B6110">
        <w:rPr>
          <w:i/>
          <w:iCs/>
        </w:rPr>
        <w:t>BMJ</w:t>
      </w:r>
      <w:r w:rsidRPr="00D55ABF">
        <w:t>, 358, j4008.</w:t>
      </w:r>
    </w:p>
  </w:footnote>
  <w:footnote w:id="7">
    <w:p w14:paraId="6D76D4C3" w14:textId="6318032E" w:rsidR="007F45AD" w:rsidRDefault="007F45AD" w:rsidP="008319FF">
      <w:pPr>
        <w:pStyle w:val="FootnoteText"/>
      </w:pPr>
      <w:r>
        <w:rPr>
          <w:rStyle w:val="FootnoteReference"/>
        </w:rPr>
        <w:footnoteRef/>
      </w:r>
      <w:r>
        <w:t xml:space="preserve"> </w:t>
      </w:r>
      <w:r w:rsidRPr="00F81721">
        <w:t xml:space="preserve">Grün, S., </w:t>
      </w:r>
      <w:r w:rsidR="00810A61">
        <w:t>et al</w:t>
      </w:r>
      <w:r w:rsidRPr="00F81721">
        <w:t xml:space="preserve"> (2012). Long-term follow-up of biopsy-proven viral myocarditis: predictors of mortality and incomplete recovery. </w:t>
      </w:r>
      <w:r w:rsidR="008319FF" w:rsidRPr="006B6110">
        <w:rPr>
          <w:i/>
          <w:iCs/>
        </w:rPr>
        <w:t xml:space="preserve">J Am Coll </w:t>
      </w:r>
      <w:proofErr w:type="gramStart"/>
      <w:r w:rsidR="008319FF" w:rsidRPr="006B6110">
        <w:rPr>
          <w:i/>
          <w:iCs/>
        </w:rPr>
        <w:t>Cardiol</w:t>
      </w:r>
      <w:r w:rsidR="00F16364">
        <w:rPr>
          <w:i/>
          <w:iCs/>
        </w:rPr>
        <w:t xml:space="preserve"> </w:t>
      </w:r>
      <w:r w:rsidRPr="00F81721">
        <w:t>,</w:t>
      </w:r>
      <w:proofErr w:type="gramEnd"/>
      <w:r w:rsidRPr="00F81721">
        <w:t xml:space="preserve"> 59(18), 1604-1615.</w:t>
      </w:r>
    </w:p>
  </w:footnote>
  <w:footnote w:id="8">
    <w:p w14:paraId="4111FA2A" w14:textId="323B882E" w:rsidR="00520A80" w:rsidRDefault="00520A80" w:rsidP="00520A80">
      <w:pPr>
        <w:pStyle w:val="FootnoteText"/>
      </w:pPr>
      <w:r>
        <w:rPr>
          <w:rStyle w:val="FootnoteReference"/>
        </w:rPr>
        <w:footnoteRef/>
      </w:r>
      <w:r>
        <w:t xml:space="preserve"> </w:t>
      </w:r>
      <w:r w:rsidRPr="00F81721">
        <w:t xml:space="preserve">Yang, F., </w:t>
      </w:r>
      <w:r w:rsidR="00077F10">
        <w:t>et al</w:t>
      </w:r>
      <w:r w:rsidRPr="00F81721">
        <w:t xml:space="preserve"> (2020). The prognostic value of late gadolinium enhancement in myocarditis and clinically suspected myocarditis: systematic review and meta-analysis. </w:t>
      </w:r>
      <w:r w:rsidRPr="006B6110">
        <w:rPr>
          <w:i/>
          <w:iCs/>
        </w:rPr>
        <w:t>Eur Radiol</w:t>
      </w:r>
      <w:r w:rsidRPr="00F81721">
        <w:t>, 30(5), 2616-2626.</w:t>
      </w:r>
    </w:p>
  </w:footnote>
  <w:footnote w:id="9">
    <w:p w14:paraId="02CD1DA7" w14:textId="7CE18106" w:rsidR="007F45AD" w:rsidRDefault="007F45AD" w:rsidP="0086619D">
      <w:pPr>
        <w:pStyle w:val="FootnoteText"/>
      </w:pPr>
      <w:r>
        <w:rPr>
          <w:rStyle w:val="FootnoteReference"/>
        </w:rPr>
        <w:footnoteRef/>
      </w:r>
      <w:r>
        <w:t xml:space="preserve"> </w:t>
      </w:r>
      <w:r w:rsidRPr="00F81721">
        <w:t>Eichhorn, C.</w:t>
      </w:r>
      <w:r w:rsidR="00AE450F">
        <w:t xml:space="preserve"> et al</w:t>
      </w:r>
      <w:r w:rsidRPr="00F81721">
        <w:t>. (2022). Multiparametric Cardiovascular Magnetic Resonance Approach in Diagnosing, Monitoring, and Prognostication of Myocarditis</w:t>
      </w:r>
      <w:r w:rsidRPr="006B6110">
        <w:rPr>
          <w:i/>
          <w:iCs/>
        </w:rPr>
        <w:t>.</w:t>
      </w:r>
      <w:r w:rsidR="00442AB7">
        <w:rPr>
          <w:i/>
          <w:iCs/>
        </w:rPr>
        <w:t xml:space="preserve"> </w:t>
      </w:r>
      <w:r w:rsidR="0086619D" w:rsidRPr="006B6110">
        <w:rPr>
          <w:i/>
          <w:iCs/>
        </w:rPr>
        <w:t>JACC Cardiovasc Imaging</w:t>
      </w:r>
      <w:r w:rsidR="0086619D">
        <w:t>.</w:t>
      </w:r>
      <w:r w:rsidRPr="00F81721">
        <w:t>, 15(7), 1325-1338.</w:t>
      </w:r>
    </w:p>
  </w:footnote>
  <w:footnote w:id="10">
    <w:p w14:paraId="0908E986" w14:textId="6F3A1DCA" w:rsidR="00C9043C" w:rsidRDefault="00C9043C">
      <w:pPr>
        <w:pStyle w:val="FootnoteText"/>
      </w:pPr>
      <w:r>
        <w:rPr>
          <w:rStyle w:val="FootnoteReference"/>
        </w:rPr>
        <w:footnoteRef/>
      </w:r>
      <w:r>
        <w:t xml:space="preserve"> Liang, K., et al. (2022). </w:t>
      </w:r>
      <w:r w:rsidRPr="00C9043C">
        <w:t>The Role of Cardiac Magnetic Resonance in Myocardial Infarction and Non-obstructive Coronary Arteries</w:t>
      </w:r>
      <w:r w:rsidR="00C46EDE">
        <w:t xml:space="preserve">, </w:t>
      </w:r>
      <w:r w:rsidR="00C46EDE" w:rsidRPr="006B6110">
        <w:rPr>
          <w:i/>
          <w:iCs/>
        </w:rPr>
        <w:t>Front Cardiovasc Med</w:t>
      </w:r>
      <w:r w:rsidR="00C46EDE">
        <w:t>, 17(8)</w:t>
      </w:r>
    </w:p>
  </w:footnote>
  <w:footnote w:id="11">
    <w:p w14:paraId="64A9C0F5" w14:textId="0A75DC5A" w:rsidR="00A03B35" w:rsidRDefault="00A03B35" w:rsidP="00A03B35">
      <w:pPr>
        <w:pStyle w:val="FootnoteText"/>
      </w:pPr>
      <w:r>
        <w:rPr>
          <w:rStyle w:val="FootnoteReference"/>
        </w:rPr>
        <w:footnoteRef/>
      </w:r>
      <w:r w:rsidR="00DE5F5A">
        <w:t xml:space="preserve"> </w:t>
      </w:r>
      <w:r w:rsidRPr="00CA4F20">
        <w:t xml:space="preserve">Naehle, C. P., </w:t>
      </w:r>
      <w:r w:rsidR="00C85533">
        <w:t>et al</w:t>
      </w:r>
      <w:r w:rsidRPr="00CA4F20">
        <w:t xml:space="preserve">. (2011). Safety, feasibility, and diagnostic value of cardiac magnetic resonance imaging in patients with cardiac pacemakers and implantable cardioverters/defibrillators at 1.5 T. </w:t>
      </w:r>
      <w:r w:rsidRPr="006B6110">
        <w:rPr>
          <w:i/>
          <w:iCs/>
        </w:rPr>
        <w:t xml:space="preserve">Am </w:t>
      </w:r>
      <w:r w:rsidR="00357DBA" w:rsidRPr="006B6110">
        <w:rPr>
          <w:i/>
          <w:iCs/>
        </w:rPr>
        <w:t>Heart J</w:t>
      </w:r>
      <w:r w:rsidRPr="00CA4F20">
        <w:t>, 161(6), 1096-1105.</w:t>
      </w:r>
    </w:p>
  </w:footnote>
  <w:footnote w:id="12">
    <w:p w14:paraId="5F5C6D3D" w14:textId="7B44DDF4" w:rsidR="00A03B35" w:rsidRDefault="00A03B35" w:rsidP="00A03B35">
      <w:pPr>
        <w:pStyle w:val="FootnoteText"/>
      </w:pPr>
      <w:r>
        <w:rPr>
          <w:rStyle w:val="FootnoteReference"/>
        </w:rPr>
        <w:footnoteRef/>
      </w:r>
      <w:r w:rsidR="00DE5F5A">
        <w:t xml:space="preserve"> </w:t>
      </w:r>
      <w:r w:rsidRPr="00CA4F20">
        <w:t xml:space="preserve">Dacher, J. N., </w:t>
      </w:r>
      <w:r w:rsidR="00357DBA">
        <w:t>et al.</w:t>
      </w:r>
      <w:r w:rsidRPr="00CA4F20">
        <w:t xml:space="preserve"> (2023). Safety and performance of MR-conditional pacing systems with automated MRI mode at 1.5 and 3 Tesla. </w:t>
      </w:r>
      <w:r w:rsidRPr="006B6110">
        <w:rPr>
          <w:i/>
          <w:iCs/>
        </w:rPr>
        <w:t>Eur Radiol</w:t>
      </w:r>
      <w:r w:rsidRPr="00CA4F20">
        <w:t>, 33(10), 6948-6958.</w:t>
      </w:r>
    </w:p>
  </w:footnote>
  <w:footnote w:id="13">
    <w:p w14:paraId="77D7AF1F" w14:textId="4ED5E249" w:rsidR="00A03B35" w:rsidRDefault="00A03B35" w:rsidP="00A03B35">
      <w:pPr>
        <w:pStyle w:val="FootnoteText"/>
      </w:pPr>
      <w:r>
        <w:rPr>
          <w:rStyle w:val="FootnoteReference"/>
        </w:rPr>
        <w:footnoteRef/>
      </w:r>
      <w:r w:rsidR="00DE5F5A">
        <w:t xml:space="preserve"> </w:t>
      </w:r>
      <w:r w:rsidRPr="00CA4F20">
        <w:t xml:space="preserve">Yang, E., </w:t>
      </w:r>
      <w:r w:rsidR="00F26DD1">
        <w:t>et al</w:t>
      </w:r>
      <w:r w:rsidRPr="00CA4F20">
        <w:t xml:space="preserve">. (2022). Magnetic resonance imaging safety in patients with cardiac implantable electronic devices. </w:t>
      </w:r>
      <w:r w:rsidRPr="006B6110">
        <w:rPr>
          <w:i/>
          <w:iCs/>
        </w:rPr>
        <w:t>Trends Cardiovasc Med</w:t>
      </w:r>
      <w:r w:rsidRPr="00CA4F20">
        <w:t>, 32(7), 440-447. https://doi.org/https://doi.org/10.1016/j.tcm.2021.08.001</w:t>
      </w:r>
    </w:p>
  </w:footnote>
  <w:footnote w:id="14">
    <w:p w14:paraId="28664308" w14:textId="5E9DE9BC" w:rsidR="00A03B35" w:rsidRDefault="00A03B35" w:rsidP="00A03B35">
      <w:pPr>
        <w:pStyle w:val="FootnoteText"/>
      </w:pPr>
      <w:r>
        <w:rPr>
          <w:rStyle w:val="FootnoteReference"/>
        </w:rPr>
        <w:footnoteRef/>
      </w:r>
      <w:r w:rsidR="00DE5F5A">
        <w:t xml:space="preserve"> </w:t>
      </w:r>
      <w:r w:rsidRPr="00340422">
        <w:t xml:space="preserve">Kiamanesh, O., </w:t>
      </w:r>
      <w:r w:rsidR="00A419BD">
        <w:t>et al</w:t>
      </w:r>
      <w:r w:rsidRPr="00340422">
        <w:t>. (</w:t>
      </w:r>
      <w:r w:rsidR="006626EB" w:rsidRPr="00340422">
        <w:t>202</w:t>
      </w:r>
      <w:r w:rsidR="006626EB">
        <w:t>0</w:t>
      </w:r>
      <w:r w:rsidRPr="00340422">
        <w:t xml:space="preserve">). The State of the Heart Biopsy: A Clinical Review. </w:t>
      </w:r>
      <w:r w:rsidRPr="006B6110">
        <w:rPr>
          <w:i/>
          <w:iCs/>
        </w:rPr>
        <w:t>CJC Open</w:t>
      </w:r>
      <w:r w:rsidRPr="00340422">
        <w:t>, 3(4), 524-531.</w:t>
      </w:r>
    </w:p>
  </w:footnote>
  <w:footnote w:id="15">
    <w:p w14:paraId="36580FE4" w14:textId="77777777" w:rsidR="00A03B35" w:rsidRDefault="00A03B35" w:rsidP="00A03B35">
      <w:pPr>
        <w:pStyle w:val="FootnoteText"/>
      </w:pPr>
      <w:r>
        <w:rPr>
          <w:rStyle w:val="FootnoteReference"/>
        </w:rPr>
        <w:footnoteRef/>
      </w:r>
      <w:r>
        <w:t xml:space="preserve"> </w:t>
      </w:r>
      <w:r w:rsidRPr="00D55ABF">
        <w:t>StataCorp. (2021). Stata Statistical Software: Release 17. In StataCorp LLC</w:t>
      </w:r>
    </w:p>
  </w:footnote>
  <w:footnote w:id="16">
    <w:p w14:paraId="6B667A83" w14:textId="77777777" w:rsidR="00A03B35" w:rsidRPr="00B96DC5" w:rsidRDefault="00A03B35" w:rsidP="00A03B35">
      <w:pPr>
        <w:rPr>
          <w:rFonts w:asciiTheme="minorHAnsi" w:hAnsiTheme="minorHAnsi"/>
          <w:sz w:val="18"/>
          <w:szCs w:val="20"/>
        </w:rPr>
      </w:pPr>
      <w:r w:rsidRPr="00DE5F5A">
        <w:rPr>
          <w:rStyle w:val="FootnoteReference"/>
          <w:rFonts w:asciiTheme="minorHAnsi" w:hAnsiTheme="minorHAnsi" w:cstheme="minorHAnsi"/>
          <w:sz w:val="18"/>
          <w:szCs w:val="18"/>
        </w:rPr>
        <w:footnoteRef/>
      </w:r>
      <w:r w:rsidRPr="00DE5F5A">
        <w:rPr>
          <w:rFonts w:asciiTheme="minorHAnsi" w:hAnsiTheme="minorHAnsi" w:cstheme="minorHAnsi"/>
          <w:sz w:val="18"/>
          <w:szCs w:val="18"/>
        </w:rPr>
        <w:t xml:space="preserve"> </w:t>
      </w:r>
      <w:r w:rsidRPr="00B96DC5">
        <w:rPr>
          <w:rFonts w:asciiTheme="minorHAnsi" w:hAnsiTheme="minorHAnsi"/>
          <w:sz w:val="18"/>
          <w:szCs w:val="20"/>
        </w:rPr>
        <w:t xml:space="preserve">Australian Institute of Health and Welfare. (2023). Data tables: Heart, </w:t>
      </w:r>
      <w:proofErr w:type="gramStart"/>
      <w:r w:rsidRPr="00B96DC5">
        <w:rPr>
          <w:rFonts w:asciiTheme="minorHAnsi" w:hAnsiTheme="minorHAnsi"/>
          <w:sz w:val="18"/>
          <w:szCs w:val="20"/>
        </w:rPr>
        <w:t>stroke</w:t>
      </w:r>
      <w:proofErr w:type="gramEnd"/>
      <w:r w:rsidRPr="00B96DC5">
        <w:rPr>
          <w:rFonts w:asciiTheme="minorHAnsi" w:hAnsiTheme="minorHAnsi"/>
          <w:sz w:val="18"/>
          <w:szCs w:val="20"/>
        </w:rPr>
        <w:t xml:space="preserve"> and vascular disease Australian facts. https://www.aihw.gov.au/reports/heart-stroke-vascular-diseases/hsvd-facts/data</w:t>
      </w:r>
    </w:p>
  </w:footnote>
  <w:footnote w:id="17">
    <w:p w14:paraId="5576E7E1" w14:textId="77777777" w:rsidR="00A03B35" w:rsidRDefault="00A03B35" w:rsidP="00A03B35">
      <w:pPr>
        <w:pStyle w:val="FootnoteText"/>
      </w:pPr>
      <w:r>
        <w:rPr>
          <w:rStyle w:val="FootnoteReference"/>
        </w:rPr>
        <w:footnoteRef/>
      </w:r>
      <w:r>
        <w:t xml:space="preserve"> </w:t>
      </w:r>
      <w:r w:rsidRPr="00B96DC5">
        <w:t xml:space="preserve">Global Burden of Disease Study 2013 Collaborators. (2015). Global, regional, and national incidence, prevalence, and years lived with disability for 301 acute and chronic diseases and injuries in 188 countries, 1990-2013: a systematic analysis for the Global Burden of Disease Study 2013. </w:t>
      </w:r>
      <w:r w:rsidRPr="006B6110">
        <w:rPr>
          <w:i/>
          <w:iCs/>
        </w:rPr>
        <w:t>Lancet</w:t>
      </w:r>
      <w:r w:rsidRPr="00B96DC5">
        <w:t>, 386(9995), 743-800.</w:t>
      </w:r>
    </w:p>
  </w:footnote>
  <w:footnote w:id="18">
    <w:p w14:paraId="4DAA78FB" w14:textId="77777777" w:rsidR="00A03B35" w:rsidRDefault="00A03B35" w:rsidP="00A03B35">
      <w:pPr>
        <w:pStyle w:val="FootnoteText"/>
      </w:pPr>
      <w:r>
        <w:rPr>
          <w:rStyle w:val="FootnoteReference"/>
        </w:rPr>
        <w:footnoteRef/>
      </w:r>
      <w:r>
        <w:t xml:space="preserve"> </w:t>
      </w:r>
      <w:r w:rsidRPr="00B96DC5">
        <w:t>Applicant. (2022). RE: Application form for Application 171</w:t>
      </w:r>
      <w:r>
        <w:t>3</w:t>
      </w:r>
      <w:r w:rsidRPr="00B96DC5">
        <w:t>.</w:t>
      </w:r>
    </w:p>
  </w:footnote>
  <w:footnote w:id="19">
    <w:p w14:paraId="1EFB2DD1" w14:textId="77777777" w:rsidR="00A03B35" w:rsidRDefault="00A03B35" w:rsidP="00A03B35">
      <w:pPr>
        <w:pStyle w:val="FootnoteText"/>
      </w:pPr>
      <w:r>
        <w:rPr>
          <w:rStyle w:val="FootnoteReference"/>
        </w:rPr>
        <w:footnoteRef/>
      </w:r>
      <w:r>
        <w:t xml:space="preserve"> Defined as MACE and requirement for extracorporeal membrane oxygenation [ECMO] or ventricular assist device [VAD]</w:t>
      </w:r>
    </w:p>
  </w:footnote>
  <w:footnote w:id="20">
    <w:p w14:paraId="25196E83" w14:textId="77777777" w:rsidR="00A03B35" w:rsidRDefault="00A03B35" w:rsidP="00A03B35">
      <w:pPr>
        <w:pStyle w:val="FootnoteText"/>
      </w:pPr>
      <w:r>
        <w:rPr>
          <w:rStyle w:val="FootnoteReference"/>
        </w:rPr>
        <w:footnoteRef/>
      </w:r>
      <w:r>
        <w:t xml:space="preserve"> Defined as combination of all-cause death or cardiovascular death, resuscitated cardiac arrest, transplantation, appropriate ICD shock, rehospitalisation following a cardiac event and recurrent acute myocarditis.</w:t>
      </w:r>
    </w:p>
  </w:footnote>
  <w:footnote w:id="21">
    <w:p w14:paraId="066C3299" w14:textId="5382915B" w:rsidR="00886274" w:rsidRDefault="00886274">
      <w:pPr>
        <w:pStyle w:val="FootnoteText"/>
      </w:pPr>
      <w:r>
        <w:rPr>
          <w:rStyle w:val="FootnoteReference"/>
        </w:rPr>
        <w:footnoteRef/>
      </w:r>
      <w:r>
        <w:t xml:space="preserve"> </w:t>
      </w:r>
      <w:hyperlink r:id="rId2" w:history="1">
        <w:r w:rsidRPr="00D10083">
          <w:rPr>
            <w:rStyle w:val="Hyperlink"/>
            <w:rFonts w:cstheme="minorHAnsi"/>
            <w:szCs w:val="18"/>
          </w:rPr>
          <w:t>https://www.heartfoundation.org.au/Bundles/Your-heart/Conditions/fp-acs-guidelines</w:t>
        </w:r>
      </w:hyperlink>
      <w:r>
        <w:rPr>
          <w:rStyle w:val="cf01"/>
        </w:rPr>
        <w:t xml:space="preserve"> </w:t>
      </w:r>
    </w:p>
  </w:footnote>
  <w:footnote w:id="22">
    <w:p w14:paraId="5F1442E6" w14:textId="77777777" w:rsidR="00F226F7" w:rsidRDefault="00F226F7" w:rsidP="00F226F7">
      <w:pPr>
        <w:pStyle w:val="FootnoteText"/>
      </w:pPr>
      <w:r>
        <w:rPr>
          <w:rStyle w:val="FootnoteReference"/>
        </w:rPr>
        <w:footnoteRef/>
      </w:r>
      <w:r>
        <w:t xml:space="preserve"> </w:t>
      </w:r>
      <w:r w:rsidRPr="008D0892">
        <w:t xml:space="preserve">Georgiopoulos, </w:t>
      </w:r>
      <w:r>
        <w:t>et al</w:t>
      </w:r>
      <w:r w:rsidRPr="008D0892">
        <w:t xml:space="preserve"> (2021). Prognostic Impact of Late Gadolinium Enhancement by Cardiovascular Magnetic Resonance in Myocarditis. </w:t>
      </w:r>
      <w:r w:rsidRPr="006B6110">
        <w:rPr>
          <w:i/>
          <w:iCs/>
        </w:rPr>
        <w:t>Circ Cardiovasc Imaging</w:t>
      </w:r>
      <w:r w:rsidRPr="008D0892">
        <w:t>, 14(1), e011492. https://doi.org/doi:10.1161/CIRCIMAGING.120.011492</w:t>
      </w:r>
    </w:p>
  </w:footnote>
  <w:footnote w:id="23">
    <w:p w14:paraId="275749AC" w14:textId="77777777" w:rsidR="00F226F7" w:rsidRDefault="00F226F7" w:rsidP="00F226F7">
      <w:pPr>
        <w:pStyle w:val="FootnoteText"/>
      </w:pPr>
      <w:r>
        <w:rPr>
          <w:rStyle w:val="FootnoteReference"/>
        </w:rPr>
        <w:footnoteRef/>
      </w:r>
      <w:r>
        <w:t xml:space="preserve"> </w:t>
      </w:r>
      <w:r w:rsidRPr="00920683">
        <w:t xml:space="preserve">Gräni, C., </w:t>
      </w:r>
      <w:r>
        <w:t>et al</w:t>
      </w:r>
      <w:r w:rsidRPr="00920683">
        <w:t xml:space="preserve">. (2017). Prognostic Value of Cardiac Magnetic Resonance Tissue Characterization in Risk Stratifying Patients </w:t>
      </w:r>
      <w:proofErr w:type="gramStart"/>
      <w:r w:rsidRPr="00920683">
        <w:t>With</w:t>
      </w:r>
      <w:proofErr w:type="gramEnd"/>
      <w:r w:rsidRPr="00920683">
        <w:t xml:space="preserve"> Suspected Myocarditis. </w:t>
      </w:r>
      <w:r w:rsidRPr="006B6110">
        <w:rPr>
          <w:i/>
          <w:iCs/>
        </w:rPr>
        <w:t>J Am Coll Cardiol</w:t>
      </w:r>
      <w:r w:rsidRPr="00920683">
        <w:t xml:space="preserve">, 70(16), 1964-1976. </w:t>
      </w:r>
    </w:p>
  </w:footnote>
  <w:footnote w:id="24">
    <w:p w14:paraId="5AB21656" w14:textId="77777777" w:rsidR="00F226F7" w:rsidRDefault="00F226F7" w:rsidP="00F226F7">
      <w:pPr>
        <w:pStyle w:val="FootnoteText"/>
      </w:pPr>
      <w:r>
        <w:rPr>
          <w:rStyle w:val="FootnoteReference"/>
        </w:rPr>
        <w:footnoteRef/>
      </w:r>
      <w:r>
        <w:t xml:space="preserve"> </w:t>
      </w:r>
      <w:r w:rsidRPr="00AC6EB8">
        <w:t xml:space="preserve">Clemens, S., </w:t>
      </w:r>
      <w:r>
        <w:t>et al.</w:t>
      </w:r>
      <w:r w:rsidRPr="00AC6EB8">
        <w:t xml:space="preserve"> (2014). A comparison of EQ-5D-3L population norms in Queensland, Australia, estimated using utility value sets from Australia, the UK and USA. </w:t>
      </w:r>
      <w:r w:rsidRPr="00AC6EB8">
        <w:rPr>
          <w:i/>
        </w:rPr>
        <w:t>Qual Life Res</w:t>
      </w:r>
      <w:r w:rsidRPr="00AC6EB8">
        <w:t>,</w:t>
      </w:r>
      <w:r w:rsidRPr="00AC6EB8">
        <w:rPr>
          <w:i/>
        </w:rPr>
        <w:t xml:space="preserve"> 23</w:t>
      </w:r>
      <w:r w:rsidRPr="00AC6EB8">
        <w:t>(8), 2375-2381.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CBA10" w14:textId="77777777" w:rsidR="00266B3B" w:rsidRDefault="00266B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AFA29" w14:textId="77777777" w:rsidR="00266B3B" w:rsidRDefault="00266B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45B37" w14:textId="77777777" w:rsidR="00266B3B" w:rsidRDefault="00266B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414DE"/>
    <w:multiLevelType w:val="multilevel"/>
    <w:tmpl w:val="6B9C9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854A48"/>
    <w:multiLevelType w:val="hybridMultilevel"/>
    <w:tmpl w:val="E026ADE0"/>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6344E0"/>
    <w:multiLevelType w:val="hybridMultilevel"/>
    <w:tmpl w:val="1CFEA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A80043"/>
    <w:multiLevelType w:val="multilevel"/>
    <w:tmpl w:val="6832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E276568"/>
    <w:multiLevelType w:val="hybridMultilevel"/>
    <w:tmpl w:val="5E4CF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10129C"/>
    <w:multiLevelType w:val="hybridMultilevel"/>
    <w:tmpl w:val="52D064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9"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4371DC"/>
    <w:multiLevelType w:val="multilevel"/>
    <w:tmpl w:val="4A02812C"/>
    <w:lvl w:ilvl="0">
      <w:start w:val="1"/>
      <w:numFmt w:val="decimal"/>
      <w:pStyle w:val="Heading1"/>
      <w:lvlText w:val="Section %1"/>
      <w:lvlJc w:val="left"/>
      <w:pPr>
        <w:ind w:left="786" w:hanging="360"/>
      </w:pPr>
      <w:rPr>
        <w:rFonts w:hint="default"/>
      </w:rPr>
    </w:lvl>
    <w:lvl w:ilvl="1">
      <w:start w:val="1"/>
      <w:numFmt w:val="decimal"/>
      <w:pStyle w:val="Heading2"/>
      <w:lvlText w:val="%1.%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38A7A8D"/>
    <w:multiLevelType w:val="multilevel"/>
    <w:tmpl w:val="6F36E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896E4E"/>
    <w:multiLevelType w:val="hybridMultilevel"/>
    <w:tmpl w:val="DF901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4E4DEC"/>
    <w:multiLevelType w:val="multilevel"/>
    <w:tmpl w:val="1B5AC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4F368B"/>
    <w:multiLevelType w:val="hybridMultilevel"/>
    <w:tmpl w:val="7F36D186"/>
    <w:lvl w:ilvl="0" w:tplc="A86E385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0DF7ECF"/>
    <w:multiLevelType w:val="hybridMultilevel"/>
    <w:tmpl w:val="9B245D92"/>
    <w:lvl w:ilvl="0" w:tplc="0809000F">
      <w:start w:val="1"/>
      <w:numFmt w:val="decimal"/>
      <w:lvlText w:val="%1."/>
      <w:lvlJc w:val="left"/>
      <w:pPr>
        <w:ind w:left="360" w:hanging="360"/>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EC03EB"/>
    <w:multiLevelType w:val="multilevel"/>
    <w:tmpl w:val="0C56B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5B080DA9"/>
    <w:multiLevelType w:val="multilevel"/>
    <w:tmpl w:val="72EA0E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5B115F53"/>
    <w:multiLevelType w:val="hybridMultilevel"/>
    <w:tmpl w:val="8E04C45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62C73CCD"/>
    <w:multiLevelType w:val="hybridMultilevel"/>
    <w:tmpl w:val="4A0C4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775AB8"/>
    <w:multiLevelType w:val="multilevel"/>
    <w:tmpl w:val="0670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B3C3B36"/>
    <w:multiLevelType w:val="hybridMultilevel"/>
    <w:tmpl w:val="A86004C8"/>
    <w:lvl w:ilvl="0" w:tplc="BB52D612">
      <w:start w:val="1"/>
      <w:numFmt w:val="bullet"/>
      <w:lvlText w:val=""/>
      <w:lvlJc w:val="left"/>
      <w:pPr>
        <w:ind w:left="1260" w:hanging="360"/>
      </w:pPr>
      <w:rPr>
        <w:rFonts w:ascii="Symbol" w:hAnsi="Symbol"/>
      </w:rPr>
    </w:lvl>
    <w:lvl w:ilvl="1" w:tplc="2DD83F5A">
      <w:start w:val="1"/>
      <w:numFmt w:val="bullet"/>
      <w:lvlText w:val=""/>
      <w:lvlJc w:val="left"/>
      <w:pPr>
        <w:ind w:left="1260" w:hanging="360"/>
      </w:pPr>
      <w:rPr>
        <w:rFonts w:ascii="Symbol" w:hAnsi="Symbol"/>
      </w:rPr>
    </w:lvl>
    <w:lvl w:ilvl="2" w:tplc="E81E734A">
      <w:start w:val="1"/>
      <w:numFmt w:val="bullet"/>
      <w:lvlText w:val=""/>
      <w:lvlJc w:val="left"/>
      <w:pPr>
        <w:ind w:left="1260" w:hanging="360"/>
      </w:pPr>
      <w:rPr>
        <w:rFonts w:ascii="Symbol" w:hAnsi="Symbol"/>
      </w:rPr>
    </w:lvl>
    <w:lvl w:ilvl="3" w:tplc="74F6A1D4">
      <w:start w:val="1"/>
      <w:numFmt w:val="bullet"/>
      <w:lvlText w:val=""/>
      <w:lvlJc w:val="left"/>
      <w:pPr>
        <w:ind w:left="1260" w:hanging="360"/>
      </w:pPr>
      <w:rPr>
        <w:rFonts w:ascii="Symbol" w:hAnsi="Symbol"/>
      </w:rPr>
    </w:lvl>
    <w:lvl w:ilvl="4" w:tplc="D36EB7AE">
      <w:start w:val="1"/>
      <w:numFmt w:val="bullet"/>
      <w:lvlText w:val=""/>
      <w:lvlJc w:val="left"/>
      <w:pPr>
        <w:ind w:left="1260" w:hanging="360"/>
      </w:pPr>
      <w:rPr>
        <w:rFonts w:ascii="Symbol" w:hAnsi="Symbol"/>
      </w:rPr>
    </w:lvl>
    <w:lvl w:ilvl="5" w:tplc="3B4E7E3A">
      <w:start w:val="1"/>
      <w:numFmt w:val="bullet"/>
      <w:lvlText w:val=""/>
      <w:lvlJc w:val="left"/>
      <w:pPr>
        <w:ind w:left="1260" w:hanging="360"/>
      </w:pPr>
      <w:rPr>
        <w:rFonts w:ascii="Symbol" w:hAnsi="Symbol"/>
      </w:rPr>
    </w:lvl>
    <w:lvl w:ilvl="6" w:tplc="11B6E6F0">
      <w:start w:val="1"/>
      <w:numFmt w:val="bullet"/>
      <w:lvlText w:val=""/>
      <w:lvlJc w:val="left"/>
      <w:pPr>
        <w:ind w:left="1260" w:hanging="360"/>
      </w:pPr>
      <w:rPr>
        <w:rFonts w:ascii="Symbol" w:hAnsi="Symbol"/>
      </w:rPr>
    </w:lvl>
    <w:lvl w:ilvl="7" w:tplc="25FA425A">
      <w:start w:val="1"/>
      <w:numFmt w:val="bullet"/>
      <w:lvlText w:val=""/>
      <w:lvlJc w:val="left"/>
      <w:pPr>
        <w:ind w:left="1260" w:hanging="360"/>
      </w:pPr>
      <w:rPr>
        <w:rFonts w:ascii="Symbol" w:hAnsi="Symbol"/>
      </w:rPr>
    </w:lvl>
    <w:lvl w:ilvl="8" w:tplc="C7C4286A">
      <w:start w:val="1"/>
      <w:numFmt w:val="bullet"/>
      <w:lvlText w:val=""/>
      <w:lvlJc w:val="left"/>
      <w:pPr>
        <w:ind w:left="1260" w:hanging="360"/>
      </w:pPr>
      <w:rPr>
        <w:rFonts w:ascii="Symbol" w:hAnsi="Symbol"/>
      </w:rPr>
    </w:lvl>
  </w:abstractNum>
  <w:abstractNum w:abstractNumId="25"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16cid:durableId="2032299278">
    <w:abstractNumId w:val="12"/>
  </w:num>
  <w:num w:numId="2" w16cid:durableId="160005845">
    <w:abstractNumId w:val="27"/>
  </w:num>
  <w:num w:numId="3" w16cid:durableId="2144805441">
    <w:abstractNumId w:val="2"/>
  </w:num>
  <w:num w:numId="4" w16cid:durableId="1534877446">
    <w:abstractNumId w:val="8"/>
  </w:num>
  <w:num w:numId="5" w16cid:durableId="2135714484">
    <w:abstractNumId w:val="25"/>
  </w:num>
  <w:num w:numId="6" w16cid:durableId="1803114879">
    <w:abstractNumId w:val="9"/>
  </w:num>
  <w:num w:numId="7" w16cid:durableId="1880312473">
    <w:abstractNumId w:val="10"/>
  </w:num>
  <w:num w:numId="8" w16cid:durableId="1671787851">
    <w:abstractNumId w:val="11"/>
  </w:num>
  <w:num w:numId="9" w16cid:durableId="1543979434">
    <w:abstractNumId w:val="19"/>
  </w:num>
  <w:num w:numId="10" w16cid:durableId="1864898526">
    <w:abstractNumId w:val="19"/>
  </w:num>
  <w:num w:numId="11" w16cid:durableId="983585294">
    <w:abstractNumId w:val="7"/>
  </w:num>
  <w:num w:numId="12" w16cid:durableId="1645041017">
    <w:abstractNumId w:val="21"/>
  </w:num>
  <w:num w:numId="13" w16cid:durableId="972904514">
    <w:abstractNumId w:val="14"/>
  </w:num>
  <w:num w:numId="14" w16cid:durableId="1751611565">
    <w:abstractNumId w:val="22"/>
  </w:num>
  <w:num w:numId="15" w16cid:durableId="1189878396">
    <w:abstractNumId w:val="5"/>
  </w:num>
  <w:num w:numId="16" w16cid:durableId="1225026477">
    <w:abstractNumId w:val="26"/>
  </w:num>
  <w:num w:numId="17" w16cid:durableId="2056465126">
    <w:abstractNumId w:val="17"/>
    <w:lvlOverride w:ilvl="0">
      <w:startOverride w:val="1"/>
    </w:lvlOverride>
    <w:lvlOverride w:ilvl="1"/>
    <w:lvlOverride w:ilvl="2"/>
    <w:lvlOverride w:ilvl="3"/>
    <w:lvlOverride w:ilvl="4"/>
    <w:lvlOverride w:ilvl="5"/>
    <w:lvlOverride w:ilvl="6"/>
    <w:lvlOverride w:ilvl="7"/>
    <w:lvlOverride w:ilvl="8"/>
  </w:num>
  <w:num w:numId="18" w16cid:durableId="2030177185">
    <w:abstractNumId w:val="17"/>
  </w:num>
  <w:num w:numId="19" w16cid:durableId="2107773845">
    <w:abstractNumId w:val="1"/>
  </w:num>
  <w:num w:numId="20" w16cid:durableId="804469963">
    <w:abstractNumId w:val="5"/>
  </w:num>
  <w:num w:numId="21" w16cid:durableId="1605187614">
    <w:abstractNumId w:val="2"/>
  </w:num>
  <w:num w:numId="22" w16cid:durableId="1081410187">
    <w:abstractNumId w:val="2"/>
  </w:num>
  <w:num w:numId="23" w16cid:durableId="168520639">
    <w:abstractNumId w:val="2"/>
  </w:num>
  <w:num w:numId="24" w16cid:durableId="1526480917">
    <w:abstractNumId w:val="0"/>
  </w:num>
  <w:num w:numId="25" w16cid:durableId="539780632">
    <w:abstractNumId w:val="4"/>
  </w:num>
  <w:num w:numId="26" w16cid:durableId="1686515848">
    <w:abstractNumId w:val="13"/>
  </w:num>
  <w:num w:numId="27" w16cid:durableId="503476724">
    <w:abstractNumId w:val="18"/>
  </w:num>
  <w:num w:numId="28" w16cid:durableId="1826048903">
    <w:abstractNumId w:val="23"/>
  </w:num>
  <w:num w:numId="29" w16cid:durableId="1148128565">
    <w:abstractNumId w:val="20"/>
  </w:num>
  <w:num w:numId="30" w16cid:durableId="1821270518">
    <w:abstractNumId w:val="15"/>
  </w:num>
  <w:num w:numId="31" w16cid:durableId="169494816">
    <w:abstractNumId w:val="3"/>
  </w:num>
  <w:num w:numId="32" w16cid:durableId="1373459946">
    <w:abstractNumId w:val="22"/>
  </w:num>
  <w:num w:numId="33" w16cid:durableId="572741587">
    <w:abstractNumId w:val="16"/>
  </w:num>
  <w:num w:numId="34" w16cid:durableId="1226799642">
    <w:abstractNumId w:val="19"/>
  </w:num>
  <w:num w:numId="35" w16cid:durableId="2094426589">
    <w:abstractNumId w:val="14"/>
  </w:num>
  <w:num w:numId="36" w16cid:durableId="1325741426">
    <w:abstractNumId w:val="6"/>
  </w:num>
  <w:num w:numId="37" w16cid:durableId="1816948991">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Franklin Gothic Book&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dvzerdtlwa0fbexrp8pa0shpa0pfa5fsdzv&quot;&gt;My EndNote Library&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8&lt;/item&gt;&lt;item&gt;20&lt;/item&gt;&lt;item&gt;21&lt;/item&gt;&lt;item&gt;22&lt;/item&gt;&lt;item&gt;23&lt;/item&gt;&lt;item&gt;24&lt;/item&gt;&lt;item&gt;25&lt;/item&gt;&lt;item&gt;26&lt;/item&gt;&lt;item&gt;27&lt;/item&gt;&lt;item&gt;29&lt;/item&gt;&lt;item&gt;46&lt;/item&gt;&lt;item&gt;50&lt;/item&gt;&lt;item&gt;53&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92&lt;/item&gt;&lt;item&gt;93&lt;/item&gt;&lt;item&gt;94&lt;/item&gt;&lt;item&gt;96&lt;/item&gt;&lt;item&gt;97&lt;/item&gt;&lt;item&gt;98&lt;/item&gt;&lt;item&gt;99&lt;/item&gt;&lt;item&gt;101&lt;/item&gt;&lt;item&gt;102&lt;/item&gt;&lt;item&gt;103&lt;/item&gt;&lt;item&gt;104&lt;/item&gt;&lt;item&gt;114&lt;/item&gt;&lt;item&gt;115&lt;/item&gt;&lt;item&gt;116&lt;/item&gt;&lt;item&gt;119&lt;/item&gt;&lt;item&gt;120&lt;/item&gt;&lt;item&gt;121&lt;/item&gt;&lt;item&gt;122&lt;/item&gt;&lt;item&gt;123&lt;/item&gt;&lt;item&gt;130&lt;/item&gt;&lt;item&gt;131&lt;/item&gt;&lt;item&gt;132&lt;/item&gt;&lt;item&gt;150&lt;/item&gt;&lt;item&gt;151&lt;/item&gt;&lt;item&gt;152&lt;/item&gt;&lt;item&gt;153&lt;/item&gt;&lt;item&gt;154&lt;/item&gt;&lt;item&gt;155&lt;/item&gt;&lt;item&gt;156&lt;/item&gt;&lt;item&gt;157&lt;/item&gt;&lt;item&gt;158&lt;/item&gt;&lt;item&gt;159&lt;/item&gt;&lt;item&gt;160&lt;/item&gt;&lt;item&gt;161&lt;/item&gt;&lt;item&gt;162&lt;/item&gt;&lt;item&gt;163&lt;/item&gt;&lt;item&gt;164&lt;/item&gt;&lt;item&gt;165&lt;/item&gt;&lt;item&gt;166&lt;/item&gt;&lt;item&gt;167&lt;/item&gt;&lt;item&gt;168&lt;/item&gt;&lt;item&gt;169&lt;/item&gt;&lt;item&gt;170&lt;/item&gt;&lt;item&gt;171&lt;/item&gt;&lt;item&gt;172&lt;/item&gt;&lt;item&gt;173&lt;/item&gt;&lt;item&gt;174&lt;/item&gt;&lt;item&gt;175&lt;/item&gt;&lt;item&gt;176&lt;/item&gt;&lt;item&gt;177&lt;/item&gt;&lt;item&gt;178&lt;/item&gt;&lt;item&gt;179&lt;/item&gt;&lt;item&gt;180&lt;/item&gt;&lt;item&gt;181&lt;/item&gt;&lt;item&gt;182&lt;/item&gt;&lt;item&gt;183&lt;/item&gt;&lt;item&gt;184&lt;/item&gt;&lt;item&gt;185&lt;/item&gt;&lt;item&gt;186&lt;/item&gt;&lt;item&gt;187&lt;/item&gt;&lt;item&gt;188&lt;/item&gt;&lt;item&gt;189&lt;/item&gt;&lt;item&gt;190&lt;/item&gt;&lt;item&gt;191&lt;/item&gt;&lt;item&gt;192&lt;/item&gt;&lt;item&gt;193&lt;/item&gt;&lt;item&gt;194&lt;/item&gt;&lt;item&gt;195&lt;/item&gt;&lt;item&gt;196&lt;/item&gt;&lt;item&gt;197&lt;/item&gt;&lt;item&gt;198&lt;/item&gt;&lt;item&gt;199&lt;/item&gt;&lt;item&gt;200&lt;/item&gt;&lt;item&gt;201&lt;/item&gt;&lt;item&gt;202&lt;/item&gt;&lt;item&gt;203&lt;/item&gt;&lt;item&gt;204&lt;/item&gt;&lt;item&gt;205&lt;/item&gt;&lt;item&gt;206&lt;/item&gt;&lt;item&gt;207&lt;/item&gt;&lt;item&gt;208&lt;/item&gt;&lt;item&gt;209&lt;/item&gt;&lt;item&gt;210&lt;/item&gt;&lt;item&gt;211&lt;/item&gt;&lt;item&gt;212&lt;/item&gt;&lt;item&gt;213&lt;/item&gt;&lt;item&gt;214&lt;/item&gt;&lt;item&gt;215&lt;/item&gt;&lt;item&gt;216&lt;/item&gt;&lt;item&gt;217&lt;/item&gt;&lt;item&gt;218&lt;/item&gt;&lt;item&gt;219&lt;/item&gt;&lt;item&gt;220&lt;/item&gt;&lt;item&gt;221&lt;/item&gt;&lt;item&gt;222&lt;/item&gt;&lt;item&gt;223&lt;/item&gt;&lt;item&gt;224&lt;/item&gt;&lt;item&gt;225&lt;/item&gt;&lt;item&gt;226&lt;/item&gt;&lt;item&gt;227&lt;/item&gt;&lt;item&gt;228&lt;/item&gt;&lt;item&gt;229&lt;/item&gt;&lt;item&gt;230&lt;/item&gt;&lt;item&gt;231&lt;/item&gt;&lt;/record-ids&gt;&lt;/item&gt;&lt;/Libraries&gt;"/>
  </w:docVars>
  <w:rsids>
    <w:rsidRoot w:val="008157F1"/>
    <w:rsid w:val="0000055D"/>
    <w:rsid w:val="00000835"/>
    <w:rsid w:val="00000F9A"/>
    <w:rsid w:val="0000109A"/>
    <w:rsid w:val="000010D7"/>
    <w:rsid w:val="000019FC"/>
    <w:rsid w:val="00001AE6"/>
    <w:rsid w:val="00001E56"/>
    <w:rsid w:val="0000264B"/>
    <w:rsid w:val="00002CE5"/>
    <w:rsid w:val="00004595"/>
    <w:rsid w:val="00004D69"/>
    <w:rsid w:val="00004F7F"/>
    <w:rsid w:val="00005138"/>
    <w:rsid w:val="000054C9"/>
    <w:rsid w:val="0000602E"/>
    <w:rsid w:val="00007B71"/>
    <w:rsid w:val="00010959"/>
    <w:rsid w:val="00010E35"/>
    <w:rsid w:val="00011568"/>
    <w:rsid w:val="00014893"/>
    <w:rsid w:val="00014974"/>
    <w:rsid w:val="00015126"/>
    <w:rsid w:val="00015333"/>
    <w:rsid w:val="00015F01"/>
    <w:rsid w:val="00015FE2"/>
    <w:rsid w:val="00016B81"/>
    <w:rsid w:val="00017716"/>
    <w:rsid w:val="000203E4"/>
    <w:rsid w:val="00020538"/>
    <w:rsid w:val="00020B5A"/>
    <w:rsid w:val="00020F60"/>
    <w:rsid w:val="0002192E"/>
    <w:rsid w:val="00021B06"/>
    <w:rsid w:val="00021C5C"/>
    <w:rsid w:val="000228B8"/>
    <w:rsid w:val="0002305F"/>
    <w:rsid w:val="0002381B"/>
    <w:rsid w:val="00023893"/>
    <w:rsid w:val="00023CE0"/>
    <w:rsid w:val="00023DD3"/>
    <w:rsid w:val="0002470F"/>
    <w:rsid w:val="000249B0"/>
    <w:rsid w:val="00024EA5"/>
    <w:rsid w:val="0002703F"/>
    <w:rsid w:val="0002755F"/>
    <w:rsid w:val="00030416"/>
    <w:rsid w:val="00030F6C"/>
    <w:rsid w:val="00031821"/>
    <w:rsid w:val="00031CE5"/>
    <w:rsid w:val="00033F85"/>
    <w:rsid w:val="0003423A"/>
    <w:rsid w:val="0003477F"/>
    <w:rsid w:val="000348E9"/>
    <w:rsid w:val="0003514A"/>
    <w:rsid w:val="000362A7"/>
    <w:rsid w:val="00036AD8"/>
    <w:rsid w:val="00037037"/>
    <w:rsid w:val="00037302"/>
    <w:rsid w:val="0004005D"/>
    <w:rsid w:val="00040ADF"/>
    <w:rsid w:val="00040E90"/>
    <w:rsid w:val="00040FB4"/>
    <w:rsid w:val="0004178C"/>
    <w:rsid w:val="00041D9D"/>
    <w:rsid w:val="00041F5D"/>
    <w:rsid w:val="00042491"/>
    <w:rsid w:val="0004268D"/>
    <w:rsid w:val="00042BDC"/>
    <w:rsid w:val="000439AB"/>
    <w:rsid w:val="000443A6"/>
    <w:rsid w:val="000449D1"/>
    <w:rsid w:val="0004548A"/>
    <w:rsid w:val="00045A27"/>
    <w:rsid w:val="00045B8D"/>
    <w:rsid w:val="00045CC5"/>
    <w:rsid w:val="00046520"/>
    <w:rsid w:val="00046B6A"/>
    <w:rsid w:val="000472D4"/>
    <w:rsid w:val="00050576"/>
    <w:rsid w:val="00051526"/>
    <w:rsid w:val="0005170F"/>
    <w:rsid w:val="00051740"/>
    <w:rsid w:val="00052AB8"/>
    <w:rsid w:val="00052DD3"/>
    <w:rsid w:val="0005326D"/>
    <w:rsid w:val="000536EA"/>
    <w:rsid w:val="00053B83"/>
    <w:rsid w:val="00053E70"/>
    <w:rsid w:val="00053F6C"/>
    <w:rsid w:val="0005468F"/>
    <w:rsid w:val="000550FE"/>
    <w:rsid w:val="00055820"/>
    <w:rsid w:val="000558A4"/>
    <w:rsid w:val="000558E7"/>
    <w:rsid w:val="000558F1"/>
    <w:rsid w:val="0005609C"/>
    <w:rsid w:val="00057334"/>
    <w:rsid w:val="000574A1"/>
    <w:rsid w:val="00057851"/>
    <w:rsid w:val="00057F99"/>
    <w:rsid w:val="00060576"/>
    <w:rsid w:val="000611C4"/>
    <w:rsid w:val="000612BA"/>
    <w:rsid w:val="00061F16"/>
    <w:rsid w:val="000629E0"/>
    <w:rsid w:val="0006339C"/>
    <w:rsid w:val="00064783"/>
    <w:rsid w:val="000647C2"/>
    <w:rsid w:val="00064E36"/>
    <w:rsid w:val="0006624A"/>
    <w:rsid w:val="0006631B"/>
    <w:rsid w:val="000665F7"/>
    <w:rsid w:val="00066679"/>
    <w:rsid w:val="00067508"/>
    <w:rsid w:val="0006795B"/>
    <w:rsid w:val="00067AEC"/>
    <w:rsid w:val="0007021F"/>
    <w:rsid w:val="0007023E"/>
    <w:rsid w:val="00070533"/>
    <w:rsid w:val="000709A0"/>
    <w:rsid w:val="00071073"/>
    <w:rsid w:val="000714BF"/>
    <w:rsid w:val="00071A20"/>
    <w:rsid w:val="00071E4F"/>
    <w:rsid w:val="00072179"/>
    <w:rsid w:val="000723AD"/>
    <w:rsid w:val="000724FC"/>
    <w:rsid w:val="000725DE"/>
    <w:rsid w:val="000731C2"/>
    <w:rsid w:val="00073450"/>
    <w:rsid w:val="00073787"/>
    <w:rsid w:val="00074199"/>
    <w:rsid w:val="0007422B"/>
    <w:rsid w:val="00074577"/>
    <w:rsid w:val="000756AC"/>
    <w:rsid w:val="00075762"/>
    <w:rsid w:val="000767F1"/>
    <w:rsid w:val="00076A46"/>
    <w:rsid w:val="00077559"/>
    <w:rsid w:val="00077F10"/>
    <w:rsid w:val="00080241"/>
    <w:rsid w:val="00080BD1"/>
    <w:rsid w:val="0008154C"/>
    <w:rsid w:val="00081778"/>
    <w:rsid w:val="00082531"/>
    <w:rsid w:val="00083B1B"/>
    <w:rsid w:val="00084C94"/>
    <w:rsid w:val="000853BF"/>
    <w:rsid w:val="00085C90"/>
    <w:rsid w:val="00085D1D"/>
    <w:rsid w:val="00085D5F"/>
    <w:rsid w:val="00085E2D"/>
    <w:rsid w:val="000861CD"/>
    <w:rsid w:val="000863D3"/>
    <w:rsid w:val="000869F3"/>
    <w:rsid w:val="000870B6"/>
    <w:rsid w:val="00087C71"/>
    <w:rsid w:val="00090613"/>
    <w:rsid w:val="00090BD1"/>
    <w:rsid w:val="00090E66"/>
    <w:rsid w:val="00090EA2"/>
    <w:rsid w:val="0009161C"/>
    <w:rsid w:val="00091857"/>
    <w:rsid w:val="00091C59"/>
    <w:rsid w:val="00092A21"/>
    <w:rsid w:val="00092B85"/>
    <w:rsid w:val="0009377E"/>
    <w:rsid w:val="00093D9A"/>
    <w:rsid w:val="00093FC7"/>
    <w:rsid w:val="0009418F"/>
    <w:rsid w:val="0009425F"/>
    <w:rsid w:val="00094656"/>
    <w:rsid w:val="00094BC7"/>
    <w:rsid w:val="000959AE"/>
    <w:rsid w:val="00095B8B"/>
    <w:rsid w:val="00096092"/>
    <w:rsid w:val="00096B52"/>
    <w:rsid w:val="00096B53"/>
    <w:rsid w:val="00097557"/>
    <w:rsid w:val="0009774C"/>
    <w:rsid w:val="00097B28"/>
    <w:rsid w:val="00097B45"/>
    <w:rsid w:val="000A048C"/>
    <w:rsid w:val="000A10BF"/>
    <w:rsid w:val="000A1E28"/>
    <w:rsid w:val="000A2ACD"/>
    <w:rsid w:val="000A2B65"/>
    <w:rsid w:val="000A2DA8"/>
    <w:rsid w:val="000A3637"/>
    <w:rsid w:val="000A3CDF"/>
    <w:rsid w:val="000A4C16"/>
    <w:rsid w:val="000A50EA"/>
    <w:rsid w:val="000A539F"/>
    <w:rsid w:val="000A5C47"/>
    <w:rsid w:val="000A604D"/>
    <w:rsid w:val="000A629E"/>
    <w:rsid w:val="000A6B30"/>
    <w:rsid w:val="000B05A7"/>
    <w:rsid w:val="000B09CC"/>
    <w:rsid w:val="000B10E8"/>
    <w:rsid w:val="000B259A"/>
    <w:rsid w:val="000B2B9B"/>
    <w:rsid w:val="000B3330"/>
    <w:rsid w:val="000B3F58"/>
    <w:rsid w:val="000B4FCE"/>
    <w:rsid w:val="000B53FF"/>
    <w:rsid w:val="000B5C1E"/>
    <w:rsid w:val="000B60F0"/>
    <w:rsid w:val="000B6CF0"/>
    <w:rsid w:val="000B720C"/>
    <w:rsid w:val="000B730E"/>
    <w:rsid w:val="000B7316"/>
    <w:rsid w:val="000B7665"/>
    <w:rsid w:val="000B79EA"/>
    <w:rsid w:val="000B7D54"/>
    <w:rsid w:val="000C0011"/>
    <w:rsid w:val="000C06F0"/>
    <w:rsid w:val="000C1138"/>
    <w:rsid w:val="000C152D"/>
    <w:rsid w:val="000C2256"/>
    <w:rsid w:val="000C29CE"/>
    <w:rsid w:val="000C300F"/>
    <w:rsid w:val="000C4B68"/>
    <w:rsid w:val="000C541B"/>
    <w:rsid w:val="000C5BBC"/>
    <w:rsid w:val="000C6D24"/>
    <w:rsid w:val="000C7C46"/>
    <w:rsid w:val="000D1B52"/>
    <w:rsid w:val="000D257A"/>
    <w:rsid w:val="000D2D6C"/>
    <w:rsid w:val="000D3820"/>
    <w:rsid w:val="000D44C8"/>
    <w:rsid w:val="000D4C1B"/>
    <w:rsid w:val="000D5523"/>
    <w:rsid w:val="000D55D8"/>
    <w:rsid w:val="000D58E3"/>
    <w:rsid w:val="000D5C07"/>
    <w:rsid w:val="000D610B"/>
    <w:rsid w:val="000D6723"/>
    <w:rsid w:val="000D7E7F"/>
    <w:rsid w:val="000E03DC"/>
    <w:rsid w:val="000E08C9"/>
    <w:rsid w:val="000E1124"/>
    <w:rsid w:val="000E16DA"/>
    <w:rsid w:val="000E1C8B"/>
    <w:rsid w:val="000E23C8"/>
    <w:rsid w:val="000E23F0"/>
    <w:rsid w:val="000E38E3"/>
    <w:rsid w:val="000E46E7"/>
    <w:rsid w:val="000E4925"/>
    <w:rsid w:val="000E5457"/>
    <w:rsid w:val="000E5531"/>
    <w:rsid w:val="000E56F7"/>
    <w:rsid w:val="000E5778"/>
    <w:rsid w:val="000E5BCB"/>
    <w:rsid w:val="000E6410"/>
    <w:rsid w:val="000E678B"/>
    <w:rsid w:val="000E6932"/>
    <w:rsid w:val="000E7688"/>
    <w:rsid w:val="000F2E01"/>
    <w:rsid w:val="000F3093"/>
    <w:rsid w:val="000F32A2"/>
    <w:rsid w:val="000F3A16"/>
    <w:rsid w:val="000F3A53"/>
    <w:rsid w:val="000F3E1A"/>
    <w:rsid w:val="000F42DD"/>
    <w:rsid w:val="000F451B"/>
    <w:rsid w:val="000F57C2"/>
    <w:rsid w:val="000F5A54"/>
    <w:rsid w:val="000F5B1C"/>
    <w:rsid w:val="000F5D15"/>
    <w:rsid w:val="000F61F6"/>
    <w:rsid w:val="000F6345"/>
    <w:rsid w:val="000F67AC"/>
    <w:rsid w:val="000F6C61"/>
    <w:rsid w:val="000F6D2B"/>
    <w:rsid w:val="000F7838"/>
    <w:rsid w:val="000F7987"/>
    <w:rsid w:val="0010051C"/>
    <w:rsid w:val="0010080C"/>
    <w:rsid w:val="00101C4E"/>
    <w:rsid w:val="001036AF"/>
    <w:rsid w:val="0010448B"/>
    <w:rsid w:val="001046C8"/>
    <w:rsid w:val="0010521F"/>
    <w:rsid w:val="00105454"/>
    <w:rsid w:val="00105641"/>
    <w:rsid w:val="00106130"/>
    <w:rsid w:val="0010618A"/>
    <w:rsid w:val="0010625A"/>
    <w:rsid w:val="001071D9"/>
    <w:rsid w:val="001072D1"/>
    <w:rsid w:val="00107524"/>
    <w:rsid w:val="00107D18"/>
    <w:rsid w:val="00107DCD"/>
    <w:rsid w:val="00107EF0"/>
    <w:rsid w:val="00110C93"/>
    <w:rsid w:val="00110E1D"/>
    <w:rsid w:val="001110EE"/>
    <w:rsid w:val="00111417"/>
    <w:rsid w:val="001127DB"/>
    <w:rsid w:val="001137E7"/>
    <w:rsid w:val="00113C60"/>
    <w:rsid w:val="00113D74"/>
    <w:rsid w:val="00114008"/>
    <w:rsid w:val="00114495"/>
    <w:rsid w:val="001145FA"/>
    <w:rsid w:val="00114C3B"/>
    <w:rsid w:val="001150FA"/>
    <w:rsid w:val="001151E0"/>
    <w:rsid w:val="001151F6"/>
    <w:rsid w:val="00115691"/>
    <w:rsid w:val="00115B4C"/>
    <w:rsid w:val="0011662C"/>
    <w:rsid w:val="00116A8A"/>
    <w:rsid w:val="00117039"/>
    <w:rsid w:val="00117F04"/>
    <w:rsid w:val="00120329"/>
    <w:rsid w:val="001203E7"/>
    <w:rsid w:val="001210FB"/>
    <w:rsid w:val="00121B5D"/>
    <w:rsid w:val="00121E71"/>
    <w:rsid w:val="001225E2"/>
    <w:rsid w:val="00122AE3"/>
    <w:rsid w:val="00122EE1"/>
    <w:rsid w:val="00123658"/>
    <w:rsid w:val="001237AF"/>
    <w:rsid w:val="001247EB"/>
    <w:rsid w:val="00124F3C"/>
    <w:rsid w:val="00125B61"/>
    <w:rsid w:val="00126122"/>
    <w:rsid w:val="00126153"/>
    <w:rsid w:val="001265E6"/>
    <w:rsid w:val="00126A3C"/>
    <w:rsid w:val="00131D45"/>
    <w:rsid w:val="00131E83"/>
    <w:rsid w:val="001320F0"/>
    <w:rsid w:val="001328ED"/>
    <w:rsid w:val="00132EBA"/>
    <w:rsid w:val="001336E0"/>
    <w:rsid w:val="00133EE4"/>
    <w:rsid w:val="00133EF7"/>
    <w:rsid w:val="00133F34"/>
    <w:rsid w:val="00134A86"/>
    <w:rsid w:val="001351BC"/>
    <w:rsid w:val="00135273"/>
    <w:rsid w:val="00135FC9"/>
    <w:rsid w:val="00136670"/>
    <w:rsid w:val="001366FD"/>
    <w:rsid w:val="00136B4C"/>
    <w:rsid w:val="00136D82"/>
    <w:rsid w:val="001375E2"/>
    <w:rsid w:val="001378D7"/>
    <w:rsid w:val="00142B40"/>
    <w:rsid w:val="00143478"/>
    <w:rsid w:val="00143F2F"/>
    <w:rsid w:val="0014469D"/>
    <w:rsid w:val="00144BFA"/>
    <w:rsid w:val="00146624"/>
    <w:rsid w:val="00147E28"/>
    <w:rsid w:val="00150376"/>
    <w:rsid w:val="00151DBD"/>
    <w:rsid w:val="00151DFE"/>
    <w:rsid w:val="001531D6"/>
    <w:rsid w:val="00155434"/>
    <w:rsid w:val="00155BDA"/>
    <w:rsid w:val="00155F30"/>
    <w:rsid w:val="00156FA7"/>
    <w:rsid w:val="001571C7"/>
    <w:rsid w:val="001575AF"/>
    <w:rsid w:val="0016023A"/>
    <w:rsid w:val="00160A0C"/>
    <w:rsid w:val="00161B65"/>
    <w:rsid w:val="00162DBF"/>
    <w:rsid w:val="00163459"/>
    <w:rsid w:val="0016390E"/>
    <w:rsid w:val="00164CF8"/>
    <w:rsid w:val="001653AE"/>
    <w:rsid w:val="00165734"/>
    <w:rsid w:val="001669E4"/>
    <w:rsid w:val="00166AA0"/>
    <w:rsid w:val="00167691"/>
    <w:rsid w:val="00170503"/>
    <w:rsid w:val="00170A66"/>
    <w:rsid w:val="00170D5B"/>
    <w:rsid w:val="00171FF9"/>
    <w:rsid w:val="001724F5"/>
    <w:rsid w:val="00172B01"/>
    <w:rsid w:val="00172B8F"/>
    <w:rsid w:val="00172BD6"/>
    <w:rsid w:val="00172F84"/>
    <w:rsid w:val="001736F8"/>
    <w:rsid w:val="00173D85"/>
    <w:rsid w:val="00174523"/>
    <w:rsid w:val="001746C7"/>
    <w:rsid w:val="00174FD4"/>
    <w:rsid w:val="00175885"/>
    <w:rsid w:val="00175965"/>
    <w:rsid w:val="00175F6B"/>
    <w:rsid w:val="00176EB5"/>
    <w:rsid w:val="001772A5"/>
    <w:rsid w:val="00177389"/>
    <w:rsid w:val="00180CD7"/>
    <w:rsid w:val="001814F8"/>
    <w:rsid w:val="001819C4"/>
    <w:rsid w:val="00181AC8"/>
    <w:rsid w:val="00181B62"/>
    <w:rsid w:val="001820B6"/>
    <w:rsid w:val="00182944"/>
    <w:rsid w:val="00183E34"/>
    <w:rsid w:val="001847D6"/>
    <w:rsid w:val="00184BAE"/>
    <w:rsid w:val="00186053"/>
    <w:rsid w:val="00187C4F"/>
    <w:rsid w:val="00190BD4"/>
    <w:rsid w:val="00190DEA"/>
    <w:rsid w:val="001912B8"/>
    <w:rsid w:val="0019135D"/>
    <w:rsid w:val="00191D5D"/>
    <w:rsid w:val="00192EC9"/>
    <w:rsid w:val="001934EE"/>
    <w:rsid w:val="00193583"/>
    <w:rsid w:val="0019362A"/>
    <w:rsid w:val="0019474E"/>
    <w:rsid w:val="00194BEB"/>
    <w:rsid w:val="00194C11"/>
    <w:rsid w:val="00195314"/>
    <w:rsid w:val="00195379"/>
    <w:rsid w:val="0019563E"/>
    <w:rsid w:val="00195728"/>
    <w:rsid w:val="00195734"/>
    <w:rsid w:val="00195EF0"/>
    <w:rsid w:val="00196B70"/>
    <w:rsid w:val="00196DDE"/>
    <w:rsid w:val="001970C0"/>
    <w:rsid w:val="001A0171"/>
    <w:rsid w:val="001A09CC"/>
    <w:rsid w:val="001A0B92"/>
    <w:rsid w:val="001A0EE7"/>
    <w:rsid w:val="001A131F"/>
    <w:rsid w:val="001A1CB7"/>
    <w:rsid w:val="001A420B"/>
    <w:rsid w:val="001A4612"/>
    <w:rsid w:val="001A4B97"/>
    <w:rsid w:val="001A4F74"/>
    <w:rsid w:val="001A4F7D"/>
    <w:rsid w:val="001A638F"/>
    <w:rsid w:val="001A7B42"/>
    <w:rsid w:val="001A7D8F"/>
    <w:rsid w:val="001B04FE"/>
    <w:rsid w:val="001B0823"/>
    <w:rsid w:val="001B0E2D"/>
    <w:rsid w:val="001B19E4"/>
    <w:rsid w:val="001B1D59"/>
    <w:rsid w:val="001B248B"/>
    <w:rsid w:val="001B298D"/>
    <w:rsid w:val="001B2A97"/>
    <w:rsid w:val="001B2CD4"/>
    <w:rsid w:val="001B3B17"/>
    <w:rsid w:val="001B564F"/>
    <w:rsid w:val="001B620E"/>
    <w:rsid w:val="001B6BD3"/>
    <w:rsid w:val="001B7329"/>
    <w:rsid w:val="001B7C15"/>
    <w:rsid w:val="001C0CC9"/>
    <w:rsid w:val="001C174A"/>
    <w:rsid w:val="001C1D05"/>
    <w:rsid w:val="001C2567"/>
    <w:rsid w:val="001C2891"/>
    <w:rsid w:val="001C29DB"/>
    <w:rsid w:val="001C2A48"/>
    <w:rsid w:val="001C38C5"/>
    <w:rsid w:val="001C3CE7"/>
    <w:rsid w:val="001C4555"/>
    <w:rsid w:val="001C51D7"/>
    <w:rsid w:val="001C692D"/>
    <w:rsid w:val="001C69E3"/>
    <w:rsid w:val="001C6DFD"/>
    <w:rsid w:val="001D0B4C"/>
    <w:rsid w:val="001D17DB"/>
    <w:rsid w:val="001D1CE4"/>
    <w:rsid w:val="001D22F1"/>
    <w:rsid w:val="001D2F61"/>
    <w:rsid w:val="001D32C0"/>
    <w:rsid w:val="001D35BA"/>
    <w:rsid w:val="001D3A64"/>
    <w:rsid w:val="001D3C09"/>
    <w:rsid w:val="001D3E9E"/>
    <w:rsid w:val="001D4BED"/>
    <w:rsid w:val="001D5793"/>
    <w:rsid w:val="001D6E93"/>
    <w:rsid w:val="001D6F64"/>
    <w:rsid w:val="001D74A7"/>
    <w:rsid w:val="001D78F3"/>
    <w:rsid w:val="001D7E0B"/>
    <w:rsid w:val="001E11F5"/>
    <w:rsid w:val="001E13F0"/>
    <w:rsid w:val="001E1514"/>
    <w:rsid w:val="001E15F2"/>
    <w:rsid w:val="001E22F7"/>
    <w:rsid w:val="001E40EA"/>
    <w:rsid w:val="001E465F"/>
    <w:rsid w:val="001F0B31"/>
    <w:rsid w:val="001F1717"/>
    <w:rsid w:val="001F17BD"/>
    <w:rsid w:val="001F2902"/>
    <w:rsid w:val="001F2FBE"/>
    <w:rsid w:val="001F3746"/>
    <w:rsid w:val="001F3F36"/>
    <w:rsid w:val="001F407D"/>
    <w:rsid w:val="001F40D7"/>
    <w:rsid w:val="001F447F"/>
    <w:rsid w:val="001F4F58"/>
    <w:rsid w:val="001F51AB"/>
    <w:rsid w:val="001F61E1"/>
    <w:rsid w:val="001F658C"/>
    <w:rsid w:val="001F675C"/>
    <w:rsid w:val="001F6F44"/>
    <w:rsid w:val="001F7455"/>
    <w:rsid w:val="001F7563"/>
    <w:rsid w:val="001F7FEF"/>
    <w:rsid w:val="0020091E"/>
    <w:rsid w:val="00200C81"/>
    <w:rsid w:val="002015D7"/>
    <w:rsid w:val="002020F2"/>
    <w:rsid w:val="00202213"/>
    <w:rsid w:val="0020279D"/>
    <w:rsid w:val="00202E76"/>
    <w:rsid w:val="00205208"/>
    <w:rsid w:val="002063D0"/>
    <w:rsid w:val="0020666C"/>
    <w:rsid w:val="00206967"/>
    <w:rsid w:val="00207F59"/>
    <w:rsid w:val="00210871"/>
    <w:rsid w:val="00211DC3"/>
    <w:rsid w:val="0021256B"/>
    <w:rsid w:val="00212C2F"/>
    <w:rsid w:val="00213329"/>
    <w:rsid w:val="002138C3"/>
    <w:rsid w:val="00214068"/>
    <w:rsid w:val="00214962"/>
    <w:rsid w:val="002155B6"/>
    <w:rsid w:val="002157BB"/>
    <w:rsid w:val="002157E4"/>
    <w:rsid w:val="00215AFB"/>
    <w:rsid w:val="00215C87"/>
    <w:rsid w:val="00215DEA"/>
    <w:rsid w:val="0021703F"/>
    <w:rsid w:val="00217512"/>
    <w:rsid w:val="0021778A"/>
    <w:rsid w:val="002200D8"/>
    <w:rsid w:val="002202CB"/>
    <w:rsid w:val="00220674"/>
    <w:rsid w:val="00220FAD"/>
    <w:rsid w:val="002213EA"/>
    <w:rsid w:val="00221E1E"/>
    <w:rsid w:val="0022259A"/>
    <w:rsid w:val="00223595"/>
    <w:rsid w:val="00223664"/>
    <w:rsid w:val="00223A56"/>
    <w:rsid w:val="00224020"/>
    <w:rsid w:val="00224B8C"/>
    <w:rsid w:val="00224DC3"/>
    <w:rsid w:val="0022569B"/>
    <w:rsid w:val="00225833"/>
    <w:rsid w:val="00226095"/>
    <w:rsid w:val="00226BFD"/>
    <w:rsid w:val="00226C97"/>
    <w:rsid w:val="00226FF2"/>
    <w:rsid w:val="00227B89"/>
    <w:rsid w:val="00227E1B"/>
    <w:rsid w:val="00227F43"/>
    <w:rsid w:val="002302C5"/>
    <w:rsid w:val="00230891"/>
    <w:rsid w:val="00230EEC"/>
    <w:rsid w:val="0023141F"/>
    <w:rsid w:val="00231571"/>
    <w:rsid w:val="00233115"/>
    <w:rsid w:val="00234640"/>
    <w:rsid w:val="0023487E"/>
    <w:rsid w:val="00235317"/>
    <w:rsid w:val="0023570E"/>
    <w:rsid w:val="002357E7"/>
    <w:rsid w:val="00235E70"/>
    <w:rsid w:val="00235F88"/>
    <w:rsid w:val="00236F40"/>
    <w:rsid w:val="00237C25"/>
    <w:rsid w:val="00237E62"/>
    <w:rsid w:val="00240106"/>
    <w:rsid w:val="002402A4"/>
    <w:rsid w:val="002404DC"/>
    <w:rsid w:val="002411C7"/>
    <w:rsid w:val="00241A6E"/>
    <w:rsid w:val="00242872"/>
    <w:rsid w:val="00242F4E"/>
    <w:rsid w:val="0024323C"/>
    <w:rsid w:val="00243D48"/>
    <w:rsid w:val="00243E55"/>
    <w:rsid w:val="00243E86"/>
    <w:rsid w:val="00244031"/>
    <w:rsid w:val="0024488E"/>
    <w:rsid w:val="002449F8"/>
    <w:rsid w:val="00244CD8"/>
    <w:rsid w:val="00244FE5"/>
    <w:rsid w:val="002452A0"/>
    <w:rsid w:val="00245DDD"/>
    <w:rsid w:val="002463A6"/>
    <w:rsid w:val="00246541"/>
    <w:rsid w:val="00246571"/>
    <w:rsid w:val="00246ADB"/>
    <w:rsid w:val="002475C9"/>
    <w:rsid w:val="002517A5"/>
    <w:rsid w:val="00251980"/>
    <w:rsid w:val="00251A7D"/>
    <w:rsid w:val="00251E62"/>
    <w:rsid w:val="00251F6C"/>
    <w:rsid w:val="00251F9E"/>
    <w:rsid w:val="00251FE7"/>
    <w:rsid w:val="002520A0"/>
    <w:rsid w:val="002523A1"/>
    <w:rsid w:val="0025249C"/>
    <w:rsid w:val="002524BF"/>
    <w:rsid w:val="0025305F"/>
    <w:rsid w:val="002539ED"/>
    <w:rsid w:val="00253AA4"/>
    <w:rsid w:val="0025440D"/>
    <w:rsid w:val="0025450E"/>
    <w:rsid w:val="00255152"/>
    <w:rsid w:val="0025554E"/>
    <w:rsid w:val="00255F5B"/>
    <w:rsid w:val="00256186"/>
    <w:rsid w:val="00256905"/>
    <w:rsid w:val="00256B2A"/>
    <w:rsid w:val="002576AF"/>
    <w:rsid w:val="00257DFC"/>
    <w:rsid w:val="002606A9"/>
    <w:rsid w:val="00260BCD"/>
    <w:rsid w:val="00261300"/>
    <w:rsid w:val="00261797"/>
    <w:rsid w:val="00261AA2"/>
    <w:rsid w:val="00262349"/>
    <w:rsid w:val="002638B9"/>
    <w:rsid w:val="002638F4"/>
    <w:rsid w:val="00264A98"/>
    <w:rsid w:val="00264AAC"/>
    <w:rsid w:val="00265B43"/>
    <w:rsid w:val="00266021"/>
    <w:rsid w:val="002661AE"/>
    <w:rsid w:val="00266B3B"/>
    <w:rsid w:val="00266FAE"/>
    <w:rsid w:val="002671D0"/>
    <w:rsid w:val="00267978"/>
    <w:rsid w:val="00270122"/>
    <w:rsid w:val="00270D1F"/>
    <w:rsid w:val="00270EF5"/>
    <w:rsid w:val="0027160C"/>
    <w:rsid w:val="00271FFA"/>
    <w:rsid w:val="00273432"/>
    <w:rsid w:val="002735B3"/>
    <w:rsid w:val="00273754"/>
    <w:rsid w:val="00274BEB"/>
    <w:rsid w:val="002751D1"/>
    <w:rsid w:val="00275209"/>
    <w:rsid w:val="00275973"/>
    <w:rsid w:val="00275E9C"/>
    <w:rsid w:val="00276176"/>
    <w:rsid w:val="0027672F"/>
    <w:rsid w:val="0028097A"/>
    <w:rsid w:val="0028113F"/>
    <w:rsid w:val="00281297"/>
    <w:rsid w:val="00281DFA"/>
    <w:rsid w:val="00281E5D"/>
    <w:rsid w:val="0028310D"/>
    <w:rsid w:val="00283315"/>
    <w:rsid w:val="00284340"/>
    <w:rsid w:val="00285AD8"/>
    <w:rsid w:val="00285C54"/>
    <w:rsid w:val="0028624D"/>
    <w:rsid w:val="0028670B"/>
    <w:rsid w:val="00286898"/>
    <w:rsid w:val="00286D8C"/>
    <w:rsid w:val="00287818"/>
    <w:rsid w:val="00287B29"/>
    <w:rsid w:val="00287E78"/>
    <w:rsid w:val="00290676"/>
    <w:rsid w:val="00290B82"/>
    <w:rsid w:val="00290F71"/>
    <w:rsid w:val="00291462"/>
    <w:rsid w:val="00291572"/>
    <w:rsid w:val="00291900"/>
    <w:rsid w:val="00291D21"/>
    <w:rsid w:val="00291FDB"/>
    <w:rsid w:val="00293B50"/>
    <w:rsid w:val="00294194"/>
    <w:rsid w:val="002964AF"/>
    <w:rsid w:val="002966A8"/>
    <w:rsid w:val="00296FF0"/>
    <w:rsid w:val="00297A61"/>
    <w:rsid w:val="002A04B4"/>
    <w:rsid w:val="002A055F"/>
    <w:rsid w:val="002A0CCA"/>
    <w:rsid w:val="002A136E"/>
    <w:rsid w:val="002A145B"/>
    <w:rsid w:val="002A18BE"/>
    <w:rsid w:val="002A2916"/>
    <w:rsid w:val="002A3138"/>
    <w:rsid w:val="002A36F6"/>
    <w:rsid w:val="002A372E"/>
    <w:rsid w:val="002A39AF"/>
    <w:rsid w:val="002A3CBB"/>
    <w:rsid w:val="002A4084"/>
    <w:rsid w:val="002A4AD6"/>
    <w:rsid w:val="002A53EE"/>
    <w:rsid w:val="002A5893"/>
    <w:rsid w:val="002A5B88"/>
    <w:rsid w:val="002A5E7A"/>
    <w:rsid w:val="002A6BF9"/>
    <w:rsid w:val="002A7196"/>
    <w:rsid w:val="002A76AE"/>
    <w:rsid w:val="002B020D"/>
    <w:rsid w:val="002B047D"/>
    <w:rsid w:val="002B1384"/>
    <w:rsid w:val="002B1715"/>
    <w:rsid w:val="002B1CBC"/>
    <w:rsid w:val="002B2239"/>
    <w:rsid w:val="002B2FA8"/>
    <w:rsid w:val="002B3681"/>
    <w:rsid w:val="002B3FD0"/>
    <w:rsid w:val="002B478F"/>
    <w:rsid w:val="002B4C19"/>
    <w:rsid w:val="002B4D82"/>
    <w:rsid w:val="002B5047"/>
    <w:rsid w:val="002B5648"/>
    <w:rsid w:val="002B65F4"/>
    <w:rsid w:val="002B667C"/>
    <w:rsid w:val="002B68B9"/>
    <w:rsid w:val="002B7141"/>
    <w:rsid w:val="002B74CB"/>
    <w:rsid w:val="002B74D7"/>
    <w:rsid w:val="002B7544"/>
    <w:rsid w:val="002C0850"/>
    <w:rsid w:val="002C11CA"/>
    <w:rsid w:val="002C2674"/>
    <w:rsid w:val="002C2958"/>
    <w:rsid w:val="002C33E1"/>
    <w:rsid w:val="002C3731"/>
    <w:rsid w:val="002C4591"/>
    <w:rsid w:val="002C45E8"/>
    <w:rsid w:val="002C5049"/>
    <w:rsid w:val="002C6551"/>
    <w:rsid w:val="002C70CE"/>
    <w:rsid w:val="002D16FC"/>
    <w:rsid w:val="002D2D15"/>
    <w:rsid w:val="002D3B7E"/>
    <w:rsid w:val="002D4F8D"/>
    <w:rsid w:val="002D5097"/>
    <w:rsid w:val="002D53CF"/>
    <w:rsid w:val="002D55E4"/>
    <w:rsid w:val="002D596C"/>
    <w:rsid w:val="002D5E15"/>
    <w:rsid w:val="002D6380"/>
    <w:rsid w:val="002D65B8"/>
    <w:rsid w:val="002D690D"/>
    <w:rsid w:val="002D6994"/>
    <w:rsid w:val="002E0759"/>
    <w:rsid w:val="002E2207"/>
    <w:rsid w:val="002E2AC6"/>
    <w:rsid w:val="002E2DB7"/>
    <w:rsid w:val="002E3C54"/>
    <w:rsid w:val="002E4A71"/>
    <w:rsid w:val="002E4EC4"/>
    <w:rsid w:val="002E59E4"/>
    <w:rsid w:val="002E63F9"/>
    <w:rsid w:val="002E6EF1"/>
    <w:rsid w:val="002E7670"/>
    <w:rsid w:val="002E7775"/>
    <w:rsid w:val="002E793C"/>
    <w:rsid w:val="002E7AD2"/>
    <w:rsid w:val="002F0568"/>
    <w:rsid w:val="002F0584"/>
    <w:rsid w:val="002F0A6A"/>
    <w:rsid w:val="002F1399"/>
    <w:rsid w:val="002F2129"/>
    <w:rsid w:val="002F278E"/>
    <w:rsid w:val="002F32FB"/>
    <w:rsid w:val="002F3740"/>
    <w:rsid w:val="002F3AC8"/>
    <w:rsid w:val="002F409E"/>
    <w:rsid w:val="002F49EA"/>
    <w:rsid w:val="002F51D0"/>
    <w:rsid w:val="002F5337"/>
    <w:rsid w:val="002F5611"/>
    <w:rsid w:val="002F5E6D"/>
    <w:rsid w:val="002F5F5E"/>
    <w:rsid w:val="002F5F85"/>
    <w:rsid w:val="002F693F"/>
    <w:rsid w:val="002F7C39"/>
    <w:rsid w:val="002F7D65"/>
    <w:rsid w:val="0030025A"/>
    <w:rsid w:val="00300697"/>
    <w:rsid w:val="003008CC"/>
    <w:rsid w:val="003009E7"/>
    <w:rsid w:val="00300B8E"/>
    <w:rsid w:val="00301763"/>
    <w:rsid w:val="003018DF"/>
    <w:rsid w:val="00302252"/>
    <w:rsid w:val="00303C60"/>
    <w:rsid w:val="00304FB8"/>
    <w:rsid w:val="00306760"/>
    <w:rsid w:val="00307299"/>
    <w:rsid w:val="00307C5B"/>
    <w:rsid w:val="00310B9B"/>
    <w:rsid w:val="00310C3F"/>
    <w:rsid w:val="003113DD"/>
    <w:rsid w:val="003116F4"/>
    <w:rsid w:val="00311FEB"/>
    <w:rsid w:val="0031272B"/>
    <w:rsid w:val="00312915"/>
    <w:rsid w:val="00312A7A"/>
    <w:rsid w:val="0031338D"/>
    <w:rsid w:val="00313A35"/>
    <w:rsid w:val="00314004"/>
    <w:rsid w:val="003140D2"/>
    <w:rsid w:val="003148E5"/>
    <w:rsid w:val="0031545A"/>
    <w:rsid w:val="00315D9D"/>
    <w:rsid w:val="00316717"/>
    <w:rsid w:val="0031749C"/>
    <w:rsid w:val="00317714"/>
    <w:rsid w:val="00317C78"/>
    <w:rsid w:val="00320A17"/>
    <w:rsid w:val="00322564"/>
    <w:rsid w:val="00322DA9"/>
    <w:rsid w:val="00323AF6"/>
    <w:rsid w:val="003251C2"/>
    <w:rsid w:val="00325FA0"/>
    <w:rsid w:val="00326394"/>
    <w:rsid w:val="0032667F"/>
    <w:rsid w:val="00326F1C"/>
    <w:rsid w:val="00327162"/>
    <w:rsid w:val="00327DF1"/>
    <w:rsid w:val="00330063"/>
    <w:rsid w:val="00330A0A"/>
    <w:rsid w:val="00330A5F"/>
    <w:rsid w:val="0033147A"/>
    <w:rsid w:val="0033180F"/>
    <w:rsid w:val="00331B78"/>
    <w:rsid w:val="003328A9"/>
    <w:rsid w:val="00332C8E"/>
    <w:rsid w:val="003351E6"/>
    <w:rsid w:val="00335323"/>
    <w:rsid w:val="00336623"/>
    <w:rsid w:val="00336E7C"/>
    <w:rsid w:val="003371B5"/>
    <w:rsid w:val="00337664"/>
    <w:rsid w:val="00337744"/>
    <w:rsid w:val="00337782"/>
    <w:rsid w:val="00337BAF"/>
    <w:rsid w:val="00340341"/>
    <w:rsid w:val="0034061D"/>
    <w:rsid w:val="00340B54"/>
    <w:rsid w:val="00340E1C"/>
    <w:rsid w:val="003417CB"/>
    <w:rsid w:val="00341DB5"/>
    <w:rsid w:val="003420C8"/>
    <w:rsid w:val="003425C7"/>
    <w:rsid w:val="00342EC1"/>
    <w:rsid w:val="003435A9"/>
    <w:rsid w:val="00343916"/>
    <w:rsid w:val="00343D32"/>
    <w:rsid w:val="00344649"/>
    <w:rsid w:val="00345496"/>
    <w:rsid w:val="00345BCF"/>
    <w:rsid w:val="003466F9"/>
    <w:rsid w:val="00346828"/>
    <w:rsid w:val="003469B0"/>
    <w:rsid w:val="00347930"/>
    <w:rsid w:val="00350092"/>
    <w:rsid w:val="003517AE"/>
    <w:rsid w:val="003519AD"/>
    <w:rsid w:val="00351E0E"/>
    <w:rsid w:val="00351E13"/>
    <w:rsid w:val="0035439D"/>
    <w:rsid w:val="00354A70"/>
    <w:rsid w:val="00354EB4"/>
    <w:rsid w:val="003550A5"/>
    <w:rsid w:val="00356D29"/>
    <w:rsid w:val="00356D45"/>
    <w:rsid w:val="0035716D"/>
    <w:rsid w:val="003571C2"/>
    <w:rsid w:val="003571C8"/>
    <w:rsid w:val="00357C81"/>
    <w:rsid w:val="00357DBA"/>
    <w:rsid w:val="00361849"/>
    <w:rsid w:val="00363955"/>
    <w:rsid w:val="00363A65"/>
    <w:rsid w:val="003640A7"/>
    <w:rsid w:val="00365447"/>
    <w:rsid w:val="0036794E"/>
    <w:rsid w:val="00367EE3"/>
    <w:rsid w:val="00370376"/>
    <w:rsid w:val="003717E5"/>
    <w:rsid w:val="00372241"/>
    <w:rsid w:val="0037268C"/>
    <w:rsid w:val="003741FF"/>
    <w:rsid w:val="00374491"/>
    <w:rsid w:val="003749EE"/>
    <w:rsid w:val="00374AA5"/>
    <w:rsid w:val="00374BEF"/>
    <w:rsid w:val="0037691B"/>
    <w:rsid w:val="00376D5B"/>
    <w:rsid w:val="00376DA7"/>
    <w:rsid w:val="0037709C"/>
    <w:rsid w:val="0037727F"/>
    <w:rsid w:val="0037732E"/>
    <w:rsid w:val="003776A0"/>
    <w:rsid w:val="00377DFE"/>
    <w:rsid w:val="00377E21"/>
    <w:rsid w:val="00380D1B"/>
    <w:rsid w:val="00381026"/>
    <w:rsid w:val="0038146C"/>
    <w:rsid w:val="0038187D"/>
    <w:rsid w:val="00381B0E"/>
    <w:rsid w:val="00381D25"/>
    <w:rsid w:val="00381E15"/>
    <w:rsid w:val="00381F5A"/>
    <w:rsid w:val="00382160"/>
    <w:rsid w:val="00382288"/>
    <w:rsid w:val="00382609"/>
    <w:rsid w:val="00382C04"/>
    <w:rsid w:val="00383C5D"/>
    <w:rsid w:val="003843F3"/>
    <w:rsid w:val="00384B45"/>
    <w:rsid w:val="003855A4"/>
    <w:rsid w:val="00386124"/>
    <w:rsid w:val="003864D5"/>
    <w:rsid w:val="00387032"/>
    <w:rsid w:val="0038747C"/>
    <w:rsid w:val="0039029E"/>
    <w:rsid w:val="00390567"/>
    <w:rsid w:val="00391591"/>
    <w:rsid w:val="003917EB"/>
    <w:rsid w:val="00391BCB"/>
    <w:rsid w:val="00394561"/>
    <w:rsid w:val="00395506"/>
    <w:rsid w:val="0039591D"/>
    <w:rsid w:val="00395A26"/>
    <w:rsid w:val="003965A5"/>
    <w:rsid w:val="003966F6"/>
    <w:rsid w:val="0039677D"/>
    <w:rsid w:val="00397A52"/>
    <w:rsid w:val="00397B09"/>
    <w:rsid w:val="00397CB9"/>
    <w:rsid w:val="003A0660"/>
    <w:rsid w:val="003A0D52"/>
    <w:rsid w:val="003A140D"/>
    <w:rsid w:val="003A1C3C"/>
    <w:rsid w:val="003A2ED1"/>
    <w:rsid w:val="003A2EE0"/>
    <w:rsid w:val="003A3740"/>
    <w:rsid w:val="003A46B7"/>
    <w:rsid w:val="003A4C47"/>
    <w:rsid w:val="003A6724"/>
    <w:rsid w:val="003A6E1A"/>
    <w:rsid w:val="003A7194"/>
    <w:rsid w:val="003A74C0"/>
    <w:rsid w:val="003A7A39"/>
    <w:rsid w:val="003A7E82"/>
    <w:rsid w:val="003B09B4"/>
    <w:rsid w:val="003B0BA1"/>
    <w:rsid w:val="003B2B81"/>
    <w:rsid w:val="003B4599"/>
    <w:rsid w:val="003B550C"/>
    <w:rsid w:val="003B5673"/>
    <w:rsid w:val="003B5781"/>
    <w:rsid w:val="003B61B7"/>
    <w:rsid w:val="003B66A4"/>
    <w:rsid w:val="003B6845"/>
    <w:rsid w:val="003B71F8"/>
    <w:rsid w:val="003B76DF"/>
    <w:rsid w:val="003B7BC0"/>
    <w:rsid w:val="003C1AE2"/>
    <w:rsid w:val="003C1B93"/>
    <w:rsid w:val="003C1EF7"/>
    <w:rsid w:val="003C224F"/>
    <w:rsid w:val="003C38A8"/>
    <w:rsid w:val="003C4DB5"/>
    <w:rsid w:val="003C4F8F"/>
    <w:rsid w:val="003C5052"/>
    <w:rsid w:val="003C53A1"/>
    <w:rsid w:val="003C5BE7"/>
    <w:rsid w:val="003C653D"/>
    <w:rsid w:val="003C6B59"/>
    <w:rsid w:val="003C7A7E"/>
    <w:rsid w:val="003C7D53"/>
    <w:rsid w:val="003C7E02"/>
    <w:rsid w:val="003C7ED6"/>
    <w:rsid w:val="003D17DE"/>
    <w:rsid w:val="003D299E"/>
    <w:rsid w:val="003D2CF7"/>
    <w:rsid w:val="003D3421"/>
    <w:rsid w:val="003D399F"/>
    <w:rsid w:val="003D3E24"/>
    <w:rsid w:val="003D4250"/>
    <w:rsid w:val="003D47F1"/>
    <w:rsid w:val="003D4A60"/>
    <w:rsid w:val="003D55E1"/>
    <w:rsid w:val="003D5D34"/>
    <w:rsid w:val="003D641A"/>
    <w:rsid w:val="003D66B9"/>
    <w:rsid w:val="003D71EB"/>
    <w:rsid w:val="003D7753"/>
    <w:rsid w:val="003E0AD3"/>
    <w:rsid w:val="003E114F"/>
    <w:rsid w:val="003E1785"/>
    <w:rsid w:val="003E18B0"/>
    <w:rsid w:val="003E20AE"/>
    <w:rsid w:val="003E22CB"/>
    <w:rsid w:val="003E2343"/>
    <w:rsid w:val="003E27E6"/>
    <w:rsid w:val="003E2AE7"/>
    <w:rsid w:val="003E2CFA"/>
    <w:rsid w:val="003E2F10"/>
    <w:rsid w:val="003E406B"/>
    <w:rsid w:val="003E4F96"/>
    <w:rsid w:val="003E4FC9"/>
    <w:rsid w:val="003E5326"/>
    <w:rsid w:val="003E5CCA"/>
    <w:rsid w:val="003E5CE0"/>
    <w:rsid w:val="003E6A21"/>
    <w:rsid w:val="003E6C03"/>
    <w:rsid w:val="003E70FF"/>
    <w:rsid w:val="003E753B"/>
    <w:rsid w:val="003E7746"/>
    <w:rsid w:val="003E7773"/>
    <w:rsid w:val="003E7D1E"/>
    <w:rsid w:val="003E7EAA"/>
    <w:rsid w:val="003E7EB6"/>
    <w:rsid w:val="003F0288"/>
    <w:rsid w:val="003F115E"/>
    <w:rsid w:val="003F14C2"/>
    <w:rsid w:val="003F1606"/>
    <w:rsid w:val="003F1A6F"/>
    <w:rsid w:val="003F1BA1"/>
    <w:rsid w:val="003F1E64"/>
    <w:rsid w:val="003F1ED0"/>
    <w:rsid w:val="003F2210"/>
    <w:rsid w:val="003F25ED"/>
    <w:rsid w:val="003F2C8B"/>
    <w:rsid w:val="003F3295"/>
    <w:rsid w:val="003F34D2"/>
    <w:rsid w:val="003F3D26"/>
    <w:rsid w:val="003F4886"/>
    <w:rsid w:val="003F4BF5"/>
    <w:rsid w:val="003F535C"/>
    <w:rsid w:val="003F5D1D"/>
    <w:rsid w:val="003F690E"/>
    <w:rsid w:val="003F7196"/>
    <w:rsid w:val="003F74CA"/>
    <w:rsid w:val="003F7506"/>
    <w:rsid w:val="003F791E"/>
    <w:rsid w:val="004007BD"/>
    <w:rsid w:val="004008AF"/>
    <w:rsid w:val="004008C2"/>
    <w:rsid w:val="00400B5F"/>
    <w:rsid w:val="0040101E"/>
    <w:rsid w:val="00401322"/>
    <w:rsid w:val="00401BAB"/>
    <w:rsid w:val="00401DBF"/>
    <w:rsid w:val="00402419"/>
    <w:rsid w:val="004027B5"/>
    <w:rsid w:val="004033D9"/>
    <w:rsid w:val="00404A94"/>
    <w:rsid w:val="00405409"/>
    <w:rsid w:val="0040551F"/>
    <w:rsid w:val="00405CE6"/>
    <w:rsid w:val="00406F71"/>
    <w:rsid w:val="00407494"/>
    <w:rsid w:val="00407574"/>
    <w:rsid w:val="0040762D"/>
    <w:rsid w:val="0040771F"/>
    <w:rsid w:val="00407DB3"/>
    <w:rsid w:val="00410182"/>
    <w:rsid w:val="004111F7"/>
    <w:rsid w:val="00411C00"/>
    <w:rsid w:val="0041217D"/>
    <w:rsid w:val="004125C6"/>
    <w:rsid w:val="0041275F"/>
    <w:rsid w:val="00413743"/>
    <w:rsid w:val="00413A1E"/>
    <w:rsid w:val="00413E11"/>
    <w:rsid w:val="00415B81"/>
    <w:rsid w:val="00416643"/>
    <w:rsid w:val="00416D48"/>
    <w:rsid w:val="00420149"/>
    <w:rsid w:val="00420A34"/>
    <w:rsid w:val="00421378"/>
    <w:rsid w:val="0042140E"/>
    <w:rsid w:val="00421A89"/>
    <w:rsid w:val="00421D1C"/>
    <w:rsid w:val="00421EBC"/>
    <w:rsid w:val="0042219C"/>
    <w:rsid w:val="00422A27"/>
    <w:rsid w:val="00422DD0"/>
    <w:rsid w:val="0042304B"/>
    <w:rsid w:val="004230A3"/>
    <w:rsid w:val="00423635"/>
    <w:rsid w:val="00424084"/>
    <w:rsid w:val="0042513E"/>
    <w:rsid w:val="004253EC"/>
    <w:rsid w:val="0042633C"/>
    <w:rsid w:val="004264B6"/>
    <w:rsid w:val="00426C33"/>
    <w:rsid w:val="004273AD"/>
    <w:rsid w:val="00427694"/>
    <w:rsid w:val="004277E4"/>
    <w:rsid w:val="00427DFA"/>
    <w:rsid w:val="004305AE"/>
    <w:rsid w:val="00430605"/>
    <w:rsid w:val="0043087A"/>
    <w:rsid w:val="00430D2A"/>
    <w:rsid w:val="0043104C"/>
    <w:rsid w:val="00431197"/>
    <w:rsid w:val="00431562"/>
    <w:rsid w:val="00431800"/>
    <w:rsid w:val="004326B5"/>
    <w:rsid w:val="00432928"/>
    <w:rsid w:val="00433541"/>
    <w:rsid w:val="004346A4"/>
    <w:rsid w:val="0043624C"/>
    <w:rsid w:val="00436514"/>
    <w:rsid w:val="0043758D"/>
    <w:rsid w:val="004405E3"/>
    <w:rsid w:val="00440679"/>
    <w:rsid w:val="0044107A"/>
    <w:rsid w:val="004410A2"/>
    <w:rsid w:val="00441457"/>
    <w:rsid w:val="00441625"/>
    <w:rsid w:val="00441F05"/>
    <w:rsid w:val="004423F7"/>
    <w:rsid w:val="0044251A"/>
    <w:rsid w:val="00442A49"/>
    <w:rsid w:val="00442AB7"/>
    <w:rsid w:val="00442C61"/>
    <w:rsid w:val="00442F09"/>
    <w:rsid w:val="00443200"/>
    <w:rsid w:val="00444115"/>
    <w:rsid w:val="004447B0"/>
    <w:rsid w:val="00445028"/>
    <w:rsid w:val="00445DEF"/>
    <w:rsid w:val="0044690B"/>
    <w:rsid w:val="00446BBE"/>
    <w:rsid w:val="00446D6D"/>
    <w:rsid w:val="00447216"/>
    <w:rsid w:val="00447350"/>
    <w:rsid w:val="004473E8"/>
    <w:rsid w:val="0044782C"/>
    <w:rsid w:val="00447DDB"/>
    <w:rsid w:val="00450273"/>
    <w:rsid w:val="0045093D"/>
    <w:rsid w:val="00450A0A"/>
    <w:rsid w:val="00451645"/>
    <w:rsid w:val="00451802"/>
    <w:rsid w:val="0045359A"/>
    <w:rsid w:val="004537D4"/>
    <w:rsid w:val="0045387D"/>
    <w:rsid w:val="00453D6F"/>
    <w:rsid w:val="00453E81"/>
    <w:rsid w:val="00454DFE"/>
    <w:rsid w:val="00454E0A"/>
    <w:rsid w:val="00454E5F"/>
    <w:rsid w:val="00454F8E"/>
    <w:rsid w:val="004558DD"/>
    <w:rsid w:val="004576EC"/>
    <w:rsid w:val="004600D0"/>
    <w:rsid w:val="00460E9B"/>
    <w:rsid w:val="00460EC0"/>
    <w:rsid w:val="004610E4"/>
    <w:rsid w:val="0046156E"/>
    <w:rsid w:val="004620AE"/>
    <w:rsid w:val="004624EA"/>
    <w:rsid w:val="00462778"/>
    <w:rsid w:val="00463474"/>
    <w:rsid w:val="00463968"/>
    <w:rsid w:val="004645C8"/>
    <w:rsid w:val="004646F3"/>
    <w:rsid w:val="00464F6C"/>
    <w:rsid w:val="00465280"/>
    <w:rsid w:val="00471917"/>
    <w:rsid w:val="00471D0D"/>
    <w:rsid w:val="004723CD"/>
    <w:rsid w:val="0047256F"/>
    <w:rsid w:val="00472A1F"/>
    <w:rsid w:val="00473432"/>
    <w:rsid w:val="00474E01"/>
    <w:rsid w:val="00474FDB"/>
    <w:rsid w:val="00475667"/>
    <w:rsid w:val="00475BA2"/>
    <w:rsid w:val="00476A39"/>
    <w:rsid w:val="00477D51"/>
    <w:rsid w:val="004800C6"/>
    <w:rsid w:val="00480F8E"/>
    <w:rsid w:val="00482804"/>
    <w:rsid w:val="00482B47"/>
    <w:rsid w:val="00482BFC"/>
    <w:rsid w:val="0048323E"/>
    <w:rsid w:val="00483BF0"/>
    <w:rsid w:val="0048499D"/>
    <w:rsid w:val="00484DC5"/>
    <w:rsid w:val="00485276"/>
    <w:rsid w:val="004852F6"/>
    <w:rsid w:val="00485675"/>
    <w:rsid w:val="004864D6"/>
    <w:rsid w:val="00486C3F"/>
    <w:rsid w:val="0048714B"/>
    <w:rsid w:val="0048788B"/>
    <w:rsid w:val="004879D9"/>
    <w:rsid w:val="00487C85"/>
    <w:rsid w:val="004907FF"/>
    <w:rsid w:val="00490DC4"/>
    <w:rsid w:val="00490DFB"/>
    <w:rsid w:val="00491BCE"/>
    <w:rsid w:val="00492091"/>
    <w:rsid w:val="0049230C"/>
    <w:rsid w:val="00493437"/>
    <w:rsid w:val="00493575"/>
    <w:rsid w:val="00493F0A"/>
    <w:rsid w:val="00493F5D"/>
    <w:rsid w:val="0049468F"/>
    <w:rsid w:val="00494F64"/>
    <w:rsid w:val="0049511F"/>
    <w:rsid w:val="00495F74"/>
    <w:rsid w:val="0049675C"/>
    <w:rsid w:val="00496B13"/>
    <w:rsid w:val="00497B9F"/>
    <w:rsid w:val="00497E31"/>
    <w:rsid w:val="004A0E25"/>
    <w:rsid w:val="004A1CB1"/>
    <w:rsid w:val="004A1DD9"/>
    <w:rsid w:val="004A2084"/>
    <w:rsid w:val="004A243D"/>
    <w:rsid w:val="004A259B"/>
    <w:rsid w:val="004A33EC"/>
    <w:rsid w:val="004A38A3"/>
    <w:rsid w:val="004A3B2C"/>
    <w:rsid w:val="004A4430"/>
    <w:rsid w:val="004A4AF7"/>
    <w:rsid w:val="004A4FDF"/>
    <w:rsid w:val="004A5414"/>
    <w:rsid w:val="004A5489"/>
    <w:rsid w:val="004A5979"/>
    <w:rsid w:val="004A5BC3"/>
    <w:rsid w:val="004A5E73"/>
    <w:rsid w:val="004A6390"/>
    <w:rsid w:val="004A6685"/>
    <w:rsid w:val="004A6F13"/>
    <w:rsid w:val="004A7619"/>
    <w:rsid w:val="004A764E"/>
    <w:rsid w:val="004A7A52"/>
    <w:rsid w:val="004B0889"/>
    <w:rsid w:val="004B19FE"/>
    <w:rsid w:val="004B1E7F"/>
    <w:rsid w:val="004B2A4D"/>
    <w:rsid w:val="004B2F45"/>
    <w:rsid w:val="004B33C2"/>
    <w:rsid w:val="004B3EAA"/>
    <w:rsid w:val="004B4214"/>
    <w:rsid w:val="004B48F9"/>
    <w:rsid w:val="004B4D0E"/>
    <w:rsid w:val="004B4DB3"/>
    <w:rsid w:val="004B6613"/>
    <w:rsid w:val="004B689D"/>
    <w:rsid w:val="004B68F3"/>
    <w:rsid w:val="004B6A0C"/>
    <w:rsid w:val="004B7532"/>
    <w:rsid w:val="004C00E9"/>
    <w:rsid w:val="004C0951"/>
    <w:rsid w:val="004C0E97"/>
    <w:rsid w:val="004C1297"/>
    <w:rsid w:val="004C1586"/>
    <w:rsid w:val="004C287D"/>
    <w:rsid w:val="004C3401"/>
    <w:rsid w:val="004C3C3D"/>
    <w:rsid w:val="004C3C4C"/>
    <w:rsid w:val="004C48C8"/>
    <w:rsid w:val="004C4962"/>
    <w:rsid w:val="004C598D"/>
    <w:rsid w:val="004C5EF5"/>
    <w:rsid w:val="004C63AF"/>
    <w:rsid w:val="004C6728"/>
    <w:rsid w:val="004C6ADD"/>
    <w:rsid w:val="004C6FAF"/>
    <w:rsid w:val="004C74D7"/>
    <w:rsid w:val="004C75D6"/>
    <w:rsid w:val="004C7BDD"/>
    <w:rsid w:val="004D0B21"/>
    <w:rsid w:val="004D1AAC"/>
    <w:rsid w:val="004D2675"/>
    <w:rsid w:val="004D2E0C"/>
    <w:rsid w:val="004D332E"/>
    <w:rsid w:val="004D3897"/>
    <w:rsid w:val="004D3ECD"/>
    <w:rsid w:val="004D4425"/>
    <w:rsid w:val="004D4C55"/>
    <w:rsid w:val="004D4E09"/>
    <w:rsid w:val="004D560B"/>
    <w:rsid w:val="004D5652"/>
    <w:rsid w:val="004D58A4"/>
    <w:rsid w:val="004D6BDD"/>
    <w:rsid w:val="004D706C"/>
    <w:rsid w:val="004E0380"/>
    <w:rsid w:val="004E0851"/>
    <w:rsid w:val="004E2145"/>
    <w:rsid w:val="004E2BD6"/>
    <w:rsid w:val="004E39E8"/>
    <w:rsid w:val="004E4590"/>
    <w:rsid w:val="004E4A2E"/>
    <w:rsid w:val="004E55B1"/>
    <w:rsid w:val="004E5ED9"/>
    <w:rsid w:val="004E6B30"/>
    <w:rsid w:val="004F1036"/>
    <w:rsid w:val="004F187B"/>
    <w:rsid w:val="004F3018"/>
    <w:rsid w:val="004F322A"/>
    <w:rsid w:val="004F35BA"/>
    <w:rsid w:val="004F3D50"/>
    <w:rsid w:val="004F4972"/>
    <w:rsid w:val="004F540A"/>
    <w:rsid w:val="004F6625"/>
    <w:rsid w:val="004F6782"/>
    <w:rsid w:val="004F6AD3"/>
    <w:rsid w:val="004F6BF1"/>
    <w:rsid w:val="004F6CFE"/>
    <w:rsid w:val="005003FE"/>
    <w:rsid w:val="005006EC"/>
    <w:rsid w:val="005008D7"/>
    <w:rsid w:val="00500B37"/>
    <w:rsid w:val="00500C13"/>
    <w:rsid w:val="00501018"/>
    <w:rsid w:val="00501386"/>
    <w:rsid w:val="00501687"/>
    <w:rsid w:val="00501BD9"/>
    <w:rsid w:val="00501C25"/>
    <w:rsid w:val="00501D1C"/>
    <w:rsid w:val="00501EFE"/>
    <w:rsid w:val="005027A6"/>
    <w:rsid w:val="00502DAE"/>
    <w:rsid w:val="00502FFB"/>
    <w:rsid w:val="00503335"/>
    <w:rsid w:val="005038A0"/>
    <w:rsid w:val="00503DE5"/>
    <w:rsid w:val="005042C0"/>
    <w:rsid w:val="00504A82"/>
    <w:rsid w:val="00505E19"/>
    <w:rsid w:val="0050634A"/>
    <w:rsid w:val="00506AF1"/>
    <w:rsid w:val="00506F12"/>
    <w:rsid w:val="005103C5"/>
    <w:rsid w:val="00510D88"/>
    <w:rsid w:val="00511155"/>
    <w:rsid w:val="005115BC"/>
    <w:rsid w:val="005120BF"/>
    <w:rsid w:val="005131D3"/>
    <w:rsid w:val="0051352C"/>
    <w:rsid w:val="005135A0"/>
    <w:rsid w:val="00514FC2"/>
    <w:rsid w:val="00515BFA"/>
    <w:rsid w:val="00516441"/>
    <w:rsid w:val="00517A86"/>
    <w:rsid w:val="00517B68"/>
    <w:rsid w:val="00520475"/>
    <w:rsid w:val="00520A80"/>
    <w:rsid w:val="005215D9"/>
    <w:rsid w:val="00521F7B"/>
    <w:rsid w:val="0052203C"/>
    <w:rsid w:val="0052295D"/>
    <w:rsid w:val="00522FC2"/>
    <w:rsid w:val="0052323C"/>
    <w:rsid w:val="0052349D"/>
    <w:rsid w:val="005244FD"/>
    <w:rsid w:val="00524BE8"/>
    <w:rsid w:val="00524BF0"/>
    <w:rsid w:val="0052548F"/>
    <w:rsid w:val="0052575D"/>
    <w:rsid w:val="0052622C"/>
    <w:rsid w:val="00526BC3"/>
    <w:rsid w:val="00526C92"/>
    <w:rsid w:val="005275FC"/>
    <w:rsid w:val="0052768C"/>
    <w:rsid w:val="00530896"/>
    <w:rsid w:val="005310AF"/>
    <w:rsid w:val="00531204"/>
    <w:rsid w:val="00531627"/>
    <w:rsid w:val="00533262"/>
    <w:rsid w:val="005332E5"/>
    <w:rsid w:val="005333A7"/>
    <w:rsid w:val="005342C3"/>
    <w:rsid w:val="0053472A"/>
    <w:rsid w:val="00535567"/>
    <w:rsid w:val="00535A3E"/>
    <w:rsid w:val="00535ACD"/>
    <w:rsid w:val="005362F5"/>
    <w:rsid w:val="0053725B"/>
    <w:rsid w:val="00537309"/>
    <w:rsid w:val="00537CE2"/>
    <w:rsid w:val="00537DD6"/>
    <w:rsid w:val="005402A9"/>
    <w:rsid w:val="00540C57"/>
    <w:rsid w:val="00542ADC"/>
    <w:rsid w:val="00543371"/>
    <w:rsid w:val="00543E19"/>
    <w:rsid w:val="0054413E"/>
    <w:rsid w:val="00544EAF"/>
    <w:rsid w:val="00546AD2"/>
    <w:rsid w:val="00546C69"/>
    <w:rsid w:val="00547104"/>
    <w:rsid w:val="00547A61"/>
    <w:rsid w:val="005502DB"/>
    <w:rsid w:val="00550ED9"/>
    <w:rsid w:val="00551FE3"/>
    <w:rsid w:val="0055247E"/>
    <w:rsid w:val="00552C82"/>
    <w:rsid w:val="005531BD"/>
    <w:rsid w:val="00553978"/>
    <w:rsid w:val="00555468"/>
    <w:rsid w:val="00555884"/>
    <w:rsid w:val="00556228"/>
    <w:rsid w:val="005567B2"/>
    <w:rsid w:val="005569C3"/>
    <w:rsid w:val="00556B55"/>
    <w:rsid w:val="00557870"/>
    <w:rsid w:val="00557AFC"/>
    <w:rsid w:val="00557D4A"/>
    <w:rsid w:val="00560277"/>
    <w:rsid w:val="005607B3"/>
    <w:rsid w:val="00560938"/>
    <w:rsid w:val="00560AF1"/>
    <w:rsid w:val="00561562"/>
    <w:rsid w:val="005633BF"/>
    <w:rsid w:val="00563DE6"/>
    <w:rsid w:val="00563E7A"/>
    <w:rsid w:val="00564FF0"/>
    <w:rsid w:val="0056528D"/>
    <w:rsid w:val="0056628B"/>
    <w:rsid w:val="00566298"/>
    <w:rsid w:val="00567EC2"/>
    <w:rsid w:val="00570263"/>
    <w:rsid w:val="005705A9"/>
    <w:rsid w:val="0057091E"/>
    <w:rsid w:val="00570D3C"/>
    <w:rsid w:val="00571B72"/>
    <w:rsid w:val="005723D6"/>
    <w:rsid w:val="005725FE"/>
    <w:rsid w:val="005731FF"/>
    <w:rsid w:val="005732EA"/>
    <w:rsid w:val="00574A6E"/>
    <w:rsid w:val="00574BAD"/>
    <w:rsid w:val="005765A2"/>
    <w:rsid w:val="005765C1"/>
    <w:rsid w:val="00576698"/>
    <w:rsid w:val="00576809"/>
    <w:rsid w:val="00577145"/>
    <w:rsid w:val="005773BE"/>
    <w:rsid w:val="00577DED"/>
    <w:rsid w:val="00577F34"/>
    <w:rsid w:val="005804BF"/>
    <w:rsid w:val="005806DA"/>
    <w:rsid w:val="00581F1C"/>
    <w:rsid w:val="00582365"/>
    <w:rsid w:val="0058343D"/>
    <w:rsid w:val="0058359C"/>
    <w:rsid w:val="00583751"/>
    <w:rsid w:val="00584A96"/>
    <w:rsid w:val="00584B7B"/>
    <w:rsid w:val="00585335"/>
    <w:rsid w:val="00585347"/>
    <w:rsid w:val="005854F3"/>
    <w:rsid w:val="005858E3"/>
    <w:rsid w:val="00585C1B"/>
    <w:rsid w:val="00586A1A"/>
    <w:rsid w:val="005872C7"/>
    <w:rsid w:val="00587639"/>
    <w:rsid w:val="00587D81"/>
    <w:rsid w:val="00590F9E"/>
    <w:rsid w:val="005915FD"/>
    <w:rsid w:val="005920BB"/>
    <w:rsid w:val="00592638"/>
    <w:rsid w:val="00593138"/>
    <w:rsid w:val="00593A33"/>
    <w:rsid w:val="005947B5"/>
    <w:rsid w:val="00595B7C"/>
    <w:rsid w:val="005960BB"/>
    <w:rsid w:val="005964A6"/>
    <w:rsid w:val="00597407"/>
    <w:rsid w:val="0059745D"/>
    <w:rsid w:val="005979B2"/>
    <w:rsid w:val="00597DAA"/>
    <w:rsid w:val="00597EFB"/>
    <w:rsid w:val="005A0496"/>
    <w:rsid w:val="005A0845"/>
    <w:rsid w:val="005A1D3A"/>
    <w:rsid w:val="005A2EB7"/>
    <w:rsid w:val="005A37AD"/>
    <w:rsid w:val="005A38C9"/>
    <w:rsid w:val="005A3EE3"/>
    <w:rsid w:val="005A4047"/>
    <w:rsid w:val="005A4384"/>
    <w:rsid w:val="005A5665"/>
    <w:rsid w:val="005A6D17"/>
    <w:rsid w:val="005A7012"/>
    <w:rsid w:val="005A7A5E"/>
    <w:rsid w:val="005A7C2A"/>
    <w:rsid w:val="005B02C1"/>
    <w:rsid w:val="005B0475"/>
    <w:rsid w:val="005B04AE"/>
    <w:rsid w:val="005B0731"/>
    <w:rsid w:val="005B0F98"/>
    <w:rsid w:val="005B1C07"/>
    <w:rsid w:val="005B3432"/>
    <w:rsid w:val="005B3680"/>
    <w:rsid w:val="005B3725"/>
    <w:rsid w:val="005B3BD6"/>
    <w:rsid w:val="005B409F"/>
    <w:rsid w:val="005B56A1"/>
    <w:rsid w:val="005B6760"/>
    <w:rsid w:val="005B73B6"/>
    <w:rsid w:val="005B7B44"/>
    <w:rsid w:val="005B7D6C"/>
    <w:rsid w:val="005B7E92"/>
    <w:rsid w:val="005C24E6"/>
    <w:rsid w:val="005C2729"/>
    <w:rsid w:val="005C38A7"/>
    <w:rsid w:val="005C3951"/>
    <w:rsid w:val="005C4671"/>
    <w:rsid w:val="005C4679"/>
    <w:rsid w:val="005C5F1F"/>
    <w:rsid w:val="005C6533"/>
    <w:rsid w:val="005C6838"/>
    <w:rsid w:val="005C70DC"/>
    <w:rsid w:val="005C7215"/>
    <w:rsid w:val="005C73C4"/>
    <w:rsid w:val="005C764C"/>
    <w:rsid w:val="005C7749"/>
    <w:rsid w:val="005C78C4"/>
    <w:rsid w:val="005C78F3"/>
    <w:rsid w:val="005D00EA"/>
    <w:rsid w:val="005D023B"/>
    <w:rsid w:val="005D03C9"/>
    <w:rsid w:val="005D072B"/>
    <w:rsid w:val="005D12D6"/>
    <w:rsid w:val="005D1706"/>
    <w:rsid w:val="005D2304"/>
    <w:rsid w:val="005D24B5"/>
    <w:rsid w:val="005D2654"/>
    <w:rsid w:val="005D35BD"/>
    <w:rsid w:val="005D3A04"/>
    <w:rsid w:val="005D3B16"/>
    <w:rsid w:val="005D41A8"/>
    <w:rsid w:val="005D47E4"/>
    <w:rsid w:val="005D48FE"/>
    <w:rsid w:val="005D4FB2"/>
    <w:rsid w:val="005D5942"/>
    <w:rsid w:val="005D6902"/>
    <w:rsid w:val="005D72C8"/>
    <w:rsid w:val="005D7471"/>
    <w:rsid w:val="005D749D"/>
    <w:rsid w:val="005D776C"/>
    <w:rsid w:val="005D786E"/>
    <w:rsid w:val="005E13D9"/>
    <w:rsid w:val="005E1E62"/>
    <w:rsid w:val="005E2702"/>
    <w:rsid w:val="005E2AFC"/>
    <w:rsid w:val="005E490F"/>
    <w:rsid w:val="005E5874"/>
    <w:rsid w:val="005E5AA1"/>
    <w:rsid w:val="005E5B47"/>
    <w:rsid w:val="005E6096"/>
    <w:rsid w:val="005E6484"/>
    <w:rsid w:val="005E6874"/>
    <w:rsid w:val="005E6C0E"/>
    <w:rsid w:val="005E74C4"/>
    <w:rsid w:val="005E75D5"/>
    <w:rsid w:val="005E7676"/>
    <w:rsid w:val="005F0DA4"/>
    <w:rsid w:val="005F1555"/>
    <w:rsid w:val="005F1668"/>
    <w:rsid w:val="005F17B3"/>
    <w:rsid w:val="005F1E48"/>
    <w:rsid w:val="005F2978"/>
    <w:rsid w:val="005F2BC3"/>
    <w:rsid w:val="005F34D8"/>
    <w:rsid w:val="005F427D"/>
    <w:rsid w:val="005F4721"/>
    <w:rsid w:val="005F4F24"/>
    <w:rsid w:val="005F600E"/>
    <w:rsid w:val="005F68D9"/>
    <w:rsid w:val="005F6DA4"/>
    <w:rsid w:val="005F720A"/>
    <w:rsid w:val="005F7FC9"/>
    <w:rsid w:val="006002F8"/>
    <w:rsid w:val="006004FE"/>
    <w:rsid w:val="00601397"/>
    <w:rsid w:val="00601507"/>
    <w:rsid w:val="00602DB5"/>
    <w:rsid w:val="00602F43"/>
    <w:rsid w:val="00603197"/>
    <w:rsid w:val="00603396"/>
    <w:rsid w:val="006034ED"/>
    <w:rsid w:val="00603B08"/>
    <w:rsid w:val="00603B21"/>
    <w:rsid w:val="0060457F"/>
    <w:rsid w:val="00604872"/>
    <w:rsid w:val="00604D69"/>
    <w:rsid w:val="00605217"/>
    <w:rsid w:val="00605776"/>
    <w:rsid w:val="00605BE2"/>
    <w:rsid w:val="006063B5"/>
    <w:rsid w:val="0060766F"/>
    <w:rsid w:val="00607889"/>
    <w:rsid w:val="00610162"/>
    <w:rsid w:val="00610ABA"/>
    <w:rsid w:val="00610CF6"/>
    <w:rsid w:val="00611292"/>
    <w:rsid w:val="00611307"/>
    <w:rsid w:val="00611819"/>
    <w:rsid w:val="00612581"/>
    <w:rsid w:val="00613037"/>
    <w:rsid w:val="006132A7"/>
    <w:rsid w:val="00613490"/>
    <w:rsid w:val="006135AB"/>
    <w:rsid w:val="006135CD"/>
    <w:rsid w:val="006136AE"/>
    <w:rsid w:val="006136EE"/>
    <w:rsid w:val="006138E4"/>
    <w:rsid w:val="006144F6"/>
    <w:rsid w:val="00615767"/>
    <w:rsid w:val="00616407"/>
    <w:rsid w:val="006164CA"/>
    <w:rsid w:val="00616D58"/>
    <w:rsid w:val="00617DEC"/>
    <w:rsid w:val="00620E5A"/>
    <w:rsid w:val="00621210"/>
    <w:rsid w:val="00621922"/>
    <w:rsid w:val="0062200A"/>
    <w:rsid w:val="00622066"/>
    <w:rsid w:val="006236F2"/>
    <w:rsid w:val="00623CBE"/>
    <w:rsid w:val="0062465D"/>
    <w:rsid w:val="006248F1"/>
    <w:rsid w:val="006250E9"/>
    <w:rsid w:val="006255F8"/>
    <w:rsid w:val="00625F9D"/>
    <w:rsid w:val="00627D1D"/>
    <w:rsid w:val="006304A0"/>
    <w:rsid w:val="006304A1"/>
    <w:rsid w:val="00630586"/>
    <w:rsid w:val="00630915"/>
    <w:rsid w:val="00630C0A"/>
    <w:rsid w:val="00631230"/>
    <w:rsid w:val="00631E56"/>
    <w:rsid w:val="00632B6C"/>
    <w:rsid w:val="006330DC"/>
    <w:rsid w:val="0063386E"/>
    <w:rsid w:val="00633993"/>
    <w:rsid w:val="00633B2F"/>
    <w:rsid w:val="0063477A"/>
    <w:rsid w:val="00634A4F"/>
    <w:rsid w:val="00636648"/>
    <w:rsid w:val="00636EE3"/>
    <w:rsid w:val="006373A9"/>
    <w:rsid w:val="00637551"/>
    <w:rsid w:val="00637899"/>
    <w:rsid w:val="00640C31"/>
    <w:rsid w:val="00643226"/>
    <w:rsid w:val="0064342C"/>
    <w:rsid w:val="00643694"/>
    <w:rsid w:val="00644B09"/>
    <w:rsid w:val="00644C2A"/>
    <w:rsid w:val="00645425"/>
    <w:rsid w:val="006459EF"/>
    <w:rsid w:val="00645A76"/>
    <w:rsid w:val="00646333"/>
    <w:rsid w:val="006465F3"/>
    <w:rsid w:val="006504B5"/>
    <w:rsid w:val="00650698"/>
    <w:rsid w:val="0065163F"/>
    <w:rsid w:val="006516D3"/>
    <w:rsid w:val="006534BF"/>
    <w:rsid w:val="0065359F"/>
    <w:rsid w:val="006537D7"/>
    <w:rsid w:val="0065442F"/>
    <w:rsid w:val="0065444A"/>
    <w:rsid w:val="00654F68"/>
    <w:rsid w:val="0065515D"/>
    <w:rsid w:val="00655A70"/>
    <w:rsid w:val="00655CF9"/>
    <w:rsid w:val="00655D45"/>
    <w:rsid w:val="00655F93"/>
    <w:rsid w:val="00655FB6"/>
    <w:rsid w:val="0065669D"/>
    <w:rsid w:val="00656D2D"/>
    <w:rsid w:val="0065714C"/>
    <w:rsid w:val="00657729"/>
    <w:rsid w:val="006606DB"/>
    <w:rsid w:val="0066089C"/>
    <w:rsid w:val="00660A74"/>
    <w:rsid w:val="00661175"/>
    <w:rsid w:val="00662548"/>
    <w:rsid w:val="0066258F"/>
    <w:rsid w:val="006626EB"/>
    <w:rsid w:val="00662E25"/>
    <w:rsid w:val="00662E5F"/>
    <w:rsid w:val="006633F5"/>
    <w:rsid w:val="00664434"/>
    <w:rsid w:val="006648AD"/>
    <w:rsid w:val="0066555C"/>
    <w:rsid w:val="0066561F"/>
    <w:rsid w:val="00666292"/>
    <w:rsid w:val="00666579"/>
    <w:rsid w:val="00666A58"/>
    <w:rsid w:val="00666B55"/>
    <w:rsid w:val="0066734C"/>
    <w:rsid w:val="00667C4B"/>
    <w:rsid w:val="00670648"/>
    <w:rsid w:val="00670650"/>
    <w:rsid w:val="00670680"/>
    <w:rsid w:val="00670F09"/>
    <w:rsid w:val="006712C0"/>
    <w:rsid w:val="00671ED6"/>
    <w:rsid w:val="00672A26"/>
    <w:rsid w:val="0067333E"/>
    <w:rsid w:val="006734E8"/>
    <w:rsid w:val="006737D3"/>
    <w:rsid w:val="00673E29"/>
    <w:rsid w:val="006744AC"/>
    <w:rsid w:val="00674C7D"/>
    <w:rsid w:val="006768D2"/>
    <w:rsid w:val="00677274"/>
    <w:rsid w:val="00680663"/>
    <w:rsid w:val="006807D9"/>
    <w:rsid w:val="006808CE"/>
    <w:rsid w:val="00680B40"/>
    <w:rsid w:val="00681A99"/>
    <w:rsid w:val="00681EC9"/>
    <w:rsid w:val="00682123"/>
    <w:rsid w:val="006822FA"/>
    <w:rsid w:val="0068288C"/>
    <w:rsid w:val="006829D8"/>
    <w:rsid w:val="00683033"/>
    <w:rsid w:val="00683C25"/>
    <w:rsid w:val="00683F36"/>
    <w:rsid w:val="00685589"/>
    <w:rsid w:val="00685FB7"/>
    <w:rsid w:val="006865E5"/>
    <w:rsid w:val="0068682C"/>
    <w:rsid w:val="00690672"/>
    <w:rsid w:val="00691385"/>
    <w:rsid w:val="00691884"/>
    <w:rsid w:val="006930CF"/>
    <w:rsid w:val="006933D2"/>
    <w:rsid w:val="0069362A"/>
    <w:rsid w:val="006938AA"/>
    <w:rsid w:val="0069474B"/>
    <w:rsid w:val="0069475D"/>
    <w:rsid w:val="0069481E"/>
    <w:rsid w:val="00694B5D"/>
    <w:rsid w:val="00694CE7"/>
    <w:rsid w:val="00697966"/>
    <w:rsid w:val="00697BA3"/>
    <w:rsid w:val="006A02C3"/>
    <w:rsid w:val="006A0839"/>
    <w:rsid w:val="006A089F"/>
    <w:rsid w:val="006A269B"/>
    <w:rsid w:val="006A3416"/>
    <w:rsid w:val="006A3A2B"/>
    <w:rsid w:val="006A3C8F"/>
    <w:rsid w:val="006A3E7E"/>
    <w:rsid w:val="006A4520"/>
    <w:rsid w:val="006A4CC7"/>
    <w:rsid w:val="006A5536"/>
    <w:rsid w:val="006A57DA"/>
    <w:rsid w:val="006A5A3A"/>
    <w:rsid w:val="006A5DE8"/>
    <w:rsid w:val="006A62CC"/>
    <w:rsid w:val="006A6BF1"/>
    <w:rsid w:val="006A6F33"/>
    <w:rsid w:val="006A7276"/>
    <w:rsid w:val="006B01C7"/>
    <w:rsid w:val="006B09B2"/>
    <w:rsid w:val="006B09F3"/>
    <w:rsid w:val="006B0A50"/>
    <w:rsid w:val="006B1A00"/>
    <w:rsid w:val="006B1C11"/>
    <w:rsid w:val="006B22F6"/>
    <w:rsid w:val="006B27C9"/>
    <w:rsid w:val="006B27F8"/>
    <w:rsid w:val="006B2B04"/>
    <w:rsid w:val="006B2D13"/>
    <w:rsid w:val="006B3032"/>
    <w:rsid w:val="006B3165"/>
    <w:rsid w:val="006B3828"/>
    <w:rsid w:val="006B4B4A"/>
    <w:rsid w:val="006B5953"/>
    <w:rsid w:val="006B5A7F"/>
    <w:rsid w:val="006B5DB0"/>
    <w:rsid w:val="006B5E88"/>
    <w:rsid w:val="006B6095"/>
    <w:rsid w:val="006B6110"/>
    <w:rsid w:val="006B655B"/>
    <w:rsid w:val="006B684D"/>
    <w:rsid w:val="006B6FA6"/>
    <w:rsid w:val="006B75AA"/>
    <w:rsid w:val="006B75C6"/>
    <w:rsid w:val="006B7B87"/>
    <w:rsid w:val="006C00E2"/>
    <w:rsid w:val="006C091A"/>
    <w:rsid w:val="006C12B6"/>
    <w:rsid w:val="006C13F3"/>
    <w:rsid w:val="006C1E45"/>
    <w:rsid w:val="006C1FD7"/>
    <w:rsid w:val="006C2263"/>
    <w:rsid w:val="006C27FF"/>
    <w:rsid w:val="006C2B57"/>
    <w:rsid w:val="006C3043"/>
    <w:rsid w:val="006C354C"/>
    <w:rsid w:val="006C3783"/>
    <w:rsid w:val="006C3B76"/>
    <w:rsid w:val="006C4252"/>
    <w:rsid w:val="006C4572"/>
    <w:rsid w:val="006C4A3F"/>
    <w:rsid w:val="006C5548"/>
    <w:rsid w:val="006C5AF3"/>
    <w:rsid w:val="006C5EED"/>
    <w:rsid w:val="006C6250"/>
    <w:rsid w:val="006C6651"/>
    <w:rsid w:val="006C6751"/>
    <w:rsid w:val="006C7B03"/>
    <w:rsid w:val="006C7B09"/>
    <w:rsid w:val="006D0129"/>
    <w:rsid w:val="006D0C1D"/>
    <w:rsid w:val="006D0EC2"/>
    <w:rsid w:val="006D1E68"/>
    <w:rsid w:val="006D2F4E"/>
    <w:rsid w:val="006D359D"/>
    <w:rsid w:val="006D3D06"/>
    <w:rsid w:val="006D4C72"/>
    <w:rsid w:val="006D4E4C"/>
    <w:rsid w:val="006D5585"/>
    <w:rsid w:val="006D583D"/>
    <w:rsid w:val="006D59F8"/>
    <w:rsid w:val="006D5F76"/>
    <w:rsid w:val="006D6D96"/>
    <w:rsid w:val="006D71CA"/>
    <w:rsid w:val="006D7211"/>
    <w:rsid w:val="006D7534"/>
    <w:rsid w:val="006D75C8"/>
    <w:rsid w:val="006D7AEE"/>
    <w:rsid w:val="006D7BAF"/>
    <w:rsid w:val="006E0339"/>
    <w:rsid w:val="006E1890"/>
    <w:rsid w:val="006E2C08"/>
    <w:rsid w:val="006E47C0"/>
    <w:rsid w:val="006E4F7D"/>
    <w:rsid w:val="006E531E"/>
    <w:rsid w:val="006E585D"/>
    <w:rsid w:val="006E5964"/>
    <w:rsid w:val="006E5A04"/>
    <w:rsid w:val="006E6A79"/>
    <w:rsid w:val="006E6EFB"/>
    <w:rsid w:val="006E72DD"/>
    <w:rsid w:val="006E7669"/>
    <w:rsid w:val="006E7CE7"/>
    <w:rsid w:val="006E7D8A"/>
    <w:rsid w:val="006F0968"/>
    <w:rsid w:val="006F0D46"/>
    <w:rsid w:val="006F14ED"/>
    <w:rsid w:val="006F204B"/>
    <w:rsid w:val="006F23DD"/>
    <w:rsid w:val="006F25C0"/>
    <w:rsid w:val="006F2707"/>
    <w:rsid w:val="006F30A5"/>
    <w:rsid w:val="006F317D"/>
    <w:rsid w:val="006F3ECB"/>
    <w:rsid w:val="006F4103"/>
    <w:rsid w:val="006F436C"/>
    <w:rsid w:val="006F43C9"/>
    <w:rsid w:val="006F5158"/>
    <w:rsid w:val="006F53EF"/>
    <w:rsid w:val="006F61D6"/>
    <w:rsid w:val="006F721F"/>
    <w:rsid w:val="006F746F"/>
    <w:rsid w:val="006F7A94"/>
    <w:rsid w:val="00700155"/>
    <w:rsid w:val="00700950"/>
    <w:rsid w:val="00700B60"/>
    <w:rsid w:val="00701136"/>
    <w:rsid w:val="00701154"/>
    <w:rsid w:val="00702254"/>
    <w:rsid w:val="007027CE"/>
    <w:rsid w:val="0070319A"/>
    <w:rsid w:val="0070335A"/>
    <w:rsid w:val="00703CB4"/>
    <w:rsid w:val="00705214"/>
    <w:rsid w:val="00705F14"/>
    <w:rsid w:val="007071A9"/>
    <w:rsid w:val="007077F3"/>
    <w:rsid w:val="00707C18"/>
    <w:rsid w:val="007103A9"/>
    <w:rsid w:val="00710F94"/>
    <w:rsid w:val="0071189F"/>
    <w:rsid w:val="00711C69"/>
    <w:rsid w:val="00711CBA"/>
    <w:rsid w:val="00712C0B"/>
    <w:rsid w:val="0071385B"/>
    <w:rsid w:val="007144F0"/>
    <w:rsid w:val="007147EA"/>
    <w:rsid w:val="007148A5"/>
    <w:rsid w:val="00714CE7"/>
    <w:rsid w:val="007159CE"/>
    <w:rsid w:val="00715CF5"/>
    <w:rsid w:val="00716AD2"/>
    <w:rsid w:val="00720363"/>
    <w:rsid w:val="007203CA"/>
    <w:rsid w:val="00720719"/>
    <w:rsid w:val="0072082C"/>
    <w:rsid w:val="0072141E"/>
    <w:rsid w:val="007216EE"/>
    <w:rsid w:val="0072185E"/>
    <w:rsid w:val="00721CBE"/>
    <w:rsid w:val="0072215C"/>
    <w:rsid w:val="007226F5"/>
    <w:rsid w:val="00722A49"/>
    <w:rsid w:val="00723AC3"/>
    <w:rsid w:val="00723B2C"/>
    <w:rsid w:val="00724433"/>
    <w:rsid w:val="0072471E"/>
    <w:rsid w:val="00724ED0"/>
    <w:rsid w:val="00724F92"/>
    <w:rsid w:val="007253D6"/>
    <w:rsid w:val="0072557F"/>
    <w:rsid w:val="00725606"/>
    <w:rsid w:val="0072562F"/>
    <w:rsid w:val="0072578A"/>
    <w:rsid w:val="0072597A"/>
    <w:rsid w:val="00725D31"/>
    <w:rsid w:val="007267E5"/>
    <w:rsid w:val="00727BFA"/>
    <w:rsid w:val="0073085E"/>
    <w:rsid w:val="00730E53"/>
    <w:rsid w:val="00731534"/>
    <w:rsid w:val="007328E9"/>
    <w:rsid w:val="0073382D"/>
    <w:rsid w:val="007347C1"/>
    <w:rsid w:val="00734863"/>
    <w:rsid w:val="007357BD"/>
    <w:rsid w:val="007359E5"/>
    <w:rsid w:val="00735CFD"/>
    <w:rsid w:val="007367AB"/>
    <w:rsid w:val="0073700D"/>
    <w:rsid w:val="00737734"/>
    <w:rsid w:val="0073792C"/>
    <w:rsid w:val="00737F95"/>
    <w:rsid w:val="00740A73"/>
    <w:rsid w:val="0074112D"/>
    <w:rsid w:val="007424C5"/>
    <w:rsid w:val="00742520"/>
    <w:rsid w:val="0074257A"/>
    <w:rsid w:val="007435A8"/>
    <w:rsid w:val="007451C6"/>
    <w:rsid w:val="00746263"/>
    <w:rsid w:val="00746370"/>
    <w:rsid w:val="007465CA"/>
    <w:rsid w:val="00746754"/>
    <w:rsid w:val="00747434"/>
    <w:rsid w:val="0074788B"/>
    <w:rsid w:val="00747971"/>
    <w:rsid w:val="007503D9"/>
    <w:rsid w:val="00750E6D"/>
    <w:rsid w:val="0075137C"/>
    <w:rsid w:val="007523BC"/>
    <w:rsid w:val="00752FDD"/>
    <w:rsid w:val="00753C0D"/>
    <w:rsid w:val="0075418A"/>
    <w:rsid w:val="00754F2A"/>
    <w:rsid w:val="00755351"/>
    <w:rsid w:val="00755360"/>
    <w:rsid w:val="00756815"/>
    <w:rsid w:val="00756ED0"/>
    <w:rsid w:val="007571CF"/>
    <w:rsid w:val="00757433"/>
    <w:rsid w:val="00757857"/>
    <w:rsid w:val="00757BA8"/>
    <w:rsid w:val="007605F6"/>
    <w:rsid w:val="007607B6"/>
    <w:rsid w:val="00760A80"/>
    <w:rsid w:val="00760C63"/>
    <w:rsid w:val="00762272"/>
    <w:rsid w:val="0076260D"/>
    <w:rsid w:val="00762928"/>
    <w:rsid w:val="0076298C"/>
    <w:rsid w:val="00762FCA"/>
    <w:rsid w:val="007634CB"/>
    <w:rsid w:val="00763B77"/>
    <w:rsid w:val="00763DEE"/>
    <w:rsid w:val="00763E55"/>
    <w:rsid w:val="00763F18"/>
    <w:rsid w:val="00764513"/>
    <w:rsid w:val="0076484D"/>
    <w:rsid w:val="007661B2"/>
    <w:rsid w:val="00766242"/>
    <w:rsid w:val="00766D32"/>
    <w:rsid w:val="0076702C"/>
    <w:rsid w:val="00767BDD"/>
    <w:rsid w:val="00767F6C"/>
    <w:rsid w:val="00770B76"/>
    <w:rsid w:val="0077163C"/>
    <w:rsid w:val="00772829"/>
    <w:rsid w:val="00774686"/>
    <w:rsid w:val="00774728"/>
    <w:rsid w:val="007751D3"/>
    <w:rsid w:val="00775465"/>
    <w:rsid w:val="007767A7"/>
    <w:rsid w:val="00776A7F"/>
    <w:rsid w:val="00777114"/>
    <w:rsid w:val="00777848"/>
    <w:rsid w:val="00777893"/>
    <w:rsid w:val="00777BBB"/>
    <w:rsid w:val="00780BD7"/>
    <w:rsid w:val="00781211"/>
    <w:rsid w:val="00781473"/>
    <w:rsid w:val="00783167"/>
    <w:rsid w:val="007849F7"/>
    <w:rsid w:val="007852E9"/>
    <w:rsid w:val="0078559A"/>
    <w:rsid w:val="007855FC"/>
    <w:rsid w:val="00786EAE"/>
    <w:rsid w:val="00787257"/>
    <w:rsid w:val="0078736E"/>
    <w:rsid w:val="00787968"/>
    <w:rsid w:val="00787AC4"/>
    <w:rsid w:val="00790B15"/>
    <w:rsid w:val="00790F49"/>
    <w:rsid w:val="00791CE4"/>
    <w:rsid w:val="00791F94"/>
    <w:rsid w:val="0079243F"/>
    <w:rsid w:val="007929BA"/>
    <w:rsid w:val="007931CB"/>
    <w:rsid w:val="007951D4"/>
    <w:rsid w:val="00795CE7"/>
    <w:rsid w:val="007976D3"/>
    <w:rsid w:val="00797C46"/>
    <w:rsid w:val="007A096E"/>
    <w:rsid w:val="007A0F7B"/>
    <w:rsid w:val="007A1545"/>
    <w:rsid w:val="007A15A0"/>
    <w:rsid w:val="007A19F6"/>
    <w:rsid w:val="007A1EE4"/>
    <w:rsid w:val="007A2B65"/>
    <w:rsid w:val="007A2E5A"/>
    <w:rsid w:val="007A38E6"/>
    <w:rsid w:val="007A3D4E"/>
    <w:rsid w:val="007A45A6"/>
    <w:rsid w:val="007A5617"/>
    <w:rsid w:val="007A698B"/>
    <w:rsid w:val="007A6C43"/>
    <w:rsid w:val="007A6D09"/>
    <w:rsid w:val="007A7473"/>
    <w:rsid w:val="007A7BA6"/>
    <w:rsid w:val="007A7FBE"/>
    <w:rsid w:val="007B0245"/>
    <w:rsid w:val="007B07E0"/>
    <w:rsid w:val="007B083F"/>
    <w:rsid w:val="007B0880"/>
    <w:rsid w:val="007B0D01"/>
    <w:rsid w:val="007B17C7"/>
    <w:rsid w:val="007B1B69"/>
    <w:rsid w:val="007B2085"/>
    <w:rsid w:val="007B223F"/>
    <w:rsid w:val="007B2FDC"/>
    <w:rsid w:val="007B3456"/>
    <w:rsid w:val="007B38A0"/>
    <w:rsid w:val="007B38B7"/>
    <w:rsid w:val="007B46C9"/>
    <w:rsid w:val="007B46DD"/>
    <w:rsid w:val="007B4F7B"/>
    <w:rsid w:val="007B583D"/>
    <w:rsid w:val="007B5EB8"/>
    <w:rsid w:val="007B633C"/>
    <w:rsid w:val="007B6684"/>
    <w:rsid w:val="007B6B21"/>
    <w:rsid w:val="007B6FD1"/>
    <w:rsid w:val="007B7024"/>
    <w:rsid w:val="007B7F45"/>
    <w:rsid w:val="007C0390"/>
    <w:rsid w:val="007C0B79"/>
    <w:rsid w:val="007C0D37"/>
    <w:rsid w:val="007C0FBF"/>
    <w:rsid w:val="007C1237"/>
    <w:rsid w:val="007C14A2"/>
    <w:rsid w:val="007C1584"/>
    <w:rsid w:val="007C300E"/>
    <w:rsid w:val="007C328D"/>
    <w:rsid w:val="007C336F"/>
    <w:rsid w:val="007C41B1"/>
    <w:rsid w:val="007C4AD0"/>
    <w:rsid w:val="007C4AF5"/>
    <w:rsid w:val="007C4DC1"/>
    <w:rsid w:val="007C4FC3"/>
    <w:rsid w:val="007C4FE0"/>
    <w:rsid w:val="007C5486"/>
    <w:rsid w:val="007C5E9A"/>
    <w:rsid w:val="007C626C"/>
    <w:rsid w:val="007C774E"/>
    <w:rsid w:val="007C7D04"/>
    <w:rsid w:val="007D0882"/>
    <w:rsid w:val="007D1102"/>
    <w:rsid w:val="007D1EDA"/>
    <w:rsid w:val="007D26A8"/>
    <w:rsid w:val="007D30B7"/>
    <w:rsid w:val="007D3AD3"/>
    <w:rsid w:val="007D3BD8"/>
    <w:rsid w:val="007D3D50"/>
    <w:rsid w:val="007D4A40"/>
    <w:rsid w:val="007D4E0D"/>
    <w:rsid w:val="007D51FE"/>
    <w:rsid w:val="007D6F97"/>
    <w:rsid w:val="007D7E05"/>
    <w:rsid w:val="007E083F"/>
    <w:rsid w:val="007E1569"/>
    <w:rsid w:val="007E15AD"/>
    <w:rsid w:val="007E1DDD"/>
    <w:rsid w:val="007E228E"/>
    <w:rsid w:val="007E25A1"/>
    <w:rsid w:val="007E25ED"/>
    <w:rsid w:val="007E2BC0"/>
    <w:rsid w:val="007E32AD"/>
    <w:rsid w:val="007E3F09"/>
    <w:rsid w:val="007E49E9"/>
    <w:rsid w:val="007E5189"/>
    <w:rsid w:val="007F2D58"/>
    <w:rsid w:val="007F312B"/>
    <w:rsid w:val="007F449B"/>
    <w:rsid w:val="007F45AD"/>
    <w:rsid w:val="007F53D9"/>
    <w:rsid w:val="007F543F"/>
    <w:rsid w:val="007F5D62"/>
    <w:rsid w:val="007F67E9"/>
    <w:rsid w:val="007F72ED"/>
    <w:rsid w:val="007F7321"/>
    <w:rsid w:val="007F7539"/>
    <w:rsid w:val="007F7C7B"/>
    <w:rsid w:val="0080025B"/>
    <w:rsid w:val="008003A2"/>
    <w:rsid w:val="008017BB"/>
    <w:rsid w:val="00801F4B"/>
    <w:rsid w:val="00802385"/>
    <w:rsid w:val="0080296E"/>
    <w:rsid w:val="00803A99"/>
    <w:rsid w:val="008040A2"/>
    <w:rsid w:val="00804341"/>
    <w:rsid w:val="00804520"/>
    <w:rsid w:val="00804632"/>
    <w:rsid w:val="00804BFD"/>
    <w:rsid w:val="008052A0"/>
    <w:rsid w:val="008054D9"/>
    <w:rsid w:val="0080577D"/>
    <w:rsid w:val="008062AA"/>
    <w:rsid w:val="0080638E"/>
    <w:rsid w:val="00806688"/>
    <w:rsid w:val="00806718"/>
    <w:rsid w:val="00807087"/>
    <w:rsid w:val="00807A3E"/>
    <w:rsid w:val="00807B98"/>
    <w:rsid w:val="00807C31"/>
    <w:rsid w:val="00810338"/>
    <w:rsid w:val="00810A61"/>
    <w:rsid w:val="00812282"/>
    <w:rsid w:val="0081265C"/>
    <w:rsid w:val="00812B49"/>
    <w:rsid w:val="0081310D"/>
    <w:rsid w:val="008136A8"/>
    <w:rsid w:val="0081389A"/>
    <w:rsid w:val="00813F58"/>
    <w:rsid w:val="00813FE3"/>
    <w:rsid w:val="0081416B"/>
    <w:rsid w:val="0081456C"/>
    <w:rsid w:val="00814621"/>
    <w:rsid w:val="008148E4"/>
    <w:rsid w:val="00814CAB"/>
    <w:rsid w:val="00814D59"/>
    <w:rsid w:val="00814EE8"/>
    <w:rsid w:val="00815034"/>
    <w:rsid w:val="008157F1"/>
    <w:rsid w:val="00816EC2"/>
    <w:rsid w:val="0081748D"/>
    <w:rsid w:val="00820C1D"/>
    <w:rsid w:val="00820DA8"/>
    <w:rsid w:val="00821133"/>
    <w:rsid w:val="00821591"/>
    <w:rsid w:val="008222DD"/>
    <w:rsid w:val="00822488"/>
    <w:rsid w:val="00823082"/>
    <w:rsid w:val="008236E1"/>
    <w:rsid w:val="00824043"/>
    <w:rsid w:val="0082415F"/>
    <w:rsid w:val="00824458"/>
    <w:rsid w:val="0082495A"/>
    <w:rsid w:val="008249F7"/>
    <w:rsid w:val="00824B74"/>
    <w:rsid w:val="00825112"/>
    <w:rsid w:val="00825EA0"/>
    <w:rsid w:val="00825EEC"/>
    <w:rsid w:val="00827027"/>
    <w:rsid w:val="0082726C"/>
    <w:rsid w:val="00827D91"/>
    <w:rsid w:val="0083030F"/>
    <w:rsid w:val="00830459"/>
    <w:rsid w:val="00831235"/>
    <w:rsid w:val="008319FF"/>
    <w:rsid w:val="00831F0C"/>
    <w:rsid w:val="008320D7"/>
    <w:rsid w:val="00832D2B"/>
    <w:rsid w:val="00833135"/>
    <w:rsid w:val="00833831"/>
    <w:rsid w:val="00834B25"/>
    <w:rsid w:val="00835890"/>
    <w:rsid w:val="00835EC9"/>
    <w:rsid w:val="00836546"/>
    <w:rsid w:val="008376D9"/>
    <w:rsid w:val="00840A55"/>
    <w:rsid w:val="0084111E"/>
    <w:rsid w:val="00841388"/>
    <w:rsid w:val="00841D79"/>
    <w:rsid w:val="00841EFB"/>
    <w:rsid w:val="00841F44"/>
    <w:rsid w:val="00842436"/>
    <w:rsid w:val="00842C82"/>
    <w:rsid w:val="008436D7"/>
    <w:rsid w:val="00843D0E"/>
    <w:rsid w:val="008440FE"/>
    <w:rsid w:val="00844458"/>
    <w:rsid w:val="008453A8"/>
    <w:rsid w:val="0084563C"/>
    <w:rsid w:val="00846119"/>
    <w:rsid w:val="00846EA9"/>
    <w:rsid w:val="008474E3"/>
    <w:rsid w:val="008479A0"/>
    <w:rsid w:val="00847EDA"/>
    <w:rsid w:val="008500A8"/>
    <w:rsid w:val="00850252"/>
    <w:rsid w:val="0085065D"/>
    <w:rsid w:val="008527ED"/>
    <w:rsid w:val="008537F7"/>
    <w:rsid w:val="008546BE"/>
    <w:rsid w:val="00855172"/>
    <w:rsid w:val="00856074"/>
    <w:rsid w:val="00856824"/>
    <w:rsid w:val="00857949"/>
    <w:rsid w:val="00857F05"/>
    <w:rsid w:val="0086131D"/>
    <w:rsid w:val="008623C7"/>
    <w:rsid w:val="0086291B"/>
    <w:rsid w:val="00865AB1"/>
    <w:rsid w:val="0086619D"/>
    <w:rsid w:val="00867243"/>
    <w:rsid w:val="00867CA0"/>
    <w:rsid w:val="00867D9C"/>
    <w:rsid w:val="00867E94"/>
    <w:rsid w:val="00867F12"/>
    <w:rsid w:val="008708B5"/>
    <w:rsid w:val="00870D57"/>
    <w:rsid w:val="00871B4A"/>
    <w:rsid w:val="0087277A"/>
    <w:rsid w:val="00872A47"/>
    <w:rsid w:val="008736E2"/>
    <w:rsid w:val="00874565"/>
    <w:rsid w:val="008765F1"/>
    <w:rsid w:val="008769C3"/>
    <w:rsid w:val="00877247"/>
    <w:rsid w:val="008801AE"/>
    <w:rsid w:val="00880356"/>
    <w:rsid w:val="00880676"/>
    <w:rsid w:val="008806C0"/>
    <w:rsid w:val="00880AA3"/>
    <w:rsid w:val="00880EE2"/>
    <w:rsid w:val="00881340"/>
    <w:rsid w:val="008818CE"/>
    <w:rsid w:val="008820DB"/>
    <w:rsid w:val="0088215B"/>
    <w:rsid w:val="00882323"/>
    <w:rsid w:val="008824E3"/>
    <w:rsid w:val="00883135"/>
    <w:rsid w:val="008833C5"/>
    <w:rsid w:val="00883D98"/>
    <w:rsid w:val="0088421C"/>
    <w:rsid w:val="0088445B"/>
    <w:rsid w:val="00884AAC"/>
    <w:rsid w:val="00884B93"/>
    <w:rsid w:val="00884DCD"/>
    <w:rsid w:val="00886274"/>
    <w:rsid w:val="00886349"/>
    <w:rsid w:val="008909E0"/>
    <w:rsid w:val="008915C0"/>
    <w:rsid w:val="00891AF6"/>
    <w:rsid w:val="00891BC3"/>
    <w:rsid w:val="00892C77"/>
    <w:rsid w:val="0089360D"/>
    <w:rsid w:val="0089376A"/>
    <w:rsid w:val="008937C8"/>
    <w:rsid w:val="0089386E"/>
    <w:rsid w:val="00893B62"/>
    <w:rsid w:val="0089442A"/>
    <w:rsid w:val="00894572"/>
    <w:rsid w:val="00895144"/>
    <w:rsid w:val="00895F06"/>
    <w:rsid w:val="008967C4"/>
    <w:rsid w:val="00897616"/>
    <w:rsid w:val="00897873"/>
    <w:rsid w:val="00897DC0"/>
    <w:rsid w:val="008A0D2A"/>
    <w:rsid w:val="008A0EFB"/>
    <w:rsid w:val="008A1693"/>
    <w:rsid w:val="008A2492"/>
    <w:rsid w:val="008A254F"/>
    <w:rsid w:val="008A2582"/>
    <w:rsid w:val="008A2630"/>
    <w:rsid w:val="008A3CB0"/>
    <w:rsid w:val="008A4495"/>
    <w:rsid w:val="008A4A4F"/>
    <w:rsid w:val="008A5833"/>
    <w:rsid w:val="008A5DBB"/>
    <w:rsid w:val="008A78B7"/>
    <w:rsid w:val="008B0AD6"/>
    <w:rsid w:val="008B0F3F"/>
    <w:rsid w:val="008B0F91"/>
    <w:rsid w:val="008B153C"/>
    <w:rsid w:val="008B3A88"/>
    <w:rsid w:val="008B404F"/>
    <w:rsid w:val="008B4BFC"/>
    <w:rsid w:val="008B4CAA"/>
    <w:rsid w:val="008B4F2D"/>
    <w:rsid w:val="008B51B4"/>
    <w:rsid w:val="008B5B67"/>
    <w:rsid w:val="008B5D7A"/>
    <w:rsid w:val="008B5F21"/>
    <w:rsid w:val="008B6215"/>
    <w:rsid w:val="008B66E3"/>
    <w:rsid w:val="008B716C"/>
    <w:rsid w:val="008B77E8"/>
    <w:rsid w:val="008B7848"/>
    <w:rsid w:val="008B78CA"/>
    <w:rsid w:val="008B7B9E"/>
    <w:rsid w:val="008B7FD4"/>
    <w:rsid w:val="008C17C9"/>
    <w:rsid w:val="008C1BAA"/>
    <w:rsid w:val="008C1E05"/>
    <w:rsid w:val="008C2724"/>
    <w:rsid w:val="008C2924"/>
    <w:rsid w:val="008C328B"/>
    <w:rsid w:val="008C32C8"/>
    <w:rsid w:val="008C34BB"/>
    <w:rsid w:val="008C371B"/>
    <w:rsid w:val="008C424C"/>
    <w:rsid w:val="008C430F"/>
    <w:rsid w:val="008C45E2"/>
    <w:rsid w:val="008C4C94"/>
    <w:rsid w:val="008C51D8"/>
    <w:rsid w:val="008C5347"/>
    <w:rsid w:val="008C589A"/>
    <w:rsid w:val="008C62B0"/>
    <w:rsid w:val="008C647B"/>
    <w:rsid w:val="008C6A38"/>
    <w:rsid w:val="008C76BB"/>
    <w:rsid w:val="008D0892"/>
    <w:rsid w:val="008D18E5"/>
    <w:rsid w:val="008D190A"/>
    <w:rsid w:val="008D1AC8"/>
    <w:rsid w:val="008D1BE8"/>
    <w:rsid w:val="008D2395"/>
    <w:rsid w:val="008D2E91"/>
    <w:rsid w:val="008D3726"/>
    <w:rsid w:val="008D4CB0"/>
    <w:rsid w:val="008D51B6"/>
    <w:rsid w:val="008D51EA"/>
    <w:rsid w:val="008D5C03"/>
    <w:rsid w:val="008D6397"/>
    <w:rsid w:val="008D6B7E"/>
    <w:rsid w:val="008D6F1A"/>
    <w:rsid w:val="008D717B"/>
    <w:rsid w:val="008D7220"/>
    <w:rsid w:val="008D73C9"/>
    <w:rsid w:val="008D7F49"/>
    <w:rsid w:val="008E0419"/>
    <w:rsid w:val="008E16BF"/>
    <w:rsid w:val="008E19F7"/>
    <w:rsid w:val="008E1BCE"/>
    <w:rsid w:val="008E1FB1"/>
    <w:rsid w:val="008E25AE"/>
    <w:rsid w:val="008E2737"/>
    <w:rsid w:val="008E2BFD"/>
    <w:rsid w:val="008E3049"/>
    <w:rsid w:val="008E35A3"/>
    <w:rsid w:val="008E45C0"/>
    <w:rsid w:val="008E50BB"/>
    <w:rsid w:val="008E518D"/>
    <w:rsid w:val="008E53E6"/>
    <w:rsid w:val="008E5A2B"/>
    <w:rsid w:val="008E63D6"/>
    <w:rsid w:val="008E6FED"/>
    <w:rsid w:val="008E7274"/>
    <w:rsid w:val="008E7C2F"/>
    <w:rsid w:val="008F0562"/>
    <w:rsid w:val="008F05CA"/>
    <w:rsid w:val="008F1388"/>
    <w:rsid w:val="008F260B"/>
    <w:rsid w:val="008F2AA7"/>
    <w:rsid w:val="008F500D"/>
    <w:rsid w:val="008F5439"/>
    <w:rsid w:val="008F5B9F"/>
    <w:rsid w:val="008F6BD5"/>
    <w:rsid w:val="008F6BF1"/>
    <w:rsid w:val="008F7DD7"/>
    <w:rsid w:val="00900100"/>
    <w:rsid w:val="00900267"/>
    <w:rsid w:val="00900352"/>
    <w:rsid w:val="00900D5B"/>
    <w:rsid w:val="00901926"/>
    <w:rsid w:val="00903451"/>
    <w:rsid w:val="00903A7B"/>
    <w:rsid w:val="00903ED8"/>
    <w:rsid w:val="00906087"/>
    <w:rsid w:val="00906695"/>
    <w:rsid w:val="00906E65"/>
    <w:rsid w:val="009079E9"/>
    <w:rsid w:val="0091097A"/>
    <w:rsid w:val="00910C1F"/>
    <w:rsid w:val="00910F7B"/>
    <w:rsid w:val="0091175B"/>
    <w:rsid w:val="0091251E"/>
    <w:rsid w:val="00912B44"/>
    <w:rsid w:val="0091307E"/>
    <w:rsid w:val="00913470"/>
    <w:rsid w:val="009144D5"/>
    <w:rsid w:val="00915F98"/>
    <w:rsid w:val="00915FA3"/>
    <w:rsid w:val="009162AF"/>
    <w:rsid w:val="00916725"/>
    <w:rsid w:val="009176BA"/>
    <w:rsid w:val="0091772E"/>
    <w:rsid w:val="0092022D"/>
    <w:rsid w:val="009203DB"/>
    <w:rsid w:val="00920580"/>
    <w:rsid w:val="00920683"/>
    <w:rsid w:val="00920C15"/>
    <w:rsid w:val="0092126F"/>
    <w:rsid w:val="009217F8"/>
    <w:rsid w:val="0092470E"/>
    <w:rsid w:val="00924A95"/>
    <w:rsid w:val="0092508A"/>
    <w:rsid w:val="00925187"/>
    <w:rsid w:val="00925900"/>
    <w:rsid w:val="009259EE"/>
    <w:rsid w:val="00925EB8"/>
    <w:rsid w:val="00927058"/>
    <w:rsid w:val="0092709C"/>
    <w:rsid w:val="0092717F"/>
    <w:rsid w:val="00927744"/>
    <w:rsid w:val="00927B05"/>
    <w:rsid w:val="00930554"/>
    <w:rsid w:val="00930796"/>
    <w:rsid w:val="00930F4E"/>
    <w:rsid w:val="00931C10"/>
    <w:rsid w:val="00931E3E"/>
    <w:rsid w:val="00932219"/>
    <w:rsid w:val="00933A42"/>
    <w:rsid w:val="00933D86"/>
    <w:rsid w:val="00934497"/>
    <w:rsid w:val="00934B7E"/>
    <w:rsid w:val="00936062"/>
    <w:rsid w:val="009369EC"/>
    <w:rsid w:val="00936EDA"/>
    <w:rsid w:val="00937CBE"/>
    <w:rsid w:val="00940225"/>
    <w:rsid w:val="009410E7"/>
    <w:rsid w:val="00941873"/>
    <w:rsid w:val="009426D3"/>
    <w:rsid w:val="00943828"/>
    <w:rsid w:val="00944087"/>
    <w:rsid w:val="00944E74"/>
    <w:rsid w:val="00946814"/>
    <w:rsid w:val="00946C13"/>
    <w:rsid w:val="00946CFB"/>
    <w:rsid w:val="00946F6F"/>
    <w:rsid w:val="009472BC"/>
    <w:rsid w:val="00947D1D"/>
    <w:rsid w:val="0095012E"/>
    <w:rsid w:val="0095045F"/>
    <w:rsid w:val="00950966"/>
    <w:rsid w:val="00950FC2"/>
    <w:rsid w:val="009513A3"/>
    <w:rsid w:val="00951934"/>
    <w:rsid w:val="00951B3A"/>
    <w:rsid w:val="0095207B"/>
    <w:rsid w:val="0095216F"/>
    <w:rsid w:val="00952982"/>
    <w:rsid w:val="00953FF2"/>
    <w:rsid w:val="0095433D"/>
    <w:rsid w:val="00954B60"/>
    <w:rsid w:val="00954C8C"/>
    <w:rsid w:val="00954FF0"/>
    <w:rsid w:val="00955DDF"/>
    <w:rsid w:val="00955EB1"/>
    <w:rsid w:val="00956025"/>
    <w:rsid w:val="009561DD"/>
    <w:rsid w:val="00956ACE"/>
    <w:rsid w:val="00956C47"/>
    <w:rsid w:val="009572A0"/>
    <w:rsid w:val="009573E8"/>
    <w:rsid w:val="00957883"/>
    <w:rsid w:val="00957C84"/>
    <w:rsid w:val="00957D24"/>
    <w:rsid w:val="00960837"/>
    <w:rsid w:val="00960A3C"/>
    <w:rsid w:val="00960DCF"/>
    <w:rsid w:val="00961015"/>
    <w:rsid w:val="0096106D"/>
    <w:rsid w:val="0096116C"/>
    <w:rsid w:val="00961194"/>
    <w:rsid w:val="0096136A"/>
    <w:rsid w:val="009615B2"/>
    <w:rsid w:val="009615CB"/>
    <w:rsid w:val="00961B53"/>
    <w:rsid w:val="00962380"/>
    <w:rsid w:val="00962473"/>
    <w:rsid w:val="009624C9"/>
    <w:rsid w:val="0096258A"/>
    <w:rsid w:val="00962B68"/>
    <w:rsid w:val="00963264"/>
    <w:rsid w:val="0096389D"/>
    <w:rsid w:val="0096444B"/>
    <w:rsid w:val="009644BE"/>
    <w:rsid w:val="009648AA"/>
    <w:rsid w:val="00964F4B"/>
    <w:rsid w:val="009659E0"/>
    <w:rsid w:val="00965CF3"/>
    <w:rsid w:val="00966459"/>
    <w:rsid w:val="00967549"/>
    <w:rsid w:val="009676C0"/>
    <w:rsid w:val="0096775D"/>
    <w:rsid w:val="0096791D"/>
    <w:rsid w:val="0097013A"/>
    <w:rsid w:val="00970BB8"/>
    <w:rsid w:val="009727CE"/>
    <w:rsid w:val="0097314E"/>
    <w:rsid w:val="009731BE"/>
    <w:rsid w:val="009742FC"/>
    <w:rsid w:val="0097479B"/>
    <w:rsid w:val="00974D06"/>
    <w:rsid w:val="00974F51"/>
    <w:rsid w:val="00975F16"/>
    <w:rsid w:val="00976D82"/>
    <w:rsid w:val="00976E3C"/>
    <w:rsid w:val="00977485"/>
    <w:rsid w:val="009803A9"/>
    <w:rsid w:val="009803CB"/>
    <w:rsid w:val="009803D4"/>
    <w:rsid w:val="009807A2"/>
    <w:rsid w:val="00981536"/>
    <w:rsid w:val="0098175B"/>
    <w:rsid w:val="0098199C"/>
    <w:rsid w:val="00981B3E"/>
    <w:rsid w:val="00982159"/>
    <w:rsid w:val="0098268D"/>
    <w:rsid w:val="00982E91"/>
    <w:rsid w:val="00983590"/>
    <w:rsid w:val="00984871"/>
    <w:rsid w:val="0098592C"/>
    <w:rsid w:val="009873F3"/>
    <w:rsid w:val="0099077F"/>
    <w:rsid w:val="009917F6"/>
    <w:rsid w:val="0099220E"/>
    <w:rsid w:val="00992D98"/>
    <w:rsid w:val="00992FC1"/>
    <w:rsid w:val="0099393E"/>
    <w:rsid w:val="00993A38"/>
    <w:rsid w:val="00993E78"/>
    <w:rsid w:val="009943CF"/>
    <w:rsid w:val="00994789"/>
    <w:rsid w:val="00995269"/>
    <w:rsid w:val="00995E98"/>
    <w:rsid w:val="009968E4"/>
    <w:rsid w:val="00996F15"/>
    <w:rsid w:val="00996F45"/>
    <w:rsid w:val="00997BA8"/>
    <w:rsid w:val="009A0666"/>
    <w:rsid w:val="009A06F4"/>
    <w:rsid w:val="009A1283"/>
    <w:rsid w:val="009A16B0"/>
    <w:rsid w:val="009A17D5"/>
    <w:rsid w:val="009A274C"/>
    <w:rsid w:val="009A35FC"/>
    <w:rsid w:val="009A3778"/>
    <w:rsid w:val="009A3B53"/>
    <w:rsid w:val="009A3E2E"/>
    <w:rsid w:val="009A404E"/>
    <w:rsid w:val="009A4501"/>
    <w:rsid w:val="009A4783"/>
    <w:rsid w:val="009A496D"/>
    <w:rsid w:val="009A5C48"/>
    <w:rsid w:val="009A7F34"/>
    <w:rsid w:val="009B0779"/>
    <w:rsid w:val="009B121E"/>
    <w:rsid w:val="009B17C0"/>
    <w:rsid w:val="009B2245"/>
    <w:rsid w:val="009B258E"/>
    <w:rsid w:val="009B316E"/>
    <w:rsid w:val="009B39D6"/>
    <w:rsid w:val="009B3B65"/>
    <w:rsid w:val="009B495F"/>
    <w:rsid w:val="009B4F0C"/>
    <w:rsid w:val="009B51F0"/>
    <w:rsid w:val="009B577B"/>
    <w:rsid w:val="009B5997"/>
    <w:rsid w:val="009B5D49"/>
    <w:rsid w:val="009B6985"/>
    <w:rsid w:val="009B6B23"/>
    <w:rsid w:val="009B6B87"/>
    <w:rsid w:val="009B7ABD"/>
    <w:rsid w:val="009C0901"/>
    <w:rsid w:val="009C0E32"/>
    <w:rsid w:val="009C132F"/>
    <w:rsid w:val="009C1D27"/>
    <w:rsid w:val="009C3466"/>
    <w:rsid w:val="009C3BD9"/>
    <w:rsid w:val="009C42B2"/>
    <w:rsid w:val="009C4C59"/>
    <w:rsid w:val="009C5466"/>
    <w:rsid w:val="009C546D"/>
    <w:rsid w:val="009C5B82"/>
    <w:rsid w:val="009C63E1"/>
    <w:rsid w:val="009C6811"/>
    <w:rsid w:val="009C6B7E"/>
    <w:rsid w:val="009C702E"/>
    <w:rsid w:val="009C756E"/>
    <w:rsid w:val="009D0035"/>
    <w:rsid w:val="009D0961"/>
    <w:rsid w:val="009D0D63"/>
    <w:rsid w:val="009D15F4"/>
    <w:rsid w:val="009D1BFC"/>
    <w:rsid w:val="009D21BE"/>
    <w:rsid w:val="009D3C3D"/>
    <w:rsid w:val="009D4442"/>
    <w:rsid w:val="009D45E8"/>
    <w:rsid w:val="009D4776"/>
    <w:rsid w:val="009D49FB"/>
    <w:rsid w:val="009D5288"/>
    <w:rsid w:val="009D5D68"/>
    <w:rsid w:val="009D5F17"/>
    <w:rsid w:val="009D6246"/>
    <w:rsid w:val="009D6CC7"/>
    <w:rsid w:val="009D6E28"/>
    <w:rsid w:val="009D7351"/>
    <w:rsid w:val="009D78E6"/>
    <w:rsid w:val="009D7D37"/>
    <w:rsid w:val="009E0337"/>
    <w:rsid w:val="009E0AA0"/>
    <w:rsid w:val="009E0BFB"/>
    <w:rsid w:val="009E0C55"/>
    <w:rsid w:val="009E15C7"/>
    <w:rsid w:val="009E1BFC"/>
    <w:rsid w:val="009E2AD3"/>
    <w:rsid w:val="009E2C9A"/>
    <w:rsid w:val="009E2CEB"/>
    <w:rsid w:val="009E30D4"/>
    <w:rsid w:val="009E39D3"/>
    <w:rsid w:val="009E3B74"/>
    <w:rsid w:val="009E3BA8"/>
    <w:rsid w:val="009E3D85"/>
    <w:rsid w:val="009E3E90"/>
    <w:rsid w:val="009E45E5"/>
    <w:rsid w:val="009E47E5"/>
    <w:rsid w:val="009E48BD"/>
    <w:rsid w:val="009E4912"/>
    <w:rsid w:val="009E52B7"/>
    <w:rsid w:val="009E5C4C"/>
    <w:rsid w:val="009E67CC"/>
    <w:rsid w:val="009E67D0"/>
    <w:rsid w:val="009E692A"/>
    <w:rsid w:val="009E75A6"/>
    <w:rsid w:val="009E7A15"/>
    <w:rsid w:val="009F096D"/>
    <w:rsid w:val="009F119A"/>
    <w:rsid w:val="009F146F"/>
    <w:rsid w:val="009F3657"/>
    <w:rsid w:val="009F378E"/>
    <w:rsid w:val="009F3B85"/>
    <w:rsid w:val="009F3C75"/>
    <w:rsid w:val="009F3F0C"/>
    <w:rsid w:val="009F531F"/>
    <w:rsid w:val="009F57EC"/>
    <w:rsid w:val="009F68AF"/>
    <w:rsid w:val="009F699C"/>
    <w:rsid w:val="009F713A"/>
    <w:rsid w:val="009F7B9E"/>
    <w:rsid w:val="009F7DAC"/>
    <w:rsid w:val="00A0037E"/>
    <w:rsid w:val="00A01303"/>
    <w:rsid w:val="00A0205B"/>
    <w:rsid w:val="00A02237"/>
    <w:rsid w:val="00A029E0"/>
    <w:rsid w:val="00A02C4F"/>
    <w:rsid w:val="00A03848"/>
    <w:rsid w:val="00A03B35"/>
    <w:rsid w:val="00A03DF6"/>
    <w:rsid w:val="00A0434B"/>
    <w:rsid w:val="00A04A09"/>
    <w:rsid w:val="00A04B3B"/>
    <w:rsid w:val="00A05821"/>
    <w:rsid w:val="00A05D1D"/>
    <w:rsid w:val="00A05EA2"/>
    <w:rsid w:val="00A063D2"/>
    <w:rsid w:val="00A063DF"/>
    <w:rsid w:val="00A06AFE"/>
    <w:rsid w:val="00A06E08"/>
    <w:rsid w:val="00A07141"/>
    <w:rsid w:val="00A072B6"/>
    <w:rsid w:val="00A076CC"/>
    <w:rsid w:val="00A078E3"/>
    <w:rsid w:val="00A1006F"/>
    <w:rsid w:val="00A11353"/>
    <w:rsid w:val="00A113D4"/>
    <w:rsid w:val="00A1165C"/>
    <w:rsid w:val="00A11AA2"/>
    <w:rsid w:val="00A12013"/>
    <w:rsid w:val="00A125D6"/>
    <w:rsid w:val="00A12DA9"/>
    <w:rsid w:val="00A13248"/>
    <w:rsid w:val="00A13734"/>
    <w:rsid w:val="00A14044"/>
    <w:rsid w:val="00A1459C"/>
    <w:rsid w:val="00A14857"/>
    <w:rsid w:val="00A14E53"/>
    <w:rsid w:val="00A15325"/>
    <w:rsid w:val="00A15580"/>
    <w:rsid w:val="00A157A7"/>
    <w:rsid w:val="00A159B7"/>
    <w:rsid w:val="00A15C98"/>
    <w:rsid w:val="00A16449"/>
    <w:rsid w:val="00A167F8"/>
    <w:rsid w:val="00A16DAB"/>
    <w:rsid w:val="00A17950"/>
    <w:rsid w:val="00A17CC8"/>
    <w:rsid w:val="00A203BD"/>
    <w:rsid w:val="00A2192D"/>
    <w:rsid w:val="00A2195F"/>
    <w:rsid w:val="00A221F0"/>
    <w:rsid w:val="00A222B6"/>
    <w:rsid w:val="00A22CA4"/>
    <w:rsid w:val="00A22EFC"/>
    <w:rsid w:val="00A231AA"/>
    <w:rsid w:val="00A23415"/>
    <w:rsid w:val="00A23CDD"/>
    <w:rsid w:val="00A24604"/>
    <w:rsid w:val="00A2530E"/>
    <w:rsid w:val="00A25BA2"/>
    <w:rsid w:val="00A26389"/>
    <w:rsid w:val="00A26E67"/>
    <w:rsid w:val="00A27721"/>
    <w:rsid w:val="00A303B8"/>
    <w:rsid w:val="00A30EE0"/>
    <w:rsid w:val="00A31328"/>
    <w:rsid w:val="00A32336"/>
    <w:rsid w:val="00A33062"/>
    <w:rsid w:val="00A3355E"/>
    <w:rsid w:val="00A33A95"/>
    <w:rsid w:val="00A34244"/>
    <w:rsid w:val="00A3444C"/>
    <w:rsid w:val="00A35129"/>
    <w:rsid w:val="00A3548A"/>
    <w:rsid w:val="00A3583C"/>
    <w:rsid w:val="00A35AC2"/>
    <w:rsid w:val="00A361C3"/>
    <w:rsid w:val="00A36890"/>
    <w:rsid w:val="00A371FE"/>
    <w:rsid w:val="00A37AFF"/>
    <w:rsid w:val="00A406DE"/>
    <w:rsid w:val="00A40BAD"/>
    <w:rsid w:val="00A40EF9"/>
    <w:rsid w:val="00A411FA"/>
    <w:rsid w:val="00A41314"/>
    <w:rsid w:val="00A41673"/>
    <w:rsid w:val="00A419BD"/>
    <w:rsid w:val="00A41DDD"/>
    <w:rsid w:val="00A42709"/>
    <w:rsid w:val="00A42AE4"/>
    <w:rsid w:val="00A42C0B"/>
    <w:rsid w:val="00A44EC1"/>
    <w:rsid w:val="00A454B3"/>
    <w:rsid w:val="00A45AB6"/>
    <w:rsid w:val="00A45E52"/>
    <w:rsid w:val="00A46652"/>
    <w:rsid w:val="00A467F2"/>
    <w:rsid w:val="00A46D15"/>
    <w:rsid w:val="00A4713D"/>
    <w:rsid w:val="00A519FE"/>
    <w:rsid w:val="00A52D00"/>
    <w:rsid w:val="00A53233"/>
    <w:rsid w:val="00A5323B"/>
    <w:rsid w:val="00A53388"/>
    <w:rsid w:val="00A538DE"/>
    <w:rsid w:val="00A53DA1"/>
    <w:rsid w:val="00A5400E"/>
    <w:rsid w:val="00A545B4"/>
    <w:rsid w:val="00A546AE"/>
    <w:rsid w:val="00A54A15"/>
    <w:rsid w:val="00A54A50"/>
    <w:rsid w:val="00A54FB4"/>
    <w:rsid w:val="00A555B4"/>
    <w:rsid w:val="00A55E4D"/>
    <w:rsid w:val="00A56DE0"/>
    <w:rsid w:val="00A57646"/>
    <w:rsid w:val="00A60D3A"/>
    <w:rsid w:val="00A60FF7"/>
    <w:rsid w:val="00A61162"/>
    <w:rsid w:val="00A62657"/>
    <w:rsid w:val="00A62926"/>
    <w:rsid w:val="00A62948"/>
    <w:rsid w:val="00A62DFB"/>
    <w:rsid w:val="00A62E0A"/>
    <w:rsid w:val="00A636A7"/>
    <w:rsid w:val="00A63C18"/>
    <w:rsid w:val="00A64B04"/>
    <w:rsid w:val="00A662DC"/>
    <w:rsid w:val="00A6741B"/>
    <w:rsid w:val="00A67735"/>
    <w:rsid w:val="00A70160"/>
    <w:rsid w:val="00A70488"/>
    <w:rsid w:val="00A70C7B"/>
    <w:rsid w:val="00A71455"/>
    <w:rsid w:val="00A717EE"/>
    <w:rsid w:val="00A727DE"/>
    <w:rsid w:val="00A74226"/>
    <w:rsid w:val="00A757B0"/>
    <w:rsid w:val="00A75842"/>
    <w:rsid w:val="00A75A8E"/>
    <w:rsid w:val="00A76442"/>
    <w:rsid w:val="00A77362"/>
    <w:rsid w:val="00A77582"/>
    <w:rsid w:val="00A776A4"/>
    <w:rsid w:val="00A77E71"/>
    <w:rsid w:val="00A80331"/>
    <w:rsid w:val="00A8049D"/>
    <w:rsid w:val="00A80735"/>
    <w:rsid w:val="00A80A77"/>
    <w:rsid w:val="00A81368"/>
    <w:rsid w:val="00A81576"/>
    <w:rsid w:val="00A82068"/>
    <w:rsid w:val="00A822C2"/>
    <w:rsid w:val="00A822FE"/>
    <w:rsid w:val="00A82990"/>
    <w:rsid w:val="00A82BD1"/>
    <w:rsid w:val="00A836A8"/>
    <w:rsid w:val="00A83994"/>
    <w:rsid w:val="00A844E3"/>
    <w:rsid w:val="00A84960"/>
    <w:rsid w:val="00A85206"/>
    <w:rsid w:val="00A85D8F"/>
    <w:rsid w:val="00A86875"/>
    <w:rsid w:val="00A86E8A"/>
    <w:rsid w:val="00A87A2F"/>
    <w:rsid w:val="00A90228"/>
    <w:rsid w:val="00A90311"/>
    <w:rsid w:val="00A90401"/>
    <w:rsid w:val="00A9064A"/>
    <w:rsid w:val="00A921E3"/>
    <w:rsid w:val="00A9318E"/>
    <w:rsid w:val="00A932B9"/>
    <w:rsid w:val="00A937E8"/>
    <w:rsid w:val="00A93974"/>
    <w:rsid w:val="00A94312"/>
    <w:rsid w:val="00A94D20"/>
    <w:rsid w:val="00A95548"/>
    <w:rsid w:val="00A956D5"/>
    <w:rsid w:val="00A95C3C"/>
    <w:rsid w:val="00A95E4F"/>
    <w:rsid w:val="00A9619A"/>
    <w:rsid w:val="00A968DA"/>
    <w:rsid w:val="00A96962"/>
    <w:rsid w:val="00A9752B"/>
    <w:rsid w:val="00A97A1E"/>
    <w:rsid w:val="00A97A55"/>
    <w:rsid w:val="00A97AB0"/>
    <w:rsid w:val="00A97E76"/>
    <w:rsid w:val="00AA0325"/>
    <w:rsid w:val="00AA154E"/>
    <w:rsid w:val="00AA1941"/>
    <w:rsid w:val="00AA1DAA"/>
    <w:rsid w:val="00AA242B"/>
    <w:rsid w:val="00AA2461"/>
    <w:rsid w:val="00AA27F8"/>
    <w:rsid w:val="00AA2865"/>
    <w:rsid w:val="00AA3290"/>
    <w:rsid w:val="00AA3A9B"/>
    <w:rsid w:val="00AA3BA2"/>
    <w:rsid w:val="00AA3BF1"/>
    <w:rsid w:val="00AA3C6F"/>
    <w:rsid w:val="00AA432B"/>
    <w:rsid w:val="00AA4DF5"/>
    <w:rsid w:val="00AA5410"/>
    <w:rsid w:val="00AA5623"/>
    <w:rsid w:val="00AA56F9"/>
    <w:rsid w:val="00AA5746"/>
    <w:rsid w:val="00AA581C"/>
    <w:rsid w:val="00AA62B4"/>
    <w:rsid w:val="00AA69D0"/>
    <w:rsid w:val="00AA6FB0"/>
    <w:rsid w:val="00AB0D94"/>
    <w:rsid w:val="00AB124E"/>
    <w:rsid w:val="00AB2187"/>
    <w:rsid w:val="00AB21C6"/>
    <w:rsid w:val="00AB23B1"/>
    <w:rsid w:val="00AB2841"/>
    <w:rsid w:val="00AB3889"/>
    <w:rsid w:val="00AB4496"/>
    <w:rsid w:val="00AB4553"/>
    <w:rsid w:val="00AB48C4"/>
    <w:rsid w:val="00AB497B"/>
    <w:rsid w:val="00AB4D18"/>
    <w:rsid w:val="00AB5541"/>
    <w:rsid w:val="00AB58FF"/>
    <w:rsid w:val="00AB5A88"/>
    <w:rsid w:val="00AB5D56"/>
    <w:rsid w:val="00AB7350"/>
    <w:rsid w:val="00AB7B21"/>
    <w:rsid w:val="00AC059C"/>
    <w:rsid w:val="00AC0F88"/>
    <w:rsid w:val="00AC149F"/>
    <w:rsid w:val="00AC158D"/>
    <w:rsid w:val="00AC16C8"/>
    <w:rsid w:val="00AC1891"/>
    <w:rsid w:val="00AC27B3"/>
    <w:rsid w:val="00AC2A74"/>
    <w:rsid w:val="00AC2EB2"/>
    <w:rsid w:val="00AC4599"/>
    <w:rsid w:val="00AC6EB8"/>
    <w:rsid w:val="00AC6F11"/>
    <w:rsid w:val="00AC6F7D"/>
    <w:rsid w:val="00AC720A"/>
    <w:rsid w:val="00AC7E3D"/>
    <w:rsid w:val="00AD02F2"/>
    <w:rsid w:val="00AD03B6"/>
    <w:rsid w:val="00AD11D1"/>
    <w:rsid w:val="00AD1C6E"/>
    <w:rsid w:val="00AD1DFA"/>
    <w:rsid w:val="00AD27F9"/>
    <w:rsid w:val="00AD2D1C"/>
    <w:rsid w:val="00AD3E40"/>
    <w:rsid w:val="00AD4042"/>
    <w:rsid w:val="00AD5A91"/>
    <w:rsid w:val="00AD5CD8"/>
    <w:rsid w:val="00AD60EA"/>
    <w:rsid w:val="00AD616A"/>
    <w:rsid w:val="00AD67D4"/>
    <w:rsid w:val="00AD6E3D"/>
    <w:rsid w:val="00AD7275"/>
    <w:rsid w:val="00AD767A"/>
    <w:rsid w:val="00AE0023"/>
    <w:rsid w:val="00AE02EA"/>
    <w:rsid w:val="00AE0E88"/>
    <w:rsid w:val="00AE1DF5"/>
    <w:rsid w:val="00AE260C"/>
    <w:rsid w:val="00AE2BFD"/>
    <w:rsid w:val="00AE2F35"/>
    <w:rsid w:val="00AE3EA0"/>
    <w:rsid w:val="00AE4331"/>
    <w:rsid w:val="00AE450F"/>
    <w:rsid w:val="00AE4C44"/>
    <w:rsid w:val="00AE5382"/>
    <w:rsid w:val="00AE5856"/>
    <w:rsid w:val="00AE5F6F"/>
    <w:rsid w:val="00AE614D"/>
    <w:rsid w:val="00AE684D"/>
    <w:rsid w:val="00AE6A53"/>
    <w:rsid w:val="00AE7849"/>
    <w:rsid w:val="00AE7977"/>
    <w:rsid w:val="00AF0407"/>
    <w:rsid w:val="00AF171C"/>
    <w:rsid w:val="00AF18ED"/>
    <w:rsid w:val="00AF1F10"/>
    <w:rsid w:val="00AF3D39"/>
    <w:rsid w:val="00AF497B"/>
    <w:rsid w:val="00AF4ABC"/>
    <w:rsid w:val="00AF5CB9"/>
    <w:rsid w:val="00AF69F5"/>
    <w:rsid w:val="00AF6A4C"/>
    <w:rsid w:val="00AF7420"/>
    <w:rsid w:val="00B002AE"/>
    <w:rsid w:val="00B00421"/>
    <w:rsid w:val="00B0056F"/>
    <w:rsid w:val="00B00922"/>
    <w:rsid w:val="00B00E58"/>
    <w:rsid w:val="00B01383"/>
    <w:rsid w:val="00B01672"/>
    <w:rsid w:val="00B01C08"/>
    <w:rsid w:val="00B01D2B"/>
    <w:rsid w:val="00B01E44"/>
    <w:rsid w:val="00B02183"/>
    <w:rsid w:val="00B0431C"/>
    <w:rsid w:val="00B045D6"/>
    <w:rsid w:val="00B04636"/>
    <w:rsid w:val="00B047C2"/>
    <w:rsid w:val="00B04CB1"/>
    <w:rsid w:val="00B04D1F"/>
    <w:rsid w:val="00B054A5"/>
    <w:rsid w:val="00B05635"/>
    <w:rsid w:val="00B0722B"/>
    <w:rsid w:val="00B07370"/>
    <w:rsid w:val="00B073BB"/>
    <w:rsid w:val="00B07620"/>
    <w:rsid w:val="00B07BB2"/>
    <w:rsid w:val="00B106DA"/>
    <w:rsid w:val="00B10910"/>
    <w:rsid w:val="00B10D23"/>
    <w:rsid w:val="00B11248"/>
    <w:rsid w:val="00B1173D"/>
    <w:rsid w:val="00B11776"/>
    <w:rsid w:val="00B1243E"/>
    <w:rsid w:val="00B12B72"/>
    <w:rsid w:val="00B12D63"/>
    <w:rsid w:val="00B1314F"/>
    <w:rsid w:val="00B139F0"/>
    <w:rsid w:val="00B14241"/>
    <w:rsid w:val="00B14DC2"/>
    <w:rsid w:val="00B14DCD"/>
    <w:rsid w:val="00B151CF"/>
    <w:rsid w:val="00B15E65"/>
    <w:rsid w:val="00B15E84"/>
    <w:rsid w:val="00B161EA"/>
    <w:rsid w:val="00B165EE"/>
    <w:rsid w:val="00B16A82"/>
    <w:rsid w:val="00B16F20"/>
    <w:rsid w:val="00B209D5"/>
    <w:rsid w:val="00B217E5"/>
    <w:rsid w:val="00B21C97"/>
    <w:rsid w:val="00B226A7"/>
    <w:rsid w:val="00B22B23"/>
    <w:rsid w:val="00B23624"/>
    <w:rsid w:val="00B236B9"/>
    <w:rsid w:val="00B240AB"/>
    <w:rsid w:val="00B24351"/>
    <w:rsid w:val="00B247AD"/>
    <w:rsid w:val="00B250B7"/>
    <w:rsid w:val="00B25B51"/>
    <w:rsid w:val="00B25BC5"/>
    <w:rsid w:val="00B25D05"/>
    <w:rsid w:val="00B26622"/>
    <w:rsid w:val="00B26669"/>
    <w:rsid w:val="00B2720E"/>
    <w:rsid w:val="00B27641"/>
    <w:rsid w:val="00B276B4"/>
    <w:rsid w:val="00B27E76"/>
    <w:rsid w:val="00B303F6"/>
    <w:rsid w:val="00B307B7"/>
    <w:rsid w:val="00B30CDE"/>
    <w:rsid w:val="00B319FB"/>
    <w:rsid w:val="00B32D4C"/>
    <w:rsid w:val="00B33BF1"/>
    <w:rsid w:val="00B33D34"/>
    <w:rsid w:val="00B34D3C"/>
    <w:rsid w:val="00B3510C"/>
    <w:rsid w:val="00B35A7B"/>
    <w:rsid w:val="00B36028"/>
    <w:rsid w:val="00B36EF1"/>
    <w:rsid w:val="00B373B9"/>
    <w:rsid w:val="00B40064"/>
    <w:rsid w:val="00B403A9"/>
    <w:rsid w:val="00B4094E"/>
    <w:rsid w:val="00B40B3B"/>
    <w:rsid w:val="00B40E8E"/>
    <w:rsid w:val="00B412B3"/>
    <w:rsid w:val="00B41637"/>
    <w:rsid w:val="00B42520"/>
    <w:rsid w:val="00B42606"/>
    <w:rsid w:val="00B42ABB"/>
    <w:rsid w:val="00B42B50"/>
    <w:rsid w:val="00B44024"/>
    <w:rsid w:val="00B444C1"/>
    <w:rsid w:val="00B452BF"/>
    <w:rsid w:val="00B46194"/>
    <w:rsid w:val="00B46928"/>
    <w:rsid w:val="00B4767D"/>
    <w:rsid w:val="00B4774E"/>
    <w:rsid w:val="00B47C6B"/>
    <w:rsid w:val="00B47D87"/>
    <w:rsid w:val="00B50492"/>
    <w:rsid w:val="00B50A44"/>
    <w:rsid w:val="00B51168"/>
    <w:rsid w:val="00B51783"/>
    <w:rsid w:val="00B51DB8"/>
    <w:rsid w:val="00B52740"/>
    <w:rsid w:val="00B52917"/>
    <w:rsid w:val="00B52FF1"/>
    <w:rsid w:val="00B53057"/>
    <w:rsid w:val="00B53384"/>
    <w:rsid w:val="00B5399E"/>
    <w:rsid w:val="00B53B99"/>
    <w:rsid w:val="00B55193"/>
    <w:rsid w:val="00B5536A"/>
    <w:rsid w:val="00B55486"/>
    <w:rsid w:val="00B55524"/>
    <w:rsid w:val="00B56589"/>
    <w:rsid w:val="00B565D4"/>
    <w:rsid w:val="00B565E0"/>
    <w:rsid w:val="00B575BF"/>
    <w:rsid w:val="00B57B15"/>
    <w:rsid w:val="00B6034E"/>
    <w:rsid w:val="00B612EA"/>
    <w:rsid w:val="00B61B9A"/>
    <w:rsid w:val="00B61C66"/>
    <w:rsid w:val="00B61C71"/>
    <w:rsid w:val="00B61C9B"/>
    <w:rsid w:val="00B62604"/>
    <w:rsid w:val="00B62DF2"/>
    <w:rsid w:val="00B63ABB"/>
    <w:rsid w:val="00B64633"/>
    <w:rsid w:val="00B64C41"/>
    <w:rsid w:val="00B64D8B"/>
    <w:rsid w:val="00B65E15"/>
    <w:rsid w:val="00B65FF7"/>
    <w:rsid w:val="00B6681E"/>
    <w:rsid w:val="00B66A87"/>
    <w:rsid w:val="00B701CA"/>
    <w:rsid w:val="00B712D0"/>
    <w:rsid w:val="00B72F01"/>
    <w:rsid w:val="00B730E9"/>
    <w:rsid w:val="00B733D3"/>
    <w:rsid w:val="00B735BF"/>
    <w:rsid w:val="00B73E76"/>
    <w:rsid w:val="00B74EC8"/>
    <w:rsid w:val="00B74EF9"/>
    <w:rsid w:val="00B757E5"/>
    <w:rsid w:val="00B75D74"/>
    <w:rsid w:val="00B77AD5"/>
    <w:rsid w:val="00B77E58"/>
    <w:rsid w:val="00B8003E"/>
    <w:rsid w:val="00B80138"/>
    <w:rsid w:val="00B801FF"/>
    <w:rsid w:val="00B81B3B"/>
    <w:rsid w:val="00B81F38"/>
    <w:rsid w:val="00B829F9"/>
    <w:rsid w:val="00B82F11"/>
    <w:rsid w:val="00B83B62"/>
    <w:rsid w:val="00B84102"/>
    <w:rsid w:val="00B84985"/>
    <w:rsid w:val="00B84D7E"/>
    <w:rsid w:val="00B8535F"/>
    <w:rsid w:val="00B853EB"/>
    <w:rsid w:val="00B860D4"/>
    <w:rsid w:val="00B869E6"/>
    <w:rsid w:val="00B86E9B"/>
    <w:rsid w:val="00B878CD"/>
    <w:rsid w:val="00B87B65"/>
    <w:rsid w:val="00B90617"/>
    <w:rsid w:val="00B909B2"/>
    <w:rsid w:val="00B91500"/>
    <w:rsid w:val="00B91CB1"/>
    <w:rsid w:val="00B9249B"/>
    <w:rsid w:val="00B92966"/>
    <w:rsid w:val="00B92A01"/>
    <w:rsid w:val="00B92B44"/>
    <w:rsid w:val="00B92BD2"/>
    <w:rsid w:val="00B947AE"/>
    <w:rsid w:val="00B94EBB"/>
    <w:rsid w:val="00B9536C"/>
    <w:rsid w:val="00B95856"/>
    <w:rsid w:val="00B95C7F"/>
    <w:rsid w:val="00B96869"/>
    <w:rsid w:val="00B968B7"/>
    <w:rsid w:val="00B96DBD"/>
    <w:rsid w:val="00B96E6B"/>
    <w:rsid w:val="00B97D67"/>
    <w:rsid w:val="00BA1257"/>
    <w:rsid w:val="00BA13EB"/>
    <w:rsid w:val="00BA1551"/>
    <w:rsid w:val="00BA1757"/>
    <w:rsid w:val="00BA1C83"/>
    <w:rsid w:val="00BA1C9E"/>
    <w:rsid w:val="00BA1FFB"/>
    <w:rsid w:val="00BA2632"/>
    <w:rsid w:val="00BA2B3F"/>
    <w:rsid w:val="00BA3C31"/>
    <w:rsid w:val="00BA42DE"/>
    <w:rsid w:val="00BA4E45"/>
    <w:rsid w:val="00BA59FB"/>
    <w:rsid w:val="00BA7845"/>
    <w:rsid w:val="00BB14A3"/>
    <w:rsid w:val="00BB14EE"/>
    <w:rsid w:val="00BB17AE"/>
    <w:rsid w:val="00BB24BC"/>
    <w:rsid w:val="00BB2F6C"/>
    <w:rsid w:val="00BB33B5"/>
    <w:rsid w:val="00BB3B2C"/>
    <w:rsid w:val="00BB4506"/>
    <w:rsid w:val="00BB4A6D"/>
    <w:rsid w:val="00BB50D3"/>
    <w:rsid w:val="00BB5955"/>
    <w:rsid w:val="00BB5992"/>
    <w:rsid w:val="00BB5D78"/>
    <w:rsid w:val="00BB70BD"/>
    <w:rsid w:val="00BB78E3"/>
    <w:rsid w:val="00BC0420"/>
    <w:rsid w:val="00BC068D"/>
    <w:rsid w:val="00BC15DE"/>
    <w:rsid w:val="00BC17C8"/>
    <w:rsid w:val="00BC26BE"/>
    <w:rsid w:val="00BC3125"/>
    <w:rsid w:val="00BC369C"/>
    <w:rsid w:val="00BC4759"/>
    <w:rsid w:val="00BC4972"/>
    <w:rsid w:val="00BC4A7E"/>
    <w:rsid w:val="00BC58AF"/>
    <w:rsid w:val="00BC5A75"/>
    <w:rsid w:val="00BC60E0"/>
    <w:rsid w:val="00BC6897"/>
    <w:rsid w:val="00BC6E75"/>
    <w:rsid w:val="00BC6F88"/>
    <w:rsid w:val="00BC75D5"/>
    <w:rsid w:val="00BC7DFD"/>
    <w:rsid w:val="00BD098E"/>
    <w:rsid w:val="00BD1DF0"/>
    <w:rsid w:val="00BD26DA"/>
    <w:rsid w:val="00BD3024"/>
    <w:rsid w:val="00BD3094"/>
    <w:rsid w:val="00BD33D4"/>
    <w:rsid w:val="00BD4043"/>
    <w:rsid w:val="00BD40B1"/>
    <w:rsid w:val="00BD6555"/>
    <w:rsid w:val="00BD68D5"/>
    <w:rsid w:val="00BD6ABB"/>
    <w:rsid w:val="00BE16D5"/>
    <w:rsid w:val="00BE2728"/>
    <w:rsid w:val="00BE280B"/>
    <w:rsid w:val="00BE33C6"/>
    <w:rsid w:val="00BE45E1"/>
    <w:rsid w:val="00BE47BF"/>
    <w:rsid w:val="00BE5374"/>
    <w:rsid w:val="00BE5683"/>
    <w:rsid w:val="00BE6144"/>
    <w:rsid w:val="00BE6193"/>
    <w:rsid w:val="00BE627A"/>
    <w:rsid w:val="00BE66C0"/>
    <w:rsid w:val="00BE677D"/>
    <w:rsid w:val="00BE6CE8"/>
    <w:rsid w:val="00BE6F2B"/>
    <w:rsid w:val="00BE758A"/>
    <w:rsid w:val="00BF0458"/>
    <w:rsid w:val="00BF049C"/>
    <w:rsid w:val="00BF0E18"/>
    <w:rsid w:val="00BF1C85"/>
    <w:rsid w:val="00BF25B0"/>
    <w:rsid w:val="00BF2C48"/>
    <w:rsid w:val="00BF342F"/>
    <w:rsid w:val="00BF3877"/>
    <w:rsid w:val="00BF3C9E"/>
    <w:rsid w:val="00BF3F35"/>
    <w:rsid w:val="00BF69D9"/>
    <w:rsid w:val="00BF6A35"/>
    <w:rsid w:val="00BF7C54"/>
    <w:rsid w:val="00BF7C70"/>
    <w:rsid w:val="00C00605"/>
    <w:rsid w:val="00C00E67"/>
    <w:rsid w:val="00C010F1"/>
    <w:rsid w:val="00C015BC"/>
    <w:rsid w:val="00C01D5F"/>
    <w:rsid w:val="00C026D0"/>
    <w:rsid w:val="00C032E7"/>
    <w:rsid w:val="00C0345A"/>
    <w:rsid w:val="00C03511"/>
    <w:rsid w:val="00C0356D"/>
    <w:rsid w:val="00C036DE"/>
    <w:rsid w:val="00C04C3A"/>
    <w:rsid w:val="00C04CB9"/>
    <w:rsid w:val="00C04D01"/>
    <w:rsid w:val="00C0549A"/>
    <w:rsid w:val="00C05700"/>
    <w:rsid w:val="00C0585E"/>
    <w:rsid w:val="00C05C65"/>
    <w:rsid w:val="00C062A2"/>
    <w:rsid w:val="00C067DD"/>
    <w:rsid w:val="00C074CD"/>
    <w:rsid w:val="00C100D0"/>
    <w:rsid w:val="00C107C3"/>
    <w:rsid w:val="00C10A60"/>
    <w:rsid w:val="00C10BE4"/>
    <w:rsid w:val="00C112D0"/>
    <w:rsid w:val="00C112D6"/>
    <w:rsid w:val="00C1177A"/>
    <w:rsid w:val="00C11974"/>
    <w:rsid w:val="00C1213D"/>
    <w:rsid w:val="00C12149"/>
    <w:rsid w:val="00C1221C"/>
    <w:rsid w:val="00C13019"/>
    <w:rsid w:val="00C1320F"/>
    <w:rsid w:val="00C13520"/>
    <w:rsid w:val="00C13966"/>
    <w:rsid w:val="00C13BFF"/>
    <w:rsid w:val="00C14775"/>
    <w:rsid w:val="00C14F9B"/>
    <w:rsid w:val="00C14FAB"/>
    <w:rsid w:val="00C15A02"/>
    <w:rsid w:val="00C15A92"/>
    <w:rsid w:val="00C15C7E"/>
    <w:rsid w:val="00C15F42"/>
    <w:rsid w:val="00C1610B"/>
    <w:rsid w:val="00C1611D"/>
    <w:rsid w:val="00C16C9A"/>
    <w:rsid w:val="00C170EE"/>
    <w:rsid w:val="00C1742C"/>
    <w:rsid w:val="00C175E4"/>
    <w:rsid w:val="00C20F6C"/>
    <w:rsid w:val="00C215D5"/>
    <w:rsid w:val="00C21AF6"/>
    <w:rsid w:val="00C22424"/>
    <w:rsid w:val="00C22B4C"/>
    <w:rsid w:val="00C22C1A"/>
    <w:rsid w:val="00C23105"/>
    <w:rsid w:val="00C232E0"/>
    <w:rsid w:val="00C23FF5"/>
    <w:rsid w:val="00C24B5E"/>
    <w:rsid w:val="00C24BF6"/>
    <w:rsid w:val="00C25064"/>
    <w:rsid w:val="00C2534F"/>
    <w:rsid w:val="00C25C60"/>
    <w:rsid w:val="00C27759"/>
    <w:rsid w:val="00C27861"/>
    <w:rsid w:val="00C2799B"/>
    <w:rsid w:val="00C30058"/>
    <w:rsid w:val="00C30199"/>
    <w:rsid w:val="00C301EE"/>
    <w:rsid w:val="00C313AF"/>
    <w:rsid w:val="00C317A2"/>
    <w:rsid w:val="00C32766"/>
    <w:rsid w:val="00C32781"/>
    <w:rsid w:val="00C32B0A"/>
    <w:rsid w:val="00C336D7"/>
    <w:rsid w:val="00C33724"/>
    <w:rsid w:val="00C33CE4"/>
    <w:rsid w:val="00C343FC"/>
    <w:rsid w:val="00C34D6F"/>
    <w:rsid w:val="00C35593"/>
    <w:rsid w:val="00C3645B"/>
    <w:rsid w:val="00C3651F"/>
    <w:rsid w:val="00C36633"/>
    <w:rsid w:val="00C36CEA"/>
    <w:rsid w:val="00C36E9D"/>
    <w:rsid w:val="00C3762C"/>
    <w:rsid w:val="00C37892"/>
    <w:rsid w:val="00C37A34"/>
    <w:rsid w:val="00C37C86"/>
    <w:rsid w:val="00C40084"/>
    <w:rsid w:val="00C40E2F"/>
    <w:rsid w:val="00C40E91"/>
    <w:rsid w:val="00C412B1"/>
    <w:rsid w:val="00C41799"/>
    <w:rsid w:val="00C42018"/>
    <w:rsid w:val="00C4228F"/>
    <w:rsid w:val="00C4259A"/>
    <w:rsid w:val="00C428F6"/>
    <w:rsid w:val="00C43878"/>
    <w:rsid w:val="00C44334"/>
    <w:rsid w:val="00C4436C"/>
    <w:rsid w:val="00C4494C"/>
    <w:rsid w:val="00C4598A"/>
    <w:rsid w:val="00C461B2"/>
    <w:rsid w:val="00C461CD"/>
    <w:rsid w:val="00C46EDE"/>
    <w:rsid w:val="00C475BF"/>
    <w:rsid w:val="00C47C8E"/>
    <w:rsid w:val="00C47D63"/>
    <w:rsid w:val="00C50DF3"/>
    <w:rsid w:val="00C51284"/>
    <w:rsid w:val="00C5137B"/>
    <w:rsid w:val="00C51650"/>
    <w:rsid w:val="00C51D18"/>
    <w:rsid w:val="00C52A51"/>
    <w:rsid w:val="00C52CB2"/>
    <w:rsid w:val="00C52D40"/>
    <w:rsid w:val="00C52FD1"/>
    <w:rsid w:val="00C5359B"/>
    <w:rsid w:val="00C53AF7"/>
    <w:rsid w:val="00C53B49"/>
    <w:rsid w:val="00C54800"/>
    <w:rsid w:val="00C554B5"/>
    <w:rsid w:val="00C55D52"/>
    <w:rsid w:val="00C56D7F"/>
    <w:rsid w:val="00C56EF2"/>
    <w:rsid w:val="00C570A6"/>
    <w:rsid w:val="00C579F3"/>
    <w:rsid w:val="00C57B33"/>
    <w:rsid w:val="00C57D39"/>
    <w:rsid w:val="00C57DC3"/>
    <w:rsid w:val="00C600B3"/>
    <w:rsid w:val="00C608A1"/>
    <w:rsid w:val="00C61131"/>
    <w:rsid w:val="00C61163"/>
    <w:rsid w:val="00C61464"/>
    <w:rsid w:val="00C61545"/>
    <w:rsid w:val="00C618D1"/>
    <w:rsid w:val="00C619EC"/>
    <w:rsid w:val="00C61A35"/>
    <w:rsid w:val="00C61EC4"/>
    <w:rsid w:val="00C640BB"/>
    <w:rsid w:val="00C64359"/>
    <w:rsid w:val="00C64B5A"/>
    <w:rsid w:val="00C64E1D"/>
    <w:rsid w:val="00C64E39"/>
    <w:rsid w:val="00C65A0F"/>
    <w:rsid w:val="00C65DE8"/>
    <w:rsid w:val="00C66AD7"/>
    <w:rsid w:val="00C66DBC"/>
    <w:rsid w:val="00C67E8E"/>
    <w:rsid w:val="00C7186F"/>
    <w:rsid w:val="00C72177"/>
    <w:rsid w:val="00C72342"/>
    <w:rsid w:val="00C724ED"/>
    <w:rsid w:val="00C72BED"/>
    <w:rsid w:val="00C73E89"/>
    <w:rsid w:val="00C7484C"/>
    <w:rsid w:val="00C7490D"/>
    <w:rsid w:val="00C74B8C"/>
    <w:rsid w:val="00C754A9"/>
    <w:rsid w:val="00C75FA3"/>
    <w:rsid w:val="00C766DB"/>
    <w:rsid w:val="00C7723F"/>
    <w:rsid w:val="00C773BA"/>
    <w:rsid w:val="00C82010"/>
    <w:rsid w:val="00C822C2"/>
    <w:rsid w:val="00C8268F"/>
    <w:rsid w:val="00C82C0B"/>
    <w:rsid w:val="00C8303B"/>
    <w:rsid w:val="00C83212"/>
    <w:rsid w:val="00C83535"/>
    <w:rsid w:val="00C83D84"/>
    <w:rsid w:val="00C84581"/>
    <w:rsid w:val="00C8518B"/>
    <w:rsid w:val="00C85533"/>
    <w:rsid w:val="00C862E0"/>
    <w:rsid w:val="00C863D5"/>
    <w:rsid w:val="00C86813"/>
    <w:rsid w:val="00C87258"/>
    <w:rsid w:val="00C87436"/>
    <w:rsid w:val="00C9007C"/>
    <w:rsid w:val="00C9043C"/>
    <w:rsid w:val="00C90B4E"/>
    <w:rsid w:val="00C91371"/>
    <w:rsid w:val="00C91651"/>
    <w:rsid w:val="00C917A4"/>
    <w:rsid w:val="00C91987"/>
    <w:rsid w:val="00C922A2"/>
    <w:rsid w:val="00C925B9"/>
    <w:rsid w:val="00C93637"/>
    <w:rsid w:val="00C93744"/>
    <w:rsid w:val="00C93909"/>
    <w:rsid w:val="00C93D2F"/>
    <w:rsid w:val="00C94323"/>
    <w:rsid w:val="00C969FF"/>
    <w:rsid w:val="00C96A51"/>
    <w:rsid w:val="00C971C2"/>
    <w:rsid w:val="00C97CEE"/>
    <w:rsid w:val="00C97E80"/>
    <w:rsid w:val="00CA1F9D"/>
    <w:rsid w:val="00CA2225"/>
    <w:rsid w:val="00CA26B7"/>
    <w:rsid w:val="00CA26EA"/>
    <w:rsid w:val="00CA2FB2"/>
    <w:rsid w:val="00CA32AD"/>
    <w:rsid w:val="00CA36A9"/>
    <w:rsid w:val="00CA3D3A"/>
    <w:rsid w:val="00CA42D6"/>
    <w:rsid w:val="00CA4E56"/>
    <w:rsid w:val="00CA528A"/>
    <w:rsid w:val="00CA6066"/>
    <w:rsid w:val="00CA6375"/>
    <w:rsid w:val="00CA63BB"/>
    <w:rsid w:val="00CA63DC"/>
    <w:rsid w:val="00CA6FBA"/>
    <w:rsid w:val="00CA7AC1"/>
    <w:rsid w:val="00CA7CAC"/>
    <w:rsid w:val="00CB15E9"/>
    <w:rsid w:val="00CB222E"/>
    <w:rsid w:val="00CB249A"/>
    <w:rsid w:val="00CB2BD5"/>
    <w:rsid w:val="00CB3955"/>
    <w:rsid w:val="00CB4BDA"/>
    <w:rsid w:val="00CB5C55"/>
    <w:rsid w:val="00CB5E6F"/>
    <w:rsid w:val="00CB5EA3"/>
    <w:rsid w:val="00CB5F89"/>
    <w:rsid w:val="00CB781F"/>
    <w:rsid w:val="00CC04B0"/>
    <w:rsid w:val="00CC0766"/>
    <w:rsid w:val="00CC1116"/>
    <w:rsid w:val="00CC1D1A"/>
    <w:rsid w:val="00CC2359"/>
    <w:rsid w:val="00CC38E7"/>
    <w:rsid w:val="00CC3B51"/>
    <w:rsid w:val="00CC3BCF"/>
    <w:rsid w:val="00CC4845"/>
    <w:rsid w:val="00CC4E40"/>
    <w:rsid w:val="00CC6260"/>
    <w:rsid w:val="00CC645C"/>
    <w:rsid w:val="00CC64CB"/>
    <w:rsid w:val="00CC7F1D"/>
    <w:rsid w:val="00CD06DD"/>
    <w:rsid w:val="00CD0774"/>
    <w:rsid w:val="00CD0928"/>
    <w:rsid w:val="00CD1404"/>
    <w:rsid w:val="00CD1C67"/>
    <w:rsid w:val="00CD2A80"/>
    <w:rsid w:val="00CD423B"/>
    <w:rsid w:val="00CD485E"/>
    <w:rsid w:val="00CD535A"/>
    <w:rsid w:val="00CD5CEE"/>
    <w:rsid w:val="00CD6411"/>
    <w:rsid w:val="00CD6863"/>
    <w:rsid w:val="00CD6AB8"/>
    <w:rsid w:val="00CD6AB9"/>
    <w:rsid w:val="00CD75D3"/>
    <w:rsid w:val="00CD7F51"/>
    <w:rsid w:val="00CDC973"/>
    <w:rsid w:val="00CE28E3"/>
    <w:rsid w:val="00CE46EE"/>
    <w:rsid w:val="00CE51E6"/>
    <w:rsid w:val="00CE6801"/>
    <w:rsid w:val="00CE68B1"/>
    <w:rsid w:val="00CE754D"/>
    <w:rsid w:val="00CE7D42"/>
    <w:rsid w:val="00CF00CB"/>
    <w:rsid w:val="00CF0114"/>
    <w:rsid w:val="00CF1313"/>
    <w:rsid w:val="00CF16DE"/>
    <w:rsid w:val="00CF1A2D"/>
    <w:rsid w:val="00CF1A42"/>
    <w:rsid w:val="00CF2757"/>
    <w:rsid w:val="00CF2913"/>
    <w:rsid w:val="00CF351E"/>
    <w:rsid w:val="00CF3729"/>
    <w:rsid w:val="00CF3796"/>
    <w:rsid w:val="00CF439F"/>
    <w:rsid w:val="00CF4D8C"/>
    <w:rsid w:val="00CF5546"/>
    <w:rsid w:val="00CF5989"/>
    <w:rsid w:val="00CF6C10"/>
    <w:rsid w:val="00CF7120"/>
    <w:rsid w:val="00CF724C"/>
    <w:rsid w:val="00D001B4"/>
    <w:rsid w:val="00D003B7"/>
    <w:rsid w:val="00D006E5"/>
    <w:rsid w:val="00D00E36"/>
    <w:rsid w:val="00D018B2"/>
    <w:rsid w:val="00D019B6"/>
    <w:rsid w:val="00D01C0A"/>
    <w:rsid w:val="00D02DE8"/>
    <w:rsid w:val="00D02F4F"/>
    <w:rsid w:val="00D0310B"/>
    <w:rsid w:val="00D03215"/>
    <w:rsid w:val="00D03D1E"/>
    <w:rsid w:val="00D04CB3"/>
    <w:rsid w:val="00D053BC"/>
    <w:rsid w:val="00D067EF"/>
    <w:rsid w:val="00D0709A"/>
    <w:rsid w:val="00D10083"/>
    <w:rsid w:val="00D104DE"/>
    <w:rsid w:val="00D11203"/>
    <w:rsid w:val="00D11CF8"/>
    <w:rsid w:val="00D12636"/>
    <w:rsid w:val="00D1271B"/>
    <w:rsid w:val="00D1274E"/>
    <w:rsid w:val="00D12D6D"/>
    <w:rsid w:val="00D12F81"/>
    <w:rsid w:val="00D12FBA"/>
    <w:rsid w:val="00D132A3"/>
    <w:rsid w:val="00D1351D"/>
    <w:rsid w:val="00D13865"/>
    <w:rsid w:val="00D13D67"/>
    <w:rsid w:val="00D146FB"/>
    <w:rsid w:val="00D14E59"/>
    <w:rsid w:val="00D15532"/>
    <w:rsid w:val="00D1589E"/>
    <w:rsid w:val="00D15916"/>
    <w:rsid w:val="00D16542"/>
    <w:rsid w:val="00D16F17"/>
    <w:rsid w:val="00D1742B"/>
    <w:rsid w:val="00D1773A"/>
    <w:rsid w:val="00D17A7E"/>
    <w:rsid w:val="00D20031"/>
    <w:rsid w:val="00D208B6"/>
    <w:rsid w:val="00D20B41"/>
    <w:rsid w:val="00D21A73"/>
    <w:rsid w:val="00D22949"/>
    <w:rsid w:val="00D22FE7"/>
    <w:rsid w:val="00D23064"/>
    <w:rsid w:val="00D23614"/>
    <w:rsid w:val="00D24638"/>
    <w:rsid w:val="00D25D7A"/>
    <w:rsid w:val="00D27780"/>
    <w:rsid w:val="00D27AEB"/>
    <w:rsid w:val="00D27E58"/>
    <w:rsid w:val="00D3021B"/>
    <w:rsid w:val="00D3038A"/>
    <w:rsid w:val="00D305AA"/>
    <w:rsid w:val="00D306D4"/>
    <w:rsid w:val="00D31198"/>
    <w:rsid w:val="00D313B3"/>
    <w:rsid w:val="00D31694"/>
    <w:rsid w:val="00D31D4B"/>
    <w:rsid w:val="00D323BD"/>
    <w:rsid w:val="00D3292B"/>
    <w:rsid w:val="00D33C4B"/>
    <w:rsid w:val="00D33DFA"/>
    <w:rsid w:val="00D33F02"/>
    <w:rsid w:val="00D34206"/>
    <w:rsid w:val="00D34640"/>
    <w:rsid w:val="00D346AB"/>
    <w:rsid w:val="00D35210"/>
    <w:rsid w:val="00D358F7"/>
    <w:rsid w:val="00D35E4E"/>
    <w:rsid w:val="00D360DF"/>
    <w:rsid w:val="00D361F9"/>
    <w:rsid w:val="00D36376"/>
    <w:rsid w:val="00D36E67"/>
    <w:rsid w:val="00D36EA0"/>
    <w:rsid w:val="00D372A1"/>
    <w:rsid w:val="00D37558"/>
    <w:rsid w:val="00D37A60"/>
    <w:rsid w:val="00D37EF5"/>
    <w:rsid w:val="00D405C2"/>
    <w:rsid w:val="00D40812"/>
    <w:rsid w:val="00D40A58"/>
    <w:rsid w:val="00D416D3"/>
    <w:rsid w:val="00D419A8"/>
    <w:rsid w:val="00D419C9"/>
    <w:rsid w:val="00D428B9"/>
    <w:rsid w:val="00D42903"/>
    <w:rsid w:val="00D43246"/>
    <w:rsid w:val="00D43587"/>
    <w:rsid w:val="00D439AF"/>
    <w:rsid w:val="00D44436"/>
    <w:rsid w:val="00D44D44"/>
    <w:rsid w:val="00D45432"/>
    <w:rsid w:val="00D45750"/>
    <w:rsid w:val="00D457EA"/>
    <w:rsid w:val="00D45C42"/>
    <w:rsid w:val="00D460E7"/>
    <w:rsid w:val="00D469F4"/>
    <w:rsid w:val="00D46F00"/>
    <w:rsid w:val="00D470B3"/>
    <w:rsid w:val="00D47389"/>
    <w:rsid w:val="00D478DC"/>
    <w:rsid w:val="00D50E30"/>
    <w:rsid w:val="00D51174"/>
    <w:rsid w:val="00D515AA"/>
    <w:rsid w:val="00D51B1D"/>
    <w:rsid w:val="00D5213D"/>
    <w:rsid w:val="00D52D4F"/>
    <w:rsid w:val="00D52E54"/>
    <w:rsid w:val="00D52FF5"/>
    <w:rsid w:val="00D53544"/>
    <w:rsid w:val="00D5356A"/>
    <w:rsid w:val="00D53C6B"/>
    <w:rsid w:val="00D5416C"/>
    <w:rsid w:val="00D55435"/>
    <w:rsid w:val="00D56969"/>
    <w:rsid w:val="00D56DFA"/>
    <w:rsid w:val="00D5703B"/>
    <w:rsid w:val="00D570AF"/>
    <w:rsid w:val="00D6007C"/>
    <w:rsid w:val="00D60ADF"/>
    <w:rsid w:val="00D60B88"/>
    <w:rsid w:val="00D60E22"/>
    <w:rsid w:val="00D61302"/>
    <w:rsid w:val="00D61AE0"/>
    <w:rsid w:val="00D62391"/>
    <w:rsid w:val="00D625CB"/>
    <w:rsid w:val="00D62F4D"/>
    <w:rsid w:val="00D646AF"/>
    <w:rsid w:val="00D652D9"/>
    <w:rsid w:val="00D67DA5"/>
    <w:rsid w:val="00D70DDA"/>
    <w:rsid w:val="00D71C73"/>
    <w:rsid w:val="00D73AD9"/>
    <w:rsid w:val="00D7466E"/>
    <w:rsid w:val="00D748DC"/>
    <w:rsid w:val="00D752CD"/>
    <w:rsid w:val="00D75F80"/>
    <w:rsid w:val="00D76040"/>
    <w:rsid w:val="00D76A42"/>
    <w:rsid w:val="00D77FF2"/>
    <w:rsid w:val="00D80795"/>
    <w:rsid w:val="00D80C29"/>
    <w:rsid w:val="00D81353"/>
    <w:rsid w:val="00D8244D"/>
    <w:rsid w:val="00D82F09"/>
    <w:rsid w:val="00D8316D"/>
    <w:rsid w:val="00D83B51"/>
    <w:rsid w:val="00D83CCB"/>
    <w:rsid w:val="00D840CB"/>
    <w:rsid w:val="00D844AC"/>
    <w:rsid w:val="00D84506"/>
    <w:rsid w:val="00D846E5"/>
    <w:rsid w:val="00D84ECA"/>
    <w:rsid w:val="00D85018"/>
    <w:rsid w:val="00D850C6"/>
    <w:rsid w:val="00D8525E"/>
    <w:rsid w:val="00D852A0"/>
    <w:rsid w:val="00D868AD"/>
    <w:rsid w:val="00D87176"/>
    <w:rsid w:val="00D87290"/>
    <w:rsid w:val="00D90146"/>
    <w:rsid w:val="00D9041B"/>
    <w:rsid w:val="00D90781"/>
    <w:rsid w:val="00D907C8"/>
    <w:rsid w:val="00D909E9"/>
    <w:rsid w:val="00D90DBB"/>
    <w:rsid w:val="00D9141D"/>
    <w:rsid w:val="00D91C3A"/>
    <w:rsid w:val="00D91CB5"/>
    <w:rsid w:val="00D92371"/>
    <w:rsid w:val="00D931AE"/>
    <w:rsid w:val="00D93CDB"/>
    <w:rsid w:val="00D946C9"/>
    <w:rsid w:val="00D947EB"/>
    <w:rsid w:val="00D94CF3"/>
    <w:rsid w:val="00D953C5"/>
    <w:rsid w:val="00D953FE"/>
    <w:rsid w:val="00D955EA"/>
    <w:rsid w:val="00D95AFA"/>
    <w:rsid w:val="00D95CE8"/>
    <w:rsid w:val="00D95DF2"/>
    <w:rsid w:val="00D961DB"/>
    <w:rsid w:val="00D962D0"/>
    <w:rsid w:val="00D96708"/>
    <w:rsid w:val="00D96733"/>
    <w:rsid w:val="00D967A8"/>
    <w:rsid w:val="00D9711F"/>
    <w:rsid w:val="00DA058E"/>
    <w:rsid w:val="00DA08DD"/>
    <w:rsid w:val="00DA152B"/>
    <w:rsid w:val="00DA1A64"/>
    <w:rsid w:val="00DA25E2"/>
    <w:rsid w:val="00DA29A6"/>
    <w:rsid w:val="00DA36C5"/>
    <w:rsid w:val="00DA460A"/>
    <w:rsid w:val="00DA4DDE"/>
    <w:rsid w:val="00DA4E65"/>
    <w:rsid w:val="00DA512C"/>
    <w:rsid w:val="00DA5702"/>
    <w:rsid w:val="00DA6765"/>
    <w:rsid w:val="00DA6D95"/>
    <w:rsid w:val="00DA7778"/>
    <w:rsid w:val="00DA79BC"/>
    <w:rsid w:val="00DB003C"/>
    <w:rsid w:val="00DB0240"/>
    <w:rsid w:val="00DB0F61"/>
    <w:rsid w:val="00DB109D"/>
    <w:rsid w:val="00DB1127"/>
    <w:rsid w:val="00DB1E91"/>
    <w:rsid w:val="00DB24DB"/>
    <w:rsid w:val="00DB3C8C"/>
    <w:rsid w:val="00DB4410"/>
    <w:rsid w:val="00DB4559"/>
    <w:rsid w:val="00DB5117"/>
    <w:rsid w:val="00DB5155"/>
    <w:rsid w:val="00DB56B3"/>
    <w:rsid w:val="00DB6031"/>
    <w:rsid w:val="00DB664A"/>
    <w:rsid w:val="00DB6C15"/>
    <w:rsid w:val="00DB7191"/>
    <w:rsid w:val="00DB7463"/>
    <w:rsid w:val="00DB790A"/>
    <w:rsid w:val="00DB7DB5"/>
    <w:rsid w:val="00DC03A9"/>
    <w:rsid w:val="00DC049A"/>
    <w:rsid w:val="00DC0818"/>
    <w:rsid w:val="00DC14AF"/>
    <w:rsid w:val="00DC1589"/>
    <w:rsid w:val="00DC1720"/>
    <w:rsid w:val="00DC23AD"/>
    <w:rsid w:val="00DC3633"/>
    <w:rsid w:val="00DC3793"/>
    <w:rsid w:val="00DC39FB"/>
    <w:rsid w:val="00DC4108"/>
    <w:rsid w:val="00DC4EC7"/>
    <w:rsid w:val="00DC4F64"/>
    <w:rsid w:val="00DC50C5"/>
    <w:rsid w:val="00DC535D"/>
    <w:rsid w:val="00DC591B"/>
    <w:rsid w:val="00DC6414"/>
    <w:rsid w:val="00DC64A7"/>
    <w:rsid w:val="00DC6539"/>
    <w:rsid w:val="00DC6AB9"/>
    <w:rsid w:val="00DC76AB"/>
    <w:rsid w:val="00DD005E"/>
    <w:rsid w:val="00DD0067"/>
    <w:rsid w:val="00DD0953"/>
    <w:rsid w:val="00DD0AE7"/>
    <w:rsid w:val="00DD1A95"/>
    <w:rsid w:val="00DD2C81"/>
    <w:rsid w:val="00DD3878"/>
    <w:rsid w:val="00DD3BAC"/>
    <w:rsid w:val="00DD3DF3"/>
    <w:rsid w:val="00DD605B"/>
    <w:rsid w:val="00DD76FE"/>
    <w:rsid w:val="00DE029F"/>
    <w:rsid w:val="00DE04F0"/>
    <w:rsid w:val="00DE0CD5"/>
    <w:rsid w:val="00DE1B25"/>
    <w:rsid w:val="00DE21DE"/>
    <w:rsid w:val="00DE224D"/>
    <w:rsid w:val="00DE2496"/>
    <w:rsid w:val="00DE287F"/>
    <w:rsid w:val="00DE3A85"/>
    <w:rsid w:val="00DE3B3A"/>
    <w:rsid w:val="00DE3EAE"/>
    <w:rsid w:val="00DE59E3"/>
    <w:rsid w:val="00DE5DD9"/>
    <w:rsid w:val="00DE5E44"/>
    <w:rsid w:val="00DE5F5A"/>
    <w:rsid w:val="00DE7099"/>
    <w:rsid w:val="00DE72DA"/>
    <w:rsid w:val="00DE74A3"/>
    <w:rsid w:val="00DE764E"/>
    <w:rsid w:val="00DE777D"/>
    <w:rsid w:val="00DE7A10"/>
    <w:rsid w:val="00DE7B4E"/>
    <w:rsid w:val="00DF02F1"/>
    <w:rsid w:val="00DF0332"/>
    <w:rsid w:val="00DF0FAA"/>
    <w:rsid w:val="00DF2076"/>
    <w:rsid w:val="00DF29AA"/>
    <w:rsid w:val="00DF2B3A"/>
    <w:rsid w:val="00DF2F2D"/>
    <w:rsid w:val="00DF341B"/>
    <w:rsid w:val="00DF3549"/>
    <w:rsid w:val="00DF39E9"/>
    <w:rsid w:val="00DF431B"/>
    <w:rsid w:val="00DF507D"/>
    <w:rsid w:val="00DF6419"/>
    <w:rsid w:val="00DF74D9"/>
    <w:rsid w:val="00DF7BCA"/>
    <w:rsid w:val="00E02A3F"/>
    <w:rsid w:val="00E02ACD"/>
    <w:rsid w:val="00E0360B"/>
    <w:rsid w:val="00E03A96"/>
    <w:rsid w:val="00E03B3F"/>
    <w:rsid w:val="00E03E8F"/>
    <w:rsid w:val="00E0402D"/>
    <w:rsid w:val="00E042B1"/>
    <w:rsid w:val="00E04F42"/>
    <w:rsid w:val="00E0550A"/>
    <w:rsid w:val="00E05D56"/>
    <w:rsid w:val="00E06B36"/>
    <w:rsid w:val="00E07806"/>
    <w:rsid w:val="00E079B8"/>
    <w:rsid w:val="00E07CE8"/>
    <w:rsid w:val="00E103E5"/>
    <w:rsid w:val="00E105A9"/>
    <w:rsid w:val="00E12027"/>
    <w:rsid w:val="00E1273A"/>
    <w:rsid w:val="00E1291B"/>
    <w:rsid w:val="00E13586"/>
    <w:rsid w:val="00E14459"/>
    <w:rsid w:val="00E15056"/>
    <w:rsid w:val="00E15DB1"/>
    <w:rsid w:val="00E16149"/>
    <w:rsid w:val="00E16487"/>
    <w:rsid w:val="00E16F8C"/>
    <w:rsid w:val="00E1718A"/>
    <w:rsid w:val="00E17552"/>
    <w:rsid w:val="00E17815"/>
    <w:rsid w:val="00E1794F"/>
    <w:rsid w:val="00E179C8"/>
    <w:rsid w:val="00E20554"/>
    <w:rsid w:val="00E2171E"/>
    <w:rsid w:val="00E21B03"/>
    <w:rsid w:val="00E220FE"/>
    <w:rsid w:val="00E22400"/>
    <w:rsid w:val="00E22445"/>
    <w:rsid w:val="00E2314C"/>
    <w:rsid w:val="00E231E4"/>
    <w:rsid w:val="00E23391"/>
    <w:rsid w:val="00E23C02"/>
    <w:rsid w:val="00E23D81"/>
    <w:rsid w:val="00E2425A"/>
    <w:rsid w:val="00E24675"/>
    <w:rsid w:val="00E25152"/>
    <w:rsid w:val="00E260A3"/>
    <w:rsid w:val="00E262AB"/>
    <w:rsid w:val="00E26D15"/>
    <w:rsid w:val="00E271E2"/>
    <w:rsid w:val="00E272B3"/>
    <w:rsid w:val="00E272EE"/>
    <w:rsid w:val="00E277C0"/>
    <w:rsid w:val="00E27DDB"/>
    <w:rsid w:val="00E30368"/>
    <w:rsid w:val="00E303DE"/>
    <w:rsid w:val="00E30CB1"/>
    <w:rsid w:val="00E30EEC"/>
    <w:rsid w:val="00E31216"/>
    <w:rsid w:val="00E31702"/>
    <w:rsid w:val="00E31AFF"/>
    <w:rsid w:val="00E31B75"/>
    <w:rsid w:val="00E3242E"/>
    <w:rsid w:val="00E330C9"/>
    <w:rsid w:val="00E3330E"/>
    <w:rsid w:val="00E3350C"/>
    <w:rsid w:val="00E3351F"/>
    <w:rsid w:val="00E33992"/>
    <w:rsid w:val="00E33C55"/>
    <w:rsid w:val="00E34540"/>
    <w:rsid w:val="00E35CA4"/>
    <w:rsid w:val="00E36A5C"/>
    <w:rsid w:val="00E37652"/>
    <w:rsid w:val="00E376F2"/>
    <w:rsid w:val="00E40DAE"/>
    <w:rsid w:val="00E40F62"/>
    <w:rsid w:val="00E42943"/>
    <w:rsid w:val="00E4299E"/>
    <w:rsid w:val="00E43249"/>
    <w:rsid w:val="00E436A2"/>
    <w:rsid w:val="00E43EA9"/>
    <w:rsid w:val="00E4422E"/>
    <w:rsid w:val="00E446A7"/>
    <w:rsid w:val="00E44A01"/>
    <w:rsid w:val="00E44A5D"/>
    <w:rsid w:val="00E44FF8"/>
    <w:rsid w:val="00E4523D"/>
    <w:rsid w:val="00E458D8"/>
    <w:rsid w:val="00E45DCF"/>
    <w:rsid w:val="00E46B94"/>
    <w:rsid w:val="00E500B7"/>
    <w:rsid w:val="00E50AAD"/>
    <w:rsid w:val="00E50D71"/>
    <w:rsid w:val="00E50F3F"/>
    <w:rsid w:val="00E51006"/>
    <w:rsid w:val="00E514EA"/>
    <w:rsid w:val="00E518A7"/>
    <w:rsid w:val="00E52722"/>
    <w:rsid w:val="00E529F5"/>
    <w:rsid w:val="00E5303D"/>
    <w:rsid w:val="00E53233"/>
    <w:rsid w:val="00E5356B"/>
    <w:rsid w:val="00E53D56"/>
    <w:rsid w:val="00E53DCF"/>
    <w:rsid w:val="00E53E00"/>
    <w:rsid w:val="00E54221"/>
    <w:rsid w:val="00E550EB"/>
    <w:rsid w:val="00E55535"/>
    <w:rsid w:val="00E5581D"/>
    <w:rsid w:val="00E5650A"/>
    <w:rsid w:val="00E568B6"/>
    <w:rsid w:val="00E56B26"/>
    <w:rsid w:val="00E56FDF"/>
    <w:rsid w:val="00E574EC"/>
    <w:rsid w:val="00E57F9C"/>
    <w:rsid w:val="00E60C3D"/>
    <w:rsid w:val="00E61319"/>
    <w:rsid w:val="00E61404"/>
    <w:rsid w:val="00E615F9"/>
    <w:rsid w:val="00E6193C"/>
    <w:rsid w:val="00E62BC2"/>
    <w:rsid w:val="00E62BE5"/>
    <w:rsid w:val="00E63DAA"/>
    <w:rsid w:val="00E63DDF"/>
    <w:rsid w:val="00E64F76"/>
    <w:rsid w:val="00E65C4D"/>
    <w:rsid w:val="00E66430"/>
    <w:rsid w:val="00E70319"/>
    <w:rsid w:val="00E7052B"/>
    <w:rsid w:val="00E70C4A"/>
    <w:rsid w:val="00E7203C"/>
    <w:rsid w:val="00E7221D"/>
    <w:rsid w:val="00E728AA"/>
    <w:rsid w:val="00E72A03"/>
    <w:rsid w:val="00E72A20"/>
    <w:rsid w:val="00E72DE7"/>
    <w:rsid w:val="00E737F3"/>
    <w:rsid w:val="00E75EE6"/>
    <w:rsid w:val="00E7615F"/>
    <w:rsid w:val="00E766B9"/>
    <w:rsid w:val="00E76AE0"/>
    <w:rsid w:val="00E77780"/>
    <w:rsid w:val="00E77EAA"/>
    <w:rsid w:val="00E80101"/>
    <w:rsid w:val="00E80939"/>
    <w:rsid w:val="00E81701"/>
    <w:rsid w:val="00E81832"/>
    <w:rsid w:val="00E81A87"/>
    <w:rsid w:val="00E821AE"/>
    <w:rsid w:val="00E82F74"/>
    <w:rsid w:val="00E83214"/>
    <w:rsid w:val="00E83948"/>
    <w:rsid w:val="00E83CF9"/>
    <w:rsid w:val="00E84781"/>
    <w:rsid w:val="00E847C0"/>
    <w:rsid w:val="00E85F15"/>
    <w:rsid w:val="00E862A2"/>
    <w:rsid w:val="00E869FB"/>
    <w:rsid w:val="00E86CD4"/>
    <w:rsid w:val="00E90188"/>
    <w:rsid w:val="00E913CC"/>
    <w:rsid w:val="00E92974"/>
    <w:rsid w:val="00E92F98"/>
    <w:rsid w:val="00E9331D"/>
    <w:rsid w:val="00E9347F"/>
    <w:rsid w:val="00E943D2"/>
    <w:rsid w:val="00E94526"/>
    <w:rsid w:val="00E951D6"/>
    <w:rsid w:val="00E95263"/>
    <w:rsid w:val="00E95322"/>
    <w:rsid w:val="00E9532D"/>
    <w:rsid w:val="00E95490"/>
    <w:rsid w:val="00E96373"/>
    <w:rsid w:val="00E968C1"/>
    <w:rsid w:val="00E97111"/>
    <w:rsid w:val="00E971F6"/>
    <w:rsid w:val="00EA005B"/>
    <w:rsid w:val="00EA0E54"/>
    <w:rsid w:val="00EA1769"/>
    <w:rsid w:val="00EA17C0"/>
    <w:rsid w:val="00EA256C"/>
    <w:rsid w:val="00EA31E4"/>
    <w:rsid w:val="00EA3671"/>
    <w:rsid w:val="00EA4185"/>
    <w:rsid w:val="00EA44B8"/>
    <w:rsid w:val="00EA46BA"/>
    <w:rsid w:val="00EA4AEC"/>
    <w:rsid w:val="00EA52F3"/>
    <w:rsid w:val="00EA5B80"/>
    <w:rsid w:val="00EA673A"/>
    <w:rsid w:val="00EA6BA7"/>
    <w:rsid w:val="00EA6EE3"/>
    <w:rsid w:val="00EB05B9"/>
    <w:rsid w:val="00EB0DEA"/>
    <w:rsid w:val="00EB102C"/>
    <w:rsid w:val="00EB1F63"/>
    <w:rsid w:val="00EB27BC"/>
    <w:rsid w:val="00EB3456"/>
    <w:rsid w:val="00EB4ACE"/>
    <w:rsid w:val="00EB5DAC"/>
    <w:rsid w:val="00EB6829"/>
    <w:rsid w:val="00EB6A32"/>
    <w:rsid w:val="00EB7445"/>
    <w:rsid w:val="00EC07AE"/>
    <w:rsid w:val="00EC0EAE"/>
    <w:rsid w:val="00EC1A40"/>
    <w:rsid w:val="00EC2EBE"/>
    <w:rsid w:val="00EC2FA5"/>
    <w:rsid w:val="00EC33A0"/>
    <w:rsid w:val="00EC3514"/>
    <w:rsid w:val="00EC3EF8"/>
    <w:rsid w:val="00EC4836"/>
    <w:rsid w:val="00EC4A91"/>
    <w:rsid w:val="00EC5088"/>
    <w:rsid w:val="00EC5844"/>
    <w:rsid w:val="00EC6C7C"/>
    <w:rsid w:val="00ED00E5"/>
    <w:rsid w:val="00ED1178"/>
    <w:rsid w:val="00ED4A35"/>
    <w:rsid w:val="00ED5718"/>
    <w:rsid w:val="00ED5848"/>
    <w:rsid w:val="00ED5E38"/>
    <w:rsid w:val="00EE05EE"/>
    <w:rsid w:val="00EE0806"/>
    <w:rsid w:val="00EE13FD"/>
    <w:rsid w:val="00EE1508"/>
    <w:rsid w:val="00EE2A8D"/>
    <w:rsid w:val="00EE2CF1"/>
    <w:rsid w:val="00EE36AD"/>
    <w:rsid w:val="00EE372D"/>
    <w:rsid w:val="00EE3B89"/>
    <w:rsid w:val="00EE3C73"/>
    <w:rsid w:val="00EE4490"/>
    <w:rsid w:val="00EE4A43"/>
    <w:rsid w:val="00EE4EEF"/>
    <w:rsid w:val="00EE5588"/>
    <w:rsid w:val="00EE5EBE"/>
    <w:rsid w:val="00EE5F4F"/>
    <w:rsid w:val="00EE6832"/>
    <w:rsid w:val="00EE6A2F"/>
    <w:rsid w:val="00EE772B"/>
    <w:rsid w:val="00EE79AD"/>
    <w:rsid w:val="00EF0CC4"/>
    <w:rsid w:val="00EF1755"/>
    <w:rsid w:val="00EF1ED4"/>
    <w:rsid w:val="00EF2110"/>
    <w:rsid w:val="00EF3CB3"/>
    <w:rsid w:val="00EF3D58"/>
    <w:rsid w:val="00EF432B"/>
    <w:rsid w:val="00EF4436"/>
    <w:rsid w:val="00EF4CE4"/>
    <w:rsid w:val="00EF4D82"/>
    <w:rsid w:val="00EF4DD8"/>
    <w:rsid w:val="00EF4EB7"/>
    <w:rsid w:val="00EF588F"/>
    <w:rsid w:val="00EF5932"/>
    <w:rsid w:val="00EF5AB7"/>
    <w:rsid w:val="00EF60DB"/>
    <w:rsid w:val="00EF653E"/>
    <w:rsid w:val="00EF69DA"/>
    <w:rsid w:val="00EF6FAE"/>
    <w:rsid w:val="00EF7063"/>
    <w:rsid w:val="00EF7084"/>
    <w:rsid w:val="00EF7365"/>
    <w:rsid w:val="00EF7562"/>
    <w:rsid w:val="00EF799C"/>
    <w:rsid w:val="00F007E3"/>
    <w:rsid w:val="00F00E0D"/>
    <w:rsid w:val="00F018B1"/>
    <w:rsid w:val="00F03502"/>
    <w:rsid w:val="00F03503"/>
    <w:rsid w:val="00F03B39"/>
    <w:rsid w:val="00F0400C"/>
    <w:rsid w:val="00F04052"/>
    <w:rsid w:val="00F04BE2"/>
    <w:rsid w:val="00F04E24"/>
    <w:rsid w:val="00F04F6C"/>
    <w:rsid w:val="00F04FED"/>
    <w:rsid w:val="00F05145"/>
    <w:rsid w:val="00F05763"/>
    <w:rsid w:val="00F05B11"/>
    <w:rsid w:val="00F05F38"/>
    <w:rsid w:val="00F06267"/>
    <w:rsid w:val="00F06673"/>
    <w:rsid w:val="00F06851"/>
    <w:rsid w:val="00F06961"/>
    <w:rsid w:val="00F0750B"/>
    <w:rsid w:val="00F1066F"/>
    <w:rsid w:val="00F10D0F"/>
    <w:rsid w:val="00F11B5C"/>
    <w:rsid w:val="00F127FA"/>
    <w:rsid w:val="00F12EAB"/>
    <w:rsid w:val="00F13093"/>
    <w:rsid w:val="00F1358E"/>
    <w:rsid w:val="00F13F1F"/>
    <w:rsid w:val="00F1415F"/>
    <w:rsid w:val="00F14201"/>
    <w:rsid w:val="00F143BF"/>
    <w:rsid w:val="00F1508C"/>
    <w:rsid w:val="00F1562F"/>
    <w:rsid w:val="00F1578E"/>
    <w:rsid w:val="00F15DCD"/>
    <w:rsid w:val="00F16364"/>
    <w:rsid w:val="00F17CC9"/>
    <w:rsid w:val="00F206B3"/>
    <w:rsid w:val="00F20763"/>
    <w:rsid w:val="00F20A41"/>
    <w:rsid w:val="00F20A8F"/>
    <w:rsid w:val="00F20B30"/>
    <w:rsid w:val="00F2151F"/>
    <w:rsid w:val="00F21A4B"/>
    <w:rsid w:val="00F226F7"/>
    <w:rsid w:val="00F227C8"/>
    <w:rsid w:val="00F2399C"/>
    <w:rsid w:val="00F239B6"/>
    <w:rsid w:val="00F23CB7"/>
    <w:rsid w:val="00F24004"/>
    <w:rsid w:val="00F241DB"/>
    <w:rsid w:val="00F245B3"/>
    <w:rsid w:val="00F247CD"/>
    <w:rsid w:val="00F24E69"/>
    <w:rsid w:val="00F257B5"/>
    <w:rsid w:val="00F25EBC"/>
    <w:rsid w:val="00F2617D"/>
    <w:rsid w:val="00F26341"/>
    <w:rsid w:val="00F26DD1"/>
    <w:rsid w:val="00F26EA8"/>
    <w:rsid w:val="00F2720E"/>
    <w:rsid w:val="00F2776D"/>
    <w:rsid w:val="00F3008B"/>
    <w:rsid w:val="00F30EC8"/>
    <w:rsid w:val="00F3107A"/>
    <w:rsid w:val="00F31B5A"/>
    <w:rsid w:val="00F32394"/>
    <w:rsid w:val="00F336D4"/>
    <w:rsid w:val="00F337BB"/>
    <w:rsid w:val="00F34417"/>
    <w:rsid w:val="00F346E6"/>
    <w:rsid w:val="00F34A21"/>
    <w:rsid w:val="00F34EA9"/>
    <w:rsid w:val="00F35A73"/>
    <w:rsid w:val="00F35AED"/>
    <w:rsid w:val="00F36AC4"/>
    <w:rsid w:val="00F40122"/>
    <w:rsid w:val="00F40864"/>
    <w:rsid w:val="00F4162D"/>
    <w:rsid w:val="00F42DC9"/>
    <w:rsid w:val="00F43281"/>
    <w:rsid w:val="00F433BD"/>
    <w:rsid w:val="00F43789"/>
    <w:rsid w:val="00F4406B"/>
    <w:rsid w:val="00F442D3"/>
    <w:rsid w:val="00F44808"/>
    <w:rsid w:val="00F44895"/>
    <w:rsid w:val="00F45536"/>
    <w:rsid w:val="00F46783"/>
    <w:rsid w:val="00F47FFD"/>
    <w:rsid w:val="00F501DE"/>
    <w:rsid w:val="00F50585"/>
    <w:rsid w:val="00F50BD2"/>
    <w:rsid w:val="00F51554"/>
    <w:rsid w:val="00F516E3"/>
    <w:rsid w:val="00F51EFB"/>
    <w:rsid w:val="00F53636"/>
    <w:rsid w:val="00F53931"/>
    <w:rsid w:val="00F53E8B"/>
    <w:rsid w:val="00F54832"/>
    <w:rsid w:val="00F57885"/>
    <w:rsid w:val="00F57EE9"/>
    <w:rsid w:val="00F610D3"/>
    <w:rsid w:val="00F6155E"/>
    <w:rsid w:val="00F6175F"/>
    <w:rsid w:val="00F61B06"/>
    <w:rsid w:val="00F61D2E"/>
    <w:rsid w:val="00F62AB7"/>
    <w:rsid w:val="00F63284"/>
    <w:rsid w:val="00F63C8C"/>
    <w:rsid w:val="00F64ACD"/>
    <w:rsid w:val="00F660BF"/>
    <w:rsid w:val="00F66144"/>
    <w:rsid w:val="00F6713F"/>
    <w:rsid w:val="00F67A49"/>
    <w:rsid w:val="00F67C74"/>
    <w:rsid w:val="00F710B9"/>
    <w:rsid w:val="00F72048"/>
    <w:rsid w:val="00F7213D"/>
    <w:rsid w:val="00F731ED"/>
    <w:rsid w:val="00F7345E"/>
    <w:rsid w:val="00F7417B"/>
    <w:rsid w:val="00F74B51"/>
    <w:rsid w:val="00F764B8"/>
    <w:rsid w:val="00F77909"/>
    <w:rsid w:val="00F77AD0"/>
    <w:rsid w:val="00F77B2D"/>
    <w:rsid w:val="00F77FDF"/>
    <w:rsid w:val="00F8069C"/>
    <w:rsid w:val="00F807F6"/>
    <w:rsid w:val="00F808B9"/>
    <w:rsid w:val="00F81321"/>
    <w:rsid w:val="00F81362"/>
    <w:rsid w:val="00F81ACA"/>
    <w:rsid w:val="00F82C13"/>
    <w:rsid w:val="00F82D8C"/>
    <w:rsid w:val="00F83296"/>
    <w:rsid w:val="00F83520"/>
    <w:rsid w:val="00F85446"/>
    <w:rsid w:val="00F854EE"/>
    <w:rsid w:val="00F860F0"/>
    <w:rsid w:val="00F8666D"/>
    <w:rsid w:val="00F86773"/>
    <w:rsid w:val="00F875BC"/>
    <w:rsid w:val="00F87611"/>
    <w:rsid w:val="00F8775F"/>
    <w:rsid w:val="00F910B5"/>
    <w:rsid w:val="00F91353"/>
    <w:rsid w:val="00F91502"/>
    <w:rsid w:val="00F9272F"/>
    <w:rsid w:val="00F92999"/>
    <w:rsid w:val="00F92BBB"/>
    <w:rsid w:val="00F92D51"/>
    <w:rsid w:val="00F92EE4"/>
    <w:rsid w:val="00F9398C"/>
    <w:rsid w:val="00F93F10"/>
    <w:rsid w:val="00F94BDE"/>
    <w:rsid w:val="00F951BE"/>
    <w:rsid w:val="00F952E9"/>
    <w:rsid w:val="00F954DC"/>
    <w:rsid w:val="00F95977"/>
    <w:rsid w:val="00F95A8C"/>
    <w:rsid w:val="00F96668"/>
    <w:rsid w:val="00F9684A"/>
    <w:rsid w:val="00FA000F"/>
    <w:rsid w:val="00FA0825"/>
    <w:rsid w:val="00FA08AD"/>
    <w:rsid w:val="00FA14BF"/>
    <w:rsid w:val="00FA1FDB"/>
    <w:rsid w:val="00FA2B1C"/>
    <w:rsid w:val="00FA2DEE"/>
    <w:rsid w:val="00FA2F27"/>
    <w:rsid w:val="00FA33D7"/>
    <w:rsid w:val="00FA3D3C"/>
    <w:rsid w:val="00FA4150"/>
    <w:rsid w:val="00FA53ED"/>
    <w:rsid w:val="00FA5766"/>
    <w:rsid w:val="00FA6521"/>
    <w:rsid w:val="00FA6773"/>
    <w:rsid w:val="00FA6AFC"/>
    <w:rsid w:val="00FA6BE6"/>
    <w:rsid w:val="00FA7251"/>
    <w:rsid w:val="00FA7B85"/>
    <w:rsid w:val="00FA7D7D"/>
    <w:rsid w:val="00FB12C2"/>
    <w:rsid w:val="00FB236C"/>
    <w:rsid w:val="00FB25AA"/>
    <w:rsid w:val="00FB2637"/>
    <w:rsid w:val="00FB3C4E"/>
    <w:rsid w:val="00FB4033"/>
    <w:rsid w:val="00FB41A6"/>
    <w:rsid w:val="00FB4B2C"/>
    <w:rsid w:val="00FB52AB"/>
    <w:rsid w:val="00FB5308"/>
    <w:rsid w:val="00FB6030"/>
    <w:rsid w:val="00FB603A"/>
    <w:rsid w:val="00FB620D"/>
    <w:rsid w:val="00FB645E"/>
    <w:rsid w:val="00FB699A"/>
    <w:rsid w:val="00FB6F67"/>
    <w:rsid w:val="00FB71B9"/>
    <w:rsid w:val="00FC0AD7"/>
    <w:rsid w:val="00FC0BDC"/>
    <w:rsid w:val="00FC10DE"/>
    <w:rsid w:val="00FC1375"/>
    <w:rsid w:val="00FC1467"/>
    <w:rsid w:val="00FC1D5A"/>
    <w:rsid w:val="00FC22B6"/>
    <w:rsid w:val="00FC2894"/>
    <w:rsid w:val="00FC2C90"/>
    <w:rsid w:val="00FC2D5F"/>
    <w:rsid w:val="00FC3BEF"/>
    <w:rsid w:val="00FC4018"/>
    <w:rsid w:val="00FC5603"/>
    <w:rsid w:val="00FC5F79"/>
    <w:rsid w:val="00FC727A"/>
    <w:rsid w:val="00FD028D"/>
    <w:rsid w:val="00FD0627"/>
    <w:rsid w:val="00FD09DB"/>
    <w:rsid w:val="00FD0B28"/>
    <w:rsid w:val="00FD17BA"/>
    <w:rsid w:val="00FD23D4"/>
    <w:rsid w:val="00FD24C6"/>
    <w:rsid w:val="00FD2A21"/>
    <w:rsid w:val="00FD2C9D"/>
    <w:rsid w:val="00FD2F74"/>
    <w:rsid w:val="00FD38F2"/>
    <w:rsid w:val="00FD3A43"/>
    <w:rsid w:val="00FD3A82"/>
    <w:rsid w:val="00FD3B94"/>
    <w:rsid w:val="00FD40DD"/>
    <w:rsid w:val="00FD43B3"/>
    <w:rsid w:val="00FD49DE"/>
    <w:rsid w:val="00FD6295"/>
    <w:rsid w:val="00FD66D2"/>
    <w:rsid w:val="00FD69EF"/>
    <w:rsid w:val="00FD6B7C"/>
    <w:rsid w:val="00FD974E"/>
    <w:rsid w:val="00FE0BDC"/>
    <w:rsid w:val="00FE1118"/>
    <w:rsid w:val="00FE17A0"/>
    <w:rsid w:val="00FE4003"/>
    <w:rsid w:val="00FE40E5"/>
    <w:rsid w:val="00FE4739"/>
    <w:rsid w:val="00FE4A44"/>
    <w:rsid w:val="00FE4CDC"/>
    <w:rsid w:val="00FE4DB2"/>
    <w:rsid w:val="00FE5198"/>
    <w:rsid w:val="00FE6722"/>
    <w:rsid w:val="00FE67B4"/>
    <w:rsid w:val="00FE681C"/>
    <w:rsid w:val="00FE681D"/>
    <w:rsid w:val="00FE6DDB"/>
    <w:rsid w:val="00FE72C7"/>
    <w:rsid w:val="00FE74DF"/>
    <w:rsid w:val="00FE7FD7"/>
    <w:rsid w:val="00FF00BD"/>
    <w:rsid w:val="00FF0AC0"/>
    <w:rsid w:val="00FF0DBD"/>
    <w:rsid w:val="00FF20D2"/>
    <w:rsid w:val="00FF2100"/>
    <w:rsid w:val="00FF28A0"/>
    <w:rsid w:val="00FF3776"/>
    <w:rsid w:val="00FF3A07"/>
    <w:rsid w:val="00FF3FEA"/>
    <w:rsid w:val="00FF431E"/>
    <w:rsid w:val="00FF4C68"/>
    <w:rsid w:val="00FF5EB8"/>
    <w:rsid w:val="00FF6AF1"/>
    <w:rsid w:val="015DD3D7"/>
    <w:rsid w:val="016D0C82"/>
    <w:rsid w:val="01ADDF30"/>
    <w:rsid w:val="01D27AE8"/>
    <w:rsid w:val="020AD2CC"/>
    <w:rsid w:val="024A10CF"/>
    <w:rsid w:val="02787065"/>
    <w:rsid w:val="02B3C933"/>
    <w:rsid w:val="02FE04EE"/>
    <w:rsid w:val="03601F4E"/>
    <w:rsid w:val="04661FA7"/>
    <w:rsid w:val="04A75B2C"/>
    <w:rsid w:val="04D4FC51"/>
    <w:rsid w:val="0520B5D2"/>
    <w:rsid w:val="05229506"/>
    <w:rsid w:val="052BE18E"/>
    <w:rsid w:val="06080353"/>
    <w:rsid w:val="063C3508"/>
    <w:rsid w:val="0678E25E"/>
    <w:rsid w:val="06A5BDB9"/>
    <w:rsid w:val="07152DDC"/>
    <w:rsid w:val="0786DC00"/>
    <w:rsid w:val="07C02864"/>
    <w:rsid w:val="07D9BB9A"/>
    <w:rsid w:val="07E37456"/>
    <w:rsid w:val="08425ED4"/>
    <w:rsid w:val="0860C0C4"/>
    <w:rsid w:val="087426AA"/>
    <w:rsid w:val="08EBAC80"/>
    <w:rsid w:val="093C66D6"/>
    <w:rsid w:val="0959CF4D"/>
    <w:rsid w:val="0A176940"/>
    <w:rsid w:val="0A333C17"/>
    <w:rsid w:val="0A974C72"/>
    <w:rsid w:val="0B7D4F1B"/>
    <w:rsid w:val="0B8E4865"/>
    <w:rsid w:val="0BA4C5CD"/>
    <w:rsid w:val="0BC02971"/>
    <w:rsid w:val="0BE381E3"/>
    <w:rsid w:val="0C0ABCFB"/>
    <w:rsid w:val="0C8EDB6D"/>
    <w:rsid w:val="0CA52D8D"/>
    <w:rsid w:val="0CA6824F"/>
    <w:rsid w:val="0CBB4177"/>
    <w:rsid w:val="0CBD8E55"/>
    <w:rsid w:val="0CF556AC"/>
    <w:rsid w:val="0D16389A"/>
    <w:rsid w:val="0D1850EE"/>
    <w:rsid w:val="0D7EA801"/>
    <w:rsid w:val="0D948F29"/>
    <w:rsid w:val="0DD32DC5"/>
    <w:rsid w:val="0ED807B8"/>
    <w:rsid w:val="0F528F80"/>
    <w:rsid w:val="0F5D5F8C"/>
    <w:rsid w:val="0F87441E"/>
    <w:rsid w:val="0F95AFCC"/>
    <w:rsid w:val="0F9AA096"/>
    <w:rsid w:val="0FA4C7A4"/>
    <w:rsid w:val="0FA7B1D4"/>
    <w:rsid w:val="0FAA5B42"/>
    <w:rsid w:val="0FCBED87"/>
    <w:rsid w:val="1089C063"/>
    <w:rsid w:val="10C10127"/>
    <w:rsid w:val="111D3087"/>
    <w:rsid w:val="1164E132"/>
    <w:rsid w:val="1195E0E2"/>
    <w:rsid w:val="11E5EC12"/>
    <w:rsid w:val="126F603F"/>
    <w:rsid w:val="12DE6C0D"/>
    <w:rsid w:val="12E3E473"/>
    <w:rsid w:val="13131D01"/>
    <w:rsid w:val="1315AE9F"/>
    <w:rsid w:val="13C3E246"/>
    <w:rsid w:val="140812E9"/>
    <w:rsid w:val="145E438A"/>
    <w:rsid w:val="146B36BA"/>
    <w:rsid w:val="14B362B8"/>
    <w:rsid w:val="14CAAB87"/>
    <w:rsid w:val="155447E1"/>
    <w:rsid w:val="156E6C5D"/>
    <w:rsid w:val="1580B0FC"/>
    <w:rsid w:val="158A8D38"/>
    <w:rsid w:val="15A97AF4"/>
    <w:rsid w:val="1615B868"/>
    <w:rsid w:val="16F435E3"/>
    <w:rsid w:val="170058B9"/>
    <w:rsid w:val="17406A3E"/>
    <w:rsid w:val="1792B94D"/>
    <w:rsid w:val="17AFBC35"/>
    <w:rsid w:val="17B0E71C"/>
    <w:rsid w:val="181E2C02"/>
    <w:rsid w:val="1851094E"/>
    <w:rsid w:val="1868D5EC"/>
    <w:rsid w:val="187FA7EF"/>
    <w:rsid w:val="18852F52"/>
    <w:rsid w:val="18CE2769"/>
    <w:rsid w:val="18D715F0"/>
    <w:rsid w:val="197BB0D6"/>
    <w:rsid w:val="19ED73E1"/>
    <w:rsid w:val="19F59083"/>
    <w:rsid w:val="1A66B209"/>
    <w:rsid w:val="1A961EEB"/>
    <w:rsid w:val="1ABF2313"/>
    <w:rsid w:val="1B02FB3D"/>
    <w:rsid w:val="1B50F2E4"/>
    <w:rsid w:val="1B8C8FCA"/>
    <w:rsid w:val="1C785CA5"/>
    <w:rsid w:val="1D73BF93"/>
    <w:rsid w:val="1D9598AD"/>
    <w:rsid w:val="1DCEBF31"/>
    <w:rsid w:val="1E34E2AF"/>
    <w:rsid w:val="1E69CA2E"/>
    <w:rsid w:val="1E8E1E90"/>
    <w:rsid w:val="1FCD6ADC"/>
    <w:rsid w:val="2116E7D3"/>
    <w:rsid w:val="211F5D65"/>
    <w:rsid w:val="215471E6"/>
    <w:rsid w:val="21632D30"/>
    <w:rsid w:val="217D7320"/>
    <w:rsid w:val="21837CD5"/>
    <w:rsid w:val="219743A7"/>
    <w:rsid w:val="21D5BF0F"/>
    <w:rsid w:val="22134998"/>
    <w:rsid w:val="223D5FF1"/>
    <w:rsid w:val="22EEB949"/>
    <w:rsid w:val="233A76C8"/>
    <w:rsid w:val="241244B7"/>
    <w:rsid w:val="244D7474"/>
    <w:rsid w:val="2464FF19"/>
    <w:rsid w:val="24A2C164"/>
    <w:rsid w:val="24AE19A5"/>
    <w:rsid w:val="25CD1148"/>
    <w:rsid w:val="25DB438F"/>
    <w:rsid w:val="26771D83"/>
    <w:rsid w:val="26AF3849"/>
    <w:rsid w:val="26D26A80"/>
    <w:rsid w:val="27184945"/>
    <w:rsid w:val="271EE6DC"/>
    <w:rsid w:val="277F4D8D"/>
    <w:rsid w:val="27C89852"/>
    <w:rsid w:val="27CE2E0A"/>
    <w:rsid w:val="27D3B4C6"/>
    <w:rsid w:val="2823D660"/>
    <w:rsid w:val="2838D7EB"/>
    <w:rsid w:val="28810170"/>
    <w:rsid w:val="28A4675E"/>
    <w:rsid w:val="28DBE416"/>
    <w:rsid w:val="293C9264"/>
    <w:rsid w:val="2979753D"/>
    <w:rsid w:val="29A13A08"/>
    <w:rsid w:val="2AC7571C"/>
    <w:rsid w:val="2AD8A29B"/>
    <w:rsid w:val="2B37EE1D"/>
    <w:rsid w:val="2B4CC04D"/>
    <w:rsid w:val="2BED77BC"/>
    <w:rsid w:val="2C1EF78A"/>
    <w:rsid w:val="2C83766D"/>
    <w:rsid w:val="2C914492"/>
    <w:rsid w:val="2CDF09F4"/>
    <w:rsid w:val="2CE1B0F8"/>
    <w:rsid w:val="2CF5E660"/>
    <w:rsid w:val="2D07D896"/>
    <w:rsid w:val="2D5E0039"/>
    <w:rsid w:val="2DEEC80F"/>
    <w:rsid w:val="2EF98671"/>
    <w:rsid w:val="2F1DC64F"/>
    <w:rsid w:val="2F482F48"/>
    <w:rsid w:val="2F4B8733"/>
    <w:rsid w:val="2F6E03C2"/>
    <w:rsid w:val="2F8315A4"/>
    <w:rsid w:val="2FB8E00E"/>
    <w:rsid w:val="302BDCB0"/>
    <w:rsid w:val="30507CFB"/>
    <w:rsid w:val="307CE08F"/>
    <w:rsid w:val="30C13033"/>
    <w:rsid w:val="30C2ECB0"/>
    <w:rsid w:val="30FE3DD6"/>
    <w:rsid w:val="317B6E0F"/>
    <w:rsid w:val="31B0079B"/>
    <w:rsid w:val="31E80294"/>
    <w:rsid w:val="31F5D983"/>
    <w:rsid w:val="322FC6C1"/>
    <w:rsid w:val="32533E1D"/>
    <w:rsid w:val="32CD3E5A"/>
    <w:rsid w:val="32DFD4EB"/>
    <w:rsid w:val="3310658D"/>
    <w:rsid w:val="332F3F16"/>
    <w:rsid w:val="33492854"/>
    <w:rsid w:val="34024C85"/>
    <w:rsid w:val="34278AF4"/>
    <w:rsid w:val="3468D2F8"/>
    <w:rsid w:val="34A57707"/>
    <w:rsid w:val="34F372B5"/>
    <w:rsid w:val="35AF1358"/>
    <w:rsid w:val="35DEA4ED"/>
    <w:rsid w:val="36098134"/>
    <w:rsid w:val="360E303C"/>
    <w:rsid w:val="36626945"/>
    <w:rsid w:val="36B356C9"/>
    <w:rsid w:val="3740E264"/>
    <w:rsid w:val="375A54C6"/>
    <w:rsid w:val="37E081DF"/>
    <w:rsid w:val="380F4F10"/>
    <w:rsid w:val="386D77CC"/>
    <w:rsid w:val="388DC743"/>
    <w:rsid w:val="38AD4E54"/>
    <w:rsid w:val="38E28A6E"/>
    <w:rsid w:val="38E3D7CE"/>
    <w:rsid w:val="3937B48B"/>
    <w:rsid w:val="393E4E30"/>
    <w:rsid w:val="39468B62"/>
    <w:rsid w:val="394F02CE"/>
    <w:rsid w:val="3978CE8A"/>
    <w:rsid w:val="399BF5C9"/>
    <w:rsid w:val="3AC3B0E1"/>
    <w:rsid w:val="3AD2371B"/>
    <w:rsid w:val="3B14C332"/>
    <w:rsid w:val="3B275006"/>
    <w:rsid w:val="3B639033"/>
    <w:rsid w:val="3B6E3E1C"/>
    <w:rsid w:val="3B704209"/>
    <w:rsid w:val="3B834455"/>
    <w:rsid w:val="3BF44391"/>
    <w:rsid w:val="3C413572"/>
    <w:rsid w:val="3C4866FE"/>
    <w:rsid w:val="3C6329CB"/>
    <w:rsid w:val="3CA71668"/>
    <w:rsid w:val="3CFEC971"/>
    <w:rsid w:val="3D402C44"/>
    <w:rsid w:val="3D7BA393"/>
    <w:rsid w:val="3D9E33B8"/>
    <w:rsid w:val="3DD82ABE"/>
    <w:rsid w:val="3DF1A36E"/>
    <w:rsid w:val="3E406677"/>
    <w:rsid w:val="3E61CAC9"/>
    <w:rsid w:val="3EDEA5D1"/>
    <w:rsid w:val="3FC84C18"/>
    <w:rsid w:val="3FD74E5A"/>
    <w:rsid w:val="3FE22659"/>
    <w:rsid w:val="401705CE"/>
    <w:rsid w:val="403E7F3D"/>
    <w:rsid w:val="40576E22"/>
    <w:rsid w:val="4084EFCF"/>
    <w:rsid w:val="40A20E31"/>
    <w:rsid w:val="40D034CF"/>
    <w:rsid w:val="410D133D"/>
    <w:rsid w:val="412DC0EB"/>
    <w:rsid w:val="41438657"/>
    <w:rsid w:val="41F012CD"/>
    <w:rsid w:val="42360577"/>
    <w:rsid w:val="42396F66"/>
    <w:rsid w:val="423FAD45"/>
    <w:rsid w:val="43159AF5"/>
    <w:rsid w:val="433FCC7D"/>
    <w:rsid w:val="43952B6A"/>
    <w:rsid w:val="43A997FF"/>
    <w:rsid w:val="43BB2024"/>
    <w:rsid w:val="43D2D0A1"/>
    <w:rsid w:val="440C7CB0"/>
    <w:rsid w:val="449CFEE3"/>
    <w:rsid w:val="4533A579"/>
    <w:rsid w:val="458CFDE6"/>
    <w:rsid w:val="45AAB05A"/>
    <w:rsid w:val="4608ACB9"/>
    <w:rsid w:val="467F1BA9"/>
    <w:rsid w:val="46ADD2B7"/>
    <w:rsid w:val="46C15C89"/>
    <w:rsid w:val="46D5F519"/>
    <w:rsid w:val="472019D9"/>
    <w:rsid w:val="47484766"/>
    <w:rsid w:val="4784F2F0"/>
    <w:rsid w:val="47CF7D55"/>
    <w:rsid w:val="47F621E3"/>
    <w:rsid w:val="48707B56"/>
    <w:rsid w:val="48AFD071"/>
    <w:rsid w:val="48C261B9"/>
    <w:rsid w:val="48FB1B5E"/>
    <w:rsid w:val="49146F40"/>
    <w:rsid w:val="4926195E"/>
    <w:rsid w:val="4966373A"/>
    <w:rsid w:val="49DF9DC1"/>
    <w:rsid w:val="49EF020D"/>
    <w:rsid w:val="4A07C023"/>
    <w:rsid w:val="4A4626A0"/>
    <w:rsid w:val="4A586CB4"/>
    <w:rsid w:val="4A7453E6"/>
    <w:rsid w:val="4AA3669C"/>
    <w:rsid w:val="4B06A89C"/>
    <w:rsid w:val="4B290FFB"/>
    <w:rsid w:val="4BAB6E74"/>
    <w:rsid w:val="4BADEC51"/>
    <w:rsid w:val="4CE0E968"/>
    <w:rsid w:val="4D71FA83"/>
    <w:rsid w:val="4D9548BA"/>
    <w:rsid w:val="4DF2A8EB"/>
    <w:rsid w:val="4DFDE63A"/>
    <w:rsid w:val="4E3517F5"/>
    <w:rsid w:val="4E45E840"/>
    <w:rsid w:val="4E948202"/>
    <w:rsid w:val="4F2E4854"/>
    <w:rsid w:val="4F4CE50C"/>
    <w:rsid w:val="4FFB0B6F"/>
    <w:rsid w:val="50150139"/>
    <w:rsid w:val="5054CA45"/>
    <w:rsid w:val="50666CD3"/>
    <w:rsid w:val="509F2028"/>
    <w:rsid w:val="511780EC"/>
    <w:rsid w:val="514EA467"/>
    <w:rsid w:val="51F0F0DB"/>
    <w:rsid w:val="526BAD27"/>
    <w:rsid w:val="527265F3"/>
    <w:rsid w:val="52D7EC8D"/>
    <w:rsid w:val="52FB192F"/>
    <w:rsid w:val="532A8E10"/>
    <w:rsid w:val="5345F1A6"/>
    <w:rsid w:val="53A5B27F"/>
    <w:rsid w:val="53E6A579"/>
    <w:rsid w:val="541D2107"/>
    <w:rsid w:val="54C480CF"/>
    <w:rsid w:val="5502CDB0"/>
    <w:rsid w:val="551B3375"/>
    <w:rsid w:val="55AAB5AB"/>
    <w:rsid w:val="55D2069A"/>
    <w:rsid w:val="55EE6961"/>
    <w:rsid w:val="56103FFC"/>
    <w:rsid w:val="565350E0"/>
    <w:rsid w:val="56536824"/>
    <w:rsid w:val="565CAF17"/>
    <w:rsid w:val="56E2F13B"/>
    <w:rsid w:val="573F2BB9"/>
    <w:rsid w:val="574198B0"/>
    <w:rsid w:val="574F0FAC"/>
    <w:rsid w:val="57590D7E"/>
    <w:rsid w:val="57F1C5B4"/>
    <w:rsid w:val="5813CF50"/>
    <w:rsid w:val="587223CD"/>
    <w:rsid w:val="58FC414B"/>
    <w:rsid w:val="597C263A"/>
    <w:rsid w:val="59DDFC3A"/>
    <w:rsid w:val="5A66F1EC"/>
    <w:rsid w:val="5A752642"/>
    <w:rsid w:val="5A7C8306"/>
    <w:rsid w:val="5AEED00E"/>
    <w:rsid w:val="5B1E78E5"/>
    <w:rsid w:val="5BD0AA5C"/>
    <w:rsid w:val="5C4B8872"/>
    <w:rsid w:val="5CCF2BC8"/>
    <w:rsid w:val="5D0423D1"/>
    <w:rsid w:val="5D204924"/>
    <w:rsid w:val="5EB6FEBC"/>
    <w:rsid w:val="5EBB0A82"/>
    <w:rsid w:val="5EF78193"/>
    <w:rsid w:val="5F290A46"/>
    <w:rsid w:val="5F56E643"/>
    <w:rsid w:val="5FF5136D"/>
    <w:rsid w:val="5FFB01CF"/>
    <w:rsid w:val="602A953F"/>
    <w:rsid w:val="60704AE4"/>
    <w:rsid w:val="608FAA6F"/>
    <w:rsid w:val="60BA7400"/>
    <w:rsid w:val="60CD5392"/>
    <w:rsid w:val="60F035AB"/>
    <w:rsid w:val="618BAF01"/>
    <w:rsid w:val="61D6D8E8"/>
    <w:rsid w:val="61DBBE18"/>
    <w:rsid w:val="62086073"/>
    <w:rsid w:val="6224E993"/>
    <w:rsid w:val="622F3F7B"/>
    <w:rsid w:val="626C50D9"/>
    <w:rsid w:val="63F148B5"/>
    <w:rsid w:val="6454B075"/>
    <w:rsid w:val="64B37535"/>
    <w:rsid w:val="6596267A"/>
    <w:rsid w:val="65BDFA60"/>
    <w:rsid w:val="65E461BB"/>
    <w:rsid w:val="65F78E5D"/>
    <w:rsid w:val="660109DF"/>
    <w:rsid w:val="663D1184"/>
    <w:rsid w:val="6698398C"/>
    <w:rsid w:val="66C495E1"/>
    <w:rsid w:val="676D947C"/>
    <w:rsid w:val="67AEB05D"/>
    <w:rsid w:val="67B6828F"/>
    <w:rsid w:val="67CD1F73"/>
    <w:rsid w:val="6825C5FB"/>
    <w:rsid w:val="68750B48"/>
    <w:rsid w:val="689F3ED0"/>
    <w:rsid w:val="691FC688"/>
    <w:rsid w:val="69263851"/>
    <w:rsid w:val="69717C63"/>
    <w:rsid w:val="697EFB8C"/>
    <w:rsid w:val="69D697EC"/>
    <w:rsid w:val="69EAF9F1"/>
    <w:rsid w:val="69F667BE"/>
    <w:rsid w:val="6A089E88"/>
    <w:rsid w:val="6A1A76DC"/>
    <w:rsid w:val="6A1D93C5"/>
    <w:rsid w:val="6A755392"/>
    <w:rsid w:val="6AC74C08"/>
    <w:rsid w:val="6B48A01F"/>
    <w:rsid w:val="6B5B0FE0"/>
    <w:rsid w:val="6BF36628"/>
    <w:rsid w:val="6C1C46BB"/>
    <w:rsid w:val="6C3F4C5A"/>
    <w:rsid w:val="6C733499"/>
    <w:rsid w:val="6C80EFC8"/>
    <w:rsid w:val="6C8A092C"/>
    <w:rsid w:val="6CCF1C1C"/>
    <w:rsid w:val="6D1C00EC"/>
    <w:rsid w:val="6D39BB76"/>
    <w:rsid w:val="6D540D6E"/>
    <w:rsid w:val="6D67C66B"/>
    <w:rsid w:val="6D732A18"/>
    <w:rsid w:val="6D94C653"/>
    <w:rsid w:val="6E72C122"/>
    <w:rsid w:val="6E922425"/>
    <w:rsid w:val="6E9BC579"/>
    <w:rsid w:val="6EACDB2C"/>
    <w:rsid w:val="6EBC8AC0"/>
    <w:rsid w:val="6FA2C968"/>
    <w:rsid w:val="6FBCD22C"/>
    <w:rsid w:val="6FCA96B3"/>
    <w:rsid w:val="7074D9C8"/>
    <w:rsid w:val="707AC8B2"/>
    <w:rsid w:val="7084A679"/>
    <w:rsid w:val="708820F5"/>
    <w:rsid w:val="70A4352A"/>
    <w:rsid w:val="710E237B"/>
    <w:rsid w:val="713E13D4"/>
    <w:rsid w:val="716583B3"/>
    <w:rsid w:val="71698E42"/>
    <w:rsid w:val="719D163E"/>
    <w:rsid w:val="71D4A1F6"/>
    <w:rsid w:val="71F1BD18"/>
    <w:rsid w:val="71F727F3"/>
    <w:rsid w:val="7205F07F"/>
    <w:rsid w:val="722798D9"/>
    <w:rsid w:val="72752269"/>
    <w:rsid w:val="72C16F66"/>
    <w:rsid w:val="7303D9BF"/>
    <w:rsid w:val="7357822D"/>
    <w:rsid w:val="735E10CC"/>
    <w:rsid w:val="7362BE3E"/>
    <w:rsid w:val="73959FC9"/>
    <w:rsid w:val="73C0760F"/>
    <w:rsid w:val="744379AD"/>
    <w:rsid w:val="745EE546"/>
    <w:rsid w:val="74ADE1E7"/>
    <w:rsid w:val="750036B9"/>
    <w:rsid w:val="751150AF"/>
    <w:rsid w:val="7531702A"/>
    <w:rsid w:val="75881165"/>
    <w:rsid w:val="758D932C"/>
    <w:rsid w:val="75F5035F"/>
    <w:rsid w:val="7634E009"/>
    <w:rsid w:val="764DD595"/>
    <w:rsid w:val="76536FD3"/>
    <w:rsid w:val="76667D3F"/>
    <w:rsid w:val="76B51607"/>
    <w:rsid w:val="76DF0AF4"/>
    <w:rsid w:val="7716E0C3"/>
    <w:rsid w:val="7722FB10"/>
    <w:rsid w:val="7745B8E7"/>
    <w:rsid w:val="779B542D"/>
    <w:rsid w:val="78069AE5"/>
    <w:rsid w:val="7873AF20"/>
    <w:rsid w:val="7890F4AE"/>
    <w:rsid w:val="78BD5AB8"/>
    <w:rsid w:val="78DFD0EF"/>
    <w:rsid w:val="79487945"/>
    <w:rsid w:val="79906865"/>
    <w:rsid w:val="79C11C99"/>
    <w:rsid w:val="79C9AE14"/>
    <w:rsid w:val="79F710B9"/>
    <w:rsid w:val="7A130293"/>
    <w:rsid w:val="7A15EA16"/>
    <w:rsid w:val="7A283098"/>
    <w:rsid w:val="7A4A87E1"/>
    <w:rsid w:val="7ADD1658"/>
    <w:rsid w:val="7AE3A387"/>
    <w:rsid w:val="7B1A60E4"/>
    <w:rsid w:val="7BB6A19A"/>
    <w:rsid w:val="7C081C90"/>
    <w:rsid w:val="7C4E371B"/>
    <w:rsid w:val="7C58CE50"/>
    <w:rsid w:val="7D2AC548"/>
    <w:rsid w:val="7D7ECEAF"/>
    <w:rsid w:val="7DDDAF55"/>
    <w:rsid w:val="7DFE222D"/>
    <w:rsid w:val="7E18B86C"/>
    <w:rsid w:val="7E66099C"/>
    <w:rsid w:val="7E6F8C78"/>
    <w:rsid w:val="7F0DD9A1"/>
    <w:rsid w:val="7F9C555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8C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DAA"/>
    <w:pPr>
      <w:spacing w:before="120"/>
    </w:pPr>
    <w:rPr>
      <w:rFonts w:ascii="Franklin Gothic Book" w:hAnsi="Franklin Gothic Book"/>
    </w:rPr>
  </w:style>
  <w:style w:type="paragraph" w:styleId="Heading1">
    <w:name w:val="heading 1"/>
    <w:basedOn w:val="Normal"/>
    <w:next w:val="Normal"/>
    <w:link w:val="Heading1Char"/>
    <w:uiPriority w:val="9"/>
    <w:qFormat/>
    <w:rsid w:val="001531D6"/>
    <w:pPr>
      <w:keepNext/>
      <w:keepLines/>
      <w:numPr>
        <w:numId w:val="1"/>
      </w:numPr>
      <w:pBdr>
        <w:bottom w:val="single" w:sz="4" w:space="1" w:color="auto"/>
      </w:pBdr>
      <w:spacing w:before="600" w:after="480" w:line="240" w:lineRule="auto"/>
      <w:ind w:left="357" w:hanging="357"/>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1531D6"/>
    <w:pPr>
      <w:keepNext/>
      <w:keepLines/>
      <w:numPr>
        <w:ilvl w:val="1"/>
        <w:numId w:val="1"/>
      </w:numPr>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5103C5"/>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A776A4"/>
    <w:pPr>
      <w:outlineLvl w:val="3"/>
    </w:pPr>
    <w:rPr>
      <w:i/>
    </w:rPr>
  </w:style>
  <w:style w:type="paragraph" w:styleId="Heading5">
    <w:name w:val="heading 5"/>
    <w:basedOn w:val="Normal"/>
    <w:next w:val="Normal"/>
    <w:link w:val="Heading5Char"/>
    <w:uiPriority w:val="9"/>
    <w:unhideWhenUsed/>
    <w:qFormat/>
    <w:rsid w:val="00903ED8"/>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03ED8"/>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03ED8"/>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basedOn w:val="Normal"/>
    <w:link w:val="CommentTextChar"/>
    <w:uiPriority w:val="99"/>
    <w:unhideWhenUsed/>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iPriority w:val="35"/>
    <w:qFormat/>
    <w:rsid w:val="009A06F4"/>
    <w:pPr>
      <w:keepNext/>
      <w:spacing w:before="360" w:after="120" w:line="240" w:lineRule="auto"/>
    </w:pPr>
    <w:rPr>
      <w:rFonts w:ascii="Arial Narrow" w:eastAsia="Times New Roman" w:hAnsi="Arial Narrow" w:cs="Times New Roman"/>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Yu Gothic Light" w:hAnsi="@Yu Gothic Light"/>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uiPriority w:val="35"/>
    <w:rsid w:val="009A06F4"/>
    <w:rPr>
      <w:rFonts w:ascii="Arial Narrow" w:eastAsia="Times New Roman" w:hAnsi="Arial Narrow" w:cs="Times New Roman"/>
      <w:b/>
      <w:bCs/>
      <w:sz w:val="20"/>
      <w:szCs w:val="20"/>
    </w:rPr>
  </w:style>
  <w:style w:type="table" w:styleId="TableGrid">
    <w:name w:val="Table Grid"/>
    <w:aliases w:val="Summary box,Table Gridbeth,RTI AMCP Table,new style,ASD Table,PBAC table,HTAtableplain,HealthConsult,Lash Style Table,CMA Table Template,YHEC table,Dossier table,Section 3- footnotes,MSD Table Grid"/>
    <w:basedOn w:val="TableNormal"/>
    <w:uiPriority w:val="59"/>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qFormat/>
    <w:rsid w:val="00FD17BA"/>
    <w:pPr>
      <w:spacing w:after="60" w:line="240" w:lineRule="auto"/>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A776A4"/>
    <w:rPr>
      <w:rFonts w:ascii="Franklin Gothic Medium" w:eastAsiaTheme="majorEastAsia" w:hAnsi="Franklin Gothic Medium" w:cstheme="majorBidi"/>
      <w:i/>
      <w:sz w:val="24"/>
      <w:szCs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595B7C"/>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976D82"/>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064E36"/>
    <w:pPr>
      <w:tabs>
        <w:tab w:val="right" w:leader="dot" w:pos="9016"/>
      </w:tabs>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2"/>
      </w:numPr>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9A06F4"/>
    <w:pPr>
      <w:tabs>
        <w:tab w:val="left" w:pos="284"/>
      </w:tabs>
      <w:spacing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9A06F4"/>
    <w:rPr>
      <w:rFonts w:ascii="Arial Narrow" w:eastAsia="Times New Roman" w:hAnsi="Arial Narrow" w:cs="Arial"/>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3"/>
      </w:numPr>
      <w:spacing w:after="120" w:line="240" w:lineRule="auto"/>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uiPriority w:val="4"/>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uiPriority w:val="4"/>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4"/>
      </w:numPr>
    </w:pPr>
  </w:style>
  <w:style w:type="paragraph" w:customStyle="1" w:styleId="2-SectionHeading">
    <w:name w:val="2-Section Heading"/>
    <w:qFormat/>
    <w:rsid w:val="005131D3"/>
    <w:pPr>
      <w:keepNext/>
      <w:numPr>
        <w:numId w:val="5"/>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5131D3"/>
    <w:pPr>
      <w:numPr>
        <w:ilvl w:val="1"/>
        <w:numId w:val="5"/>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numPr>
        <w:numId w:val="6"/>
      </w:numPr>
      <w:spacing w:after="120" w:line="240" w:lineRule="auto"/>
      <w:ind w:left="714" w:hanging="357"/>
    </w:pPr>
    <w:rPr>
      <w:rFonts w:ascii="Calibri" w:hAnsi="Calibri" w:cs="Calibri"/>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qFormat/>
    <w:rsid w:val="007B0880"/>
    <w:pPr>
      <w:widowControl w:val="0"/>
      <w:snapToGrid w:val="0"/>
      <w:spacing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ArialMT" w:hAnsi="ArialMT"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ArialMT" w:hAnsi="ArialMT"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ArialMT" w:hAnsi="ArialMT"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iPriority w:val="99"/>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uiPriority w:val="99"/>
    <w:rsid w:val="00804632"/>
    <w:rPr>
      <w:sz w:val="18"/>
      <w:szCs w:val="20"/>
    </w:rPr>
  </w:style>
  <w:style w:type="character" w:styleId="FootnoteReference">
    <w:name w:val="footnote reference"/>
    <w:basedOn w:val="DefaultParagraphFont"/>
    <w:uiPriority w:val="99"/>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qFormat/>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qFormat/>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ilvl w:val="0"/>
        <w:numId w:val="7"/>
      </w:numPr>
      <w:spacing w:before="240"/>
      <w:ind w:left="2154" w:hanging="357"/>
    </w:pPr>
  </w:style>
  <w:style w:type="paragraph" w:customStyle="1" w:styleId="NormalBeforeBullet">
    <w:name w:val="Normal Before Bullet"/>
    <w:basedOn w:val="Normal"/>
    <w:qFormat/>
    <w:rsid w:val="00091C59"/>
    <w:pPr>
      <w:keepNext/>
      <w:spacing w:after="120" w:line="240" w:lineRule="auto"/>
    </w:pPr>
    <w:rPr>
      <w:rFonts w:asciiTheme="minorHAnsi" w:hAnsiTheme="minorHAnsi"/>
    </w:rPr>
  </w:style>
  <w:style w:type="paragraph" w:customStyle="1" w:styleId="Dash">
    <w:name w:val="Dash"/>
    <w:basedOn w:val="Bullet"/>
    <w:qFormat/>
    <w:rsid w:val="00091C59"/>
    <w:pPr>
      <w:numPr>
        <w:numId w:val="8"/>
      </w:numPr>
      <w:spacing w:after="40"/>
      <w:ind w:left="714" w:hanging="357"/>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uiPriority w:val="99"/>
    <w:qFormat/>
    <w:rsid w:val="002463A6"/>
    <w:pPr>
      <w:numPr>
        <w:numId w:val="9"/>
      </w:numPr>
      <w:spacing w:before="0" w:after="0"/>
      <w:ind w:left="714" w:hanging="357"/>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character" w:styleId="UnresolvedMention">
    <w:name w:val="Unresolved Mention"/>
    <w:basedOn w:val="DefaultParagraphFont"/>
    <w:uiPriority w:val="99"/>
    <w:semiHidden/>
    <w:unhideWhenUsed/>
    <w:rsid w:val="00D13865"/>
    <w:rPr>
      <w:color w:val="605E5C"/>
      <w:shd w:val="clear" w:color="auto" w:fill="E1DFDD"/>
    </w:rPr>
  </w:style>
  <w:style w:type="paragraph" w:customStyle="1" w:styleId="EndNoteBibliographyTitle">
    <w:name w:val="EndNote Bibliography Title"/>
    <w:basedOn w:val="Normal"/>
    <w:link w:val="EndNoteBibliographyTitleChar"/>
    <w:rsid w:val="00682123"/>
    <w:pPr>
      <w:spacing w:after="0"/>
      <w:jc w:val="center"/>
    </w:pPr>
    <w:rPr>
      <w:noProof/>
      <w:lang w:val="en-US"/>
    </w:rPr>
  </w:style>
  <w:style w:type="character" w:customStyle="1" w:styleId="EndNoteBibliographyTitleChar">
    <w:name w:val="EndNote Bibliography Title Char"/>
    <w:basedOn w:val="TableTextChar"/>
    <w:link w:val="EndNoteBibliographyTitle"/>
    <w:rsid w:val="00682123"/>
    <w:rPr>
      <w:rFonts w:ascii="Franklin Gothic Book" w:hAnsi="Franklin Gothic Book"/>
      <w:noProof/>
      <w:sz w:val="20"/>
      <w:lang w:val="en-US"/>
    </w:rPr>
  </w:style>
  <w:style w:type="paragraph" w:customStyle="1" w:styleId="EndNoteBibliography">
    <w:name w:val="EndNote Bibliography"/>
    <w:basedOn w:val="Normal"/>
    <w:link w:val="EndNoteBibliographyChar"/>
    <w:rsid w:val="00682123"/>
    <w:pPr>
      <w:spacing w:line="240" w:lineRule="auto"/>
    </w:pPr>
    <w:rPr>
      <w:noProof/>
      <w:lang w:val="en-US"/>
    </w:rPr>
  </w:style>
  <w:style w:type="character" w:customStyle="1" w:styleId="EndNoteBibliographyChar">
    <w:name w:val="EndNote Bibliography Char"/>
    <w:basedOn w:val="TableTextChar"/>
    <w:link w:val="EndNoteBibliography"/>
    <w:rsid w:val="00682123"/>
    <w:rPr>
      <w:rFonts w:ascii="Franklin Gothic Book" w:hAnsi="Franklin Gothic Book"/>
      <w:noProof/>
      <w:sz w:val="20"/>
      <w:lang w:val="en-US"/>
    </w:rPr>
  </w:style>
  <w:style w:type="character" w:customStyle="1" w:styleId="Heading5Char">
    <w:name w:val="Heading 5 Char"/>
    <w:basedOn w:val="DefaultParagraphFont"/>
    <w:link w:val="Heading5"/>
    <w:uiPriority w:val="9"/>
    <w:rsid w:val="00903ED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03ED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03ED8"/>
    <w:rPr>
      <w:rFonts w:asciiTheme="majorHAnsi" w:eastAsiaTheme="majorEastAsia" w:hAnsiTheme="majorHAnsi" w:cstheme="majorBidi"/>
      <w:i/>
      <w:iCs/>
      <w:color w:val="1F4D78" w:themeColor="accent1" w:themeShade="7F"/>
    </w:rPr>
  </w:style>
  <w:style w:type="table" w:customStyle="1" w:styleId="TableGrid4">
    <w:name w:val="Table Grid4"/>
    <w:basedOn w:val="TableNormal"/>
    <w:next w:val="TableGrid"/>
    <w:uiPriority w:val="39"/>
    <w:rsid w:val="00903ED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lthConsult1">
    <w:name w:val="HealthConsult1"/>
    <w:basedOn w:val="TableNormal"/>
    <w:next w:val="TableGrid"/>
    <w:uiPriority w:val="59"/>
    <w:rsid w:val="00955EB1"/>
    <w:pPr>
      <w:spacing w:after="0" w:line="240" w:lineRule="auto"/>
    </w:pPr>
    <w:rPr>
      <w:rFonts w:ascii="Times New Roman" w:eastAsia="SimSu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locked/>
    <w:rsid w:val="000B7D54"/>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val="0"/>
        <w:sz w:val="20"/>
      </w:rPr>
    </w:tblStylePr>
  </w:style>
  <w:style w:type="character" w:customStyle="1" w:styleId="ui-provider">
    <w:name w:val="ui-provider"/>
    <w:basedOn w:val="DefaultParagraphFont"/>
    <w:rsid w:val="007F45AD"/>
  </w:style>
  <w:style w:type="table" w:customStyle="1" w:styleId="HealthConsult2">
    <w:name w:val="HealthConsult2"/>
    <w:basedOn w:val="TableNormal"/>
    <w:next w:val="TableGrid"/>
    <w:uiPriority w:val="59"/>
    <w:rsid w:val="00962B6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843F3"/>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3843F3"/>
    <w:rPr>
      <w:rFonts w:ascii="Franklin Gothic Book" w:hAnsi="Franklin Gothic Book"/>
      <w:sz w:val="20"/>
      <w:szCs w:val="20"/>
    </w:rPr>
  </w:style>
  <w:style w:type="character" w:styleId="EndnoteReference">
    <w:name w:val="endnote reference"/>
    <w:basedOn w:val="DefaultParagraphFont"/>
    <w:uiPriority w:val="99"/>
    <w:semiHidden/>
    <w:unhideWhenUsed/>
    <w:rsid w:val="003843F3"/>
    <w:rPr>
      <w:vertAlign w:val="superscript"/>
    </w:rPr>
  </w:style>
  <w:style w:type="paragraph" w:customStyle="1" w:styleId="Default">
    <w:name w:val="Default"/>
    <w:rsid w:val="003843F3"/>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99"/>
    <w:unhideWhenUsed/>
    <w:rsid w:val="00226BFD"/>
    <w:pPr>
      <w:spacing w:before="0" w:after="120" w:line="240" w:lineRule="auto"/>
    </w:pPr>
    <w:rPr>
      <w:rFonts w:asciiTheme="minorHAnsi" w:hAnsiTheme="minorHAnsi"/>
      <w:kern w:val="2"/>
      <w:sz w:val="24"/>
      <w:szCs w:val="24"/>
      <w14:ligatures w14:val="standardContextual"/>
    </w:rPr>
  </w:style>
  <w:style w:type="character" w:customStyle="1" w:styleId="BodyTextChar">
    <w:name w:val="Body Text Char"/>
    <w:basedOn w:val="DefaultParagraphFont"/>
    <w:link w:val="BodyText"/>
    <w:uiPriority w:val="99"/>
    <w:rsid w:val="00226BFD"/>
    <w:rPr>
      <w:kern w:val="2"/>
      <w:sz w:val="24"/>
      <w:szCs w:val="24"/>
      <w14:ligatures w14:val="standardContextual"/>
    </w:rPr>
  </w:style>
  <w:style w:type="character" w:customStyle="1" w:styleId="cf01">
    <w:name w:val="cf01"/>
    <w:basedOn w:val="DefaultParagraphFont"/>
    <w:rsid w:val="00114495"/>
    <w:rPr>
      <w:rFonts w:ascii="Segoe UI" w:hAnsi="Segoe UI" w:cs="Segoe UI" w:hint="default"/>
      <w:sz w:val="18"/>
      <w:szCs w:val="18"/>
    </w:rPr>
  </w:style>
  <w:style w:type="character" w:customStyle="1" w:styleId="cf11">
    <w:name w:val="cf11"/>
    <w:basedOn w:val="DefaultParagraphFont"/>
    <w:rsid w:val="00B52917"/>
    <w:rPr>
      <w:rFonts w:ascii="Segoe UI" w:hAnsi="Segoe UI" w:cs="Segoe UI" w:hint="default"/>
      <w:i/>
      <w:iCs/>
      <w:sz w:val="18"/>
      <w:szCs w:val="18"/>
    </w:rPr>
  </w:style>
  <w:style w:type="paragraph" w:styleId="TableofFigures">
    <w:name w:val="table of figures"/>
    <w:basedOn w:val="Normal"/>
    <w:next w:val="Normal"/>
    <w:uiPriority w:val="99"/>
    <w:unhideWhenUsed/>
    <w:rsid w:val="00E22400"/>
    <w:pPr>
      <w:spacing w:after="0"/>
    </w:pPr>
  </w:style>
  <w:style w:type="paragraph" w:styleId="NormalWeb">
    <w:name w:val="Normal (Web)"/>
    <w:basedOn w:val="Normal"/>
    <w:uiPriority w:val="99"/>
    <w:semiHidden/>
    <w:unhideWhenUsed/>
    <w:rsid w:val="002B504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Mention">
    <w:name w:val="Mention"/>
    <w:basedOn w:val="DefaultParagraphFont"/>
    <w:uiPriority w:val="99"/>
    <w:unhideWhenUsed/>
    <w:rsid w:val="00BD68D5"/>
    <w:rPr>
      <w:color w:val="2B579A"/>
      <w:shd w:val="clear" w:color="auto" w:fill="E1DFDD"/>
    </w:rPr>
  </w:style>
  <w:style w:type="paragraph" w:customStyle="1" w:styleId="BoxText">
    <w:name w:val="BoxText"/>
    <w:basedOn w:val="Normal"/>
    <w:qFormat/>
    <w:rsid w:val="00361849"/>
    <w:pPr>
      <w:pBdr>
        <w:top w:val="single" w:sz="4" w:space="4" w:color="000000"/>
        <w:left w:val="single" w:sz="4" w:space="4" w:color="000000"/>
        <w:bottom w:val="single" w:sz="4" w:space="4" w:color="000000"/>
        <w:right w:val="single" w:sz="4" w:space="4" w:color="000000"/>
      </w:pBdr>
      <w:spacing w:before="0" w:after="120" w:line="240" w:lineRule="auto"/>
    </w:pPr>
    <w:rPr>
      <w:rFonts w:eastAsia="Times New Roman" w:cs="Times New Roman"/>
      <w:color w:val="000000"/>
      <w:szCs w:val="20"/>
      <w:lang w:eastAsia="en-AU"/>
    </w:rPr>
  </w:style>
  <w:style w:type="paragraph" w:customStyle="1" w:styleId="BoxName0">
    <w:name w:val="BoxName"/>
    <w:basedOn w:val="BoxText"/>
    <w:rsid w:val="00361849"/>
    <w:pPr>
      <w:keepNext/>
      <w:spacing w:before="240" w:after="240"/>
      <w:ind w:left="1077" w:hanging="1077"/>
    </w:pPr>
    <w:rPr>
      <w:b/>
      <w:bCs/>
      <w:sz w:val="24"/>
    </w:rPr>
  </w:style>
  <w:style w:type="paragraph" w:customStyle="1" w:styleId="BoxHeading">
    <w:name w:val="BoxHeading"/>
    <w:basedOn w:val="BoxText"/>
    <w:rsid w:val="00361849"/>
    <w:pPr>
      <w:keepNext/>
      <w:spacing w:before="120" w:after="60"/>
    </w:pPr>
    <w:rPr>
      <w:b/>
      <w:bCs/>
    </w:rPr>
  </w:style>
  <w:style w:type="paragraph" w:customStyle="1" w:styleId="BoxBullet">
    <w:name w:val="BoxBullet"/>
    <w:basedOn w:val="BoxText"/>
    <w:rsid w:val="00361849"/>
    <w:pPr>
      <w:numPr>
        <w:numId w:val="15"/>
      </w:numPr>
    </w:pPr>
  </w:style>
  <w:style w:type="paragraph" w:customStyle="1" w:styleId="BulletBeforeDash">
    <w:name w:val="BulletBeforeDash"/>
    <w:basedOn w:val="Normal"/>
    <w:rsid w:val="00DE0CD5"/>
    <w:pPr>
      <w:numPr>
        <w:numId w:val="16"/>
      </w:numPr>
      <w:spacing w:before="0" w:after="0" w:line="240" w:lineRule="auto"/>
    </w:pPr>
    <w:rPr>
      <w:rFonts w:eastAsia="Times New Roman" w:cs="Times New Roman"/>
      <w:color w:val="000000"/>
      <w:szCs w:val="20"/>
      <w:lang w:eastAsia="en-AU"/>
    </w:rPr>
  </w:style>
  <w:style w:type="paragraph" w:customStyle="1" w:styleId="BulletLast">
    <w:name w:val="BulletLast"/>
    <w:basedOn w:val="Bullet"/>
    <w:qFormat/>
    <w:rsid w:val="00DE0CD5"/>
    <w:pPr>
      <w:numPr>
        <w:numId w:val="0"/>
      </w:numPr>
      <w:spacing w:before="0" w:after="240"/>
      <w:ind w:left="786" w:hanging="360"/>
    </w:pPr>
    <w:rPr>
      <w:rFonts w:ascii="Franklin Gothic Book" w:eastAsia="Times New Roman" w:hAnsi="Franklin Gothic Book" w:cs="Times New Roman"/>
      <w:color w:val="000000"/>
      <w:szCs w:val="20"/>
      <w:lang w:eastAsia="en-AU"/>
    </w:rPr>
  </w:style>
  <w:style w:type="paragraph" w:customStyle="1" w:styleId="NormalBeforeBullet0">
    <w:name w:val="NormalBeforeBullet"/>
    <w:basedOn w:val="Normal"/>
    <w:qFormat/>
    <w:rsid w:val="00DE0CD5"/>
    <w:pPr>
      <w:keepNext/>
      <w:spacing w:before="0" w:after="120" w:line="240" w:lineRule="auto"/>
    </w:pPr>
    <w:rPr>
      <w:rFonts w:eastAsia="Times New Roman" w:cs="Times New Roman"/>
      <w:color w:val="000000"/>
      <w:szCs w:val="20"/>
      <w:lang w:eastAsia="en-AU"/>
    </w:rPr>
  </w:style>
  <w:style w:type="character" w:customStyle="1" w:styleId="normaltextrun">
    <w:name w:val="normaltextrun"/>
    <w:basedOn w:val="DefaultParagraphFont"/>
    <w:rsid w:val="00DD0067"/>
  </w:style>
  <w:style w:type="paragraph" w:customStyle="1" w:styleId="paragraph">
    <w:name w:val="paragraph"/>
    <w:basedOn w:val="Normal"/>
    <w:rsid w:val="00F226F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F22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29846416">
      <w:bodyDiv w:val="1"/>
      <w:marLeft w:val="0"/>
      <w:marRight w:val="0"/>
      <w:marTop w:val="0"/>
      <w:marBottom w:val="0"/>
      <w:divBdr>
        <w:top w:val="none" w:sz="0" w:space="0" w:color="auto"/>
        <w:left w:val="none" w:sz="0" w:space="0" w:color="auto"/>
        <w:bottom w:val="none" w:sz="0" w:space="0" w:color="auto"/>
        <w:right w:val="none" w:sz="0" w:space="0" w:color="auto"/>
      </w:divBdr>
      <w:divsChild>
        <w:div w:id="294986407">
          <w:marLeft w:val="1051"/>
          <w:marRight w:val="0"/>
          <w:marTop w:val="77"/>
          <w:marBottom w:val="0"/>
          <w:divBdr>
            <w:top w:val="none" w:sz="0" w:space="0" w:color="auto"/>
            <w:left w:val="none" w:sz="0" w:space="0" w:color="auto"/>
            <w:bottom w:val="none" w:sz="0" w:space="0" w:color="auto"/>
            <w:right w:val="none" w:sz="0" w:space="0" w:color="auto"/>
          </w:divBdr>
        </w:div>
      </w:divsChild>
    </w:div>
    <w:div w:id="66080353">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150100003">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21596803">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284427854">
      <w:bodyDiv w:val="1"/>
      <w:marLeft w:val="0"/>
      <w:marRight w:val="0"/>
      <w:marTop w:val="0"/>
      <w:marBottom w:val="0"/>
      <w:divBdr>
        <w:top w:val="none" w:sz="0" w:space="0" w:color="auto"/>
        <w:left w:val="none" w:sz="0" w:space="0" w:color="auto"/>
        <w:bottom w:val="none" w:sz="0" w:space="0" w:color="auto"/>
        <w:right w:val="none" w:sz="0" w:space="0" w:color="auto"/>
      </w:divBdr>
      <w:divsChild>
        <w:div w:id="937518431">
          <w:marLeft w:val="0"/>
          <w:marRight w:val="0"/>
          <w:marTop w:val="0"/>
          <w:marBottom w:val="0"/>
          <w:divBdr>
            <w:top w:val="none" w:sz="0" w:space="0" w:color="auto"/>
            <w:left w:val="none" w:sz="0" w:space="0" w:color="auto"/>
            <w:bottom w:val="none" w:sz="0" w:space="0" w:color="auto"/>
            <w:right w:val="none" w:sz="0" w:space="0" w:color="auto"/>
          </w:divBdr>
          <w:divsChild>
            <w:div w:id="170278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07835">
      <w:bodyDiv w:val="1"/>
      <w:marLeft w:val="0"/>
      <w:marRight w:val="0"/>
      <w:marTop w:val="0"/>
      <w:marBottom w:val="0"/>
      <w:divBdr>
        <w:top w:val="none" w:sz="0" w:space="0" w:color="auto"/>
        <w:left w:val="none" w:sz="0" w:space="0" w:color="auto"/>
        <w:bottom w:val="none" w:sz="0" w:space="0" w:color="auto"/>
        <w:right w:val="none" w:sz="0" w:space="0" w:color="auto"/>
      </w:divBdr>
    </w:div>
    <w:div w:id="334767244">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4035197">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33158848">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583731700">
      <w:bodyDiv w:val="1"/>
      <w:marLeft w:val="0"/>
      <w:marRight w:val="0"/>
      <w:marTop w:val="0"/>
      <w:marBottom w:val="0"/>
      <w:divBdr>
        <w:top w:val="none" w:sz="0" w:space="0" w:color="auto"/>
        <w:left w:val="none" w:sz="0" w:space="0" w:color="auto"/>
        <w:bottom w:val="none" w:sz="0" w:space="0" w:color="auto"/>
        <w:right w:val="none" w:sz="0" w:space="0" w:color="auto"/>
      </w:divBdr>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735206735">
      <w:bodyDiv w:val="1"/>
      <w:marLeft w:val="0"/>
      <w:marRight w:val="0"/>
      <w:marTop w:val="0"/>
      <w:marBottom w:val="0"/>
      <w:divBdr>
        <w:top w:val="none" w:sz="0" w:space="0" w:color="auto"/>
        <w:left w:val="none" w:sz="0" w:space="0" w:color="auto"/>
        <w:bottom w:val="none" w:sz="0" w:space="0" w:color="auto"/>
        <w:right w:val="none" w:sz="0" w:space="0" w:color="auto"/>
      </w:divBdr>
      <w:divsChild>
        <w:div w:id="1970739319">
          <w:marLeft w:val="1613"/>
          <w:marRight w:val="0"/>
          <w:marTop w:val="67"/>
          <w:marBottom w:val="0"/>
          <w:divBdr>
            <w:top w:val="none" w:sz="0" w:space="0" w:color="auto"/>
            <w:left w:val="none" w:sz="0" w:space="0" w:color="auto"/>
            <w:bottom w:val="none" w:sz="0" w:space="0" w:color="auto"/>
            <w:right w:val="none" w:sz="0" w:space="0" w:color="auto"/>
          </w:divBdr>
        </w:div>
      </w:divsChild>
    </w:div>
    <w:div w:id="738287869">
      <w:bodyDiv w:val="1"/>
      <w:marLeft w:val="0"/>
      <w:marRight w:val="0"/>
      <w:marTop w:val="0"/>
      <w:marBottom w:val="0"/>
      <w:divBdr>
        <w:top w:val="none" w:sz="0" w:space="0" w:color="auto"/>
        <w:left w:val="none" w:sz="0" w:space="0" w:color="auto"/>
        <w:bottom w:val="none" w:sz="0" w:space="0" w:color="auto"/>
        <w:right w:val="none" w:sz="0" w:space="0" w:color="auto"/>
      </w:divBdr>
    </w:div>
    <w:div w:id="741874818">
      <w:bodyDiv w:val="1"/>
      <w:marLeft w:val="0"/>
      <w:marRight w:val="0"/>
      <w:marTop w:val="0"/>
      <w:marBottom w:val="0"/>
      <w:divBdr>
        <w:top w:val="none" w:sz="0" w:space="0" w:color="auto"/>
        <w:left w:val="none" w:sz="0" w:space="0" w:color="auto"/>
        <w:bottom w:val="none" w:sz="0" w:space="0" w:color="auto"/>
        <w:right w:val="none" w:sz="0" w:space="0" w:color="auto"/>
      </w:divBdr>
    </w:div>
    <w:div w:id="815298535">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76043565">
      <w:bodyDiv w:val="1"/>
      <w:marLeft w:val="0"/>
      <w:marRight w:val="0"/>
      <w:marTop w:val="0"/>
      <w:marBottom w:val="0"/>
      <w:divBdr>
        <w:top w:val="none" w:sz="0" w:space="0" w:color="auto"/>
        <w:left w:val="none" w:sz="0" w:space="0" w:color="auto"/>
        <w:bottom w:val="none" w:sz="0" w:space="0" w:color="auto"/>
        <w:right w:val="none" w:sz="0" w:space="0" w:color="auto"/>
      </w:divBdr>
      <w:divsChild>
        <w:div w:id="1263565770">
          <w:marLeft w:val="0"/>
          <w:marRight w:val="0"/>
          <w:marTop w:val="0"/>
          <w:marBottom w:val="0"/>
          <w:divBdr>
            <w:top w:val="none" w:sz="0" w:space="0" w:color="auto"/>
            <w:left w:val="none" w:sz="0" w:space="0" w:color="auto"/>
            <w:bottom w:val="none" w:sz="0" w:space="0" w:color="auto"/>
            <w:right w:val="none" w:sz="0" w:space="0" w:color="auto"/>
          </w:divBdr>
          <w:divsChild>
            <w:div w:id="140556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983855102">
      <w:bodyDiv w:val="1"/>
      <w:marLeft w:val="0"/>
      <w:marRight w:val="0"/>
      <w:marTop w:val="0"/>
      <w:marBottom w:val="0"/>
      <w:divBdr>
        <w:top w:val="none" w:sz="0" w:space="0" w:color="auto"/>
        <w:left w:val="none" w:sz="0" w:space="0" w:color="auto"/>
        <w:bottom w:val="none" w:sz="0" w:space="0" w:color="auto"/>
        <w:right w:val="none" w:sz="0" w:space="0" w:color="auto"/>
      </w:divBdr>
      <w:divsChild>
        <w:div w:id="1821772071">
          <w:marLeft w:val="1613"/>
          <w:marRight w:val="0"/>
          <w:marTop w:val="96"/>
          <w:marBottom w:val="0"/>
          <w:divBdr>
            <w:top w:val="none" w:sz="0" w:space="0" w:color="auto"/>
            <w:left w:val="none" w:sz="0" w:space="0" w:color="auto"/>
            <w:bottom w:val="none" w:sz="0" w:space="0" w:color="auto"/>
            <w:right w:val="none" w:sz="0" w:space="0" w:color="auto"/>
          </w:divBdr>
        </w:div>
      </w:divsChild>
    </w:div>
    <w:div w:id="986518777">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051610123">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37994596">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179470308">
      <w:bodyDiv w:val="1"/>
      <w:marLeft w:val="0"/>
      <w:marRight w:val="0"/>
      <w:marTop w:val="0"/>
      <w:marBottom w:val="0"/>
      <w:divBdr>
        <w:top w:val="none" w:sz="0" w:space="0" w:color="auto"/>
        <w:left w:val="none" w:sz="0" w:space="0" w:color="auto"/>
        <w:bottom w:val="none" w:sz="0" w:space="0" w:color="auto"/>
        <w:right w:val="none" w:sz="0" w:space="0" w:color="auto"/>
      </w:divBdr>
    </w:div>
    <w:div w:id="1211192474">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75409015">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1282835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369917711">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493058254">
      <w:bodyDiv w:val="1"/>
      <w:marLeft w:val="0"/>
      <w:marRight w:val="0"/>
      <w:marTop w:val="0"/>
      <w:marBottom w:val="0"/>
      <w:divBdr>
        <w:top w:val="none" w:sz="0" w:space="0" w:color="auto"/>
        <w:left w:val="none" w:sz="0" w:space="0" w:color="auto"/>
        <w:bottom w:val="none" w:sz="0" w:space="0" w:color="auto"/>
        <w:right w:val="none" w:sz="0" w:space="0" w:color="auto"/>
      </w:divBdr>
    </w:div>
    <w:div w:id="1494491698">
      <w:bodyDiv w:val="1"/>
      <w:marLeft w:val="0"/>
      <w:marRight w:val="0"/>
      <w:marTop w:val="0"/>
      <w:marBottom w:val="0"/>
      <w:divBdr>
        <w:top w:val="none" w:sz="0" w:space="0" w:color="auto"/>
        <w:left w:val="none" w:sz="0" w:space="0" w:color="auto"/>
        <w:bottom w:val="none" w:sz="0" w:space="0" w:color="auto"/>
        <w:right w:val="none" w:sz="0" w:space="0" w:color="auto"/>
      </w:divBdr>
    </w:div>
    <w:div w:id="1532691950">
      <w:bodyDiv w:val="1"/>
      <w:marLeft w:val="0"/>
      <w:marRight w:val="0"/>
      <w:marTop w:val="0"/>
      <w:marBottom w:val="0"/>
      <w:divBdr>
        <w:top w:val="none" w:sz="0" w:space="0" w:color="auto"/>
        <w:left w:val="none" w:sz="0" w:space="0" w:color="auto"/>
        <w:bottom w:val="none" w:sz="0" w:space="0" w:color="auto"/>
        <w:right w:val="none" w:sz="0" w:space="0" w:color="auto"/>
      </w:divBdr>
    </w:div>
    <w:div w:id="1560088438">
      <w:bodyDiv w:val="1"/>
      <w:marLeft w:val="0"/>
      <w:marRight w:val="0"/>
      <w:marTop w:val="0"/>
      <w:marBottom w:val="0"/>
      <w:divBdr>
        <w:top w:val="none" w:sz="0" w:space="0" w:color="auto"/>
        <w:left w:val="none" w:sz="0" w:space="0" w:color="auto"/>
        <w:bottom w:val="none" w:sz="0" w:space="0" w:color="auto"/>
        <w:right w:val="none" w:sz="0" w:space="0" w:color="auto"/>
      </w:divBdr>
      <w:divsChild>
        <w:div w:id="200552162">
          <w:marLeft w:val="0"/>
          <w:marRight w:val="0"/>
          <w:marTop w:val="0"/>
          <w:marBottom w:val="0"/>
          <w:divBdr>
            <w:top w:val="none" w:sz="0" w:space="0" w:color="auto"/>
            <w:left w:val="none" w:sz="0" w:space="0" w:color="auto"/>
            <w:bottom w:val="none" w:sz="0" w:space="0" w:color="auto"/>
            <w:right w:val="none" w:sz="0" w:space="0" w:color="auto"/>
          </w:divBdr>
        </w:div>
        <w:div w:id="527528799">
          <w:marLeft w:val="0"/>
          <w:marRight w:val="0"/>
          <w:marTop w:val="0"/>
          <w:marBottom w:val="0"/>
          <w:divBdr>
            <w:top w:val="none" w:sz="0" w:space="0" w:color="auto"/>
            <w:left w:val="none" w:sz="0" w:space="0" w:color="auto"/>
            <w:bottom w:val="none" w:sz="0" w:space="0" w:color="auto"/>
            <w:right w:val="none" w:sz="0" w:space="0" w:color="auto"/>
          </w:divBdr>
        </w:div>
        <w:div w:id="558398874">
          <w:marLeft w:val="0"/>
          <w:marRight w:val="0"/>
          <w:marTop w:val="0"/>
          <w:marBottom w:val="0"/>
          <w:divBdr>
            <w:top w:val="none" w:sz="0" w:space="0" w:color="auto"/>
            <w:left w:val="none" w:sz="0" w:space="0" w:color="auto"/>
            <w:bottom w:val="none" w:sz="0" w:space="0" w:color="auto"/>
            <w:right w:val="none" w:sz="0" w:space="0" w:color="auto"/>
          </w:divBdr>
        </w:div>
        <w:div w:id="612396989">
          <w:marLeft w:val="0"/>
          <w:marRight w:val="0"/>
          <w:marTop w:val="0"/>
          <w:marBottom w:val="0"/>
          <w:divBdr>
            <w:top w:val="none" w:sz="0" w:space="0" w:color="auto"/>
            <w:left w:val="none" w:sz="0" w:space="0" w:color="auto"/>
            <w:bottom w:val="none" w:sz="0" w:space="0" w:color="auto"/>
            <w:right w:val="none" w:sz="0" w:space="0" w:color="auto"/>
          </w:divBdr>
        </w:div>
        <w:div w:id="754862624">
          <w:marLeft w:val="0"/>
          <w:marRight w:val="0"/>
          <w:marTop w:val="0"/>
          <w:marBottom w:val="0"/>
          <w:divBdr>
            <w:top w:val="none" w:sz="0" w:space="0" w:color="auto"/>
            <w:left w:val="none" w:sz="0" w:space="0" w:color="auto"/>
            <w:bottom w:val="none" w:sz="0" w:space="0" w:color="auto"/>
            <w:right w:val="none" w:sz="0" w:space="0" w:color="auto"/>
          </w:divBdr>
        </w:div>
        <w:div w:id="766466065">
          <w:marLeft w:val="0"/>
          <w:marRight w:val="0"/>
          <w:marTop w:val="0"/>
          <w:marBottom w:val="0"/>
          <w:divBdr>
            <w:top w:val="none" w:sz="0" w:space="0" w:color="auto"/>
            <w:left w:val="none" w:sz="0" w:space="0" w:color="auto"/>
            <w:bottom w:val="none" w:sz="0" w:space="0" w:color="auto"/>
            <w:right w:val="none" w:sz="0" w:space="0" w:color="auto"/>
          </w:divBdr>
        </w:div>
        <w:div w:id="850679594">
          <w:marLeft w:val="0"/>
          <w:marRight w:val="0"/>
          <w:marTop w:val="0"/>
          <w:marBottom w:val="0"/>
          <w:divBdr>
            <w:top w:val="none" w:sz="0" w:space="0" w:color="auto"/>
            <w:left w:val="none" w:sz="0" w:space="0" w:color="auto"/>
            <w:bottom w:val="none" w:sz="0" w:space="0" w:color="auto"/>
            <w:right w:val="none" w:sz="0" w:space="0" w:color="auto"/>
          </w:divBdr>
        </w:div>
        <w:div w:id="915046348">
          <w:marLeft w:val="0"/>
          <w:marRight w:val="0"/>
          <w:marTop w:val="0"/>
          <w:marBottom w:val="0"/>
          <w:divBdr>
            <w:top w:val="none" w:sz="0" w:space="0" w:color="auto"/>
            <w:left w:val="none" w:sz="0" w:space="0" w:color="auto"/>
            <w:bottom w:val="none" w:sz="0" w:space="0" w:color="auto"/>
            <w:right w:val="none" w:sz="0" w:space="0" w:color="auto"/>
          </w:divBdr>
        </w:div>
        <w:div w:id="976644398">
          <w:marLeft w:val="0"/>
          <w:marRight w:val="0"/>
          <w:marTop w:val="0"/>
          <w:marBottom w:val="0"/>
          <w:divBdr>
            <w:top w:val="none" w:sz="0" w:space="0" w:color="auto"/>
            <w:left w:val="none" w:sz="0" w:space="0" w:color="auto"/>
            <w:bottom w:val="none" w:sz="0" w:space="0" w:color="auto"/>
            <w:right w:val="none" w:sz="0" w:space="0" w:color="auto"/>
          </w:divBdr>
        </w:div>
        <w:div w:id="981498580">
          <w:marLeft w:val="0"/>
          <w:marRight w:val="0"/>
          <w:marTop w:val="0"/>
          <w:marBottom w:val="0"/>
          <w:divBdr>
            <w:top w:val="none" w:sz="0" w:space="0" w:color="auto"/>
            <w:left w:val="none" w:sz="0" w:space="0" w:color="auto"/>
            <w:bottom w:val="none" w:sz="0" w:space="0" w:color="auto"/>
            <w:right w:val="none" w:sz="0" w:space="0" w:color="auto"/>
          </w:divBdr>
        </w:div>
        <w:div w:id="1031763767">
          <w:marLeft w:val="0"/>
          <w:marRight w:val="0"/>
          <w:marTop w:val="0"/>
          <w:marBottom w:val="0"/>
          <w:divBdr>
            <w:top w:val="none" w:sz="0" w:space="0" w:color="auto"/>
            <w:left w:val="none" w:sz="0" w:space="0" w:color="auto"/>
            <w:bottom w:val="none" w:sz="0" w:space="0" w:color="auto"/>
            <w:right w:val="none" w:sz="0" w:space="0" w:color="auto"/>
          </w:divBdr>
        </w:div>
        <w:div w:id="1053040236">
          <w:marLeft w:val="0"/>
          <w:marRight w:val="0"/>
          <w:marTop w:val="0"/>
          <w:marBottom w:val="0"/>
          <w:divBdr>
            <w:top w:val="none" w:sz="0" w:space="0" w:color="auto"/>
            <w:left w:val="none" w:sz="0" w:space="0" w:color="auto"/>
            <w:bottom w:val="none" w:sz="0" w:space="0" w:color="auto"/>
            <w:right w:val="none" w:sz="0" w:space="0" w:color="auto"/>
          </w:divBdr>
        </w:div>
        <w:div w:id="1204177075">
          <w:marLeft w:val="0"/>
          <w:marRight w:val="0"/>
          <w:marTop w:val="0"/>
          <w:marBottom w:val="0"/>
          <w:divBdr>
            <w:top w:val="none" w:sz="0" w:space="0" w:color="auto"/>
            <w:left w:val="none" w:sz="0" w:space="0" w:color="auto"/>
            <w:bottom w:val="none" w:sz="0" w:space="0" w:color="auto"/>
            <w:right w:val="none" w:sz="0" w:space="0" w:color="auto"/>
          </w:divBdr>
        </w:div>
        <w:div w:id="1335648735">
          <w:marLeft w:val="0"/>
          <w:marRight w:val="0"/>
          <w:marTop w:val="0"/>
          <w:marBottom w:val="0"/>
          <w:divBdr>
            <w:top w:val="none" w:sz="0" w:space="0" w:color="auto"/>
            <w:left w:val="none" w:sz="0" w:space="0" w:color="auto"/>
            <w:bottom w:val="none" w:sz="0" w:space="0" w:color="auto"/>
            <w:right w:val="none" w:sz="0" w:space="0" w:color="auto"/>
          </w:divBdr>
        </w:div>
        <w:div w:id="1819149968">
          <w:marLeft w:val="0"/>
          <w:marRight w:val="0"/>
          <w:marTop w:val="0"/>
          <w:marBottom w:val="0"/>
          <w:divBdr>
            <w:top w:val="none" w:sz="0" w:space="0" w:color="auto"/>
            <w:left w:val="none" w:sz="0" w:space="0" w:color="auto"/>
            <w:bottom w:val="none" w:sz="0" w:space="0" w:color="auto"/>
            <w:right w:val="none" w:sz="0" w:space="0" w:color="auto"/>
          </w:divBdr>
        </w:div>
        <w:div w:id="1847284680">
          <w:marLeft w:val="0"/>
          <w:marRight w:val="0"/>
          <w:marTop w:val="0"/>
          <w:marBottom w:val="0"/>
          <w:divBdr>
            <w:top w:val="none" w:sz="0" w:space="0" w:color="auto"/>
            <w:left w:val="none" w:sz="0" w:space="0" w:color="auto"/>
            <w:bottom w:val="none" w:sz="0" w:space="0" w:color="auto"/>
            <w:right w:val="none" w:sz="0" w:space="0" w:color="auto"/>
          </w:divBdr>
        </w:div>
        <w:div w:id="1869566572">
          <w:marLeft w:val="0"/>
          <w:marRight w:val="0"/>
          <w:marTop w:val="0"/>
          <w:marBottom w:val="0"/>
          <w:divBdr>
            <w:top w:val="none" w:sz="0" w:space="0" w:color="auto"/>
            <w:left w:val="none" w:sz="0" w:space="0" w:color="auto"/>
            <w:bottom w:val="none" w:sz="0" w:space="0" w:color="auto"/>
            <w:right w:val="none" w:sz="0" w:space="0" w:color="auto"/>
          </w:divBdr>
        </w:div>
        <w:div w:id="2079546322">
          <w:marLeft w:val="0"/>
          <w:marRight w:val="0"/>
          <w:marTop w:val="0"/>
          <w:marBottom w:val="0"/>
          <w:divBdr>
            <w:top w:val="none" w:sz="0" w:space="0" w:color="auto"/>
            <w:left w:val="none" w:sz="0" w:space="0" w:color="auto"/>
            <w:bottom w:val="none" w:sz="0" w:space="0" w:color="auto"/>
            <w:right w:val="none" w:sz="0" w:space="0" w:color="auto"/>
          </w:divBdr>
        </w:div>
        <w:div w:id="2117753914">
          <w:marLeft w:val="0"/>
          <w:marRight w:val="0"/>
          <w:marTop w:val="0"/>
          <w:marBottom w:val="0"/>
          <w:divBdr>
            <w:top w:val="none" w:sz="0" w:space="0" w:color="auto"/>
            <w:left w:val="none" w:sz="0" w:space="0" w:color="auto"/>
            <w:bottom w:val="none" w:sz="0" w:space="0" w:color="auto"/>
            <w:right w:val="none" w:sz="0" w:space="0" w:color="auto"/>
          </w:divBdr>
        </w:div>
      </w:divsChild>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31394637">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683891751">
      <w:bodyDiv w:val="1"/>
      <w:marLeft w:val="0"/>
      <w:marRight w:val="0"/>
      <w:marTop w:val="0"/>
      <w:marBottom w:val="0"/>
      <w:divBdr>
        <w:top w:val="none" w:sz="0" w:space="0" w:color="auto"/>
        <w:left w:val="none" w:sz="0" w:space="0" w:color="auto"/>
        <w:bottom w:val="none" w:sz="0" w:space="0" w:color="auto"/>
        <w:right w:val="none" w:sz="0" w:space="0" w:color="auto"/>
      </w:divBdr>
    </w:div>
    <w:div w:id="1727215954">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789353157">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70944400">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95114512">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24409375">
      <w:bodyDiv w:val="1"/>
      <w:marLeft w:val="0"/>
      <w:marRight w:val="0"/>
      <w:marTop w:val="0"/>
      <w:marBottom w:val="0"/>
      <w:divBdr>
        <w:top w:val="none" w:sz="0" w:space="0" w:color="auto"/>
        <w:left w:val="none" w:sz="0" w:space="0" w:color="auto"/>
        <w:bottom w:val="none" w:sz="0" w:space="0" w:color="auto"/>
        <w:right w:val="none" w:sz="0" w:space="0" w:color="auto"/>
      </w:divBdr>
    </w:div>
    <w:div w:id="1951815267">
      <w:bodyDiv w:val="1"/>
      <w:marLeft w:val="0"/>
      <w:marRight w:val="0"/>
      <w:marTop w:val="0"/>
      <w:marBottom w:val="0"/>
      <w:divBdr>
        <w:top w:val="none" w:sz="0" w:space="0" w:color="auto"/>
        <w:left w:val="none" w:sz="0" w:space="0" w:color="auto"/>
        <w:bottom w:val="none" w:sz="0" w:space="0" w:color="auto"/>
        <w:right w:val="none" w:sz="0" w:space="0" w:color="auto"/>
      </w:divBdr>
    </w:div>
    <w:div w:id="1963799583">
      <w:bodyDiv w:val="1"/>
      <w:marLeft w:val="0"/>
      <w:marRight w:val="0"/>
      <w:marTop w:val="0"/>
      <w:marBottom w:val="0"/>
      <w:divBdr>
        <w:top w:val="none" w:sz="0" w:space="0" w:color="auto"/>
        <w:left w:val="none" w:sz="0" w:space="0" w:color="auto"/>
        <w:bottom w:val="none" w:sz="0" w:space="0" w:color="auto"/>
        <w:right w:val="none" w:sz="0" w:space="0" w:color="auto"/>
      </w:divBdr>
      <w:divsChild>
        <w:div w:id="1094863033">
          <w:marLeft w:val="0"/>
          <w:marRight w:val="0"/>
          <w:marTop w:val="0"/>
          <w:marBottom w:val="0"/>
          <w:divBdr>
            <w:top w:val="none" w:sz="0" w:space="0" w:color="auto"/>
            <w:left w:val="none" w:sz="0" w:space="0" w:color="auto"/>
            <w:bottom w:val="none" w:sz="0" w:space="0" w:color="auto"/>
            <w:right w:val="none" w:sz="0" w:space="0" w:color="auto"/>
          </w:divBdr>
          <w:divsChild>
            <w:div w:id="131032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1980108753">
      <w:bodyDiv w:val="1"/>
      <w:marLeft w:val="0"/>
      <w:marRight w:val="0"/>
      <w:marTop w:val="0"/>
      <w:marBottom w:val="0"/>
      <w:divBdr>
        <w:top w:val="none" w:sz="0" w:space="0" w:color="auto"/>
        <w:left w:val="none" w:sz="0" w:space="0" w:color="auto"/>
        <w:bottom w:val="none" w:sz="0" w:space="0" w:color="auto"/>
        <w:right w:val="none" w:sz="0" w:space="0" w:color="auto"/>
      </w:divBdr>
      <w:divsChild>
        <w:div w:id="46297996">
          <w:marLeft w:val="0"/>
          <w:marRight w:val="0"/>
          <w:marTop w:val="0"/>
          <w:marBottom w:val="0"/>
          <w:divBdr>
            <w:top w:val="none" w:sz="0" w:space="0" w:color="auto"/>
            <w:left w:val="none" w:sz="0" w:space="0" w:color="auto"/>
            <w:bottom w:val="none" w:sz="0" w:space="0" w:color="auto"/>
            <w:right w:val="none" w:sz="0" w:space="0" w:color="auto"/>
          </w:divBdr>
        </w:div>
        <w:div w:id="252670727">
          <w:marLeft w:val="0"/>
          <w:marRight w:val="0"/>
          <w:marTop w:val="0"/>
          <w:marBottom w:val="0"/>
          <w:divBdr>
            <w:top w:val="none" w:sz="0" w:space="0" w:color="auto"/>
            <w:left w:val="none" w:sz="0" w:space="0" w:color="auto"/>
            <w:bottom w:val="none" w:sz="0" w:space="0" w:color="auto"/>
            <w:right w:val="none" w:sz="0" w:space="0" w:color="auto"/>
          </w:divBdr>
        </w:div>
        <w:div w:id="1955482409">
          <w:marLeft w:val="0"/>
          <w:marRight w:val="0"/>
          <w:marTop w:val="0"/>
          <w:marBottom w:val="0"/>
          <w:divBdr>
            <w:top w:val="none" w:sz="0" w:space="0" w:color="auto"/>
            <w:left w:val="none" w:sz="0" w:space="0" w:color="auto"/>
            <w:bottom w:val="none" w:sz="0" w:space="0" w:color="auto"/>
            <w:right w:val="none" w:sz="0" w:space="0" w:color="auto"/>
          </w:divBdr>
        </w:div>
      </w:divsChild>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hyperlink" Target="https://www9.health.gov.au/mbs/fullDisplay.cfm?type=item&amp;q=57360&amp;qt=item" TargetMode="External"/><Relationship Id="rId18" Type="http://schemas.openxmlformats.org/officeDocument/2006/relationships/image" Target="media/image3.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s://www9.health.gov.au/mbs/fullDisplay.cfm?type=item&amp;q=38244&amp;qt=ItemID" TargetMode="External"/><Relationship Id="rId17" Type="http://schemas.openxmlformats.org/officeDocument/2006/relationships/image" Target="media/image2.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9.health.gov.au/mbs/fullDisplay.cfm?type=item&amp;q=38275&amp;qt=item&amp;criteria=38275"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mrisafety.com/TMDL_list.php"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9.health.gov.au/mbs/fullDisplay.cfm?type=item&amp;q=63491&amp;qt=item&amp;criteria=63491"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9.health.gov.au/mbs/fullDisplay.cfm?type=item&amp;q=63399&amp;qt=item" TargetMode="External"/><Relationship Id="rId14" Type="http://schemas.openxmlformats.org/officeDocument/2006/relationships/hyperlink" Target="https://www9.health.gov.au/mbs/fullDisplay.cfm?type=item&amp;qt=ItemID&amp;q=55126" TargetMode="External"/><Relationship Id="rId22" Type="http://schemas.openxmlformats.org/officeDocument/2006/relationships/hyperlink" Target="http://msac.gov.au/internet/msac/publishing.nsf/Content/Home-1" TargetMode="External"/><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heartfoundation.org.au/Bundles/Your-heart/Conditions/fp-acs-guidelines" TargetMode="External"/><Relationship Id="rId1" Type="http://schemas.openxmlformats.org/officeDocument/2006/relationships/hyperlink" Target="http://www.msac.gov.au/internet/msac/publishing.nsf/Content/1432-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8D0B7-CDE5-455B-82B7-6F87B73B6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17569</Words>
  <Characters>100147</Characters>
  <Application>Microsoft Office Word</Application>
  <DocSecurity>0</DocSecurity>
  <Lines>834</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117482</CharactersWithSpaces>
  <SharedDoc>false</SharedDoc>
  <HLinks>
    <vt:vector size="66" baseType="variant">
      <vt:variant>
        <vt:i4>6684716</vt:i4>
      </vt:variant>
      <vt:variant>
        <vt:i4>147</vt:i4>
      </vt:variant>
      <vt:variant>
        <vt:i4>0</vt:i4>
      </vt:variant>
      <vt:variant>
        <vt:i4>5</vt:i4>
      </vt:variant>
      <vt:variant>
        <vt:lpwstr>http://msac.gov.au/internet/msac/publishing.nsf/Content/Home-1</vt:lpwstr>
      </vt:variant>
      <vt:variant>
        <vt:lpwstr/>
      </vt:variant>
      <vt:variant>
        <vt:i4>917621</vt:i4>
      </vt:variant>
      <vt:variant>
        <vt:i4>42</vt:i4>
      </vt:variant>
      <vt:variant>
        <vt:i4>0</vt:i4>
      </vt:variant>
      <vt:variant>
        <vt:i4>5</vt:i4>
      </vt:variant>
      <vt:variant>
        <vt:lpwstr>http://www.mrisafety.com/TMDL_list.php</vt:lpwstr>
      </vt:variant>
      <vt:variant>
        <vt:lpwstr/>
      </vt:variant>
      <vt:variant>
        <vt:i4>7471152</vt:i4>
      </vt:variant>
      <vt:variant>
        <vt:i4>33</vt:i4>
      </vt:variant>
      <vt:variant>
        <vt:i4>0</vt:i4>
      </vt:variant>
      <vt:variant>
        <vt:i4>5</vt:i4>
      </vt:variant>
      <vt:variant>
        <vt:lpwstr>https://www9.health.gov.au/mbs/fullDisplay.cfm?type=item&amp;qt=ItemID&amp;q=55126</vt:lpwstr>
      </vt:variant>
      <vt:variant>
        <vt:lpwstr/>
      </vt:variant>
      <vt:variant>
        <vt:i4>1179743</vt:i4>
      </vt:variant>
      <vt:variant>
        <vt:i4>30</vt:i4>
      </vt:variant>
      <vt:variant>
        <vt:i4>0</vt:i4>
      </vt:variant>
      <vt:variant>
        <vt:i4>5</vt:i4>
      </vt:variant>
      <vt:variant>
        <vt:lpwstr>https://www9.health.gov.au/mbs/fullDisplay.cfm?type=item&amp;q=57360&amp;qt=item</vt:lpwstr>
      </vt:variant>
      <vt:variant>
        <vt:lpwstr/>
      </vt:variant>
      <vt:variant>
        <vt:i4>7667771</vt:i4>
      </vt:variant>
      <vt:variant>
        <vt:i4>27</vt:i4>
      </vt:variant>
      <vt:variant>
        <vt:i4>0</vt:i4>
      </vt:variant>
      <vt:variant>
        <vt:i4>5</vt:i4>
      </vt:variant>
      <vt:variant>
        <vt:lpwstr>https://www9.health.gov.au/mbs/fullDisplay.cfm?type=item&amp;q=38244&amp;qt=ItemID</vt:lpwstr>
      </vt:variant>
      <vt:variant>
        <vt:lpwstr/>
      </vt:variant>
      <vt:variant>
        <vt:i4>2359395</vt:i4>
      </vt:variant>
      <vt:variant>
        <vt:i4>24</vt:i4>
      </vt:variant>
      <vt:variant>
        <vt:i4>0</vt:i4>
      </vt:variant>
      <vt:variant>
        <vt:i4>5</vt:i4>
      </vt:variant>
      <vt:variant>
        <vt:lpwstr>https://www9.health.gov.au/mbs/fullDisplay.cfm?type=item&amp;q=38275&amp;qt=item&amp;criteria=38275</vt:lpwstr>
      </vt:variant>
      <vt:variant>
        <vt:lpwstr/>
      </vt:variant>
      <vt:variant>
        <vt:i4>2490469</vt:i4>
      </vt:variant>
      <vt:variant>
        <vt:i4>18</vt:i4>
      </vt:variant>
      <vt:variant>
        <vt:i4>0</vt:i4>
      </vt:variant>
      <vt:variant>
        <vt:i4>5</vt:i4>
      </vt:variant>
      <vt:variant>
        <vt:lpwstr>https://www9.health.gov.au/mbs/fullDisplay.cfm?type=item&amp;q=63491&amp;qt=item&amp;criteria=63491</vt:lpwstr>
      </vt:variant>
      <vt:variant>
        <vt:lpwstr/>
      </vt:variant>
      <vt:variant>
        <vt:i4>1572948</vt:i4>
      </vt:variant>
      <vt:variant>
        <vt:i4>12</vt:i4>
      </vt:variant>
      <vt:variant>
        <vt:i4>0</vt:i4>
      </vt:variant>
      <vt:variant>
        <vt:i4>5</vt:i4>
      </vt:variant>
      <vt:variant>
        <vt:lpwstr>https://www9.health.gov.au/mbs/fullDisplay.cfm?type=item&amp;q=63399&amp;qt=item</vt:lpwstr>
      </vt:variant>
      <vt:variant>
        <vt:lpwstr/>
      </vt:variant>
      <vt:variant>
        <vt:i4>3997744</vt:i4>
      </vt:variant>
      <vt:variant>
        <vt:i4>0</vt:i4>
      </vt:variant>
      <vt:variant>
        <vt:i4>0</vt:i4>
      </vt:variant>
      <vt:variant>
        <vt:i4>5</vt:i4>
      </vt:variant>
      <vt:variant>
        <vt:lpwstr>http://www.msac.gov.au/</vt:lpwstr>
      </vt:variant>
      <vt:variant>
        <vt:lpwstr/>
      </vt:variant>
      <vt:variant>
        <vt:i4>3670126</vt:i4>
      </vt:variant>
      <vt:variant>
        <vt:i4>3</vt:i4>
      </vt:variant>
      <vt:variant>
        <vt:i4>0</vt:i4>
      </vt:variant>
      <vt:variant>
        <vt:i4>5</vt:i4>
      </vt:variant>
      <vt:variant>
        <vt:lpwstr>https://www.heartfoundation.org.au/Bundles/Your-heart/Conditions/fp-acs-guidelines</vt:lpwstr>
      </vt:variant>
      <vt:variant>
        <vt:lpwstr/>
      </vt:variant>
      <vt:variant>
        <vt:i4>2097259</vt:i4>
      </vt:variant>
      <vt:variant>
        <vt:i4>0</vt:i4>
      </vt:variant>
      <vt:variant>
        <vt:i4>0</vt:i4>
      </vt:variant>
      <vt:variant>
        <vt:i4>5</vt:i4>
      </vt:variant>
      <vt:variant>
        <vt:lpwstr>http://www.msac.gov.au/internet/msac/publishing.nsf/Content/1432-public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2024-06-03T06:02:00Z</dcterms:created>
  <dcterms:modified xsi:type="dcterms:W3CDTF">2024-06-03T23:58:00Z</dcterms:modified>
</cp:coreProperties>
</file>