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05641F">
        <w:rPr>
          <w:rFonts w:ascii="Arial" w:hAnsi="Arial" w:cs="Arial"/>
          <w:b/>
          <w:sz w:val="52"/>
          <w:szCs w:val="52"/>
        </w:rPr>
        <w:t>602</w:t>
      </w:r>
    </w:p>
    <w:p w:rsidR="0005641F" w:rsidRDefault="0005641F" w:rsidP="0005641F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05641F">
        <w:rPr>
          <w:rFonts w:ascii="Arial" w:hAnsi="Arial" w:cs="Arial"/>
          <w:b/>
          <w:sz w:val="32"/>
          <w:szCs w:val="32"/>
        </w:rPr>
        <w:t xml:space="preserve">Testing for neurotrophic tyrosine receptor kinase </w:t>
      </w:r>
      <w:bookmarkStart w:id="0" w:name="_GoBack"/>
      <w:bookmarkEnd w:id="0"/>
      <w:r w:rsidRPr="0005641F">
        <w:rPr>
          <w:rFonts w:ascii="Arial" w:hAnsi="Arial" w:cs="Arial"/>
          <w:b/>
          <w:sz w:val="32"/>
          <w:szCs w:val="32"/>
        </w:rPr>
        <w:t>gene fusion status in patients with locally advanced or metastatic solid tumours to determine eligibility for larotrectinib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5641F">
        <w:rPr>
          <w:b w:val="0"/>
        </w:rPr>
      </w:r>
      <w:r w:rsidR="0005641F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05641F" w:rsidRPr="0005641F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D30A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2019-09-27T01:03:00Z</dcterms:created>
  <dcterms:modified xsi:type="dcterms:W3CDTF">2019-09-27T01:03:00Z</dcterms:modified>
</cp:coreProperties>
</file>