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5DC87EF1"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EB5F6A">
        <w:rPr>
          <w:rFonts w:ascii="Arial" w:hAnsi="Arial" w:cs="Arial"/>
          <w:b/>
          <w:sz w:val="48"/>
          <w:szCs w:val="48"/>
        </w:rPr>
        <w:t>58</w:t>
      </w:r>
    </w:p>
    <w:p w14:paraId="3B4D7A6E" w14:textId="033811D1" w:rsidR="00EB5F6A" w:rsidRDefault="00EB5F6A" w:rsidP="003D375C">
      <w:pPr>
        <w:spacing w:before="240" w:after="120"/>
        <w:jc w:val="center"/>
        <w:rPr>
          <w:rFonts w:ascii="Arial" w:hAnsi="Arial" w:cs="Arial"/>
          <w:b/>
          <w:sz w:val="28"/>
          <w:szCs w:val="28"/>
        </w:rPr>
      </w:pPr>
      <w:r w:rsidRPr="00EB5F6A">
        <w:rPr>
          <w:rFonts w:ascii="Arial" w:hAnsi="Arial" w:cs="Arial"/>
          <w:b/>
          <w:sz w:val="28"/>
          <w:szCs w:val="28"/>
        </w:rPr>
        <w:t>Expansion of MBS item numbers 12320 &amp; 12322 for bone mineral density testing to include patients aged 60-69 years</w:t>
      </w:r>
    </w:p>
    <w:p w14:paraId="2224A917" w14:textId="33EA3705"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10"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11"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2"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0B1B6379" w14:textId="4EDEC4DA" w:rsidR="00B41CED" w:rsidRDefault="00B41CED" w:rsidP="00B41CED">
      <w:pPr>
        <w:pStyle w:val="Style1"/>
        <w:rPr>
          <w:shd w:val="clear" w:color="auto" w:fill="FFFFFF"/>
          <w:lang w:eastAsia="en-AU"/>
        </w:rPr>
      </w:pPr>
      <w:r w:rsidRPr="00B41CED">
        <w:rPr>
          <w:shd w:val="clear" w:color="auto" w:fill="FFFFFF"/>
          <w:lang w:eastAsia="en-AU"/>
        </w:rPr>
        <w:t xml:space="preserve">Diagnosis of osteoporosis requires an assessment of </w:t>
      </w:r>
      <w:r>
        <w:rPr>
          <w:shd w:val="clear" w:color="auto" w:fill="FFFFFF"/>
          <w:lang w:eastAsia="en-AU"/>
        </w:rPr>
        <w:t>bone mineral density</w:t>
      </w:r>
      <w:r w:rsidR="00A16223">
        <w:rPr>
          <w:shd w:val="clear" w:color="auto" w:fill="FFFFFF"/>
          <w:lang w:eastAsia="en-AU"/>
        </w:rPr>
        <w:t xml:space="preserve"> (BMD)</w:t>
      </w:r>
      <w:r>
        <w:rPr>
          <w:shd w:val="clear" w:color="auto" w:fill="FFFFFF"/>
          <w:lang w:eastAsia="en-AU"/>
        </w:rPr>
        <w:t>.</w:t>
      </w:r>
      <w:r w:rsidRPr="00B41CED">
        <w:t xml:space="preserve"> </w:t>
      </w:r>
      <w:r w:rsidRPr="00B41CED">
        <w:rPr>
          <w:shd w:val="clear" w:color="auto" w:fill="FFFFFF"/>
          <w:lang w:eastAsia="en-AU"/>
        </w:rPr>
        <w:t>Medicare Benefits Schedule (MBS) items 12320 and 12322 currently provide for bone densitometry, using dual energy X</w:t>
      </w:r>
      <w:r w:rsidRPr="00B41CED">
        <w:rPr>
          <w:rFonts w:ascii="Cambria Math" w:hAnsi="Cambria Math" w:cs="Cambria Math"/>
          <w:shd w:val="clear" w:color="auto" w:fill="FFFFFF"/>
          <w:lang w:eastAsia="en-AU"/>
        </w:rPr>
        <w:t>‑</w:t>
      </w:r>
      <w:r w:rsidRPr="00B41CED">
        <w:rPr>
          <w:shd w:val="clear" w:color="auto" w:fill="FFFFFF"/>
          <w:lang w:eastAsia="en-AU"/>
        </w:rPr>
        <w:t>ray absorptiometry or quantitative computed tomography, in patients aged 70 years of age and over.</w:t>
      </w:r>
      <w:r w:rsidR="00236A97" w:rsidRPr="000911DB">
        <w:rPr>
          <w:shd w:val="clear" w:color="auto" w:fill="FFFFFF"/>
          <w:lang w:eastAsia="en-AU"/>
        </w:rPr>
        <w:t xml:space="preserve"> </w:t>
      </w:r>
      <w:r w:rsidR="000911DB" w:rsidRPr="000911DB">
        <w:rPr>
          <w:shd w:val="clear" w:color="auto" w:fill="FFFFFF"/>
          <w:lang w:eastAsia="en-AU"/>
        </w:rPr>
        <w:t xml:space="preserve">Bone densitometry measures a patient’s bone mineral density (BMD) and compares the patient’s BMD with the average BMD of young healthy adults (called a T-score). </w:t>
      </w:r>
      <w:r w:rsidR="00236A97" w:rsidRPr="00236A97">
        <w:rPr>
          <w:shd w:val="clear" w:color="auto" w:fill="FFFFFF"/>
          <w:lang w:eastAsia="en-AU"/>
        </w:rPr>
        <w:t>Patients with osteoporosis are defined as those with a T-score of -2.5 or lower.</w:t>
      </w:r>
    </w:p>
    <w:p w14:paraId="574FC6F1" w14:textId="77777777" w:rsidR="00B41CED" w:rsidRDefault="00B41CED" w:rsidP="000911DB">
      <w:pPr>
        <w:pStyle w:val="Style1"/>
        <w:numPr>
          <w:ilvl w:val="0"/>
          <w:numId w:val="0"/>
        </w:numPr>
        <w:ind w:left="360"/>
        <w:rPr>
          <w:shd w:val="clear" w:color="auto" w:fill="FFFFFF"/>
          <w:lang w:eastAsia="en-AU"/>
        </w:rPr>
      </w:pPr>
    </w:p>
    <w:p w14:paraId="6F53142C" w14:textId="15334D0B" w:rsidR="00B41CED" w:rsidRDefault="00B41CED" w:rsidP="000911DB">
      <w:pPr>
        <w:pStyle w:val="Style1"/>
        <w:numPr>
          <w:ilvl w:val="0"/>
          <w:numId w:val="0"/>
        </w:numPr>
        <w:ind w:left="360"/>
        <w:rPr>
          <w:shd w:val="clear" w:color="auto" w:fill="FFFFFF"/>
          <w:lang w:eastAsia="en-AU"/>
        </w:rPr>
      </w:pPr>
      <w:r w:rsidRPr="00B41CED">
        <w:rPr>
          <w:shd w:val="clear" w:color="auto" w:fill="FFFFFF"/>
          <w:lang w:eastAsia="en-AU"/>
        </w:rPr>
        <w:t xml:space="preserve">Patients aged 70 years or older with osteoporosis (BMD T-score of -2.5 or less) and without a history of minimal trauma fracture, can access osteoporosis medications listed on the Pharmaceutical Benefits Scheme (PBS) for primary prevention of fractures. The Pharmaceutical Benefits Advisory Committee (PBAC) deferred making a recommendation to amend the current age restriction for PBS listed osteoporosis medicines for primary prevention of fracture to include patients aged 60 to 69 years, pending a review of the MBS implications, to ensure that the bone densitometry MBS items could be aligned with the PBAC recommendations. See PBAC outcome for </w:t>
      </w:r>
      <w:hyperlink r:id="rId13" w:history="1">
        <w:r w:rsidRPr="00985E7B">
          <w:rPr>
            <w:rStyle w:val="Hyperlink"/>
            <w:shd w:val="clear" w:color="auto" w:fill="FFFFFF"/>
            <w:lang w:eastAsia="en-AU"/>
          </w:rPr>
          <w:t>Osteoporosis Therapy Restrictions Review</w:t>
        </w:r>
      </w:hyperlink>
      <w:r w:rsidRPr="00B41CED">
        <w:rPr>
          <w:shd w:val="clear" w:color="auto" w:fill="FFFFFF"/>
          <w:lang w:eastAsia="en-AU"/>
        </w:rPr>
        <w:t xml:space="preserve"> and Public Summary Document for </w:t>
      </w:r>
      <w:hyperlink r:id="rId14" w:history="1">
        <w:proofErr w:type="spellStart"/>
        <w:r w:rsidRPr="00A759D6">
          <w:rPr>
            <w:rStyle w:val="Hyperlink"/>
            <w:shd w:val="clear" w:color="auto" w:fill="FFFFFF"/>
            <w:lang w:eastAsia="en-AU"/>
          </w:rPr>
          <w:t>Risedronic</w:t>
        </w:r>
        <w:proofErr w:type="spellEnd"/>
        <w:r w:rsidRPr="00A759D6">
          <w:rPr>
            <w:rStyle w:val="Hyperlink"/>
            <w:shd w:val="clear" w:color="auto" w:fill="FFFFFF"/>
            <w:lang w:eastAsia="en-AU"/>
          </w:rPr>
          <w:t xml:space="preserve"> Acid (November 2022)</w:t>
        </w:r>
      </w:hyperlink>
      <w:r w:rsidRPr="00B41CED">
        <w:rPr>
          <w:shd w:val="clear" w:color="auto" w:fill="FFFFFF"/>
          <w:lang w:eastAsia="en-AU"/>
        </w:rPr>
        <w:t>.</w:t>
      </w:r>
    </w:p>
    <w:p w14:paraId="7FCD1CB4" w14:textId="77777777" w:rsidR="00B41CED" w:rsidRDefault="00B41CED" w:rsidP="00B41CED">
      <w:pPr>
        <w:pStyle w:val="Style1"/>
        <w:numPr>
          <w:ilvl w:val="0"/>
          <w:numId w:val="0"/>
        </w:numPr>
        <w:ind w:left="360"/>
        <w:rPr>
          <w:shd w:val="clear" w:color="auto" w:fill="FFFFFF"/>
          <w:lang w:eastAsia="en-AU"/>
        </w:rPr>
      </w:pPr>
    </w:p>
    <w:p w14:paraId="43508E02" w14:textId="13ED3344" w:rsidR="00B41CED" w:rsidRDefault="00B41CED" w:rsidP="00B41CED">
      <w:pPr>
        <w:pStyle w:val="Style1"/>
        <w:numPr>
          <w:ilvl w:val="0"/>
          <w:numId w:val="0"/>
        </w:numPr>
        <w:ind w:left="360"/>
        <w:rPr>
          <w:shd w:val="clear" w:color="auto" w:fill="FFFFFF"/>
          <w:lang w:eastAsia="en-AU"/>
        </w:rPr>
      </w:pPr>
      <w:r>
        <w:rPr>
          <w:shd w:val="clear" w:color="auto" w:fill="FFFFFF"/>
          <w:lang w:eastAsia="en-AU"/>
        </w:rPr>
        <w:t>MSAC application 1758 will assess the cost-effectiveness and total cost of amending the current age restriction for</w:t>
      </w:r>
      <w:r w:rsidRPr="009A47B2">
        <w:rPr>
          <w:shd w:val="clear" w:color="auto" w:fill="FFFFFF"/>
          <w:lang w:eastAsia="en-AU"/>
        </w:rPr>
        <w:t xml:space="preserve"> MBS it</w:t>
      </w:r>
      <w:r>
        <w:rPr>
          <w:shd w:val="clear" w:color="auto" w:fill="FFFFFF"/>
          <w:lang w:eastAsia="en-AU"/>
        </w:rPr>
        <w:t>ems 12320 and 12322 to include patients aged 60 to 69 years to align with proposals to amend the age restriction for PBS listed osteoporosis medicines for primary prevention of fracture.</w:t>
      </w:r>
    </w:p>
    <w:p w14:paraId="0D28C5F8" w14:textId="77777777" w:rsidR="00B41CED" w:rsidRPr="00B41CED" w:rsidRDefault="00B41CED" w:rsidP="00B41CED">
      <w:pPr>
        <w:pStyle w:val="Style1"/>
        <w:numPr>
          <w:ilvl w:val="0"/>
          <w:numId w:val="0"/>
        </w:numPr>
        <w:ind w:left="360"/>
        <w:rPr>
          <w:shd w:val="clear" w:color="auto" w:fill="FFFFFF"/>
          <w:lang w:eastAsia="en-AU"/>
        </w:rPr>
      </w:pPr>
    </w:p>
    <w:p w14:paraId="4952C23F" w14:textId="5EA2BB73" w:rsidR="00A40E72" w:rsidRDefault="006B695A" w:rsidP="00B41CED">
      <w:pPr>
        <w:pStyle w:val="Style1"/>
        <w:numPr>
          <w:ilvl w:val="0"/>
          <w:numId w:val="0"/>
        </w:numPr>
        <w:spacing w:before="240" w:beforeAutospacing="0" w:after="120" w:afterAutospacing="0"/>
        <w:ind w:left="351"/>
        <w:contextualSpacing w:val="0"/>
      </w:pPr>
      <w:r>
        <w:t>Describe your experience with the medical condi</w:t>
      </w:r>
      <w:r w:rsidR="000077F7">
        <w:t xml:space="preserve">tion (disease) </w:t>
      </w:r>
      <w:r w:rsidR="00EB5F6A">
        <w:rPr>
          <w:b w:val="0"/>
          <w:bCs/>
        </w:rPr>
        <w:t xml:space="preserve">osteoporosis </w:t>
      </w:r>
      <w:r w:rsidR="000077F7">
        <w:t xml:space="preserve">and/or </w:t>
      </w:r>
      <w:r w:rsidR="00EB5F6A">
        <w:t xml:space="preserve">the medical </w:t>
      </w:r>
      <w:r w:rsidR="00406DFA">
        <w:t>service</w:t>
      </w:r>
      <w:r w:rsidR="000077F7">
        <w:t xml:space="preserve"> </w:t>
      </w:r>
      <w:r w:rsidR="00EB5F6A">
        <w:rPr>
          <w:b w:val="0"/>
          <w:bCs/>
        </w:rPr>
        <w:t>bone densitometry (MBS items 12320 and 12322).</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23FE0CEF"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w:t>
      </w:r>
      <w:r w:rsidR="00EB5F6A">
        <w:t>amending the current age restriction for MBS items 12320 and 12322 for bone densitometry to include patients aged 60 to 69 years</w:t>
      </w:r>
      <w:r>
        <w:t xml:space="preserv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644304B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w:t>
      </w:r>
      <w:r w:rsidR="00EB5F6A">
        <w:t>amending the current age restriction for MBS items 12320 and 12322 for bone densitometry to include patients aged 60 to 69 years</w:t>
      </w:r>
      <w:r>
        <w:t>,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A18BCCA" w:rsidR="001F5F93" w:rsidRDefault="001F5F93" w:rsidP="001F5F93">
      <w:pPr>
        <w:pStyle w:val="Style1"/>
        <w:spacing w:before="240" w:beforeAutospacing="0" w:after="120" w:afterAutospacing="0"/>
        <w:ind w:left="351" w:hanging="357"/>
        <w:contextualSpacing w:val="0"/>
      </w:pPr>
      <w:r>
        <w:t xml:space="preserve">What other benefits can you see from </w:t>
      </w:r>
      <w:r w:rsidR="00EB5F6A">
        <w:t>amending the current age restriction for MBS items 12320 and 12322 for bone densitometry to include patients aged 60 to 69 years</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490F07B9"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w:t>
      </w:r>
      <w:r w:rsidR="00EB5F6A">
        <w:t>BMD testing</w:t>
      </w:r>
      <w:r>
        <w:t xml:space="preserve">,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3FE25180" w:rsidR="000E53A4" w:rsidRDefault="000E53A4" w:rsidP="00205CE8">
      <w:pPr>
        <w:pStyle w:val="Style1"/>
        <w:spacing w:before="0" w:beforeAutospacing="0" w:after="120" w:afterAutospacing="0"/>
        <w:ind w:left="363" w:hanging="357"/>
        <w:contextualSpacing w:val="0"/>
      </w:pPr>
      <w:r>
        <w:t>Do you agree or disagree with the propos</w:t>
      </w:r>
      <w:r w:rsidR="00EA1D7F">
        <w:t>al to amend the eligible</w:t>
      </w:r>
      <w:r>
        <w:t xml:space="preserve"> population(s) for</w:t>
      </w:r>
      <w:r w:rsidR="00EA1D7F">
        <w:t xml:space="preserve"> bone densitometry assessment under MBS items 12320 and 12322</w:t>
      </w:r>
      <w:r w:rsidR="002143BD">
        <w:t xml:space="preserve"> to include patients aged 60 to 69 years</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2120AA25"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2143BD">
        <w:t>, in the proposed population (</w:t>
      </w:r>
      <w:proofErr w:type="gramStart"/>
      <w:r w:rsidR="002143BD">
        <w:t>i.e.</w:t>
      </w:r>
      <w:proofErr w:type="gramEnd"/>
      <w:r w:rsidR="002143BD">
        <w:t xml:space="preserve"> patients aged 60 to 69 years</w:t>
      </w:r>
      <w:r w:rsidR="0013223E">
        <w:t>)</w:t>
      </w:r>
      <w:r w:rsidR="002143BD">
        <w:t>,</w:t>
      </w:r>
      <w:r w:rsidR="00513CF8">
        <w:t xml:space="preserve"> </w:t>
      </w:r>
      <w:r w:rsidR="00EA1D7F">
        <w:t>is no testing and standard medical management</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35DDB3BA" w14:textId="77777777" w:rsidR="008F36E4" w:rsidRDefault="008F36E4" w:rsidP="008F36E4"/>
    <w:p w14:paraId="5B9CFD87" w14:textId="7787F562" w:rsidR="00CB442F" w:rsidRPr="006A0C56" w:rsidRDefault="00CB442F" w:rsidP="006A0C56">
      <w:pPr>
        <w:pStyle w:val="Heading1"/>
      </w:pPr>
      <w:r w:rsidRPr="006A0C56">
        <w:t xml:space="preserve">PART 4 – COST INFORMATION FOR THE PROPOSED MEDICAL SERVICE </w:t>
      </w:r>
    </w:p>
    <w:p w14:paraId="30B70B12" w14:textId="3C14C768" w:rsidR="00C3562F" w:rsidRDefault="0013223E" w:rsidP="0025428B">
      <w:pPr>
        <w:pStyle w:val="Style1"/>
        <w:rPr>
          <w:b w:val="0"/>
        </w:rPr>
      </w:pPr>
      <w:r>
        <w:lastRenderedPageBreak/>
        <w:t xml:space="preserve">The proposal to amend the age restriction for MBS items 12320 and 12322 would be reflected in the item descriptor as shown below using blue text. </w:t>
      </w:r>
      <w:r w:rsidR="00C3562F">
        <w:t xml:space="preserve">Do you agree with the proposed </w:t>
      </w:r>
      <w:r>
        <w:t xml:space="preserve">amendments shown in blue text to the MBS item </w:t>
      </w:r>
      <w:r w:rsidR="0025428B">
        <w:t xml:space="preserve">service </w:t>
      </w:r>
      <w:r w:rsidR="00C3562F">
        <w:t>descriptor</w:t>
      </w:r>
      <w:r>
        <w:t>s</w:t>
      </w:r>
      <w:r w:rsidR="0025428B">
        <w:t xml:space="preserve">? </w:t>
      </w:r>
      <w:r w:rsidR="0025428B" w:rsidRPr="0025428B">
        <w:t xml:space="preserve"> </w:t>
      </w:r>
    </w:p>
    <w:tbl>
      <w:tblPr>
        <w:tblStyle w:val="TableGrid"/>
        <w:tblW w:w="0" w:type="auto"/>
        <w:tblInd w:w="360" w:type="dxa"/>
        <w:tblLook w:val="04A0" w:firstRow="1" w:lastRow="0" w:firstColumn="1" w:lastColumn="0" w:noHBand="0" w:noVBand="1"/>
      </w:tblPr>
      <w:tblGrid>
        <w:gridCol w:w="8560"/>
      </w:tblGrid>
      <w:tr w:rsidR="00316731" w14:paraId="50AFC373" w14:textId="77777777" w:rsidTr="0013223E">
        <w:tc>
          <w:tcPr>
            <w:tcW w:w="8920" w:type="dxa"/>
          </w:tcPr>
          <w:p w14:paraId="5580632E" w14:textId="77777777" w:rsidR="0013223E" w:rsidRPr="00316731" w:rsidRDefault="0013223E" w:rsidP="00316731">
            <w:pPr>
              <w:pStyle w:val="Style1"/>
              <w:numPr>
                <w:ilvl w:val="0"/>
                <w:numId w:val="0"/>
              </w:numPr>
              <w:rPr>
                <w:bCs/>
              </w:rPr>
            </w:pPr>
            <w:r w:rsidRPr="00316731">
              <w:rPr>
                <w:bCs/>
              </w:rPr>
              <w:t xml:space="preserve">MBS 12320 item descriptor </w:t>
            </w:r>
          </w:p>
          <w:p w14:paraId="4D979F2B" w14:textId="77777777" w:rsidR="0013223E" w:rsidRPr="00316731" w:rsidRDefault="0013223E" w:rsidP="00316731">
            <w:pPr>
              <w:pStyle w:val="Style1"/>
              <w:numPr>
                <w:ilvl w:val="0"/>
                <w:numId w:val="0"/>
              </w:numPr>
              <w:rPr>
                <w:b w:val="0"/>
              </w:rPr>
            </w:pPr>
            <w:r w:rsidRPr="00316731">
              <w:rPr>
                <w:b w:val="0"/>
              </w:rPr>
              <w:t>Bone densitometry, using dual energy X</w:t>
            </w:r>
            <w:r w:rsidRPr="00316731">
              <w:rPr>
                <w:b w:val="0"/>
              </w:rPr>
              <w:noBreakHyphen/>
              <w:t>ray absorptiometry or quantitative computed tomography, involving the measurement of 2 or more sites (including interpretation and reporting) for measurement of bone mineral density, if:</w:t>
            </w:r>
          </w:p>
          <w:p w14:paraId="4CC22670" w14:textId="356EABF1" w:rsidR="0013223E" w:rsidRPr="00316731" w:rsidRDefault="0013223E" w:rsidP="00316731">
            <w:pPr>
              <w:pStyle w:val="Style1"/>
              <w:numPr>
                <w:ilvl w:val="0"/>
                <w:numId w:val="0"/>
              </w:numPr>
              <w:rPr>
                <w:b w:val="0"/>
              </w:rPr>
            </w:pPr>
            <w:r w:rsidRPr="00316731">
              <w:rPr>
                <w:b w:val="0"/>
              </w:rPr>
              <w:t xml:space="preserve">(a) the patient is </w:t>
            </w:r>
            <w:r w:rsidRPr="00316731">
              <w:rPr>
                <w:b w:val="0"/>
                <w:color w:val="0070C0"/>
              </w:rPr>
              <w:t xml:space="preserve">60 </w:t>
            </w:r>
            <w:r w:rsidRPr="00316731">
              <w:rPr>
                <w:b w:val="0"/>
                <w:strike/>
                <w:color w:val="0070C0"/>
              </w:rPr>
              <w:t>70</w:t>
            </w:r>
            <w:r w:rsidRPr="00316731">
              <w:rPr>
                <w:b w:val="0"/>
                <w:color w:val="0070C0"/>
              </w:rPr>
              <w:t xml:space="preserve"> </w:t>
            </w:r>
            <w:r w:rsidRPr="00316731">
              <w:rPr>
                <w:b w:val="0"/>
              </w:rPr>
              <w:t>years of age or over, and</w:t>
            </w:r>
          </w:p>
          <w:p w14:paraId="4F496D27" w14:textId="77777777" w:rsidR="0013223E" w:rsidRPr="00316731" w:rsidRDefault="0013223E" w:rsidP="00316731">
            <w:pPr>
              <w:pStyle w:val="Style1"/>
              <w:numPr>
                <w:ilvl w:val="0"/>
                <w:numId w:val="0"/>
              </w:numPr>
              <w:rPr>
                <w:b w:val="0"/>
              </w:rPr>
            </w:pPr>
            <w:r w:rsidRPr="00316731">
              <w:rPr>
                <w:b w:val="0"/>
              </w:rPr>
              <w:t>(b) either:</w:t>
            </w:r>
          </w:p>
          <w:p w14:paraId="4EED6289" w14:textId="77777777" w:rsidR="0013223E" w:rsidRPr="00316731" w:rsidRDefault="0013223E" w:rsidP="00316731">
            <w:pPr>
              <w:pStyle w:val="Style1"/>
              <w:numPr>
                <w:ilvl w:val="0"/>
                <w:numId w:val="0"/>
              </w:numPr>
              <w:rPr>
                <w:b w:val="0"/>
              </w:rPr>
            </w:pPr>
            <w:r w:rsidRPr="00316731">
              <w:rPr>
                <w:b w:val="0"/>
              </w:rPr>
              <w:t>     (</w:t>
            </w:r>
            <w:proofErr w:type="spellStart"/>
            <w:r w:rsidRPr="00316731">
              <w:rPr>
                <w:b w:val="0"/>
              </w:rPr>
              <w:t>i</w:t>
            </w:r>
            <w:proofErr w:type="spellEnd"/>
            <w:r w:rsidRPr="00316731">
              <w:rPr>
                <w:b w:val="0"/>
              </w:rPr>
              <w:t>)  the patient has not previously had bone densitometry; or</w:t>
            </w:r>
          </w:p>
          <w:p w14:paraId="03E9F4CB" w14:textId="77777777" w:rsidR="0013223E" w:rsidRPr="00316731" w:rsidRDefault="0013223E" w:rsidP="00316731">
            <w:pPr>
              <w:pStyle w:val="Style1"/>
              <w:numPr>
                <w:ilvl w:val="0"/>
                <w:numId w:val="0"/>
              </w:numPr>
              <w:rPr>
                <w:b w:val="0"/>
              </w:rPr>
            </w:pPr>
            <w:r w:rsidRPr="00316731">
              <w:rPr>
                <w:b w:val="0"/>
              </w:rPr>
              <w:t>     (ii) the t-score for the patient's bone mineral density is -1.5 or more;</w:t>
            </w:r>
          </w:p>
          <w:p w14:paraId="4160CD1D" w14:textId="77777777" w:rsidR="0013223E" w:rsidRPr="00316731" w:rsidRDefault="0013223E" w:rsidP="00316731">
            <w:pPr>
              <w:pStyle w:val="Style1"/>
              <w:numPr>
                <w:ilvl w:val="0"/>
                <w:numId w:val="0"/>
              </w:numPr>
              <w:rPr>
                <w:b w:val="0"/>
              </w:rPr>
            </w:pPr>
            <w:r w:rsidRPr="00316731">
              <w:rPr>
                <w:b w:val="0"/>
              </w:rPr>
              <w:t>other than a service associated with a service to which item 12306, 12312, 12315, 12321 or 12322 applies</w:t>
            </w:r>
          </w:p>
          <w:p w14:paraId="39A9A24F" w14:textId="77777777" w:rsidR="0013223E" w:rsidRPr="00316731" w:rsidRDefault="0013223E" w:rsidP="00316731">
            <w:pPr>
              <w:pStyle w:val="Style1"/>
              <w:numPr>
                <w:ilvl w:val="0"/>
                <w:numId w:val="0"/>
              </w:numPr>
              <w:rPr>
                <w:b w:val="0"/>
              </w:rPr>
            </w:pPr>
            <w:r w:rsidRPr="00316731">
              <w:rPr>
                <w:b w:val="0"/>
              </w:rPr>
              <w:t xml:space="preserve">For any particular patient, once only in a </w:t>
            </w:r>
            <w:proofErr w:type="gramStart"/>
            <w:r w:rsidRPr="00316731">
              <w:rPr>
                <w:b w:val="0"/>
              </w:rPr>
              <w:t>5 year</w:t>
            </w:r>
            <w:proofErr w:type="gramEnd"/>
            <w:r w:rsidRPr="00316731">
              <w:rPr>
                <w:b w:val="0"/>
              </w:rPr>
              <w:t xml:space="preserve"> period</w:t>
            </w:r>
          </w:p>
          <w:p w14:paraId="2E6AC261" w14:textId="1CA6A7A0" w:rsidR="0013223E" w:rsidRDefault="0013223E" w:rsidP="00316731">
            <w:pPr>
              <w:pStyle w:val="Style1"/>
              <w:numPr>
                <w:ilvl w:val="0"/>
                <w:numId w:val="0"/>
              </w:numPr>
              <w:rPr>
                <w:b w:val="0"/>
              </w:rPr>
            </w:pPr>
          </w:p>
        </w:tc>
      </w:tr>
      <w:tr w:rsidR="00316731" w14:paraId="09FB6EF9" w14:textId="77777777" w:rsidTr="0013223E">
        <w:tc>
          <w:tcPr>
            <w:tcW w:w="8920" w:type="dxa"/>
          </w:tcPr>
          <w:p w14:paraId="1FA51F18" w14:textId="77777777" w:rsidR="0013223E" w:rsidRPr="00316731" w:rsidRDefault="0013223E" w:rsidP="00316731">
            <w:pPr>
              <w:pStyle w:val="Style1"/>
              <w:numPr>
                <w:ilvl w:val="0"/>
                <w:numId w:val="0"/>
              </w:numPr>
              <w:rPr>
                <w:bCs/>
              </w:rPr>
            </w:pPr>
            <w:r w:rsidRPr="00316731">
              <w:rPr>
                <w:bCs/>
              </w:rPr>
              <w:t>MBS 12322 item descriptor</w:t>
            </w:r>
          </w:p>
          <w:p w14:paraId="12FE7AFA" w14:textId="77777777" w:rsidR="0013223E" w:rsidRPr="00316731" w:rsidRDefault="0013223E" w:rsidP="00316731">
            <w:pPr>
              <w:pStyle w:val="Style1"/>
              <w:numPr>
                <w:ilvl w:val="0"/>
                <w:numId w:val="0"/>
              </w:numPr>
              <w:rPr>
                <w:b w:val="0"/>
              </w:rPr>
            </w:pPr>
            <w:r w:rsidRPr="00316731">
              <w:rPr>
                <w:b w:val="0"/>
              </w:rPr>
              <w:t>Bone densitometry, using dual energy X</w:t>
            </w:r>
            <w:r w:rsidRPr="00316731">
              <w:rPr>
                <w:b w:val="0"/>
              </w:rPr>
              <w:noBreakHyphen/>
              <w:t>ray absorptiometry or quantitative computed tomography, involving the measurement of 2 or more sites (including interpretation and reporting) for measurement of bone mineral density, if:</w:t>
            </w:r>
          </w:p>
          <w:p w14:paraId="47C085E3" w14:textId="32D7E192" w:rsidR="0013223E" w:rsidRPr="00316731" w:rsidRDefault="0013223E" w:rsidP="00316731">
            <w:pPr>
              <w:pStyle w:val="Style1"/>
              <w:numPr>
                <w:ilvl w:val="0"/>
                <w:numId w:val="0"/>
              </w:numPr>
              <w:rPr>
                <w:b w:val="0"/>
              </w:rPr>
            </w:pPr>
            <w:r w:rsidRPr="00316731">
              <w:rPr>
                <w:b w:val="0"/>
              </w:rPr>
              <w:t xml:space="preserve">(a) the patient is </w:t>
            </w:r>
            <w:r w:rsidRPr="00316731">
              <w:rPr>
                <w:b w:val="0"/>
                <w:color w:val="0070C0"/>
              </w:rPr>
              <w:t xml:space="preserve">60 </w:t>
            </w:r>
            <w:r w:rsidRPr="00316731">
              <w:rPr>
                <w:b w:val="0"/>
                <w:strike/>
                <w:color w:val="0070C0"/>
              </w:rPr>
              <w:t>70</w:t>
            </w:r>
            <w:r w:rsidRPr="00316731">
              <w:rPr>
                <w:b w:val="0"/>
                <w:color w:val="0070C0"/>
              </w:rPr>
              <w:t xml:space="preserve"> </w:t>
            </w:r>
            <w:r w:rsidRPr="00316731">
              <w:rPr>
                <w:b w:val="0"/>
              </w:rPr>
              <w:t>years of age or over; and</w:t>
            </w:r>
          </w:p>
          <w:p w14:paraId="3FDD30BA" w14:textId="77777777" w:rsidR="0013223E" w:rsidRPr="00316731" w:rsidRDefault="0013223E" w:rsidP="00316731">
            <w:pPr>
              <w:pStyle w:val="Style1"/>
              <w:numPr>
                <w:ilvl w:val="0"/>
                <w:numId w:val="0"/>
              </w:numPr>
              <w:rPr>
                <w:b w:val="0"/>
              </w:rPr>
            </w:pPr>
            <w:r w:rsidRPr="00316731">
              <w:rPr>
                <w:b w:val="0"/>
              </w:rPr>
              <w:t>(b) the t</w:t>
            </w:r>
            <w:r w:rsidRPr="00316731">
              <w:rPr>
                <w:b w:val="0"/>
              </w:rPr>
              <w:noBreakHyphen/>
              <w:t xml:space="preserve">score for the patient's bone mineral density is less than </w:t>
            </w:r>
            <w:r w:rsidRPr="00316731">
              <w:rPr>
                <w:b w:val="0"/>
              </w:rPr>
              <w:noBreakHyphen/>
              <w:t xml:space="preserve">1.5 but more than </w:t>
            </w:r>
            <w:r w:rsidRPr="00316731">
              <w:rPr>
                <w:b w:val="0"/>
              </w:rPr>
              <w:noBreakHyphen/>
              <w:t>2.5;</w:t>
            </w:r>
          </w:p>
          <w:p w14:paraId="23A3328D" w14:textId="77777777" w:rsidR="0013223E" w:rsidRPr="00316731" w:rsidRDefault="0013223E" w:rsidP="00316731">
            <w:pPr>
              <w:pStyle w:val="Style1"/>
              <w:numPr>
                <w:ilvl w:val="0"/>
                <w:numId w:val="0"/>
              </w:numPr>
              <w:rPr>
                <w:b w:val="0"/>
              </w:rPr>
            </w:pPr>
            <w:r w:rsidRPr="00316731">
              <w:rPr>
                <w:b w:val="0"/>
              </w:rPr>
              <w:t>other than a service associated with a service to which item 12306, 12312, 12315, 12320 or 12321 applies</w:t>
            </w:r>
          </w:p>
          <w:p w14:paraId="46D7230A" w14:textId="77777777" w:rsidR="0013223E" w:rsidRPr="00316731" w:rsidRDefault="0013223E" w:rsidP="00316731">
            <w:pPr>
              <w:pStyle w:val="Style1"/>
              <w:numPr>
                <w:ilvl w:val="0"/>
                <w:numId w:val="0"/>
              </w:numPr>
              <w:rPr>
                <w:b w:val="0"/>
              </w:rPr>
            </w:pPr>
            <w:r w:rsidRPr="00316731">
              <w:rPr>
                <w:b w:val="0"/>
              </w:rPr>
              <w:t xml:space="preserve">For any particular patient, once only in a </w:t>
            </w:r>
            <w:proofErr w:type="gramStart"/>
            <w:r w:rsidRPr="00316731">
              <w:rPr>
                <w:b w:val="0"/>
              </w:rPr>
              <w:t>2 year</w:t>
            </w:r>
            <w:proofErr w:type="gramEnd"/>
            <w:r w:rsidRPr="00316731">
              <w:rPr>
                <w:b w:val="0"/>
              </w:rPr>
              <w:t> period </w:t>
            </w:r>
          </w:p>
          <w:p w14:paraId="01EA062C" w14:textId="44541F41" w:rsidR="0013223E" w:rsidRDefault="0013223E" w:rsidP="00316731">
            <w:pPr>
              <w:pStyle w:val="Style1"/>
              <w:numPr>
                <w:ilvl w:val="0"/>
                <w:numId w:val="0"/>
              </w:numPr>
              <w:rPr>
                <w:b w:val="0"/>
              </w:rPr>
            </w:pPr>
          </w:p>
        </w:tc>
      </w:tr>
    </w:tbl>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0600ED89" w:rsidR="00CB442F" w:rsidRPr="0045348B" w:rsidRDefault="00CB442F" w:rsidP="00A40E72">
      <w:pPr>
        <w:pStyle w:val="Style1"/>
        <w:spacing w:before="240" w:beforeAutospacing="0" w:after="240" w:afterAutospacing="0"/>
        <w:ind w:left="357" w:hanging="357"/>
        <w:contextualSpacing w:val="0"/>
        <w:rPr>
          <w:b w:val="0"/>
        </w:rPr>
      </w:pPr>
      <w:r>
        <w:t xml:space="preserve">Do you agree with </w:t>
      </w:r>
      <w:r w:rsidR="0013223E">
        <w:t xml:space="preserve">maintaining the current </w:t>
      </w:r>
      <w:r w:rsidR="00931906">
        <w:t xml:space="preserve">claiming </w:t>
      </w:r>
      <w:r w:rsidR="0013223E">
        <w:t>frequency for MBS item 123203 and 123222 if the eligible population is amended to include patients aged 60-69 years of age</w:t>
      </w:r>
      <w:r w:rsidR="0025428B">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D375C">
        <w:rPr>
          <w:b w:val="0"/>
        </w:rPr>
      </w:r>
      <w:r w:rsidR="003D375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68495D64" w:rsidR="00A6509E" w:rsidRDefault="00A6509E">
      <w:pPr>
        <w:rPr>
          <w:b/>
          <w:sz w:val="32"/>
          <w:szCs w:val="32"/>
        </w:rPr>
      </w:pPr>
    </w:p>
    <w:p w14:paraId="00FAEA7F" w14:textId="77777777" w:rsidR="0098185C" w:rsidRPr="00A6509E" w:rsidRDefault="0098185C" w:rsidP="006A0C56">
      <w:pPr>
        <w:pStyle w:val="Heading1"/>
      </w:pPr>
      <w:r w:rsidRPr="00A6509E">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5"/>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6146" w14:textId="77777777" w:rsidR="00E55C29" w:rsidRDefault="00E55C29" w:rsidP="00074E40">
      <w:r>
        <w:separator/>
      </w:r>
    </w:p>
  </w:endnote>
  <w:endnote w:type="continuationSeparator" w:id="0">
    <w:p w14:paraId="516C93D6" w14:textId="77777777" w:rsidR="00E55C29" w:rsidRDefault="00E55C29"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3912" w14:textId="77777777" w:rsidR="00E55C29" w:rsidRDefault="00E55C29" w:rsidP="00074E40">
      <w:r>
        <w:separator/>
      </w:r>
    </w:p>
  </w:footnote>
  <w:footnote w:type="continuationSeparator" w:id="0">
    <w:p w14:paraId="28A2408F" w14:textId="77777777" w:rsidR="00E55C29" w:rsidRDefault="00E55C29"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87445"/>
    <w:rsid w:val="000911DB"/>
    <w:rsid w:val="000A4BDD"/>
    <w:rsid w:val="000A74BE"/>
    <w:rsid w:val="000C5AB5"/>
    <w:rsid w:val="000E53A4"/>
    <w:rsid w:val="0010233F"/>
    <w:rsid w:val="0013223E"/>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143BD"/>
    <w:rsid w:val="00227303"/>
    <w:rsid w:val="00236A97"/>
    <w:rsid w:val="0024130A"/>
    <w:rsid w:val="002526C6"/>
    <w:rsid w:val="0025428B"/>
    <w:rsid w:val="00256502"/>
    <w:rsid w:val="002660CA"/>
    <w:rsid w:val="00270C0A"/>
    <w:rsid w:val="00295CC4"/>
    <w:rsid w:val="002D0D31"/>
    <w:rsid w:val="002D456E"/>
    <w:rsid w:val="00306BBC"/>
    <w:rsid w:val="0030786C"/>
    <w:rsid w:val="00310EEE"/>
    <w:rsid w:val="00316731"/>
    <w:rsid w:val="00320B55"/>
    <w:rsid w:val="00334B5F"/>
    <w:rsid w:val="00367031"/>
    <w:rsid w:val="003D375C"/>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E4487"/>
    <w:rsid w:val="005F5875"/>
    <w:rsid w:val="005F5CF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8F36E4"/>
    <w:rsid w:val="00906709"/>
    <w:rsid w:val="009212C3"/>
    <w:rsid w:val="009307EC"/>
    <w:rsid w:val="00931906"/>
    <w:rsid w:val="009320E5"/>
    <w:rsid w:val="00961902"/>
    <w:rsid w:val="0096315A"/>
    <w:rsid w:val="00970712"/>
    <w:rsid w:val="0098185C"/>
    <w:rsid w:val="00985E7B"/>
    <w:rsid w:val="00991EDD"/>
    <w:rsid w:val="009E0FC0"/>
    <w:rsid w:val="009E67A8"/>
    <w:rsid w:val="009F2F88"/>
    <w:rsid w:val="00A05331"/>
    <w:rsid w:val="00A16223"/>
    <w:rsid w:val="00A236B8"/>
    <w:rsid w:val="00A30610"/>
    <w:rsid w:val="00A32F3E"/>
    <w:rsid w:val="00A40E72"/>
    <w:rsid w:val="00A6509E"/>
    <w:rsid w:val="00A70C2A"/>
    <w:rsid w:val="00A74450"/>
    <w:rsid w:val="00A74F06"/>
    <w:rsid w:val="00A759D6"/>
    <w:rsid w:val="00A8234F"/>
    <w:rsid w:val="00AC1D5E"/>
    <w:rsid w:val="00AC4E7C"/>
    <w:rsid w:val="00AE1D1E"/>
    <w:rsid w:val="00B12E77"/>
    <w:rsid w:val="00B356E4"/>
    <w:rsid w:val="00B41CED"/>
    <w:rsid w:val="00B42851"/>
    <w:rsid w:val="00B666D8"/>
    <w:rsid w:val="00B87883"/>
    <w:rsid w:val="00B87EDD"/>
    <w:rsid w:val="00BD02E8"/>
    <w:rsid w:val="00C1596D"/>
    <w:rsid w:val="00C325C4"/>
    <w:rsid w:val="00C348B4"/>
    <w:rsid w:val="00C3562F"/>
    <w:rsid w:val="00C4028D"/>
    <w:rsid w:val="00C45B61"/>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5516"/>
    <w:rsid w:val="00DA6E1F"/>
    <w:rsid w:val="00DD40D5"/>
    <w:rsid w:val="00DD70C5"/>
    <w:rsid w:val="00DE1ED4"/>
    <w:rsid w:val="00DF1CBF"/>
    <w:rsid w:val="00E068FA"/>
    <w:rsid w:val="00E30923"/>
    <w:rsid w:val="00E36428"/>
    <w:rsid w:val="00E43854"/>
    <w:rsid w:val="00E46387"/>
    <w:rsid w:val="00E55C29"/>
    <w:rsid w:val="00EA1D7F"/>
    <w:rsid w:val="00EA686B"/>
    <w:rsid w:val="00EB5F6A"/>
    <w:rsid w:val="00EB60EE"/>
    <w:rsid w:val="00EF255F"/>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character" w:styleId="CommentReference">
    <w:name w:val="annotation reference"/>
    <w:basedOn w:val="DefaultParagraphFont"/>
    <w:semiHidden/>
    <w:unhideWhenUsed/>
    <w:rsid w:val="00EB5F6A"/>
    <w:rPr>
      <w:sz w:val="16"/>
      <w:szCs w:val="16"/>
    </w:rPr>
  </w:style>
  <w:style w:type="paragraph" w:styleId="CommentText">
    <w:name w:val="annotation text"/>
    <w:basedOn w:val="Normal"/>
    <w:link w:val="CommentTextChar"/>
    <w:semiHidden/>
    <w:unhideWhenUsed/>
    <w:rsid w:val="00EB5F6A"/>
    <w:rPr>
      <w:sz w:val="20"/>
      <w:szCs w:val="20"/>
    </w:rPr>
  </w:style>
  <w:style w:type="character" w:customStyle="1" w:styleId="CommentTextChar">
    <w:name w:val="Comment Text Char"/>
    <w:basedOn w:val="DefaultParagraphFont"/>
    <w:link w:val="CommentText"/>
    <w:semiHidden/>
    <w:rsid w:val="00EB5F6A"/>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EB5F6A"/>
    <w:rPr>
      <w:b/>
      <w:bCs/>
    </w:rPr>
  </w:style>
  <w:style w:type="character" w:customStyle="1" w:styleId="CommentSubjectChar">
    <w:name w:val="Comment Subject Char"/>
    <w:basedOn w:val="CommentTextChar"/>
    <w:link w:val="CommentSubject"/>
    <w:semiHidden/>
    <w:rsid w:val="00EB5F6A"/>
    <w:rPr>
      <w:rFonts w:ascii="Calibri" w:eastAsiaTheme="minorHAnsi" w:hAnsi="Calibri"/>
      <w:b/>
      <w:bCs/>
      <w:lang w:eastAsia="en-US"/>
    </w:rPr>
  </w:style>
  <w:style w:type="paragraph" w:styleId="NormalWeb">
    <w:name w:val="Normal (Web)"/>
    <w:basedOn w:val="Normal"/>
    <w:uiPriority w:val="99"/>
    <w:semiHidden/>
    <w:unhideWhenUsed/>
    <w:rsid w:val="0013223E"/>
    <w:pPr>
      <w:spacing w:before="100" w:beforeAutospacing="1" w:after="100" w:afterAutospacing="1"/>
    </w:pPr>
    <w:rPr>
      <w:rFonts w:ascii="Times New Roman" w:eastAsia="Times New Roman" w:hAnsi="Times New Roman"/>
      <w:sz w:val="24"/>
      <w:szCs w:val="24"/>
      <w:lang w:eastAsia="en-AU"/>
    </w:rPr>
  </w:style>
  <w:style w:type="character" w:customStyle="1" w:styleId="highlight">
    <w:name w:val="highlight"/>
    <w:basedOn w:val="DefaultParagraphFont"/>
    <w:rsid w:val="0013223E"/>
  </w:style>
  <w:style w:type="paragraph" w:styleId="Revision">
    <w:name w:val="Revision"/>
    <w:hidden/>
    <w:uiPriority w:val="99"/>
    <w:semiHidden/>
    <w:rsid w:val="00316731"/>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985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9131">
      <w:bodyDiv w:val="1"/>
      <w:marLeft w:val="0"/>
      <w:marRight w:val="0"/>
      <w:marTop w:val="0"/>
      <w:marBottom w:val="0"/>
      <w:divBdr>
        <w:top w:val="none" w:sz="0" w:space="0" w:color="auto"/>
        <w:left w:val="none" w:sz="0" w:space="0" w:color="auto"/>
        <w:bottom w:val="none" w:sz="0" w:space="0" w:color="auto"/>
        <w:right w:val="none" w:sz="0" w:space="0" w:color="auto"/>
      </w:divBdr>
    </w:div>
    <w:div w:id="670985452">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bs.gov.au/industry/listing/elements/pbac-meetings/pbac-outcomes/2021-09/September-2021-pbac-web-outcom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MSAC@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ntsMSAC@health.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sac.gov.au/internet/msac/publishing.nsf/Content/Hom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bs.gov.au/industry/listing/elements/pbac-meetings/psd/2022-11/files/risedronic-acid-psd-1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CA3660A9E6844A6283D382B1ED595" ma:contentTypeVersion="10" ma:contentTypeDescription="Create a new document." ma:contentTypeScope="" ma:versionID="d46051424a5e857a870d5fa441eb2c04">
  <xsd:schema xmlns:xsd="http://www.w3.org/2001/XMLSchema" xmlns:xs="http://www.w3.org/2001/XMLSchema" xmlns:p="http://schemas.microsoft.com/office/2006/metadata/properties" xmlns:ns2="fcf7a6c0-b028-428b-8f28-9b06d722bf06" xmlns:ns3="e7d54a9e-4aca-451b-99db-b94fe438e987" targetNamespace="http://schemas.microsoft.com/office/2006/metadata/properties" ma:root="true" ma:fieldsID="8d40bd8196293737f3266c562dce74b7" ns2:_="" ns3:_="">
    <xsd:import namespace="fcf7a6c0-b028-428b-8f28-9b06d722bf06"/>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a6c0-b028-428b-8f28-9b06d722b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54a9e-4aca-451b-99db-b94fe438e987" xsi:nil="true"/>
    <lcf76f155ced4ddcb4097134ff3c332f xmlns="fcf7a6c0-b028-428b-8f28-9b06d722bf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20A22-F9A4-419C-8351-E7E59694E942}">
  <ds:schemaRefs>
    <ds:schemaRef ds:uri="http://schemas.microsoft.com/sharepoint/v3/contenttype/forms"/>
  </ds:schemaRefs>
</ds:datastoreItem>
</file>

<file path=customXml/itemProps2.xml><?xml version="1.0" encoding="utf-8"?>
<ds:datastoreItem xmlns:ds="http://schemas.openxmlformats.org/officeDocument/2006/customXml" ds:itemID="{8DA4C453-BD7A-4E58-A48D-DB5C26D63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a6c0-b028-428b-8f28-9b06d722bf06"/>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EAA7-39E1-4C1C-A821-D18A2BDC98CF}">
  <ds:schemaRefs>
    <ds:schemaRef ds:uri="http://schemas.microsoft.com/office/2006/metadata/properties"/>
    <ds:schemaRef ds:uri="http://schemas.microsoft.com/office/2006/documentManagement/types"/>
    <ds:schemaRef ds:uri="http://purl.org/dc/terms/"/>
    <ds:schemaRef ds:uri="http://purl.org/dc/dcmitype/"/>
    <ds:schemaRef ds:uri="e7d54a9e-4aca-451b-99db-b94fe438e987"/>
    <ds:schemaRef ds:uri="http://schemas.microsoft.com/office/infopath/2007/PartnerControls"/>
    <ds:schemaRef ds:uri="http://purl.org/dc/elements/1.1/"/>
    <ds:schemaRef ds:uri="http://schemas.openxmlformats.org/package/2006/metadata/core-properties"/>
    <ds:schemaRef ds:uri="fcf7a6c0-b028-428b-8f28-9b06d722bf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2023-06-19T05:07:00Z</dcterms:created>
  <dcterms:modified xsi:type="dcterms:W3CDTF">2023-06-19T05:07:00Z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0x0101007FECA3660A9E6844A6283D382B1ED595</vt:lpwstr>
  </property>
  <property fmtid="{D5CDD505-2E9C-101B-9397-08002B2CF9AE}" pid="3" name="MediaServiceImageTags">
    <vt:lpwstr/>
  </property>
</Properties>
</file>