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65242"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2F47BCE8" wp14:editId="6E26CBD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65E99E0"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641EF6E" w14:textId="77777777" w:rsidR="00BC1364" w:rsidRPr="00F715D1" w:rsidRDefault="00BC1364" w:rsidP="00F715D1">
      <w:pPr>
        <w:pStyle w:val="Subtitle"/>
      </w:pPr>
      <w:r w:rsidRPr="00F715D1">
        <w:t xml:space="preserve">Application No. </w:t>
      </w:r>
      <w:r w:rsidR="00B35595" w:rsidRPr="00F715D1">
        <w:t>13</w:t>
      </w:r>
      <w:r w:rsidR="00D92A1C">
        <w:t>57.1</w:t>
      </w:r>
      <w:r w:rsidRPr="00F715D1">
        <w:t xml:space="preserve"> – </w:t>
      </w:r>
      <w:r w:rsidR="00D92A1C" w:rsidRPr="00D92A1C">
        <w:t>F-18 Fluorodeoxyglucose (FDG) positron emission tomography (PET) for the evaluation of breast cancer</w:t>
      </w:r>
    </w:p>
    <w:p w14:paraId="6A8B2C9E" w14:textId="77777777" w:rsidR="00BC1364" w:rsidRPr="00F715D1" w:rsidRDefault="00B35595" w:rsidP="0006519C">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D92A1C">
        <w:rPr>
          <w:rFonts w:ascii="Arial" w:hAnsi="Arial" w:cs="Arial"/>
          <w:b/>
          <w:szCs w:val="24"/>
        </w:rPr>
        <w:t>Australasian Association of Nuclear Medicine Specialists (AANMS)</w:t>
      </w:r>
    </w:p>
    <w:p w14:paraId="783BAB8C"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D92A1C">
        <w:rPr>
          <w:rFonts w:ascii="Arial" w:hAnsi="Arial" w:cs="Arial"/>
          <w:b/>
          <w:szCs w:val="24"/>
        </w:rPr>
        <w:t>74th</w:t>
      </w:r>
      <w:r w:rsidR="00EB6B6F" w:rsidRPr="00F715D1">
        <w:rPr>
          <w:rFonts w:ascii="Arial" w:hAnsi="Arial" w:cs="Arial"/>
          <w:b/>
          <w:szCs w:val="24"/>
        </w:rPr>
        <w:t xml:space="preserve"> </w:t>
      </w:r>
      <w:r w:rsidRPr="00F715D1">
        <w:rPr>
          <w:rFonts w:ascii="Arial" w:hAnsi="Arial" w:cs="Arial"/>
          <w:b/>
          <w:szCs w:val="24"/>
        </w:rPr>
        <w:t xml:space="preserve">Meeting, </w:t>
      </w:r>
      <w:r w:rsidR="00D92A1C">
        <w:rPr>
          <w:rFonts w:ascii="Arial" w:hAnsi="Arial" w:cs="Arial"/>
          <w:b/>
          <w:szCs w:val="24"/>
        </w:rPr>
        <w:t>22-23</w:t>
      </w:r>
      <w:r w:rsidR="001023DC">
        <w:rPr>
          <w:rFonts w:ascii="Arial" w:hAnsi="Arial" w:cs="Arial"/>
          <w:b/>
          <w:szCs w:val="24"/>
        </w:rPr>
        <w:t xml:space="preserve"> </w:t>
      </w:r>
      <w:r w:rsidR="00D92A1C">
        <w:rPr>
          <w:rFonts w:ascii="Arial" w:hAnsi="Arial" w:cs="Arial"/>
          <w:b/>
          <w:szCs w:val="24"/>
        </w:rPr>
        <w:t>November 2018</w:t>
      </w:r>
    </w:p>
    <w:p w14:paraId="24310742"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07F029F3" w14:textId="3C172421" w:rsidR="003D7F29" w:rsidRPr="00F715D1" w:rsidRDefault="003D7F29" w:rsidP="00394530">
      <w:pPr>
        <w:pStyle w:val="Heading1"/>
        <w:ind w:hanging="720"/>
      </w:pPr>
      <w:r w:rsidRPr="00F715D1">
        <w:t>Purpose of application</w:t>
      </w:r>
    </w:p>
    <w:p w14:paraId="238600E2" w14:textId="6C196254" w:rsidR="00D92A1C" w:rsidRDefault="002755B1" w:rsidP="002755B1">
      <w:r w:rsidRPr="002755B1">
        <w:t xml:space="preserve">An application requesting Medicare Benefit Schedule (MBS) listing of F-18 fluorodeoxyglucose (FDG) positron emission tomography (PET) </w:t>
      </w:r>
      <w:r w:rsidR="00E62471" w:rsidRPr="00E62471">
        <w:t xml:space="preserve">for the evaluation of breast cancer in patients who have locally advanced disease where other imaging does not provide sufficient information to determine appropriate treatment (population 1) and in patients </w:t>
      </w:r>
      <w:r w:rsidR="00FC7151">
        <w:t>in whom</w:t>
      </w:r>
      <w:r w:rsidR="00FC7151" w:rsidRPr="00E62471">
        <w:t xml:space="preserve"> </w:t>
      </w:r>
      <w:r w:rsidR="00E62471" w:rsidRPr="00E62471">
        <w:t>recurrent or metastatic disease is suspected and for whom active therapy is likely to be pursued (population 2)</w:t>
      </w:r>
      <w:r w:rsidR="00E62471">
        <w:t xml:space="preserve"> </w:t>
      </w:r>
      <w:r w:rsidRPr="002755B1">
        <w:t xml:space="preserve">was received from </w:t>
      </w:r>
      <w:r w:rsidR="00E62471">
        <w:t xml:space="preserve">the </w:t>
      </w:r>
      <w:r w:rsidRPr="002755B1">
        <w:t xml:space="preserve">Australasian Association </w:t>
      </w:r>
      <w:r w:rsidR="001C0E50">
        <w:t>of Nuclear Medicine Specialists</w:t>
      </w:r>
      <w:r w:rsidRPr="002755B1">
        <w:t xml:space="preserve"> by the Department of Health</w:t>
      </w:r>
      <w:r>
        <w:t>.</w:t>
      </w:r>
    </w:p>
    <w:p w14:paraId="66DC9B04" w14:textId="77777777" w:rsidR="00E977EE" w:rsidRPr="00F715D1" w:rsidRDefault="00E977EE" w:rsidP="00394530">
      <w:pPr>
        <w:pStyle w:val="Heading1"/>
        <w:ind w:hanging="720"/>
      </w:pPr>
      <w:r w:rsidRPr="00F715D1">
        <w:t>MSAC’s advice to the Minister</w:t>
      </w:r>
    </w:p>
    <w:p w14:paraId="3833DC25" w14:textId="0487C67C" w:rsidR="00E62471" w:rsidRDefault="00E62471" w:rsidP="00E62471">
      <w:pPr>
        <w:pStyle w:val="NormalBeforeBullet"/>
      </w:pPr>
      <w:r>
        <w:t>After considering the strength of the available evidence in relation to the comparative safety, clinical effectiveness and cost-effectiveness, MSAC supported public funding of FDG PET scanning for the evaluation of patients with breast cancer who are considered candidates for active treatment and:</w:t>
      </w:r>
    </w:p>
    <w:p w14:paraId="38913C4D" w14:textId="1FE54521" w:rsidR="00E62471" w:rsidRDefault="00E62471" w:rsidP="00E62471">
      <w:pPr>
        <w:pStyle w:val="Bullet"/>
        <w:ind w:left="720"/>
      </w:pPr>
      <w:r>
        <w:t>who have locally advanced (stage III) disease, or</w:t>
      </w:r>
    </w:p>
    <w:p w14:paraId="36C32D0A" w14:textId="5C9D1B00" w:rsidR="00E62471" w:rsidRDefault="00E62471" w:rsidP="00E62471">
      <w:pPr>
        <w:pStyle w:val="BulletLast"/>
        <w:spacing w:after="120"/>
        <w:ind w:left="720"/>
      </w:pPr>
      <w:r>
        <w:t>in whom recurrent or metastatic disease is suspected</w:t>
      </w:r>
      <w:r w:rsidR="00411A52">
        <w:t>.</w:t>
      </w:r>
    </w:p>
    <w:p w14:paraId="78A3B504" w14:textId="77777777" w:rsidR="00CF7307" w:rsidRPr="00E62471" w:rsidRDefault="00E62471" w:rsidP="00E62471">
      <w:pPr>
        <w:spacing w:before="240"/>
      </w:pPr>
      <w:r w:rsidRPr="00000D19">
        <w:t xml:space="preserve">MSAC considered there was reasonable evidence of improved diagnostic accuracy and </w:t>
      </w:r>
      <w:r>
        <w:t xml:space="preserve">acceptable </w:t>
      </w:r>
      <w:r w:rsidRPr="00000D19">
        <w:t>cost-effectiveness</w:t>
      </w:r>
      <w:r>
        <w:t>,</w:t>
      </w:r>
      <w:r w:rsidRPr="00000D19">
        <w:t xml:space="preserve"> with </w:t>
      </w:r>
      <w:r>
        <w:t xml:space="preserve">the </w:t>
      </w:r>
      <w:r w:rsidRPr="00000D19">
        <w:t>potential to be cost-saving.</w:t>
      </w:r>
    </w:p>
    <w:p w14:paraId="3B64593B" w14:textId="3165459F" w:rsidR="00550354" w:rsidRPr="00F715D1" w:rsidRDefault="00550354" w:rsidP="00394530">
      <w:pPr>
        <w:pStyle w:val="Heading1"/>
        <w:ind w:hanging="720"/>
      </w:pPr>
      <w:r w:rsidRPr="00F715D1">
        <w:t xml:space="preserve">Summary of consideration </w:t>
      </w:r>
      <w:r w:rsidR="00411A52">
        <w:t>and rationale for MSAC’s advice</w:t>
      </w:r>
    </w:p>
    <w:p w14:paraId="13C0132A" w14:textId="6FF7F2DB" w:rsidR="00E62471" w:rsidRDefault="00E62471" w:rsidP="00E62471">
      <w:pPr>
        <w:spacing w:after="240"/>
      </w:pPr>
      <w:r>
        <w:t>MSAC noted that this application is a resubmission of Application No. 1357, considered by MSA</w:t>
      </w:r>
      <w:r w:rsidR="00411A52">
        <w:t>C at its November 2014 meeting.</w:t>
      </w:r>
    </w:p>
    <w:p w14:paraId="5E56C0B8" w14:textId="5873D2B5" w:rsidR="00C23217" w:rsidRDefault="00E62471" w:rsidP="00C23217">
      <w:pPr>
        <w:spacing w:after="240"/>
      </w:pPr>
      <w:r w:rsidRPr="00CD4793">
        <w:t xml:space="preserve">The proposed service is FDG PET scanning for the evaluation of breast cancer in patients who have locally advanced disease where other imaging does not provide sufficient information to determine appropriate treatment (population 1) and in breast cancer patients </w:t>
      </w:r>
      <w:r w:rsidR="00FC7151">
        <w:t>in whom</w:t>
      </w:r>
      <w:r w:rsidR="00FC7151" w:rsidRPr="00CD4793">
        <w:t xml:space="preserve"> </w:t>
      </w:r>
      <w:r w:rsidRPr="00CD4793">
        <w:t xml:space="preserve">recurrent or metastatic disease is suspected and for whom active therapy is likely to be </w:t>
      </w:r>
      <w:r w:rsidRPr="00CD4793">
        <w:lastRenderedPageBreak/>
        <w:t xml:space="preserve">pursued (population 2). </w:t>
      </w:r>
      <w:r>
        <w:t>MSAC noted that this resubmission included a different patient population: the previous p</w:t>
      </w:r>
      <w:r w:rsidRPr="00FD4050">
        <w:t xml:space="preserve">atient populations 2 and 3 </w:t>
      </w:r>
      <w:r>
        <w:t xml:space="preserve">are now </w:t>
      </w:r>
      <w:r w:rsidRPr="00FD4050">
        <w:t xml:space="preserve">assessed as population </w:t>
      </w:r>
      <w:r>
        <w:t xml:space="preserve">2 </w:t>
      </w:r>
      <w:r w:rsidRPr="00FD4050">
        <w:t xml:space="preserve">in the economic model </w:t>
      </w:r>
      <w:r>
        <w:t>(as ‘</w:t>
      </w:r>
      <w:r w:rsidRPr="00FD4050">
        <w:t>suspected recurren</w:t>
      </w:r>
      <w:r w:rsidR="00FC7151">
        <w:t>t or metastatic disease</w:t>
      </w:r>
      <w:r>
        <w:t>’). The othe</w:t>
      </w:r>
      <w:r w:rsidR="00411A52">
        <w:t>r PICO items remained the same.</w:t>
      </w:r>
    </w:p>
    <w:p w14:paraId="4AABE6DB" w14:textId="5E1A4B5A" w:rsidR="00E62471" w:rsidRDefault="00C23217" w:rsidP="00C23217">
      <w:pPr>
        <w:spacing w:after="240"/>
      </w:pPr>
      <w:r>
        <w:t>As previously a</w:t>
      </w:r>
      <w:r w:rsidR="00E9579E">
        <w:t xml:space="preserve">ccepted </w:t>
      </w:r>
      <w:r>
        <w:t>by MSAC, FDG PET is routinely used in conjunction with computerised tomography (CT) and thus MSAC assessed PET/CT as the current standard, rather than standalone FDG PET.</w:t>
      </w:r>
    </w:p>
    <w:p w14:paraId="5ED1DF00" w14:textId="489F1CA3" w:rsidR="00B9482D" w:rsidRDefault="00E62471" w:rsidP="00C23217">
      <w:pPr>
        <w:spacing w:after="240"/>
      </w:pPr>
      <w:r>
        <w:t xml:space="preserve">The </w:t>
      </w:r>
      <w:r w:rsidR="00B9482D">
        <w:t xml:space="preserve">clinical </w:t>
      </w:r>
      <w:r>
        <w:t>rationale for using PET</w:t>
      </w:r>
      <w:r w:rsidR="00C23217">
        <w:t>/CT</w:t>
      </w:r>
      <w:r>
        <w:t xml:space="preserve"> to evaluate breast cancer</w:t>
      </w:r>
      <w:r w:rsidR="00FC7151">
        <w:t xml:space="preserve"> in these populations</w:t>
      </w:r>
      <w:r>
        <w:t xml:space="preserve"> is that PET is safe, has improved diagnostic accuracy (low false negatives and low false positives)</w:t>
      </w:r>
      <w:r w:rsidR="00FC7151">
        <w:t xml:space="preserve">, </w:t>
      </w:r>
      <w:r w:rsidR="00B9482D">
        <w:t>and has clear clinical utility in terms of consequences for changes in use of effective treatments with plausible improvements in health outcomes</w:t>
      </w:r>
      <w:r w:rsidR="00411A52">
        <w:t>.</w:t>
      </w:r>
    </w:p>
    <w:p w14:paraId="68CBEDD7" w14:textId="14C0E04E" w:rsidR="00E62471" w:rsidRDefault="00E62471" w:rsidP="00E62471">
      <w:pPr>
        <w:spacing w:after="240"/>
      </w:pPr>
      <w:r>
        <w:t xml:space="preserve">MSAC </w:t>
      </w:r>
      <w:r w:rsidR="00C23217">
        <w:t xml:space="preserve">considered </w:t>
      </w:r>
      <w:r>
        <w:t xml:space="preserve">that the </w:t>
      </w:r>
      <w:r w:rsidR="00FC7151">
        <w:t>cost-utility analysis</w:t>
      </w:r>
      <w:r w:rsidRPr="008E5202">
        <w:t xml:space="preserve"> </w:t>
      </w:r>
      <w:r>
        <w:t xml:space="preserve">used in </w:t>
      </w:r>
      <w:r w:rsidR="00FC7151">
        <w:t xml:space="preserve">the </w:t>
      </w:r>
      <w:r>
        <w:t xml:space="preserve">initial </w:t>
      </w:r>
      <w:r w:rsidRPr="008E5202">
        <w:t xml:space="preserve">assessment </w:t>
      </w:r>
      <w:r w:rsidR="00C23217">
        <w:t xml:space="preserve">report prepared for </w:t>
      </w:r>
      <w:r w:rsidR="009A34A6">
        <w:t>the resubmission</w:t>
      </w:r>
      <w:r w:rsidR="00C23217">
        <w:t xml:space="preserve"> </w:t>
      </w:r>
      <w:r>
        <w:t xml:space="preserve">was unreliable; it </w:t>
      </w:r>
      <w:r w:rsidRPr="008E5202">
        <w:t xml:space="preserve">partially relied on an </w:t>
      </w:r>
      <w:r>
        <w:t>assumed ICER</w:t>
      </w:r>
      <w:r w:rsidRPr="008E5202">
        <w:t xml:space="preserve"> of $50,000/QALY </w:t>
      </w:r>
      <w:r w:rsidR="00C827D5">
        <w:t xml:space="preserve">for the cost-effectiveness of treatment </w:t>
      </w:r>
      <w:r w:rsidRPr="008E5202">
        <w:t>and work</w:t>
      </w:r>
      <w:r>
        <w:t>ed</w:t>
      </w:r>
      <w:r w:rsidRPr="008E5202">
        <w:t xml:space="preserve"> backwards to obtain implied </w:t>
      </w:r>
      <w:r w:rsidR="00C827D5">
        <w:t xml:space="preserve">estimates of the </w:t>
      </w:r>
      <w:r w:rsidRPr="008E5202">
        <w:t xml:space="preserve">effectiveness of </w:t>
      </w:r>
      <w:r w:rsidR="009A34A6">
        <w:t xml:space="preserve">this </w:t>
      </w:r>
      <w:r w:rsidRPr="008E5202">
        <w:t xml:space="preserve">treatment. </w:t>
      </w:r>
      <w:r>
        <w:t xml:space="preserve">Following comments from ESC, a supplementary </w:t>
      </w:r>
      <w:r w:rsidR="00FC7151">
        <w:t xml:space="preserve">cost-consequence analysis </w:t>
      </w:r>
      <w:r w:rsidR="00787FA1">
        <w:t xml:space="preserve">comparing PET/CT with conventional imaging over a 10-year time horizon </w:t>
      </w:r>
      <w:r w:rsidR="00FC7151">
        <w:t>was developed (as previously recommended by MSAC)</w:t>
      </w:r>
      <w:r w:rsidR="00787FA1">
        <w:t xml:space="preserve">, using </w:t>
      </w:r>
      <w:r>
        <w:t>a d</w:t>
      </w:r>
      <w:r w:rsidRPr="00912B5E">
        <w:t>ecision tree and Markov cohort model</w:t>
      </w:r>
      <w:r>
        <w:t xml:space="preserve"> and linked evidence approach to measure impacts on health outcomes. </w:t>
      </w:r>
      <w:r w:rsidR="00B9482D">
        <w:t xml:space="preserve">As </w:t>
      </w:r>
      <w:r w:rsidR="00C827D5">
        <w:t xml:space="preserve">was </w:t>
      </w:r>
      <w:r w:rsidR="00B9482D">
        <w:t>also previously recommended by MSAC, t</w:t>
      </w:r>
      <w:r>
        <w:t xml:space="preserve">he </w:t>
      </w:r>
      <w:r w:rsidR="00787FA1">
        <w:t xml:space="preserve">cost-consequence analysis </w:t>
      </w:r>
      <w:r w:rsidR="00B9482D">
        <w:t xml:space="preserve">also </w:t>
      </w:r>
      <w:r w:rsidR="00787FA1">
        <w:t xml:space="preserve">evaluated two scenarios applicable to both populations 1 and 2: the use of PET/CT </w:t>
      </w:r>
      <w:r w:rsidR="00787FA1" w:rsidRPr="00411A52">
        <w:rPr>
          <w:i/>
        </w:rPr>
        <w:t>in addition to</w:t>
      </w:r>
      <w:r w:rsidR="00787FA1">
        <w:t xml:space="preserve"> conventional imaging (when </w:t>
      </w:r>
      <w:r w:rsidR="009A34A6">
        <w:t xml:space="preserve">the results of </w:t>
      </w:r>
      <w:r w:rsidR="00787FA1">
        <w:t xml:space="preserve">conventional imaging </w:t>
      </w:r>
      <w:r w:rsidR="009A34A6">
        <w:t>were</w:t>
      </w:r>
      <w:r w:rsidR="00787FA1">
        <w:t xml:space="preserve"> equivocal – scenario 1); and the use of PET/CT </w:t>
      </w:r>
      <w:r w:rsidR="00787FA1" w:rsidRPr="00411A52">
        <w:rPr>
          <w:i/>
        </w:rPr>
        <w:t>as a replacement for</w:t>
      </w:r>
      <w:r w:rsidR="00787FA1">
        <w:t xml:space="preserve"> conventional imaging</w:t>
      </w:r>
      <w:r w:rsidR="00835C58">
        <w:t xml:space="preserve"> (scenario 2)</w:t>
      </w:r>
      <w:r w:rsidR="00787FA1">
        <w:t xml:space="preserve">. This </w:t>
      </w:r>
      <w:r>
        <w:t xml:space="preserve">showed </w:t>
      </w:r>
      <w:r w:rsidR="00C827D5">
        <w:t xml:space="preserve">net reduced costs and likely dominance </w:t>
      </w:r>
      <w:r w:rsidR="00835C58">
        <w:t>for population 1 in scenario 1 and for both populations in scenario 2</w:t>
      </w:r>
      <w:r>
        <w:t xml:space="preserve">. MSAC noted the </w:t>
      </w:r>
      <w:r w:rsidR="00C827D5">
        <w:t xml:space="preserve">estimates of net reduced costs </w:t>
      </w:r>
      <w:r>
        <w:t xml:space="preserve">were robust </w:t>
      </w:r>
      <w:r w:rsidRPr="002E5B5C">
        <w:t>despite changes to treatment costs</w:t>
      </w:r>
      <w:r>
        <w:t xml:space="preserve">. The revised economic model showed </w:t>
      </w:r>
      <w:r w:rsidR="009A34A6">
        <w:t xml:space="preserve">that </w:t>
      </w:r>
      <w:r w:rsidR="00835C58">
        <w:t xml:space="preserve">the </w:t>
      </w:r>
      <w:r w:rsidR="009A34A6">
        <w:t xml:space="preserve">expected </w:t>
      </w:r>
      <w:r>
        <w:t xml:space="preserve">benefits </w:t>
      </w:r>
      <w:r w:rsidR="00835C58">
        <w:t xml:space="preserve">were driven by </w:t>
      </w:r>
      <w:r>
        <w:t xml:space="preserve">the improved diagnostic accuracy </w:t>
      </w:r>
      <w:r w:rsidR="00835C58">
        <w:t>of PET/CT leading</w:t>
      </w:r>
      <w:r>
        <w:t xml:space="preserve"> to </w:t>
      </w:r>
      <w:r w:rsidR="00835C58">
        <w:t xml:space="preserve">more appropriate </w:t>
      </w:r>
      <w:r w:rsidR="00FF3362">
        <w:t xml:space="preserve">use of available </w:t>
      </w:r>
      <w:r>
        <w:t>treatments.</w:t>
      </w:r>
    </w:p>
    <w:p w14:paraId="72704B50" w14:textId="45C7AD25" w:rsidR="00E62471" w:rsidRDefault="00E62471" w:rsidP="00E62471">
      <w:pPr>
        <w:spacing w:after="240"/>
      </w:pPr>
      <w:r>
        <w:t xml:space="preserve">MSAC </w:t>
      </w:r>
      <w:r w:rsidR="00C827D5">
        <w:t xml:space="preserve">concluded that these analyses supported scenario 2 over scenario 1, and thus advised against including </w:t>
      </w:r>
      <w:r>
        <w:t xml:space="preserve">the </w:t>
      </w:r>
      <w:r w:rsidR="003F28AA">
        <w:t xml:space="preserve">proposed </w:t>
      </w:r>
      <w:r w:rsidRPr="005B48D7">
        <w:t xml:space="preserve">requirement for previous </w:t>
      </w:r>
      <w:r w:rsidR="009A34A6">
        <w:t xml:space="preserve">equivocal </w:t>
      </w:r>
      <w:r w:rsidRPr="005B48D7">
        <w:t xml:space="preserve">conventional </w:t>
      </w:r>
      <w:r w:rsidR="00835C58">
        <w:t>imaging</w:t>
      </w:r>
      <w:r w:rsidR="00C827D5">
        <w:t xml:space="preserve"> in the proposed item descriptors</w:t>
      </w:r>
      <w:r>
        <w:t xml:space="preserve">. </w:t>
      </w:r>
      <w:r w:rsidR="00FF3362">
        <w:t xml:space="preserve">MSAC also noted that the evidence of comparative diagnostic accuracy was stronger for scenario 2 over scenario 1. </w:t>
      </w:r>
      <w:r w:rsidR="00C827D5">
        <w:t>Thus</w:t>
      </w:r>
      <w:r w:rsidR="00FF3362">
        <w:t>, consistent with scenario 2,</w:t>
      </w:r>
      <w:r w:rsidR="00C827D5">
        <w:t xml:space="preserve"> MBS-funded </w:t>
      </w:r>
      <w:r>
        <w:t xml:space="preserve">PET/CT </w:t>
      </w:r>
      <w:r w:rsidR="00FF3362">
        <w:t>sh</w:t>
      </w:r>
      <w:r w:rsidR="00C827D5">
        <w:t xml:space="preserve">ould </w:t>
      </w:r>
      <w:r>
        <w:t>be used earlier in the diagnostic pathway</w:t>
      </w:r>
      <w:r w:rsidR="00FF3362">
        <w:t xml:space="preserve"> than proposed in the application</w:t>
      </w:r>
      <w:r>
        <w:t xml:space="preserve">, and should replace, not complement, conventional </w:t>
      </w:r>
      <w:r w:rsidR="00835C58">
        <w:t>imaging</w:t>
      </w:r>
      <w:r>
        <w:t xml:space="preserve"> to realise the </w:t>
      </w:r>
      <w:r w:rsidR="00C827D5">
        <w:t xml:space="preserve">greatest </w:t>
      </w:r>
      <w:r>
        <w:t>cost offset</w:t>
      </w:r>
      <w:r w:rsidR="00C827D5">
        <w:t>s</w:t>
      </w:r>
      <w:r>
        <w:t xml:space="preserve"> of using PET/CT</w:t>
      </w:r>
      <w:r w:rsidR="00C827D5">
        <w:t xml:space="preserve"> in these breast cancer populations</w:t>
      </w:r>
      <w:r>
        <w:t>.</w:t>
      </w:r>
    </w:p>
    <w:p w14:paraId="59061FB7" w14:textId="7192155B" w:rsidR="00E62471" w:rsidRDefault="00E62471" w:rsidP="00E62471">
      <w:pPr>
        <w:pStyle w:val="NormalBeforeBullet"/>
        <w:spacing w:after="240"/>
      </w:pPr>
      <w:r>
        <w:t>MSAC noted that the standard wording in similar MBS item descriptors specifies the requesting professional as ‘specialist or consultant physician’</w:t>
      </w:r>
      <w:r w:rsidR="00A472F4">
        <w:t>, does not refer to CT,</w:t>
      </w:r>
      <w:r w:rsidR="00835C58">
        <w:t xml:space="preserve"> and </w:t>
      </w:r>
      <w:r w:rsidR="00C827D5">
        <w:t xml:space="preserve">also </w:t>
      </w:r>
      <w:r w:rsidR="00835C58">
        <w:t>does not include a requirement for prior imaging</w:t>
      </w:r>
      <w:r>
        <w:t xml:space="preserve">. Therefore, </w:t>
      </w:r>
      <w:r w:rsidR="00C23217">
        <w:t xml:space="preserve">MSAC advised that </w:t>
      </w:r>
      <w:r>
        <w:t xml:space="preserve">the </w:t>
      </w:r>
      <w:r w:rsidR="00C23217">
        <w:t xml:space="preserve">item </w:t>
      </w:r>
      <w:r>
        <w:t>descriptor for p</w:t>
      </w:r>
      <w:r w:rsidRPr="00D1205C">
        <w:t>roven locally advanced breast cancer (LABC</w:t>
      </w:r>
      <w:r>
        <w:t xml:space="preserve">) </w:t>
      </w:r>
      <w:r w:rsidR="00C23217">
        <w:t xml:space="preserve">should </w:t>
      </w:r>
      <w:r w:rsidR="00C827D5">
        <w:t xml:space="preserve">be </w:t>
      </w:r>
      <w:r>
        <w:t>as follows:</w:t>
      </w:r>
    </w:p>
    <w:p w14:paraId="5AFB9FCC" w14:textId="344230AA" w:rsidR="00E62471" w:rsidRDefault="00E62471" w:rsidP="00E62471">
      <w:pPr>
        <w:pStyle w:val="Quote"/>
      </w:pPr>
      <w:r w:rsidRPr="006068DB">
        <w:t xml:space="preserve">Whole body FDG </w:t>
      </w:r>
      <w:r w:rsidRPr="006068DB">
        <w:rPr>
          <w:u w:val="single"/>
        </w:rPr>
        <w:t>PET</w:t>
      </w:r>
      <w:r w:rsidRPr="006068DB">
        <w:t xml:space="preserve"> study, where the patient is referred by a specialist</w:t>
      </w:r>
      <w:r>
        <w:t xml:space="preserve"> </w:t>
      </w:r>
      <w:r w:rsidRPr="005B5394">
        <w:rPr>
          <w:u w:val="single"/>
        </w:rPr>
        <w:t>or consultant physician</w:t>
      </w:r>
      <w:r w:rsidRPr="006068DB">
        <w:t>, performed for the staging of locally advanced (Stage III) breast cancer in a patient considered potentially suitable for active therapy</w:t>
      </w:r>
      <w:r>
        <w:t>.</w:t>
      </w:r>
    </w:p>
    <w:p w14:paraId="022E39AB" w14:textId="637E1AC8" w:rsidR="00AF7A39" w:rsidRDefault="00E62471" w:rsidP="00E62471">
      <w:pPr>
        <w:pStyle w:val="Quote"/>
      </w:pPr>
      <w:r w:rsidRPr="005B48D7">
        <w:t>Fee: $953.00 Benefit: 75% = $714.75 85% = $871.30</w:t>
      </w:r>
    </w:p>
    <w:p w14:paraId="77D66888" w14:textId="77777777" w:rsidR="00AF7A39" w:rsidRDefault="00AF7A39">
      <w:pPr>
        <w:rPr>
          <w:color w:val="000000"/>
          <w:sz w:val="22"/>
        </w:rPr>
      </w:pPr>
      <w:r>
        <w:br w:type="page"/>
      </w:r>
    </w:p>
    <w:p w14:paraId="4266FF75" w14:textId="4909C072" w:rsidR="00E62471" w:rsidRDefault="00C23217" w:rsidP="00E62471">
      <w:pPr>
        <w:pStyle w:val="NormalBeforeBullet"/>
        <w:spacing w:after="240"/>
      </w:pPr>
      <w:r>
        <w:lastRenderedPageBreak/>
        <w:t>Similarly, MSAC advised that t</w:t>
      </w:r>
      <w:r w:rsidR="003F28AA">
        <w:t>he item</w:t>
      </w:r>
      <w:r w:rsidR="00E62471">
        <w:t xml:space="preserve"> descriptor for su</w:t>
      </w:r>
      <w:r w:rsidR="00E62471" w:rsidRPr="00D1205C">
        <w:t>spected local or regional recurrence, or suspected metastatic disease</w:t>
      </w:r>
      <w:r w:rsidR="00E62471">
        <w:t xml:space="preserve"> </w:t>
      </w:r>
      <w:r>
        <w:t xml:space="preserve">should be </w:t>
      </w:r>
      <w:r w:rsidR="00E62471">
        <w:t>as follows:</w:t>
      </w:r>
    </w:p>
    <w:p w14:paraId="0462F70A" w14:textId="5BF2C696" w:rsidR="00E62471" w:rsidRDefault="00E62471" w:rsidP="00E62471">
      <w:pPr>
        <w:pStyle w:val="Quote"/>
      </w:pPr>
      <w:r w:rsidRPr="00D1205C">
        <w:t>W</w:t>
      </w:r>
      <w:r w:rsidRPr="006068DB">
        <w:t xml:space="preserve">hole body FDG </w:t>
      </w:r>
      <w:r w:rsidRPr="006068DB">
        <w:rPr>
          <w:u w:val="single"/>
        </w:rPr>
        <w:t>PET</w:t>
      </w:r>
      <w:r w:rsidRPr="006068DB">
        <w:t xml:space="preserve"> study, where the patient is referred by a specialist</w:t>
      </w:r>
      <w:r>
        <w:t xml:space="preserve"> </w:t>
      </w:r>
      <w:r w:rsidRPr="00BE526A">
        <w:rPr>
          <w:u w:val="single"/>
        </w:rPr>
        <w:t>or consultant physician</w:t>
      </w:r>
      <w:r w:rsidRPr="006068DB">
        <w:t>, performed for the evaluation of suspected metastatic or suspected locally or regionally recurrent breast carcinoma in a patient considered suitable for active therapy</w:t>
      </w:r>
      <w:r w:rsidR="00FF3362">
        <w:t>.</w:t>
      </w:r>
    </w:p>
    <w:p w14:paraId="63ABE258" w14:textId="77777777" w:rsidR="00E62471" w:rsidRDefault="00E62471" w:rsidP="00E62471">
      <w:pPr>
        <w:pStyle w:val="Quote"/>
      </w:pPr>
      <w:r w:rsidRPr="005B48D7">
        <w:t>Fee: $953.00 Benefit: 75% = $714.75 85% = $871.30</w:t>
      </w:r>
    </w:p>
    <w:p w14:paraId="18523C07" w14:textId="3E794EB9" w:rsidR="00E62471" w:rsidRDefault="00E62471" w:rsidP="00E62471">
      <w:pPr>
        <w:spacing w:after="240"/>
      </w:pPr>
      <w:r>
        <w:t xml:space="preserve">MSAC acknowledged that its preference for PET/CT to be used earlier in the diagnostic pathway </w:t>
      </w:r>
      <w:r w:rsidR="00FF3362">
        <w:t>may</w:t>
      </w:r>
      <w:r>
        <w:t xml:space="preserve"> require time for clinicians to change their practice. MSAC will communicate to </w:t>
      </w:r>
      <w:r w:rsidR="00B96F95">
        <w:t xml:space="preserve">professional bodies </w:t>
      </w:r>
      <w:r>
        <w:t xml:space="preserve">for oncologists, radiation oncologists and surgeons to encourage that best practice be switched to replacing conventional </w:t>
      </w:r>
      <w:r w:rsidR="00B96F95">
        <w:t>imaging</w:t>
      </w:r>
      <w:r>
        <w:t xml:space="preserve"> with PET</w:t>
      </w:r>
      <w:r w:rsidR="00FF3362">
        <w:t>/CT</w:t>
      </w:r>
      <w:r w:rsidR="00B96F95">
        <w:t xml:space="preserve"> in these breast cancer populations</w:t>
      </w:r>
      <w:r>
        <w:t>.</w:t>
      </w:r>
    </w:p>
    <w:p w14:paraId="0D5AE2A1" w14:textId="77777777" w:rsidR="00BC1364" w:rsidRPr="00F715D1" w:rsidRDefault="00BC1364" w:rsidP="00394530">
      <w:pPr>
        <w:pStyle w:val="Heading1"/>
        <w:ind w:hanging="720"/>
      </w:pPr>
      <w:r w:rsidRPr="00F715D1">
        <w:t>Background</w:t>
      </w:r>
    </w:p>
    <w:p w14:paraId="72B4EC9D" w14:textId="77777777" w:rsidR="002755B1" w:rsidRDefault="002755B1" w:rsidP="002755B1">
      <w:r>
        <w:t>Application 1357 was considered by MSAC at its November 2014 meeting. MSAC did not support public funding of PET/CT for the evaluation of breast cancer because of uncertain clinical effectiveness, cost-effectiveness and financial impact due to weak comparative data and no translation of imaging performance to improved health outcomes.</w:t>
      </w:r>
    </w:p>
    <w:p w14:paraId="21E630BB" w14:textId="77777777" w:rsidR="00B0276B" w:rsidRDefault="00B0276B" w:rsidP="002755B1"/>
    <w:p w14:paraId="16E84CC7" w14:textId="77777777" w:rsidR="00B0276B" w:rsidRDefault="00B0276B" w:rsidP="0062493C">
      <w:r>
        <w:t>MSAC considered that any reapplication should include:</w:t>
      </w:r>
    </w:p>
    <w:p w14:paraId="68D635C6" w14:textId="77777777" w:rsidR="00B0276B" w:rsidRDefault="00B0276B" w:rsidP="0062493C">
      <w:pPr>
        <w:pStyle w:val="ListParagraph"/>
        <w:numPr>
          <w:ilvl w:val="0"/>
          <w:numId w:val="26"/>
        </w:numPr>
      </w:pPr>
      <w:r>
        <w:t>amendments to the descriptor, better definitions of what constitutes standard prior imaging and equivocal prior diagnostic work-up; and to specify specialist referral;</w:t>
      </w:r>
    </w:p>
    <w:p w14:paraId="7CD9D1B4" w14:textId="77777777" w:rsidR="00B0276B" w:rsidRDefault="00B0276B" w:rsidP="00B0276B">
      <w:pPr>
        <w:pStyle w:val="ListParagraph"/>
        <w:numPr>
          <w:ilvl w:val="0"/>
          <w:numId w:val="26"/>
        </w:numPr>
      </w:pPr>
      <w:r>
        <w:t>an amended decision tree to consider earlier use of PET/CT (noting that PET/CT, not stand-alone PET, is the current standard);</w:t>
      </w:r>
    </w:p>
    <w:p w14:paraId="4B4EF25B" w14:textId="77777777" w:rsidR="00B0276B" w:rsidRDefault="00B0276B" w:rsidP="00B0276B">
      <w:pPr>
        <w:pStyle w:val="ListParagraph"/>
        <w:numPr>
          <w:ilvl w:val="0"/>
          <w:numId w:val="26"/>
        </w:numPr>
      </w:pPr>
      <w:r>
        <w:t>any evidence for a consequential change in clinical management and patient outcomes;</w:t>
      </w:r>
    </w:p>
    <w:p w14:paraId="2EB47296" w14:textId="77777777" w:rsidR="00B0276B" w:rsidRDefault="00B0276B" w:rsidP="00B0276B">
      <w:pPr>
        <w:pStyle w:val="ListParagraph"/>
        <w:numPr>
          <w:ilvl w:val="0"/>
          <w:numId w:val="26"/>
        </w:numPr>
      </w:pPr>
      <w:r>
        <w:t>a cost consequence analysis; and</w:t>
      </w:r>
    </w:p>
    <w:p w14:paraId="5B9CC30D" w14:textId="77777777" w:rsidR="00B0276B" w:rsidRDefault="00B0276B" w:rsidP="0062493C">
      <w:pPr>
        <w:pStyle w:val="ListParagraph"/>
        <w:numPr>
          <w:ilvl w:val="0"/>
          <w:numId w:val="26"/>
        </w:numPr>
      </w:pPr>
      <w:r>
        <w:t>a longer time horizon in the economic evaluation.</w:t>
      </w:r>
    </w:p>
    <w:p w14:paraId="27F3AC68" w14:textId="77777777" w:rsidR="00BC1364" w:rsidRPr="00F715D1" w:rsidRDefault="00BC1364" w:rsidP="00394530">
      <w:pPr>
        <w:pStyle w:val="Heading1"/>
        <w:ind w:hanging="720"/>
      </w:pPr>
      <w:r w:rsidRPr="00F715D1">
        <w:t>Prerequisites to implementation of any funding advice</w:t>
      </w:r>
    </w:p>
    <w:p w14:paraId="4A29CDB9" w14:textId="48C5A736" w:rsidR="00BC1364" w:rsidRPr="001C0E50" w:rsidRDefault="00596288" w:rsidP="00596288">
      <w:pPr>
        <w:rPr>
          <w:szCs w:val="24"/>
        </w:rPr>
      </w:pPr>
      <w:r w:rsidRPr="001C0E50">
        <w:rPr>
          <w:szCs w:val="24"/>
        </w:rPr>
        <w:t>It</w:t>
      </w:r>
      <w:r w:rsidR="007A4E7F">
        <w:rPr>
          <w:szCs w:val="24"/>
        </w:rPr>
        <w:t xml:space="preserve"> </w:t>
      </w:r>
      <w:r w:rsidR="00BB35D7">
        <w:rPr>
          <w:szCs w:val="24"/>
        </w:rPr>
        <w:t>wa</w:t>
      </w:r>
      <w:r w:rsidR="007A4E7F">
        <w:rPr>
          <w:szCs w:val="24"/>
        </w:rPr>
        <w:t>s</w:t>
      </w:r>
      <w:r w:rsidRPr="001C0E50">
        <w:rPr>
          <w:szCs w:val="24"/>
        </w:rPr>
        <w:t xml:space="preserve"> envisioned that the MBS descriptor for the proposed services </w:t>
      </w:r>
      <w:r w:rsidR="007A4E7F">
        <w:rPr>
          <w:szCs w:val="24"/>
        </w:rPr>
        <w:t>would</w:t>
      </w:r>
      <w:r w:rsidRPr="001C0E50">
        <w:rPr>
          <w:szCs w:val="24"/>
        </w:rPr>
        <w:t xml:space="preserve"> be consistent with the regulations on the MBS for delivering PET services for other diseases (i.e. ‘Note DIN Group I4 - Nuclear Medicine Imaging’ for MBS items 61523 to 61646).</w:t>
      </w:r>
    </w:p>
    <w:p w14:paraId="40C61809" w14:textId="77777777" w:rsidR="00BC1364" w:rsidRPr="00F715D1" w:rsidRDefault="00BC1364" w:rsidP="00394530">
      <w:pPr>
        <w:pStyle w:val="Heading1"/>
        <w:ind w:hanging="720"/>
      </w:pPr>
      <w:r w:rsidRPr="00F715D1">
        <w:t>Proposal for public funding</w:t>
      </w:r>
    </w:p>
    <w:p w14:paraId="0D2F0CCE" w14:textId="0F84D075" w:rsidR="000A1FFB" w:rsidRDefault="000A1FFB" w:rsidP="00A853D7">
      <w:pPr>
        <w:spacing w:after="240"/>
      </w:pPr>
      <w:r w:rsidRPr="000A1FFB">
        <w:t>The p</w:t>
      </w:r>
      <w:r>
        <w:t>roposed service is FDG </w:t>
      </w:r>
      <w:r w:rsidRPr="000A1FFB">
        <w:t xml:space="preserve">PET scanning for the evaluation of breast cancer in patients who have locally advanced disease where other imaging does not provide sufficient information to determine appropriate treatment (population 1) and in breast cancer patients </w:t>
      </w:r>
      <w:r w:rsidR="00B96F95">
        <w:t>in whom</w:t>
      </w:r>
      <w:r w:rsidR="00B96F95" w:rsidRPr="000A1FFB">
        <w:t xml:space="preserve"> </w:t>
      </w:r>
      <w:r w:rsidRPr="000A1FFB">
        <w:t>recurrent or metastatic disease is suspected and for whom active therapy is likely to be pursued (population 2).</w:t>
      </w:r>
    </w:p>
    <w:p w14:paraId="3A87554B" w14:textId="2A419B2B" w:rsidR="00055F90" w:rsidRDefault="00267975" w:rsidP="000A1FFB">
      <w:r>
        <w:fldChar w:fldCharType="begin"/>
      </w:r>
      <w:r>
        <w:instrText xml:space="preserve"> REF _Ref531078684 \h </w:instrText>
      </w:r>
      <w:r>
        <w:fldChar w:fldCharType="separate"/>
      </w:r>
      <w:r>
        <w:t xml:space="preserve">Table </w:t>
      </w:r>
      <w:r>
        <w:rPr>
          <w:noProof/>
        </w:rPr>
        <w:t>1</w:t>
      </w:r>
      <w:r>
        <w:fldChar w:fldCharType="end"/>
      </w:r>
      <w:r w:rsidR="00FE345E">
        <w:t xml:space="preserve"> </w:t>
      </w:r>
      <w:r w:rsidR="000A1FFB" w:rsidRPr="000A1FFB">
        <w:t xml:space="preserve">and </w:t>
      </w:r>
      <w:r>
        <w:fldChar w:fldCharType="begin"/>
      </w:r>
      <w:r>
        <w:instrText xml:space="preserve"> REF _Ref531078692 \h </w:instrText>
      </w:r>
      <w:r>
        <w:fldChar w:fldCharType="separate"/>
      </w:r>
      <w:r>
        <w:t xml:space="preserve">Table </w:t>
      </w:r>
      <w:r>
        <w:rPr>
          <w:noProof/>
        </w:rPr>
        <w:t>2</w:t>
      </w:r>
      <w:r>
        <w:fldChar w:fldCharType="end"/>
      </w:r>
      <w:r>
        <w:t xml:space="preserve"> </w:t>
      </w:r>
      <w:r w:rsidR="000A1FFB" w:rsidRPr="000A1FFB">
        <w:t xml:space="preserve">present the revised item descriptors proposed in the </w:t>
      </w:r>
      <w:r w:rsidR="00055F90">
        <w:t xml:space="preserve">Supplementary Report for the </w:t>
      </w:r>
      <w:r w:rsidR="000A1FFB">
        <w:t>resubmission</w:t>
      </w:r>
      <w:r w:rsidR="000A1FFB" w:rsidRPr="000A1FFB">
        <w:t xml:space="preserve">. </w:t>
      </w:r>
      <w:r w:rsidR="00055F90">
        <w:t>Removing the text in italics in these tables changes the proposal</w:t>
      </w:r>
      <w:r w:rsidR="000A537D">
        <w:t>s</w:t>
      </w:r>
      <w:r w:rsidR="00055F90">
        <w:t xml:space="preserve"> from scenario 1 (the use of PET/CT </w:t>
      </w:r>
      <w:r w:rsidR="00055F90" w:rsidRPr="00411A52">
        <w:rPr>
          <w:i/>
        </w:rPr>
        <w:t>in addition to</w:t>
      </w:r>
      <w:r w:rsidR="00055F90">
        <w:t xml:space="preserve"> conventional imaging when the results of conventional imaging </w:t>
      </w:r>
      <w:r w:rsidR="000A537D">
        <w:t>we</w:t>
      </w:r>
      <w:r w:rsidR="00055F90">
        <w:t xml:space="preserve">re equivocal) to scenario 2 (the use of PET/CT </w:t>
      </w:r>
      <w:r w:rsidR="00055F90" w:rsidRPr="00411A52">
        <w:rPr>
          <w:i/>
        </w:rPr>
        <w:t>as a replacement for</w:t>
      </w:r>
      <w:r w:rsidR="00055F90">
        <w:t xml:space="preserve"> conventional imaging).</w:t>
      </w:r>
    </w:p>
    <w:p w14:paraId="610AF847" w14:textId="6A629765" w:rsidR="00267975" w:rsidRDefault="000A1FFB" w:rsidP="000A1FFB">
      <w:r w:rsidRPr="000A1FFB">
        <w:t>Given that prior testing may comprise one or more of a range of tests (including CT,</w:t>
      </w:r>
      <w:r w:rsidR="00B96F95">
        <w:t xml:space="preserve"> bone </w:t>
      </w:r>
      <w:r w:rsidR="003E4B00">
        <w:t>scintigraphy</w:t>
      </w:r>
      <w:r w:rsidR="00B96F95">
        <w:t>,</w:t>
      </w:r>
      <w:r w:rsidRPr="000A1FFB">
        <w:t xml:space="preserve"> </w:t>
      </w:r>
      <w:r>
        <w:t xml:space="preserve">magnetic resonance imaging </w:t>
      </w:r>
      <w:r w:rsidR="00B96F95">
        <w:t>[</w:t>
      </w:r>
      <w:r w:rsidRPr="000A1FFB">
        <w:t>MRI</w:t>
      </w:r>
      <w:r w:rsidR="00B96F95">
        <w:t>]</w:t>
      </w:r>
      <w:r w:rsidRPr="000A1FFB">
        <w:t xml:space="preserve"> and ultrasound), </w:t>
      </w:r>
      <w:r w:rsidR="00055F90">
        <w:t xml:space="preserve">the initial assessment </w:t>
      </w:r>
      <w:r w:rsidR="00055F90">
        <w:lastRenderedPageBreak/>
        <w:t xml:space="preserve">report for the resubmission </w:t>
      </w:r>
      <w:r w:rsidR="00BB35D7">
        <w:t xml:space="preserve">proposed </w:t>
      </w:r>
      <w:r w:rsidRPr="000A1FFB">
        <w:t>that a more precise description of prior testing, as requested by MSAC, may not be necessary, and could be left to the discretion of the treating clinician.</w:t>
      </w:r>
    </w:p>
    <w:p w14:paraId="7CE39388" w14:textId="4963CA04" w:rsidR="00267975" w:rsidRDefault="00267975" w:rsidP="004B3680">
      <w:pPr>
        <w:pStyle w:val="Caption"/>
        <w:spacing w:before="240"/>
      </w:pPr>
      <w:bookmarkStart w:id="0" w:name="_Ref531078684"/>
      <w:bookmarkStart w:id="1" w:name="_Toc506982640"/>
      <w:bookmarkStart w:id="2" w:name="_Toc520984840"/>
      <w:r>
        <w:t xml:space="preserve">Table </w:t>
      </w:r>
      <w:r>
        <w:rPr>
          <w:noProof/>
        </w:rPr>
        <w:fldChar w:fldCharType="begin"/>
      </w:r>
      <w:r>
        <w:rPr>
          <w:noProof/>
        </w:rPr>
        <w:instrText xml:space="preserve"> SEQ Table \* ARABIC </w:instrText>
      </w:r>
      <w:r>
        <w:rPr>
          <w:noProof/>
        </w:rPr>
        <w:fldChar w:fldCharType="separate"/>
      </w:r>
      <w:r w:rsidR="00052A87">
        <w:rPr>
          <w:noProof/>
        </w:rPr>
        <w:t>1</w:t>
      </w:r>
      <w:r>
        <w:rPr>
          <w:noProof/>
        </w:rPr>
        <w:fldChar w:fldCharType="end"/>
      </w:r>
      <w:bookmarkEnd w:id="0"/>
      <w:r>
        <w:rPr>
          <w:noProof/>
        </w:rPr>
        <w:tab/>
      </w:r>
      <w:r>
        <w:t xml:space="preserve">Proposed MBS item descriptor for </w:t>
      </w:r>
      <w:r w:rsidRPr="00FD2C65">
        <w:t>PET/CT</w:t>
      </w:r>
      <w:r>
        <w:t xml:space="preserve"> for proven </w:t>
      </w:r>
      <w:bookmarkEnd w:id="1"/>
      <w:r>
        <w:t>LABC</w:t>
      </w:r>
      <w:bookmarkEnd w:id="2"/>
      <w:r w:rsidR="004E7274">
        <w:t xml:space="preserve"> (i.e. population 1)</w:t>
      </w:r>
    </w:p>
    <w:tbl>
      <w:tblPr>
        <w:tblStyle w:val="TableGrid1"/>
        <w:tblW w:w="5000" w:type="pct"/>
        <w:tblLook w:val="04A0" w:firstRow="1" w:lastRow="0" w:firstColumn="1" w:lastColumn="0" w:noHBand="0" w:noVBand="1"/>
        <w:tblCaption w:val="Proposed MBS item descriptor for 18F-FDG PET for proven locally advanced breast cancer"/>
      </w:tblPr>
      <w:tblGrid>
        <w:gridCol w:w="9242"/>
      </w:tblGrid>
      <w:tr w:rsidR="00267975" w:rsidRPr="0039501E" w14:paraId="28280E48" w14:textId="77777777" w:rsidTr="00530298">
        <w:trPr>
          <w:cnfStyle w:val="100000000000" w:firstRow="1" w:lastRow="0" w:firstColumn="0" w:lastColumn="0" w:oddVBand="0" w:evenVBand="0" w:oddHBand="0" w:evenHBand="0" w:firstRowFirstColumn="0" w:firstRowLastColumn="0" w:lastRowFirstColumn="0" w:lastRowLastColumn="0"/>
          <w:trHeight w:val="139"/>
        </w:trPr>
        <w:tc>
          <w:tcPr>
            <w:tcW w:w="5000" w:type="pct"/>
            <w:hideMark/>
          </w:tcPr>
          <w:p w14:paraId="419FBD25" w14:textId="77777777" w:rsidR="00267975" w:rsidRPr="0039501E" w:rsidRDefault="00267975" w:rsidP="00D2603F">
            <w:pPr>
              <w:pStyle w:val="TableText"/>
              <w:keepLines/>
              <w:spacing w:line="276" w:lineRule="auto"/>
              <w:jc w:val="right"/>
              <w:rPr>
                <w:b w:val="0"/>
                <w:sz w:val="20"/>
              </w:rPr>
            </w:pPr>
            <w:r w:rsidRPr="0039501E">
              <w:rPr>
                <w:sz w:val="20"/>
              </w:rPr>
              <w:t xml:space="preserve">Category 5—DIAGNOSTIC IMAGING SERVICES </w:t>
            </w:r>
          </w:p>
        </w:tc>
      </w:tr>
      <w:tr w:rsidR="00267975" w:rsidRPr="0039501E" w14:paraId="33C6EF7B" w14:textId="77777777" w:rsidTr="00530298">
        <w:trPr>
          <w:trHeight w:val="893"/>
        </w:trPr>
        <w:tc>
          <w:tcPr>
            <w:tcW w:w="5000" w:type="pct"/>
            <w:hideMark/>
          </w:tcPr>
          <w:p w14:paraId="23B8B1D5" w14:textId="77777777" w:rsidR="00267975" w:rsidRPr="0039501E" w:rsidRDefault="00267975" w:rsidP="00D2603F">
            <w:pPr>
              <w:pStyle w:val="TableText"/>
              <w:keepLines/>
              <w:spacing w:line="276" w:lineRule="auto"/>
              <w:rPr>
                <w:b/>
                <w:sz w:val="20"/>
              </w:rPr>
            </w:pPr>
            <w:r w:rsidRPr="0039501E">
              <w:rPr>
                <w:b/>
                <w:sz w:val="20"/>
              </w:rPr>
              <w:t>MBS [item number]</w:t>
            </w:r>
          </w:p>
          <w:p w14:paraId="7F8AEB67" w14:textId="28BA7E7C" w:rsidR="00267975" w:rsidRPr="0039501E" w:rsidRDefault="00267975" w:rsidP="00D2603F">
            <w:pPr>
              <w:pStyle w:val="TableText"/>
              <w:keepLines/>
              <w:spacing w:line="276" w:lineRule="auto"/>
              <w:rPr>
                <w:sz w:val="20"/>
              </w:rPr>
            </w:pPr>
            <w:r w:rsidRPr="0039501E">
              <w:rPr>
                <w:sz w:val="20"/>
              </w:rPr>
              <w:t xml:space="preserve">Whole body </w:t>
            </w:r>
            <w:r w:rsidRPr="00CB633E">
              <w:rPr>
                <w:sz w:val="20"/>
                <w:vertAlign w:val="superscript"/>
              </w:rPr>
              <w:t>18</w:t>
            </w:r>
            <w:r w:rsidRPr="0039501E">
              <w:rPr>
                <w:sz w:val="20"/>
              </w:rPr>
              <w:t>F-FDG PET/CT study, where the patient is referred by a specialist, performed for the staging of locally advanced (Stage III) breast cancer in a patient considered potentially suitable for active therapy</w:t>
            </w:r>
            <w:r w:rsidRPr="00055F90">
              <w:rPr>
                <w:i/>
                <w:sz w:val="20"/>
              </w:rPr>
              <w:t>,</w:t>
            </w:r>
            <w:r w:rsidR="00055F90" w:rsidRPr="00055F90">
              <w:rPr>
                <w:i/>
                <w:sz w:val="20"/>
              </w:rPr>
              <w:t xml:space="preserve"> </w:t>
            </w:r>
            <w:r w:rsidRPr="00055F90">
              <w:rPr>
                <w:i/>
                <w:sz w:val="20"/>
              </w:rPr>
              <w:t>where prior investigations have provided either equivocal results or findings suspicious for metastatic disease</w:t>
            </w:r>
            <w:r w:rsidR="007A4E7F">
              <w:rPr>
                <w:sz w:val="20"/>
              </w:rPr>
              <w:t>.</w:t>
            </w:r>
            <w:r w:rsidR="00055F90">
              <w:rPr>
                <w:sz w:val="20"/>
              </w:rPr>
              <w:t>*</w:t>
            </w:r>
          </w:p>
          <w:p w14:paraId="0F75C302" w14:textId="77777777" w:rsidR="00267975" w:rsidRPr="0039501E" w:rsidRDefault="00267975" w:rsidP="00D2603F">
            <w:pPr>
              <w:pStyle w:val="TableText"/>
              <w:keepLines/>
              <w:spacing w:line="276" w:lineRule="auto"/>
              <w:rPr>
                <w:sz w:val="20"/>
              </w:rPr>
            </w:pPr>
            <w:r w:rsidRPr="0039501E">
              <w:rPr>
                <w:sz w:val="20"/>
              </w:rPr>
              <w:t>Fee: $</w:t>
            </w:r>
            <w:r w:rsidR="00EC052A">
              <w:rPr>
                <w:sz w:val="20"/>
              </w:rPr>
              <w:t>953</w:t>
            </w:r>
            <w:r w:rsidRPr="0039501E">
              <w:rPr>
                <w:sz w:val="20"/>
              </w:rPr>
              <w:t>.00 Benefit: 75% = $7</w:t>
            </w:r>
            <w:r w:rsidR="00EC052A">
              <w:rPr>
                <w:sz w:val="20"/>
              </w:rPr>
              <w:t>14</w:t>
            </w:r>
            <w:r w:rsidRPr="0039501E">
              <w:rPr>
                <w:sz w:val="20"/>
              </w:rPr>
              <w:t>.75 85% = $8</w:t>
            </w:r>
            <w:r w:rsidR="00EC052A">
              <w:rPr>
                <w:sz w:val="20"/>
              </w:rPr>
              <w:t>71</w:t>
            </w:r>
            <w:r w:rsidRPr="0039501E">
              <w:rPr>
                <w:sz w:val="20"/>
              </w:rPr>
              <w:t>.</w:t>
            </w:r>
            <w:r w:rsidR="00EC052A">
              <w:rPr>
                <w:sz w:val="20"/>
              </w:rPr>
              <w:t>30</w:t>
            </w:r>
          </w:p>
        </w:tc>
      </w:tr>
    </w:tbl>
    <w:p w14:paraId="7CC14ABF" w14:textId="750E9801" w:rsidR="00055F90" w:rsidRDefault="00055F90" w:rsidP="00267975">
      <w:pPr>
        <w:pStyle w:val="Tablenotes"/>
      </w:pPr>
      <w:r>
        <w:t xml:space="preserve">* </w:t>
      </w:r>
      <w:r w:rsidRPr="00055F90">
        <w:t xml:space="preserve">Removing the text in italics changes the proposal from scenario 1 (the use of PET/CT in addition to conventional imaging when the results of conventional imaging </w:t>
      </w:r>
      <w:r w:rsidR="000A537D">
        <w:t>we</w:t>
      </w:r>
      <w:r w:rsidRPr="00055F90">
        <w:t>re equivocal) to scenario 2 (the use of PET/CT as a replacement for conventional imaging)</w:t>
      </w:r>
    </w:p>
    <w:p w14:paraId="71DE0DA8" w14:textId="3DB97BD8" w:rsidR="00267975" w:rsidRPr="00996AF6" w:rsidRDefault="00267975" w:rsidP="00267975">
      <w:pPr>
        <w:pStyle w:val="Tablenotes"/>
      </w:pPr>
      <w:r w:rsidRPr="00996AF6">
        <w:t xml:space="preserve">Abbreviations: </w:t>
      </w:r>
      <w:r w:rsidRPr="007A4E7F">
        <w:rPr>
          <w:vertAlign w:val="superscript"/>
        </w:rPr>
        <w:t>18</w:t>
      </w:r>
      <w:r w:rsidRPr="00996AF6">
        <w:t>F-FDG PET</w:t>
      </w:r>
      <w:r>
        <w:t>/CT</w:t>
      </w:r>
      <w:r w:rsidRPr="00996AF6">
        <w:t xml:space="preserve"> = F-18 fluorodeoxyglucose positron emission tomography</w:t>
      </w:r>
      <w:r w:rsidR="00FB50BF">
        <w:t>//computed tomography</w:t>
      </w:r>
    </w:p>
    <w:p w14:paraId="6EBEED46" w14:textId="718DD8A3" w:rsidR="00267975" w:rsidRDefault="00267975" w:rsidP="00267975">
      <w:pPr>
        <w:pStyle w:val="Caption"/>
        <w:rPr>
          <w:rFonts w:ascii="Arial" w:hAnsi="Arial"/>
          <w:szCs w:val="20"/>
        </w:rPr>
      </w:pPr>
      <w:bookmarkStart w:id="3" w:name="_Ref531078692"/>
      <w:bookmarkStart w:id="4" w:name="_Toc506982641"/>
      <w:bookmarkStart w:id="5" w:name="_Toc520984841"/>
      <w:r>
        <w:t xml:space="preserve">Table </w:t>
      </w:r>
      <w:r>
        <w:rPr>
          <w:noProof/>
        </w:rPr>
        <w:fldChar w:fldCharType="begin"/>
      </w:r>
      <w:r>
        <w:rPr>
          <w:noProof/>
        </w:rPr>
        <w:instrText xml:space="preserve"> SEQ Table \* ARABIC </w:instrText>
      </w:r>
      <w:r>
        <w:rPr>
          <w:noProof/>
        </w:rPr>
        <w:fldChar w:fldCharType="separate"/>
      </w:r>
      <w:r w:rsidR="00052A87">
        <w:rPr>
          <w:noProof/>
        </w:rPr>
        <w:t>2</w:t>
      </w:r>
      <w:r>
        <w:rPr>
          <w:noProof/>
        </w:rPr>
        <w:fldChar w:fldCharType="end"/>
      </w:r>
      <w:bookmarkEnd w:id="3"/>
      <w:r>
        <w:rPr>
          <w:noProof/>
        </w:rPr>
        <w:tab/>
      </w:r>
      <w:r>
        <w:t xml:space="preserve">Proposed MBS item descriptor for </w:t>
      </w:r>
      <w:r w:rsidRPr="00FD2C65">
        <w:t>PET/CT</w:t>
      </w:r>
      <w:r>
        <w:t xml:space="preserve"> for suspected locally or regionally recurrent or suspected metastatic breast cancer</w:t>
      </w:r>
      <w:bookmarkEnd w:id="4"/>
      <w:bookmarkEnd w:id="5"/>
      <w:r w:rsidR="004E7274">
        <w:t xml:space="preserve"> (i.e. population 2)</w:t>
      </w:r>
    </w:p>
    <w:tbl>
      <w:tblPr>
        <w:tblStyle w:val="TableGrid1"/>
        <w:tblW w:w="5000" w:type="pct"/>
        <w:tblLook w:val="04A0" w:firstRow="1" w:lastRow="0" w:firstColumn="1" w:lastColumn="0" w:noHBand="0" w:noVBand="1"/>
        <w:tblCaption w:val="Proposed MBS item descriptor for 18F-FDG PET for suspected locally or regionally recurrent or suspected metastatic breast cancer"/>
      </w:tblPr>
      <w:tblGrid>
        <w:gridCol w:w="9242"/>
      </w:tblGrid>
      <w:tr w:rsidR="00267975" w:rsidRPr="0039501E" w14:paraId="2A535FA7" w14:textId="77777777" w:rsidTr="00530298">
        <w:trPr>
          <w:cnfStyle w:val="100000000000" w:firstRow="1" w:lastRow="0" w:firstColumn="0" w:lastColumn="0" w:oddVBand="0" w:evenVBand="0" w:oddHBand="0" w:evenHBand="0" w:firstRowFirstColumn="0" w:firstRowLastColumn="0" w:lastRowFirstColumn="0" w:lastRowLastColumn="0"/>
          <w:trHeight w:val="139"/>
        </w:trPr>
        <w:tc>
          <w:tcPr>
            <w:tcW w:w="5000" w:type="pct"/>
            <w:hideMark/>
          </w:tcPr>
          <w:p w14:paraId="2DA19163" w14:textId="77777777" w:rsidR="00267975" w:rsidRPr="0039501E" w:rsidRDefault="00267975" w:rsidP="00D2603F">
            <w:pPr>
              <w:pStyle w:val="TableText"/>
              <w:keepLines/>
              <w:spacing w:line="276" w:lineRule="auto"/>
              <w:jc w:val="right"/>
              <w:rPr>
                <w:b w:val="0"/>
                <w:sz w:val="20"/>
              </w:rPr>
            </w:pPr>
            <w:r w:rsidRPr="0039501E">
              <w:rPr>
                <w:sz w:val="20"/>
              </w:rPr>
              <w:t xml:space="preserve">Category 5—DIAGNOSTIC IMAGING SERVICES </w:t>
            </w:r>
          </w:p>
        </w:tc>
      </w:tr>
      <w:tr w:rsidR="00267975" w:rsidRPr="0039501E" w14:paraId="0559ECE7" w14:textId="77777777" w:rsidTr="00530298">
        <w:trPr>
          <w:trHeight w:val="893"/>
        </w:trPr>
        <w:tc>
          <w:tcPr>
            <w:tcW w:w="5000" w:type="pct"/>
            <w:hideMark/>
          </w:tcPr>
          <w:p w14:paraId="5B895798" w14:textId="77777777" w:rsidR="00267975" w:rsidRPr="0039501E" w:rsidRDefault="00267975" w:rsidP="00D2603F">
            <w:pPr>
              <w:pStyle w:val="TableText"/>
              <w:keepLines/>
              <w:spacing w:line="276" w:lineRule="auto"/>
              <w:rPr>
                <w:b/>
                <w:sz w:val="20"/>
              </w:rPr>
            </w:pPr>
            <w:r w:rsidRPr="0039501E">
              <w:rPr>
                <w:b/>
                <w:sz w:val="20"/>
              </w:rPr>
              <w:t>MBS [item number]</w:t>
            </w:r>
          </w:p>
          <w:p w14:paraId="3EF23876" w14:textId="486F9C05" w:rsidR="00267975" w:rsidRPr="0039501E" w:rsidRDefault="00267975" w:rsidP="00D2603F">
            <w:pPr>
              <w:pStyle w:val="TableText"/>
              <w:keepLines/>
              <w:spacing w:line="276" w:lineRule="auto"/>
              <w:rPr>
                <w:sz w:val="20"/>
              </w:rPr>
            </w:pPr>
            <w:r w:rsidRPr="0039501E">
              <w:rPr>
                <w:sz w:val="20"/>
              </w:rPr>
              <w:t xml:space="preserve">Whole body </w:t>
            </w:r>
            <w:r w:rsidRPr="00CB633E">
              <w:rPr>
                <w:sz w:val="20"/>
                <w:vertAlign w:val="superscript"/>
              </w:rPr>
              <w:t>18</w:t>
            </w:r>
            <w:r w:rsidRPr="0039501E">
              <w:rPr>
                <w:sz w:val="20"/>
              </w:rPr>
              <w:t>F-FDG PET/CT study, where the patient is referred by a specialist, performed for the evaluation of suspected metastatic or suspected locally or regionally recurrent breast carcinoma in a patient considered suitable for active therapy</w:t>
            </w:r>
            <w:r w:rsidRPr="00055F90">
              <w:rPr>
                <w:i/>
                <w:sz w:val="20"/>
              </w:rPr>
              <w:t>, where prior investigations have provided either equivocal results or findings suspicious for recurrent or metastatic disease</w:t>
            </w:r>
            <w:r w:rsidRPr="0039501E">
              <w:rPr>
                <w:sz w:val="20"/>
              </w:rPr>
              <w:t>.</w:t>
            </w:r>
            <w:r w:rsidR="00055F90">
              <w:rPr>
                <w:sz w:val="20"/>
              </w:rPr>
              <w:t>*</w:t>
            </w:r>
          </w:p>
          <w:p w14:paraId="6D6CE354" w14:textId="77777777" w:rsidR="00267975" w:rsidRPr="0039501E" w:rsidRDefault="00267975" w:rsidP="00D2603F">
            <w:pPr>
              <w:pStyle w:val="TableText"/>
              <w:keepLines/>
              <w:spacing w:line="276" w:lineRule="auto"/>
              <w:rPr>
                <w:sz w:val="20"/>
              </w:rPr>
            </w:pPr>
            <w:r w:rsidRPr="0039501E">
              <w:rPr>
                <w:sz w:val="20"/>
              </w:rPr>
              <w:t>Fee: $</w:t>
            </w:r>
            <w:r w:rsidR="00EC052A">
              <w:rPr>
                <w:sz w:val="20"/>
              </w:rPr>
              <w:t>953</w:t>
            </w:r>
            <w:r w:rsidRPr="0039501E">
              <w:rPr>
                <w:sz w:val="20"/>
              </w:rPr>
              <w:t>.00 Benefit: 75% = $7</w:t>
            </w:r>
            <w:r w:rsidR="00EC052A">
              <w:rPr>
                <w:sz w:val="20"/>
              </w:rPr>
              <w:t>14</w:t>
            </w:r>
            <w:r w:rsidRPr="0039501E">
              <w:rPr>
                <w:sz w:val="20"/>
              </w:rPr>
              <w:t>.75 85% = $8</w:t>
            </w:r>
            <w:r w:rsidR="00EC052A">
              <w:rPr>
                <w:sz w:val="20"/>
              </w:rPr>
              <w:t>71</w:t>
            </w:r>
            <w:r w:rsidRPr="0039501E">
              <w:rPr>
                <w:sz w:val="20"/>
              </w:rPr>
              <w:t>.</w:t>
            </w:r>
            <w:r w:rsidR="00EC052A">
              <w:rPr>
                <w:sz w:val="20"/>
              </w:rPr>
              <w:t>30</w:t>
            </w:r>
          </w:p>
        </w:tc>
      </w:tr>
    </w:tbl>
    <w:p w14:paraId="71D40DAF" w14:textId="1AAA0D59" w:rsidR="000A537D" w:rsidRDefault="000A537D" w:rsidP="000A537D">
      <w:pPr>
        <w:pStyle w:val="Tablenotes"/>
      </w:pPr>
      <w:r>
        <w:t xml:space="preserve">* </w:t>
      </w:r>
      <w:r w:rsidRPr="00055F90">
        <w:t>Removing the text in italics changes the proposal from scenario 1 (the use of PET/CT in addition to conventional imaging when the r</w:t>
      </w:r>
      <w:r>
        <w:t>esults of conventional imaging we</w:t>
      </w:r>
      <w:r w:rsidRPr="00055F90">
        <w:t>re equivocal) to scenario 2 (the use of PET/CT as a replacement for conventional imaging)</w:t>
      </w:r>
    </w:p>
    <w:p w14:paraId="65E2163C" w14:textId="77777777" w:rsidR="00267975" w:rsidRDefault="00267975" w:rsidP="00267975">
      <w:pPr>
        <w:pStyle w:val="Tablenotes"/>
      </w:pPr>
      <w:r w:rsidRPr="00996AF6">
        <w:t xml:space="preserve">Abbreviations: </w:t>
      </w:r>
      <w:r w:rsidRPr="007A4E7F">
        <w:rPr>
          <w:vertAlign w:val="superscript"/>
        </w:rPr>
        <w:t>18</w:t>
      </w:r>
      <w:r w:rsidRPr="00996AF6">
        <w:t>F-FDG PET</w:t>
      </w:r>
      <w:r>
        <w:t>/CT</w:t>
      </w:r>
      <w:r w:rsidRPr="00996AF6">
        <w:t xml:space="preserve"> = F-18 fluorodeoxyglucose positron emission tomography</w:t>
      </w:r>
      <w:r>
        <w:t>/computed tomography</w:t>
      </w:r>
    </w:p>
    <w:p w14:paraId="04047147" w14:textId="13B1167C" w:rsidR="00BC1364" w:rsidRPr="00F715D1" w:rsidRDefault="00BC1364" w:rsidP="00394530">
      <w:pPr>
        <w:pStyle w:val="Heading1"/>
        <w:ind w:hanging="720"/>
      </w:pPr>
      <w:r w:rsidRPr="00F715D1">
        <w:t xml:space="preserve">Summary of </w:t>
      </w:r>
      <w:r w:rsidR="00CB633E" w:rsidRPr="00F715D1">
        <w:t>public consultation feedback/consumer issues</w:t>
      </w:r>
    </w:p>
    <w:p w14:paraId="397A5E80" w14:textId="77777777" w:rsidR="004E7274" w:rsidRDefault="004B3680" w:rsidP="004E7274">
      <w:r>
        <w:t>See Public Summary Document for Application 1357 on the MSAC website.</w:t>
      </w:r>
    </w:p>
    <w:p w14:paraId="268826B3" w14:textId="77777777" w:rsidR="00BC1364" w:rsidRPr="00F715D1" w:rsidRDefault="00BC1364" w:rsidP="00394530">
      <w:pPr>
        <w:pStyle w:val="Heading1"/>
        <w:ind w:hanging="720"/>
      </w:pPr>
      <w:r w:rsidRPr="00F715D1">
        <w:t>Proposed intervention’s place in clinical management</w:t>
      </w:r>
    </w:p>
    <w:p w14:paraId="60C08051" w14:textId="77777777" w:rsidR="000A537D" w:rsidRDefault="004D1679" w:rsidP="0062493C">
      <w:r w:rsidRPr="004D1679">
        <w:t xml:space="preserve">For the purposes of </w:t>
      </w:r>
      <w:r w:rsidR="000A537D">
        <w:t xml:space="preserve">both populations in </w:t>
      </w:r>
      <w:r w:rsidRPr="004D1679">
        <w:t xml:space="preserve">this </w:t>
      </w:r>
      <w:r>
        <w:t>resubmission</w:t>
      </w:r>
      <w:r w:rsidRPr="004D1679">
        <w:t xml:space="preserve">, </w:t>
      </w:r>
      <w:r w:rsidR="000A537D">
        <w:t xml:space="preserve">the alternative scenarios were examined for the positioning of </w:t>
      </w:r>
      <w:r w:rsidRPr="004D1679">
        <w:t xml:space="preserve">PET/CT </w:t>
      </w:r>
      <w:r w:rsidR="000A537D">
        <w:t>in the proposed clinical management algorithm (Figure 1):</w:t>
      </w:r>
    </w:p>
    <w:p w14:paraId="3EF8D47E" w14:textId="47D9AB6A" w:rsidR="000A537D" w:rsidRDefault="000A537D" w:rsidP="000A537D">
      <w:pPr>
        <w:pStyle w:val="ListParagraph"/>
        <w:numPr>
          <w:ilvl w:val="0"/>
          <w:numId w:val="26"/>
        </w:numPr>
      </w:pPr>
      <w:r>
        <w:t xml:space="preserve">Scenario 1: </w:t>
      </w:r>
      <w:r w:rsidRPr="000A537D">
        <w:t>the use of PET/CT in addition to conventional imaging when the results of conventional imaging were equivocal</w:t>
      </w:r>
      <w:r>
        <w:t>; and</w:t>
      </w:r>
    </w:p>
    <w:p w14:paraId="6AFCB39F" w14:textId="31380104" w:rsidR="000A537D" w:rsidRDefault="000A537D" w:rsidP="000A537D">
      <w:pPr>
        <w:pStyle w:val="ListParagraph"/>
        <w:numPr>
          <w:ilvl w:val="0"/>
          <w:numId w:val="26"/>
        </w:numPr>
      </w:pPr>
      <w:r>
        <w:t>S</w:t>
      </w:r>
      <w:r w:rsidR="00FA6035">
        <w:t xml:space="preserve">cenario 2 </w:t>
      </w:r>
      <w:r w:rsidRPr="000A537D">
        <w:t>the use of PET/CT as a replacement for conventional imaging</w:t>
      </w:r>
      <w:r w:rsidR="0062493C">
        <w:t>.</w:t>
      </w:r>
    </w:p>
    <w:p w14:paraId="729B4CA5" w14:textId="77777777" w:rsidR="0062493C" w:rsidRDefault="0062493C">
      <w:pPr>
        <w:sectPr w:rsidR="0062493C" w:rsidSect="00271F18">
          <w:footerReference w:type="default" r:id="rId9"/>
          <w:pgSz w:w="11906" w:h="16838"/>
          <w:pgMar w:top="1134" w:right="1440" w:bottom="426" w:left="1440" w:header="708" w:footer="708" w:gutter="0"/>
          <w:cols w:space="708"/>
          <w:docGrid w:linePitch="360"/>
        </w:sectPr>
      </w:pPr>
    </w:p>
    <w:p w14:paraId="50415E78" w14:textId="3190636D" w:rsidR="004D1679" w:rsidRDefault="0062493C" w:rsidP="00FB50BF">
      <w:pPr>
        <w:spacing w:after="240"/>
      </w:pPr>
      <w:r>
        <w:rPr>
          <w:noProof/>
        </w:rPr>
        <w:lastRenderedPageBreak/>
        <w:drawing>
          <wp:inline distT="0" distB="0" distL="0" distR="0" wp14:anchorId="15AAF5BF" wp14:editId="4E6F2C41">
            <wp:extent cx="7800975" cy="5264829"/>
            <wp:effectExtent l="0" t="0" r="0" b="0"/>
            <wp:docPr id="11" name="Picture 11" descr="Proposed clinical management algorithms showing the clinical place of FDG PET/CT for the proposed patient popu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5536" cy="5267907"/>
                    </a:xfrm>
                    <a:prstGeom prst="rect">
                      <a:avLst/>
                    </a:prstGeom>
                    <a:noFill/>
                    <a:ln>
                      <a:noFill/>
                    </a:ln>
                  </pic:spPr>
                </pic:pic>
              </a:graphicData>
            </a:graphic>
          </wp:inline>
        </w:drawing>
      </w:r>
    </w:p>
    <w:p w14:paraId="4E4462A3" w14:textId="0C85635F" w:rsidR="003F1059" w:rsidRPr="003F1059" w:rsidRDefault="003F1059" w:rsidP="004B3680">
      <w:pPr>
        <w:pStyle w:val="Caption"/>
      </w:pPr>
      <w:bookmarkStart w:id="6" w:name="_Ref531089285"/>
      <w:r>
        <w:t xml:space="preserve">Figure </w:t>
      </w:r>
      <w:r w:rsidR="0062493C">
        <w:t>1</w:t>
      </w:r>
      <w:bookmarkEnd w:id="6"/>
      <w:r>
        <w:tab/>
      </w:r>
      <w:r w:rsidR="0062493C">
        <w:t>Proposed c</w:t>
      </w:r>
      <w:r w:rsidRPr="00076A11">
        <w:t>linical management algorithm</w:t>
      </w:r>
      <w:r w:rsidR="0062493C">
        <w:t>s depicting alternative scenarios for</w:t>
      </w:r>
      <w:r w:rsidRPr="00076A11">
        <w:t xml:space="preserve"> </w:t>
      </w:r>
      <w:r w:rsidRPr="00B7041C">
        <w:t>PET/CT</w:t>
      </w:r>
      <w:r w:rsidR="00863B68">
        <w:t xml:space="preserve"> in proposed populations for breast cancer</w:t>
      </w:r>
    </w:p>
    <w:p w14:paraId="65823CD0" w14:textId="77777777" w:rsidR="0062493C" w:rsidRDefault="0062493C" w:rsidP="00FB50BF">
      <w:pPr>
        <w:spacing w:before="240"/>
        <w:sectPr w:rsidR="0062493C" w:rsidSect="0062493C">
          <w:pgSz w:w="16838" w:h="11906" w:orient="landscape"/>
          <w:pgMar w:top="1440" w:right="1134" w:bottom="1440" w:left="426" w:header="708" w:footer="708" w:gutter="0"/>
          <w:cols w:space="708"/>
          <w:docGrid w:linePitch="360"/>
        </w:sectPr>
      </w:pPr>
    </w:p>
    <w:p w14:paraId="1192C0B4" w14:textId="06B3F13E" w:rsidR="00BC1364" w:rsidRPr="00F715D1" w:rsidRDefault="00863B68" w:rsidP="00394530">
      <w:pPr>
        <w:pStyle w:val="Heading1"/>
        <w:ind w:hanging="720"/>
      </w:pPr>
      <w:r>
        <w:lastRenderedPageBreak/>
        <w:t>Comparator</w:t>
      </w:r>
    </w:p>
    <w:p w14:paraId="45F781D9" w14:textId="1C4735AF" w:rsidR="00B0276B" w:rsidRDefault="00B0276B" w:rsidP="00B0276B">
      <w:r w:rsidRPr="00B0276B">
        <w:t xml:space="preserve">The main comparator nominated is standard confirmatory diagnostic imaging </w:t>
      </w:r>
      <w:r w:rsidR="00F20EF5">
        <w:t xml:space="preserve">(i.e. </w:t>
      </w:r>
      <w:r w:rsidRPr="00B0276B">
        <w:t>conventional</w:t>
      </w:r>
      <w:r w:rsidR="00E75AB8">
        <w:t xml:space="preserve"> </w:t>
      </w:r>
      <w:r w:rsidRPr="00B0276B">
        <w:t>imaging</w:t>
      </w:r>
      <w:r w:rsidR="00F20EF5">
        <w:t>)</w:t>
      </w:r>
      <w:r w:rsidRPr="00B0276B">
        <w:t>. This may include a variety of imaging techniques, such as plain radiography, ultrasound, bone scintigraphy</w:t>
      </w:r>
      <w:r w:rsidR="00F20EF5">
        <w:t xml:space="preserve"> (i.e. nuclear medicine)</w:t>
      </w:r>
      <w:r w:rsidRPr="00B0276B">
        <w:t>, CT and MRI. However, the imaging test</w:t>
      </w:r>
      <w:r w:rsidR="003E4B00">
        <w:t>s</w:t>
      </w:r>
      <w:r w:rsidRPr="00B0276B">
        <w:t xml:space="preserve"> most commonly used for staging breast cancer </w:t>
      </w:r>
      <w:r w:rsidR="003E4B00">
        <w:t>are</w:t>
      </w:r>
      <w:r w:rsidR="003E4B00" w:rsidRPr="00B0276B">
        <w:t xml:space="preserve"> </w:t>
      </w:r>
      <w:r w:rsidRPr="00B0276B">
        <w:t>CT</w:t>
      </w:r>
      <w:r w:rsidR="003E4B00">
        <w:t xml:space="preserve"> and bone scintigraphy</w:t>
      </w:r>
      <w:r w:rsidRPr="00B0276B">
        <w:t>.</w:t>
      </w:r>
    </w:p>
    <w:p w14:paraId="433D2E1C" w14:textId="77777777" w:rsidR="00BC1364" w:rsidRPr="00F715D1" w:rsidRDefault="00BC1364" w:rsidP="00394530">
      <w:pPr>
        <w:pStyle w:val="Heading1"/>
        <w:ind w:hanging="720"/>
      </w:pPr>
      <w:r w:rsidRPr="00F715D1">
        <w:t>Comparative safety</w:t>
      </w:r>
    </w:p>
    <w:p w14:paraId="3F8184B6" w14:textId="07657CCB" w:rsidR="00062A5E" w:rsidRDefault="002E2B41" w:rsidP="009C5082">
      <w:r>
        <w:t>As</w:t>
      </w:r>
      <w:r w:rsidRPr="002E2B41">
        <w:t xml:space="preserve"> per the PSD for MSAC Application 1357, MSAC concluded that “PET has been reviewed previously by MSAC on multiple occasions and found to be a safe procedure. The studies included in this assessment did not raise any new safety concerns.” Consequently, </w:t>
      </w:r>
      <w:r>
        <w:t>the</w:t>
      </w:r>
      <w:r w:rsidRPr="002E2B41">
        <w:t xml:space="preserve"> </w:t>
      </w:r>
      <w:r>
        <w:t>re</w:t>
      </w:r>
      <w:r w:rsidRPr="002E2B41">
        <w:t xml:space="preserve">submission </w:t>
      </w:r>
      <w:r>
        <w:t>did</w:t>
      </w:r>
      <w:r w:rsidRPr="002E2B41">
        <w:t xml:space="preserve"> not seek to provide further assessment of safety of PET/CT.</w:t>
      </w:r>
    </w:p>
    <w:p w14:paraId="66CD1142" w14:textId="77777777" w:rsidR="00BC1364" w:rsidRDefault="00BC1364" w:rsidP="00394530">
      <w:pPr>
        <w:pStyle w:val="Heading1"/>
        <w:ind w:hanging="720"/>
      </w:pPr>
      <w:r w:rsidRPr="00F715D1">
        <w:t>Comparative effectiveness</w:t>
      </w:r>
    </w:p>
    <w:p w14:paraId="641BF454" w14:textId="5B713D6E" w:rsidR="00062A5E" w:rsidRDefault="00062A5E" w:rsidP="00863B68">
      <w:pPr>
        <w:spacing w:after="120"/>
      </w:pPr>
      <w:r>
        <w:t>The resubmission stated that</w:t>
      </w:r>
      <w:r w:rsidR="00632E7E">
        <w:t>,</w:t>
      </w:r>
      <w:r>
        <w:t xml:space="preserve"> i</w:t>
      </w:r>
      <w:r w:rsidRPr="00062A5E">
        <w:t xml:space="preserve">n the absence of any direct evidence for the effectiveness of PET/CT, effectiveness evidence is presented with a linked approach, considering the evidence for </w:t>
      </w:r>
      <w:r>
        <w:t xml:space="preserve">diagnostic </w:t>
      </w:r>
      <w:r w:rsidRPr="00062A5E">
        <w:t>accuracy</w:t>
      </w:r>
      <w:r>
        <w:t xml:space="preserve"> (</w:t>
      </w:r>
      <w:r w:rsidR="002E2B41">
        <w:t xml:space="preserve">new </w:t>
      </w:r>
      <w:r>
        <w:t>k=10)</w:t>
      </w:r>
      <w:r w:rsidRPr="00062A5E">
        <w:t>, change in management</w:t>
      </w:r>
      <w:r>
        <w:t xml:space="preserve"> (</w:t>
      </w:r>
      <w:r w:rsidR="002E2B41">
        <w:t xml:space="preserve">new </w:t>
      </w:r>
      <w:r>
        <w:t>k=16)</w:t>
      </w:r>
      <w:r w:rsidRPr="00062A5E">
        <w:t xml:space="preserve"> and the expected benefit of changes in treatment on health outcomes.</w:t>
      </w:r>
      <w:r w:rsidR="00FA5E3B">
        <w:t xml:space="preserve"> These studies were relevant to Scenario 2 (where PET/CT and conventional imaging are compared as alternatives</w:t>
      </w:r>
      <w:r w:rsidR="00632E7E">
        <w:t>)</w:t>
      </w:r>
      <w:r w:rsidR="00FA5E3B">
        <w:t xml:space="preserve">. The </w:t>
      </w:r>
      <w:r w:rsidR="00632E7E">
        <w:t>Supplementary Report for the resubmission</w:t>
      </w:r>
      <w:r w:rsidR="00632E7E" w:rsidRPr="00632E7E">
        <w:t xml:space="preserve"> </w:t>
      </w:r>
      <w:r w:rsidR="00632E7E">
        <w:t>confirmed that t</w:t>
      </w:r>
      <w:r w:rsidR="00632E7E" w:rsidRPr="00632E7E">
        <w:t xml:space="preserve">here </w:t>
      </w:r>
      <w:r w:rsidR="004D4BA3">
        <w:t>are</w:t>
      </w:r>
      <w:r w:rsidR="00632E7E" w:rsidRPr="00632E7E">
        <w:t xml:space="preserve"> no data on the accuracy of alternative confirmatory conventional imaging techniques following equivocal or negative results</w:t>
      </w:r>
      <w:r w:rsidR="00632E7E">
        <w:t>, i</w:t>
      </w:r>
      <w:r w:rsidR="004D4BA3">
        <w:t>.</w:t>
      </w:r>
      <w:r w:rsidR="00632E7E">
        <w:t>e</w:t>
      </w:r>
      <w:r w:rsidR="004D4BA3">
        <w:t>.</w:t>
      </w:r>
      <w:r w:rsidR="00632E7E">
        <w:t xml:space="preserve"> relevant to Scenario 1.</w:t>
      </w:r>
    </w:p>
    <w:p w14:paraId="07F9C017" w14:textId="094E2D0E" w:rsidR="002E2B41" w:rsidRPr="002E2B41" w:rsidRDefault="002E2B41" w:rsidP="004B3680">
      <w:pPr>
        <w:spacing w:after="120"/>
        <w:rPr>
          <w:i/>
        </w:rPr>
      </w:pPr>
      <w:r>
        <w:rPr>
          <w:i/>
        </w:rPr>
        <w:t>Diagnostic accuracy</w:t>
      </w:r>
    </w:p>
    <w:p w14:paraId="3B03F231" w14:textId="28D53B62" w:rsidR="002E2B41" w:rsidRDefault="002E2B41" w:rsidP="00A853D7">
      <w:pPr>
        <w:spacing w:after="240"/>
      </w:pPr>
      <w:r>
        <w:t>The resubmission presented a meta-analysis for the diagnostic</w:t>
      </w:r>
      <w:r w:rsidRPr="002E2B41">
        <w:t xml:space="preserve"> </w:t>
      </w:r>
      <w:r>
        <w:t>accuracy of PET/CT versus conventional imaging</w:t>
      </w:r>
      <w:r w:rsidR="00F86738">
        <w:t xml:space="preserve"> </w:t>
      </w:r>
      <w:r w:rsidR="00F86738" w:rsidRPr="00EF587C">
        <w:t xml:space="preserve">in detecting metastatic </w:t>
      </w:r>
      <w:r w:rsidR="00F86738">
        <w:t xml:space="preserve">disease (LABC) </w:t>
      </w:r>
      <w:r w:rsidR="00F86738" w:rsidRPr="00EF587C">
        <w:t xml:space="preserve">or </w:t>
      </w:r>
      <w:r w:rsidR="00F86738">
        <w:t xml:space="preserve">in detecting metastatic or </w:t>
      </w:r>
      <w:r w:rsidR="00F86738" w:rsidRPr="00EF587C">
        <w:t xml:space="preserve">recurrent disease </w:t>
      </w:r>
      <w:r w:rsidR="00F86738">
        <w:t>(suspected recurrent or metastatic breast cancer)</w:t>
      </w:r>
      <w:r w:rsidRPr="002E2B41">
        <w:t xml:space="preserve"> </w:t>
      </w:r>
      <w:r>
        <w:t>(</w:t>
      </w:r>
      <w:r w:rsidR="00B238B3">
        <w:fldChar w:fldCharType="begin"/>
      </w:r>
      <w:r w:rsidR="00B238B3">
        <w:instrText xml:space="preserve"> REF _Ref507076661 \h </w:instrText>
      </w:r>
      <w:r w:rsidR="00B238B3">
        <w:fldChar w:fldCharType="separate"/>
      </w:r>
      <w:r w:rsidR="00B238B3">
        <w:t xml:space="preserve">Table </w:t>
      </w:r>
      <w:r w:rsidR="00B238B3">
        <w:rPr>
          <w:noProof/>
        </w:rPr>
        <w:t>3</w:t>
      </w:r>
      <w:r w:rsidR="00B238B3">
        <w:fldChar w:fldCharType="end"/>
      </w:r>
      <w:r w:rsidR="00B238B3">
        <w:t>).</w:t>
      </w:r>
    </w:p>
    <w:p w14:paraId="216F059D" w14:textId="490FC8A6" w:rsidR="002E2B41" w:rsidRDefault="002E2B41" w:rsidP="002E2B41">
      <w:pPr>
        <w:pStyle w:val="Caption"/>
      </w:pPr>
      <w:bookmarkStart w:id="7" w:name="_Ref507076661"/>
      <w:bookmarkStart w:id="8" w:name="_Ref520380495"/>
      <w:bookmarkStart w:id="9" w:name="_Toc520984842"/>
      <w:bookmarkStart w:id="10" w:name="_Hlk520968123"/>
      <w:r>
        <w:t xml:space="preserve">Table </w:t>
      </w:r>
      <w:r>
        <w:rPr>
          <w:noProof/>
        </w:rPr>
        <w:fldChar w:fldCharType="begin"/>
      </w:r>
      <w:r>
        <w:rPr>
          <w:noProof/>
        </w:rPr>
        <w:instrText xml:space="preserve"> SEQ Table \* ARABIC </w:instrText>
      </w:r>
      <w:r>
        <w:rPr>
          <w:noProof/>
        </w:rPr>
        <w:fldChar w:fldCharType="separate"/>
      </w:r>
      <w:r w:rsidR="00052A87">
        <w:rPr>
          <w:noProof/>
        </w:rPr>
        <w:t>3</w:t>
      </w:r>
      <w:r>
        <w:rPr>
          <w:noProof/>
        </w:rPr>
        <w:fldChar w:fldCharType="end"/>
      </w:r>
      <w:bookmarkEnd w:id="7"/>
      <w:bookmarkEnd w:id="8"/>
      <w:r>
        <w:tab/>
        <w:t>Overview of diagnostic accuracy</w:t>
      </w:r>
      <w:bookmarkEnd w:id="9"/>
      <w:r>
        <w:t xml:space="preserve"> </w:t>
      </w:r>
      <w:r w:rsidR="00EF587C">
        <w:t xml:space="preserve">in detecting metastatic or recurrent disease </w:t>
      </w:r>
      <w:r w:rsidR="00B238B3">
        <w:t>by</w:t>
      </w:r>
      <w:r w:rsidR="00B238B3" w:rsidRPr="000F6C3B">
        <w:t xml:space="preserve"> population for PET/CT over </w:t>
      </w:r>
      <w:r w:rsidR="00B238B3">
        <w:t>conventional</w:t>
      </w:r>
      <w:r w:rsidR="00B238B3" w:rsidRPr="000F6C3B">
        <w:t xml:space="preserve"> imaging</w:t>
      </w:r>
    </w:p>
    <w:tbl>
      <w:tblPr>
        <w:tblStyle w:val="TableGrid1"/>
        <w:tblW w:w="5000" w:type="pct"/>
        <w:tblLook w:val="04A0" w:firstRow="1" w:lastRow="0" w:firstColumn="1" w:lastColumn="0" w:noHBand="0" w:noVBand="1"/>
        <w:tblCaption w:val="Overview of diagnostic accuracy by population for PET/CT over conventional imaging"/>
      </w:tblPr>
      <w:tblGrid>
        <w:gridCol w:w="1849"/>
        <w:gridCol w:w="1849"/>
        <w:gridCol w:w="1848"/>
        <w:gridCol w:w="1848"/>
        <w:gridCol w:w="1848"/>
      </w:tblGrid>
      <w:tr w:rsidR="002E2B41" w:rsidRPr="003C0526" w14:paraId="68842DB8" w14:textId="77777777" w:rsidTr="00E75AB8">
        <w:trPr>
          <w:cnfStyle w:val="100000000000" w:firstRow="1" w:lastRow="0" w:firstColumn="0" w:lastColumn="0" w:oddVBand="0" w:evenVBand="0" w:oddHBand="0" w:evenHBand="0" w:firstRowFirstColumn="0" w:firstRowLastColumn="0" w:lastRowFirstColumn="0" w:lastRowLastColumn="0"/>
        </w:trPr>
        <w:tc>
          <w:tcPr>
            <w:tcW w:w="1000" w:type="pct"/>
            <w:tcBorders>
              <w:bottom w:val="single" w:sz="4" w:space="0" w:color="auto"/>
            </w:tcBorders>
          </w:tcPr>
          <w:p w14:paraId="3B371A46" w14:textId="77777777" w:rsidR="002E2B41" w:rsidRPr="0012124C" w:rsidRDefault="002E2B41" w:rsidP="00D2603F">
            <w:pPr>
              <w:pStyle w:val="Tabletext0"/>
            </w:pPr>
            <w:r w:rsidRPr="0012124C">
              <w:t>Population</w:t>
            </w:r>
          </w:p>
        </w:tc>
        <w:tc>
          <w:tcPr>
            <w:tcW w:w="1000" w:type="pct"/>
            <w:tcBorders>
              <w:right w:val="nil"/>
            </w:tcBorders>
            <w:shd w:val="clear" w:color="auto" w:fill="auto"/>
          </w:tcPr>
          <w:p w14:paraId="4BF7B8C9" w14:textId="77777777" w:rsidR="002E2B41" w:rsidRPr="00AF5C43" w:rsidRDefault="002E2B41" w:rsidP="00EF587C">
            <w:pPr>
              <w:pStyle w:val="Tabletext0"/>
              <w:jc w:val="right"/>
              <w:rPr>
                <w:b w:val="0"/>
              </w:rPr>
            </w:pPr>
            <w:r w:rsidRPr="00AF5C43">
              <w:t xml:space="preserve">Sensitivity – </w:t>
            </w:r>
            <w:r>
              <w:t xml:space="preserve">pooled </w:t>
            </w:r>
          </w:p>
        </w:tc>
        <w:tc>
          <w:tcPr>
            <w:tcW w:w="1000" w:type="pct"/>
            <w:tcBorders>
              <w:left w:val="nil"/>
            </w:tcBorders>
            <w:shd w:val="clear" w:color="auto" w:fill="auto"/>
          </w:tcPr>
          <w:p w14:paraId="7978CA30" w14:textId="178751D7" w:rsidR="002E2B41" w:rsidRPr="00AF5C43" w:rsidRDefault="002E2B41" w:rsidP="00EF587C">
            <w:pPr>
              <w:pStyle w:val="Tabletext0"/>
            </w:pPr>
            <w:r>
              <w:t xml:space="preserve">result </w:t>
            </w:r>
            <w:r w:rsidR="00632E7E">
              <w:t>[</w:t>
            </w:r>
            <w:r>
              <w:t>95% CI</w:t>
            </w:r>
            <w:r w:rsidR="00632E7E">
              <w:t>]</w:t>
            </w:r>
          </w:p>
        </w:tc>
        <w:tc>
          <w:tcPr>
            <w:tcW w:w="1000" w:type="pct"/>
            <w:tcBorders>
              <w:right w:val="nil"/>
            </w:tcBorders>
            <w:shd w:val="clear" w:color="auto" w:fill="auto"/>
          </w:tcPr>
          <w:p w14:paraId="29F1851B" w14:textId="77777777" w:rsidR="002E2B41" w:rsidRPr="00AF5C43" w:rsidRDefault="002E2B41" w:rsidP="00EF587C">
            <w:pPr>
              <w:pStyle w:val="Tabletext0"/>
              <w:jc w:val="right"/>
              <w:rPr>
                <w:b w:val="0"/>
              </w:rPr>
            </w:pPr>
            <w:r w:rsidRPr="00AF5C43">
              <w:t xml:space="preserve">Specificity – </w:t>
            </w:r>
            <w:r>
              <w:t xml:space="preserve">pooled </w:t>
            </w:r>
          </w:p>
        </w:tc>
        <w:tc>
          <w:tcPr>
            <w:tcW w:w="1000" w:type="pct"/>
            <w:tcBorders>
              <w:left w:val="nil"/>
            </w:tcBorders>
            <w:shd w:val="clear" w:color="auto" w:fill="auto"/>
          </w:tcPr>
          <w:p w14:paraId="318C256A" w14:textId="20F73A38" w:rsidR="002E2B41" w:rsidRPr="00AF5C43" w:rsidRDefault="002E2B41" w:rsidP="00EF587C">
            <w:pPr>
              <w:pStyle w:val="Tabletext0"/>
            </w:pPr>
            <w:r>
              <w:t xml:space="preserve">result </w:t>
            </w:r>
            <w:r w:rsidR="00632E7E">
              <w:t>[</w:t>
            </w:r>
            <w:r>
              <w:t>95% CI</w:t>
            </w:r>
            <w:r w:rsidR="00632E7E">
              <w:t>]</w:t>
            </w:r>
          </w:p>
        </w:tc>
      </w:tr>
      <w:tr w:rsidR="002E2B41" w:rsidRPr="003C0526" w14:paraId="283886C9" w14:textId="77777777" w:rsidTr="00E75AB8">
        <w:tc>
          <w:tcPr>
            <w:tcW w:w="1000" w:type="pct"/>
            <w:tcBorders>
              <w:top w:val="single" w:sz="4" w:space="0" w:color="auto"/>
            </w:tcBorders>
          </w:tcPr>
          <w:p w14:paraId="31DAE05C" w14:textId="77777777" w:rsidR="002E2B41" w:rsidRPr="0012124C" w:rsidRDefault="002E2B41" w:rsidP="00D2603F">
            <w:pPr>
              <w:pStyle w:val="Tabletext0"/>
            </w:pPr>
          </w:p>
        </w:tc>
        <w:tc>
          <w:tcPr>
            <w:tcW w:w="1000" w:type="pct"/>
            <w:shd w:val="clear" w:color="auto" w:fill="auto"/>
          </w:tcPr>
          <w:p w14:paraId="34DDEE35" w14:textId="77777777" w:rsidR="002E2B41" w:rsidRPr="00AF5C43" w:rsidRDefault="002E2B41" w:rsidP="00D2603F">
            <w:pPr>
              <w:pStyle w:val="Tabletext0"/>
              <w:jc w:val="center"/>
              <w:rPr>
                <w:b/>
              </w:rPr>
            </w:pPr>
            <w:r w:rsidRPr="00AF5C43">
              <w:rPr>
                <w:b/>
              </w:rPr>
              <w:t>PET/CT</w:t>
            </w:r>
          </w:p>
        </w:tc>
        <w:tc>
          <w:tcPr>
            <w:tcW w:w="1000" w:type="pct"/>
            <w:shd w:val="clear" w:color="auto" w:fill="auto"/>
          </w:tcPr>
          <w:p w14:paraId="4108375A" w14:textId="77777777" w:rsidR="002E2B41" w:rsidRPr="00AF5C43" w:rsidRDefault="002E2B41" w:rsidP="00D2603F">
            <w:pPr>
              <w:pStyle w:val="Tabletext0"/>
              <w:jc w:val="center"/>
              <w:rPr>
                <w:b/>
              </w:rPr>
            </w:pPr>
            <w:r w:rsidRPr="00744FB9">
              <w:rPr>
                <w:b/>
              </w:rPr>
              <w:t>CvI</w:t>
            </w:r>
          </w:p>
        </w:tc>
        <w:tc>
          <w:tcPr>
            <w:tcW w:w="1000" w:type="pct"/>
            <w:shd w:val="clear" w:color="auto" w:fill="auto"/>
          </w:tcPr>
          <w:p w14:paraId="73405833" w14:textId="77777777" w:rsidR="002E2B41" w:rsidRPr="00AF5C43" w:rsidRDefault="002E2B41" w:rsidP="00D2603F">
            <w:pPr>
              <w:pStyle w:val="Tabletext0"/>
              <w:jc w:val="center"/>
              <w:rPr>
                <w:b/>
              </w:rPr>
            </w:pPr>
            <w:r w:rsidRPr="00AF5C43">
              <w:rPr>
                <w:b/>
              </w:rPr>
              <w:t>PET/CT</w:t>
            </w:r>
          </w:p>
        </w:tc>
        <w:tc>
          <w:tcPr>
            <w:tcW w:w="1000" w:type="pct"/>
            <w:shd w:val="clear" w:color="auto" w:fill="auto"/>
          </w:tcPr>
          <w:p w14:paraId="06849AEF" w14:textId="77777777" w:rsidR="002E2B41" w:rsidRPr="00AF5C43" w:rsidRDefault="002E2B41" w:rsidP="00D2603F">
            <w:pPr>
              <w:pStyle w:val="Tabletext0"/>
              <w:jc w:val="center"/>
              <w:rPr>
                <w:b/>
              </w:rPr>
            </w:pPr>
            <w:r w:rsidRPr="00744FB9">
              <w:rPr>
                <w:b/>
              </w:rPr>
              <w:t>CvI</w:t>
            </w:r>
          </w:p>
        </w:tc>
      </w:tr>
      <w:tr w:rsidR="002E2B41" w:rsidRPr="003C0526" w14:paraId="40F89E5F" w14:textId="77777777" w:rsidTr="00E75AB8">
        <w:tc>
          <w:tcPr>
            <w:tcW w:w="1000" w:type="pct"/>
          </w:tcPr>
          <w:p w14:paraId="1B979D32" w14:textId="1196E26E" w:rsidR="002E2B41" w:rsidRPr="0012124C" w:rsidRDefault="002E2B41" w:rsidP="00632E7E">
            <w:pPr>
              <w:pStyle w:val="Tabletext0"/>
            </w:pPr>
            <w:r w:rsidRPr="0012124C">
              <w:t>L</w:t>
            </w:r>
            <w:r w:rsidR="00632E7E">
              <w:t>ocally advanced BC</w:t>
            </w:r>
          </w:p>
        </w:tc>
        <w:tc>
          <w:tcPr>
            <w:tcW w:w="1000" w:type="pct"/>
            <w:shd w:val="clear" w:color="auto" w:fill="auto"/>
          </w:tcPr>
          <w:p w14:paraId="1C173E75" w14:textId="77777777" w:rsidR="00632E7E" w:rsidRDefault="002E2B41" w:rsidP="00D2603F">
            <w:pPr>
              <w:pStyle w:val="Tabletext0"/>
              <w:jc w:val="center"/>
            </w:pPr>
            <w:r w:rsidRPr="00AF5C43">
              <w:t>97.7 [95.2, 98.9]</w:t>
            </w:r>
          </w:p>
          <w:p w14:paraId="22764847" w14:textId="6C515C34" w:rsidR="002E2B41" w:rsidRPr="00AF5C43" w:rsidRDefault="002E2B41" w:rsidP="00D2603F">
            <w:pPr>
              <w:pStyle w:val="Tabletext0"/>
              <w:jc w:val="center"/>
              <w:rPr>
                <w:highlight w:val="cyan"/>
              </w:rPr>
            </w:pPr>
            <w:r w:rsidRPr="00AF5C43">
              <w:t>(k=4)</w:t>
            </w:r>
          </w:p>
        </w:tc>
        <w:tc>
          <w:tcPr>
            <w:tcW w:w="1000" w:type="pct"/>
            <w:shd w:val="clear" w:color="auto" w:fill="auto"/>
          </w:tcPr>
          <w:p w14:paraId="2EBF9FB7" w14:textId="77777777" w:rsidR="002E2B41" w:rsidRDefault="002E2B41" w:rsidP="00D2603F">
            <w:pPr>
              <w:pStyle w:val="Tabletext0"/>
              <w:jc w:val="center"/>
            </w:pPr>
            <w:r w:rsidRPr="00AF5C43">
              <w:t>89.2 [78.6, 94.9]</w:t>
            </w:r>
          </w:p>
          <w:p w14:paraId="085EF3BE" w14:textId="77777777" w:rsidR="002E2B41" w:rsidRPr="00AF5C43" w:rsidRDefault="002E2B41" w:rsidP="00D2603F">
            <w:pPr>
              <w:pStyle w:val="Tabletext0"/>
              <w:jc w:val="center"/>
              <w:rPr>
                <w:highlight w:val="cyan"/>
              </w:rPr>
            </w:pPr>
            <w:r w:rsidRPr="00AF5C43">
              <w:t>(k=4)</w:t>
            </w:r>
          </w:p>
        </w:tc>
        <w:tc>
          <w:tcPr>
            <w:tcW w:w="1000" w:type="pct"/>
            <w:shd w:val="clear" w:color="auto" w:fill="auto"/>
          </w:tcPr>
          <w:p w14:paraId="4781471E" w14:textId="77777777" w:rsidR="00632E7E" w:rsidRDefault="002E2B41" w:rsidP="00D2603F">
            <w:pPr>
              <w:pStyle w:val="Tabletext0"/>
              <w:jc w:val="center"/>
            </w:pPr>
            <w:r w:rsidRPr="00AF5C43">
              <w:t>98.4 [96.3, 99.3]</w:t>
            </w:r>
          </w:p>
          <w:p w14:paraId="3DB985B5" w14:textId="13116432" w:rsidR="002E2B41" w:rsidRPr="00AF5C43" w:rsidRDefault="002E2B41" w:rsidP="00D2603F">
            <w:pPr>
              <w:pStyle w:val="Tabletext0"/>
              <w:jc w:val="center"/>
              <w:rPr>
                <w:highlight w:val="cyan"/>
              </w:rPr>
            </w:pPr>
            <w:r w:rsidRPr="00AF5C43">
              <w:t>(k=4)</w:t>
            </w:r>
          </w:p>
        </w:tc>
        <w:tc>
          <w:tcPr>
            <w:tcW w:w="1000" w:type="pct"/>
            <w:shd w:val="clear" w:color="auto" w:fill="auto"/>
          </w:tcPr>
          <w:p w14:paraId="114B47C0" w14:textId="77777777" w:rsidR="002E2B41" w:rsidRDefault="002E2B41" w:rsidP="00D2603F">
            <w:pPr>
              <w:pStyle w:val="Tabletext0"/>
              <w:jc w:val="center"/>
            </w:pPr>
            <w:r w:rsidRPr="00AF5C43">
              <w:t>94.4 [88.4, 97.4]</w:t>
            </w:r>
          </w:p>
          <w:p w14:paraId="100C3FCF" w14:textId="77777777" w:rsidR="002E2B41" w:rsidRPr="00AF5C43" w:rsidRDefault="002E2B41" w:rsidP="00D2603F">
            <w:pPr>
              <w:pStyle w:val="Tabletext0"/>
              <w:jc w:val="center"/>
              <w:rPr>
                <w:highlight w:val="cyan"/>
              </w:rPr>
            </w:pPr>
            <w:r w:rsidRPr="00AF5C43">
              <w:t>(k=4)</w:t>
            </w:r>
          </w:p>
        </w:tc>
      </w:tr>
      <w:tr w:rsidR="002E2B41" w:rsidRPr="003C0526" w14:paraId="3A896BE3" w14:textId="77777777" w:rsidTr="00E75AB8">
        <w:tc>
          <w:tcPr>
            <w:tcW w:w="1000" w:type="pct"/>
          </w:tcPr>
          <w:p w14:paraId="1CE088DE" w14:textId="5CE92E7D" w:rsidR="002E2B41" w:rsidRPr="0012124C" w:rsidRDefault="002E2B41" w:rsidP="00D2603F">
            <w:pPr>
              <w:pStyle w:val="Tabletext0"/>
            </w:pPr>
            <w:r w:rsidRPr="0012124C">
              <w:t>Suspe</w:t>
            </w:r>
            <w:r w:rsidR="00632E7E">
              <w:t>cted recurrent or metastatic BC</w:t>
            </w:r>
          </w:p>
        </w:tc>
        <w:tc>
          <w:tcPr>
            <w:tcW w:w="1000" w:type="pct"/>
          </w:tcPr>
          <w:p w14:paraId="6CEF64C4" w14:textId="77777777" w:rsidR="002E2B41" w:rsidRDefault="002E2B41" w:rsidP="00D2603F">
            <w:pPr>
              <w:pStyle w:val="Tabletext0"/>
              <w:jc w:val="center"/>
            </w:pPr>
            <w:r w:rsidRPr="00AB4AA4">
              <w:t>96.1 [93.8, 97.5]</w:t>
            </w:r>
          </w:p>
          <w:p w14:paraId="36F9B548" w14:textId="77777777" w:rsidR="002E2B41" w:rsidRPr="00AB4AA4" w:rsidRDefault="002E2B41" w:rsidP="00D2603F">
            <w:pPr>
              <w:pStyle w:val="Tabletext0"/>
              <w:jc w:val="center"/>
            </w:pPr>
            <w:r>
              <w:t>(k=14)</w:t>
            </w:r>
          </w:p>
        </w:tc>
        <w:tc>
          <w:tcPr>
            <w:tcW w:w="1000" w:type="pct"/>
          </w:tcPr>
          <w:p w14:paraId="24AC4B39" w14:textId="77777777" w:rsidR="002E2B41" w:rsidRDefault="002E2B41" w:rsidP="00D2603F">
            <w:pPr>
              <w:pStyle w:val="Tabletext0"/>
              <w:jc w:val="center"/>
            </w:pPr>
            <w:r w:rsidRPr="00AB4AA4">
              <w:t>77.4 [65.9, 85.9]</w:t>
            </w:r>
          </w:p>
          <w:p w14:paraId="00CE88CD" w14:textId="77777777" w:rsidR="002E2B41" w:rsidRPr="00AB4AA4" w:rsidRDefault="002E2B41" w:rsidP="00D2603F">
            <w:pPr>
              <w:pStyle w:val="Tabletext0"/>
              <w:jc w:val="center"/>
            </w:pPr>
            <w:r>
              <w:t>(k=14)</w:t>
            </w:r>
          </w:p>
        </w:tc>
        <w:tc>
          <w:tcPr>
            <w:tcW w:w="1000" w:type="pct"/>
          </w:tcPr>
          <w:p w14:paraId="0E62D1B4" w14:textId="77777777" w:rsidR="002E2B41" w:rsidRDefault="002E2B41" w:rsidP="00D2603F">
            <w:pPr>
              <w:pStyle w:val="Tabletext0"/>
              <w:jc w:val="center"/>
            </w:pPr>
            <w:r w:rsidRPr="00AB4AA4">
              <w:t>93.8 [87.2, 97.1]</w:t>
            </w:r>
          </w:p>
          <w:p w14:paraId="0013A6D6" w14:textId="77777777" w:rsidR="002E2B41" w:rsidRPr="00AB4AA4" w:rsidRDefault="002E2B41" w:rsidP="00D2603F">
            <w:pPr>
              <w:pStyle w:val="Tabletext0"/>
              <w:jc w:val="center"/>
            </w:pPr>
            <w:r>
              <w:t>(k=14)</w:t>
            </w:r>
          </w:p>
        </w:tc>
        <w:tc>
          <w:tcPr>
            <w:tcW w:w="1000" w:type="pct"/>
          </w:tcPr>
          <w:p w14:paraId="0CF40074" w14:textId="77777777" w:rsidR="002E2B41" w:rsidRDefault="002E2B41" w:rsidP="00D2603F">
            <w:pPr>
              <w:pStyle w:val="Tabletext0"/>
              <w:jc w:val="center"/>
            </w:pPr>
            <w:r w:rsidRPr="00AB4AA4">
              <w:t>89.7 [62.3, 97.8]</w:t>
            </w:r>
          </w:p>
          <w:p w14:paraId="07C20D6B" w14:textId="77777777" w:rsidR="002E2B41" w:rsidRPr="00AB4AA4" w:rsidRDefault="002E2B41" w:rsidP="00D2603F">
            <w:pPr>
              <w:pStyle w:val="Tabletext0"/>
              <w:jc w:val="center"/>
            </w:pPr>
            <w:r>
              <w:t>(k=14)</w:t>
            </w:r>
          </w:p>
        </w:tc>
      </w:tr>
    </w:tbl>
    <w:p w14:paraId="44FCC155" w14:textId="647949F6" w:rsidR="002E2B41" w:rsidRDefault="002E2B41" w:rsidP="002E2B41">
      <w:pPr>
        <w:pStyle w:val="Tabletext0"/>
        <w:spacing w:after="240"/>
      </w:pPr>
      <w:r>
        <w:t xml:space="preserve">BC = breast cancer; </w:t>
      </w:r>
      <w:r w:rsidRPr="00744FB9">
        <w:t>CvI</w:t>
      </w:r>
      <w:r w:rsidRPr="000F6D87">
        <w:t xml:space="preserve"> = conventional imaging; k = number of studies</w:t>
      </w:r>
    </w:p>
    <w:bookmarkEnd w:id="10"/>
    <w:p w14:paraId="2F91AC14" w14:textId="13B65C4A" w:rsidR="002E2B41" w:rsidRPr="00B238B3" w:rsidRDefault="00B238B3" w:rsidP="004B3680">
      <w:pPr>
        <w:spacing w:after="120"/>
        <w:rPr>
          <w:i/>
        </w:rPr>
      </w:pPr>
      <w:r>
        <w:rPr>
          <w:i/>
        </w:rPr>
        <w:t xml:space="preserve">Therapeutic efficacy (change in </w:t>
      </w:r>
      <w:r w:rsidR="005E2C85">
        <w:rPr>
          <w:i/>
        </w:rPr>
        <w:t xml:space="preserve">clinical </w:t>
      </w:r>
      <w:r>
        <w:rPr>
          <w:i/>
        </w:rPr>
        <w:t>management)</w:t>
      </w:r>
    </w:p>
    <w:p w14:paraId="68BD9E47" w14:textId="6EB96FFC" w:rsidR="00530298" w:rsidRPr="00530298" w:rsidRDefault="00B238B3" w:rsidP="00530298">
      <w:pPr>
        <w:spacing w:after="240"/>
      </w:pPr>
      <w:r>
        <w:t>The resubmission summarised the results for clinical utility of PET/CT versus conventional imaging</w:t>
      </w:r>
      <w:bookmarkStart w:id="11" w:name="_Ref520381663"/>
      <w:bookmarkStart w:id="12" w:name="_Toc506982643"/>
      <w:bookmarkStart w:id="13" w:name="_Toc520984845"/>
      <w:r w:rsidR="005518E0">
        <w:t xml:space="preserve"> (Table 4)</w:t>
      </w:r>
      <w:bookmarkStart w:id="14" w:name="_GoBack"/>
      <w:bookmarkEnd w:id="14"/>
      <w:r w:rsidR="00530298">
        <w:t>.</w:t>
      </w:r>
      <w:r w:rsidR="00530298">
        <w:br w:type="page"/>
      </w:r>
    </w:p>
    <w:p w14:paraId="08AD8985" w14:textId="767B06B7" w:rsidR="00B238B3" w:rsidRDefault="00B238B3" w:rsidP="00B238B3">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052A87">
        <w:rPr>
          <w:noProof/>
        </w:rPr>
        <w:t>4</w:t>
      </w:r>
      <w:r>
        <w:rPr>
          <w:noProof/>
        </w:rPr>
        <w:fldChar w:fldCharType="end"/>
      </w:r>
      <w:bookmarkEnd w:id="11"/>
      <w:r>
        <w:rPr>
          <w:noProof/>
        </w:rPr>
        <w:tab/>
      </w:r>
      <w:r>
        <w:t xml:space="preserve">Overview of clinical utility </w:t>
      </w:r>
      <w:r w:rsidRPr="000F6C3B">
        <w:t>results by population</w:t>
      </w:r>
      <w:bookmarkEnd w:id="12"/>
      <w:r w:rsidRPr="000F6C3B">
        <w:t xml:space="preserve"> for PET/CT over </w:t>
      </w:r>
      <w:r>
        <w:t>conventional</w:t>
      </w:r>
      <w:r w:rsidRPr="000F6C3B">
        <w:t xml:space="preserve"> imaging</w:t>
      </w:r>
      <w:bookmarkEnd w:id="13"/>
    </w:p>
    <w:tbl>
      <w:tblPr>
        <w:tblStyle w:val="TableGrid1"/>
        <w:tblW w:w="5000" w:type="pct"/>
        <w:tblLook w:val="04A0" w:firstRow="1" w:lastRow="0" w:firstColumn="1" w:lastColumn="0" w:noHBand="0" w:noVBand="1"/>
        <w:tblCaption w:val="Overview of clinical utility results by population for PET/CT over conventional imaging"/>
      </w:tblPr>
      <w:tblGrid>
        <w:gridCol w:w="1894"/>
        <w:gridCol w:w="3673"/>
        <w:gridCol w:w="3675"/>
      </w:tblGrid>
      <w:tr w:rsidR="00B238B3" w14:paraId="1AEB4BDF" w14:textId="77777777" w:rsidTr="00E75AB8">
        <w:trPr>
          <w:cnfStyle w:val="100000000000" w:firstRow="1" w:lastRow="0" w:firstColumn="0" w:lastColumn="0" w:oddVBand="0" w:evenVBand="0" w:oddHBand="0" w:evenHBand="0" w:firstRowFirstColumn="0" w:firstRowLastColumn="0" w:lastRowFirstColumn="0" w:lastRowLastColumn="0"/>
        </w:trPr>
        <w:tc>
          <w:tcPr>
            <w:tcW w:w="1025" w:type="pct"/>
          </w:tcPr>
          <w:p w14:paraId="0481575C" w14:textId="77777777" w:rsidR="00B238B3" w:rsidRPr="00CD47AB" w:rsidRDefault="00B238B3" w:rsidP="00D2603F">
            <w:pPr>
              <w:pStyle w:val="Tabletext0"/>
            </w:pPr>
            <w:r w:rsidRPr="00CD47AB">
              <w:t>Population</w:t>
            </w:r>
          </w:p>
        </w:tc>
        <w:tc>
          <w:tcPr>
            <w:tcW w:w="1987" w:type="pct"/>
          </w:tcPr>
          <w:p w14:paraId="7101260E" w14:textId="2A45309C" w:rsidR="00B238B3" w:rsidRPr="00CD47AB" w:rsidRDefault="00B238B3" w:rsidP="00863B68">
            <w:pPr>
              <w:pStyle w:val="Tabletext0"/>
            </w:pPr>
            <w:r>
              <w:t>L</w:t>
            </w:r>
            <w:r w:rsidR="00863B68" w:rsidRPr="00863B68">
              <w:t>ocally advanced breast cancer</w:t>
            </w:r>
          </w:p>
        </w:tc>
        <w:tc>
          <w:tcPr>
            <w:tcW w:w="1988" w:type="pct"/>
            <w:tcBorders>
              <w:bottom w:val="single" w:sz="4" w:space="0" w:color="auto"/>
            </w:tcBorders>
          </w:tcPr>
          <w:p w14:paraId="541DEBC8" w14:textId="3D30DDF0" w:rsidR="00B238B3" w:rsidRPr="00CD47AB" w:rsidRDefault="00B238B3" w:rsidP="00D2603F">
            <w:pPr>
              <w:pStyle w:val="Tabletext0"/>
            </w:pPr>
            <w:r>
              <w:t xml:space="preserve">Suspected metastatic </w:t>
            </w:r>
            <w:r w:rsidR="005E2C85">
              <w:t xml:space="preserve">breast </w:t>
            </w:r>
            <w:r>
              <w:t>cancer, or suspected local or regional recurrence</w:t>
            </w:r>
          </w:p>
        </w:tc>
      </w:tr>
      <w:tr w:rsidR="00B238B3" w14:paraId="133CA908" w14:textId="77777777" w:rsidTr="00E75AB8">
        <w:tc>
          <w:tcPr>
            <w:tcW w:w="1025" w:type="pct"/>
          </w:tcPr>
          <w:p w14:paraId="4FCA7949" w14:textId="77777777" w:rsidR="00B238B3" w:rsidRPr="009A39AC" w:rsidRDefault="00B238B3" w:rsidP="00D2603F">
            <w:pPr>
              <w:pStyle w:val="Tabletext0"/>
            </w:pPr>
            <w:r>
              <w:t>% change in management, any</w:t>
            </w:r>
          </w:p>
        </w:tc>
        <w:tc>
          <w:tcPr>
            <w:tcW w:w="1987" w:type="pct"/>
          </w:tcPr>
          <w:p w14:paraId="259BC61B" w14:textId="3D2BE318" w:rsidR="00B238B3" w:rsidRDefault="00B238B3" w:rsidP="00D2603F">
            <w:pPr>
              <w:pStyle w:val="Tabletext0"/>
            </w:pPr>
            <w:r>
              <w:t xml:space="preserve">Mean: </w:t>
            </w:r>
            <w:r w:rsidR="00863B68">
              <w:t>19.2%</w:t>
            </w:r>
          </w:p>
          <w:p w14:paraId="640BB274" w14:textId="77777777" w:rsidR="00B238B3" w:rsidRDefault="00B238B3" w:rsidP="00D2603F">
            <w:pPr>
              <w:pStyle w:val="Tabletext0"/>
            </w:pPr>
            <w:r>
              <w:t>Weighted average: 16.6%</w:t>
            </w:r>
          </w:p>
          <w:p w14:paraId="2FC9F245" w14:textId="5E4F1009" w:rsidR="00B238B3" w:rsidRDefault="00B238B3" w:rsidP="00D2603F">
            <w:pPr>
              <w:pStyle w:val="Tabletext0"/>
            </w:pPr>
            <w:r>
              <w:t>M</w:t>
            </w:r>
            <w:r w:rsidRPr="007A268C">
              <w:t>edian</w:t>
            </w:r>
            <w:r>
              <w:t>:</w:t>
            </w:r>
            <w:r w:rsidR="00863B68">
              <w:t xml:space="preserve"> 18%</w:t>
            </w:r>
          </w:p>
          <w:p w14:paraId="71600AA5" w14:textId="67E5615D" w:rsidR="00B238B3" w:rsidRDefault="00B238B3" w:rsidP="00D2603F">
            <w:pPr>
              <w:pStyle w:val="Tabletext0"/>
            </w:pPr>
            <w:r>
              <w:t>Range</w:t>
            </w:r>
            <w:r w:rsidR="00863B68">
              <w:t>: 6.5–39.5%</w:t>
            </w:r>
          </w:p>
          <w:p w14:paraId="0C854405" w14:textId="22B38326" w:rsidR="00B238B3" w:rsidRPr="007A268C" w:rsidRDefault="00863B68" w:rsidP="00863B68">
            <w:pPr>
              <w:pStyle w:val="Tabletext0"/>
            </w:pPr>
            <w:r>
              <w:t>Number of studies = 9</w:t>
            </w:r>
          </w:p>
        </w:tc>
        <w:tc>
          <w:tcPr>
            <w:tcW w:w="1988" w:type="pct"/>
            <w:tcBorders>
              <w:bottom w:val="single" w:sz="4" w:space="0" w:color="auto"/>
            </w:tcBorders>
          </w:tcPr>
          <w:p w14:paraId="6F8F32D4" w14:textId="35EEB10A" w:rsidR="00B238B3" w:rsidRDefault="00B238B3" w:rsidP="00D2603F">
            <w:pPr>
              <w:pStyle w:val="Tabletext0"/>
            </w:pPr>
            <w:r>
              <w:t xml:space="preserve">Mean: </w:t>
            </w:r>
            <w:r w:rsidRPr="007A268C">
              <w:t>44.8%</w:t>
            </w:r>
          </w:p>
          <w:p w14:paraId="639DE600" w14:textId="77777777" w:rsidR="00B238B3" w:rsidRDefault="00B238B3" w:rsidP="00D2603F">
            <w:pPr>
              <w:pStyle w:val="Tabletext0"/>
            </w:pPr>
            <w:r>
              <w:t>Weighted average 48%</w:t>
            </w:r>
          </w:p>
          <w:p w14:paraId="3B8D78EC" w14:textId="52B647D6" w:rsidR="00B238B3" w:rsidRDefault="00B238B3" w:rsidP="00D2603F">
            <w:pPr>
              <w:pStyle w:val="Tabletext0"/>
            </w:pPr>
            <w:r>
              <w:t>M</w:t>
            </w:r>
            <w:r w:rsidRPr="007A268C">
              <w:t>edian</w:t>
            </w:r>
            <w:r>
              <w:t>:</w:t>
            </w:r>
            <w:r w:rsidR="00863B68">
              <w:t xml:space="preserve"> 50%</w:t>
            </w:r>
          </w:p>
          <w:p w14:paraId="3D64D74B" w14:textId="77777777" w:rsidR="00B238B3" w:rsidRDefault="00B238B3" w:rsidP="00D2603F">
            <w:pPr>
              <w:pStyle w:val="Tabletext0"/>
            </w:pPr>
            <w:r>
              <w:t>Range:</w:t>
            </w:r>
            <w:r w:rsidRPr="007A268C">
              <w:t xml:space="preserve"> 11–57%</w:t>
            </w:r>
          </w:p>
          <w:p w14:paraId="60A41EC0" w14:textId="0318F8AF" w:rsidR="00B238B3" w:rsidRPr="009A39AC" w:rsidRDefault="00863B68" w:rsidP="00D2603F">
            <w:pPr>
              <w:pStyle w:val="Tabletext0"/>
            </w:pPr>
            <w:r>
              <w:t xml:space="preserve">Number of studies </w:t>
            </w:r>
            <w:r w:rsidR="00B238B3" w:rsidRPr="007A268C">
              <w:t>=</w:t>
            </w:r>
            <w:r>
              <w:t xml:space="preserve"> </w:t>
            </w:r>
            <w:r w:rsidR="00B238B3" w:rsidRPr="007A268C">
              <w:t>7</w:t>
            </w:r>
          </w:p>
        </w:tc>
      </w:tr>
    </w:tbl>
    <w:p w14:paraId="75D823DB" w14:textId="7CE35C6A" w:rsidR="00F86738" w:rsidRDefault="00B238B3" w:rsidP="00A853D7">
      <w:pPr>
        <w:spacing w:before="240" w:after="240"/>
      </w:pPr>
      <w:r>
        <w:t>For population 1, results from an included Australian study</w:t>
      </w:r>
      <w:r w:rsidR="00E75AB8">
        <w:t xml:space="preserve"> (Ng 2015)</w:t>
      </w:r>
      <w:r>
        <w:t xml:space="preserve"> reported a change in management of 20.8% after PET/CT in patients with locally advanced breast cancer (population 1)</w:t>
      </w:r>
      <w:r w:rsidR="00E75AB8">
        <w:t xml:space="preserve"> and 57.1% after PET/CT in patients with suspected locally or regionally recurrent or suspected metastatic breast cancer (population 2).</w:t>
      </w:r>
    </w:p>
    <w:p w14:paraId="140B0D97" w14:textId="440DABD9" w:rsidR="002E2B41" w:rsidRPr="00062A5E" w:rsidRDefault="00F86738" w:rsidP="00A853D7">
      <w:pPr>
        <w:spacing w:after="240"/>
      </w:pPr>
      <w:r>
        <w:t xml:space="preserve">The </w:t>
      </w:r>
      <w:r w:rsidR="005E2C85">
        <w:t xml:space="preserve">clinical </w:t>
      </w:r>
      <w:r>
        <w:t>management changes in LABC were mostly to commence treatment with palliative intent rather than curative intent where metastases were detected, as the more aggressive curative treatment would be futile and more harmful.</w:t>
      </w:r>
      <w:r w:rsidR="005E2C85">
        <w:t xml:space="preserve"> The clinical management changes in suspected metastatic or recurrent breast cancer were more diverse.</w:t>
      </w:r>
    </w:p>
    <w:p w14:paraId="0715046B" w14:textId="7C3D72AE" w:rsidR="00F37B9C" w:rsidRDefault="00863B68" w:rsidP="004B3680">
      <w:pPr>
        <w:tabs>
          <w:tab w:val="left" w:pos="720"/>
          <w:tab w:val="left" w:pos="1140"/>
        </w:tabs>
        <w:spacing w:after="120"/>
        <w:rPr>
          <w:b/>
          <w:szCs w:val="24"/>
        </w:rPr>
      </w:pPr>
      <w:r>
        <w:rPr>
          <w:b/>
          <w:szCs w:val="24"/>
        </w:rPr>
        <w:t>Clinical c</w:t>
      </w:r>
      <w:r w:rsidR="00F37B9C" w:rsidRPr="00F37B9C">
        <w:rPr>
          <w:b/>
          <w:szCs w:val="24"/>
        </w:rPr>
        <w:t>laim</w:t>
      </w:r>
    </w:p>
    <w:p w14:paraId="4C5736F1" w14:textId="33AE5731" w:rsidR="00F64574" w:rsidRPr="00005A96" w:rsidRDefault="00F64574" w:rsidP="00F64574">
      <w:pPr>
        <w:rPr>
          <w:sz w:val="22"/>
          <w:szCs w:val="24"/>
        </w:rPr>
      </w:pPr>
      <w:r w:rsidRPr="00F64574">
        <w:t xml:space="preserve">The proposed clinical claim is that confirmatory PET/CT imaging is superior to confirmatory standard diagnostic imaging in terms of </w:t>
      </w:r>
      <w:r w:rsidR="00FA5E3B">
        <w:t>diagnostic accuracy and clinical utility</w:t>
      </w:r>
      <w:r w:rsidRPr="00F64574">
        <w:t>.</w:t>
      </w:r>
    </w:p>
    <w:p w14:paraId="48E38C9F" w14:textId="77777777" w:rsidR="00BC1364" w:rsidRPr="00F715D1" w:rsidRDefault="00BC1364" w:rsidP="00394530">
      <w:pPr>
        <w:pStyle w:val="Heading1"/>
        <w:ind w:hanging="720"/>
      </w:pPr>
      <w:r w:rsidRPr="00F715D1">
        <w:t>Economic evaluation</w:t>
      </w:r>
    </w:p>
    <w:p w14:paraId="79CA7EF3" w14:textId="33763CE5" w:rsidR="00530298" w:rsidRDefault="00F64574" w:rsidP="00AF7A39">
      <w:pPr>
        <w:spacing w:after="120"/>
      </w:pPr>
      <w:r w:rsidRPr="00F64574">
        <w:t xml:space="preserve">The </w:t>
      </w:r>
      <w:r w:rsidR="00E75AB8">
        <w:t xml:space="preserve">resubmission’s </w:t>
      </w:r>
      <w:r w:rsidRPr="00F64574">
        <w:t xml:space="preserve">economic evaluation </w:t>
      </w:r>
      <w:r w:rsidR="00C956C0">
        <w:t>was</w:t>
      </w:r>
      <w:r w:rsidRPr="00F64574">
        <w:t xml:space="preserve"> a cost-utility analysis</w:t>
      </w:r>
      <w:r w:rsidR="00E75AB8">
        <w:t xml:space="preserve"> (</w:t>
      </w:r>
      <w:r w:rsidR="00E75AB8">
        <w:fldChar w:fldCharType="begin"/>
      </w:r>
      <w:r w:rsidR="00E75AB8">
        <w:instrText xml:space="preserve"> REF _Ref520970157 \h </w:instrText>
      </w:r>
      <w:r w:rsidR="00E75AB8">
        <w:fldChar w:fldCharType="separate"/>
      </w:r>
      <w:r w:rsidR="00E75AB8">
        <w:t xml:space="preserve">Table </w:t>
      </w:r>
      <w:r w:rsidR="00E75AB8">
        <w:rPr>
          <w:noProof/>
        </w:rPr>
        <w:t>5</w:t>
      </w:r>
      <w:r w:rsidR="00E75AB8">
        <w:fldChar w:fldCharType="end"/>
      </w:r>
      <w:r w:rsidR="00E75AB8">
        <w:t>)</w:t>
      </w:r>
      <w:r w:rsidRPr="00F64574">
        <w:t>.</w:t>
      </w:r>
      <w:r w:rsidR="00005A96">
        <w:t xml:space="preserve"> The structure remained unchanged </w:t>
      </w:r>
      <w:r w:rsidR="00632E7E">
        <w:t xml:space="preserve">from the previous submission, </w:t>
      </w:r>
      <w:r w:rsidR="00005A96">
        <w:t xml:space="preserve">however, multiple variables, including accuracy estimates, assumptions regarding the number of repeated imaging tests and the decision impact of results </w:t>
      </w:r>
      <w:r w:rsidR="00632E7E">
        <w:t>were</w:t>
      </w:r>
      <w:r w:rsidR="00005A96">
        <w:t xml:space="preserve"> revised or updated.</w:t>
      </w:r>
    </w:p>
    <w:p w14:paraId="5EE09ED4" w14:textId="7A7B5E86" w:rsidR="00E75AB8" w:rsidRDefault="00E75AB8" w:rsidP="00E75AB8">
      <w:pPr>
        <w:pStyle w:val="Caption"/>
      </w:pPr>
      <w:bookmarkStart w:id="15" w:name="_Ref520970157"/>
      <w:bookmarkStart w:id="16" w:name="_Toc520984846"/>
      <w:r>
        <w:t xml:space="preserve">Table </w:t>
      </w:r>
      <w:r>
        <w:rPr>
          <w:noProof/>
        </w:rPr>
        <w:fldChar w:fldCharType="begin"/>
      </w:r>
      <w:r>
        <w:rPr>
          <w:noProof/>
        </w:rPr>
        <w:instrText xml:space="preserve"> SEQ Table \* ARABIC </w:instrText>
      </w:r>
      <w:r>
        <w:rPr>
          <w:noProof/>
        </w:rPr>
        <w:fldChar w:fldCharType="separate"/>
      </w:r>
      <w:r w:rsidR="00052A87">
        <w:rPr>
          <w:noProof/>
        </w:rPr>
        <w:t>5</w:t>
      </w:r>
      <w:r>
        <w:rPr>
          <w:noProof/>
        </w:rPr>
        <w:fldChar w:fldCharType="end"/>
      </w:r>
      <w:bookmarkEnd w:id="15"/>
      <w:r>
        <w:tab/>
      </w:r>
      <w:r w:rsidRPr="007D03D1">
        <w:t>Summary of the economic evaluation</w:t>
      </w:r>
      <w:bookmarkEnd w:id="16"/>
    </w:p>
    <w:tbl>
      <w:tblPr>
        <w:tblStyle w:val="TableGrid1"/>
        <w:tblW w:w="5000" w:type="pct"/>
        <w:tblLook w:val="01E0" w:firstRow="1" w:lastRow="1" w:firstColumn="1" w:lastColumn="1" w:noHBand="0" w:noVBand="0"/>
        <w:tblCaption w:val="Summary of the economic evaluation"/>
      </w:tblPr>
      <w:tblGrid>
        <w:gridCol w:w="2756"/>
        <w:gridCol w:w="3242"/>
        <w:gridCol w:w="3244"/>
      </w:tblGrid>
      <w:tr w:rsidR="00EC052A" w:rsidRPr="0084217D" w14:paraId="3FE60CF1" w14:textId="77777777" w:rsidTr="00D2603F">
        <w:trPr>
          <w:cnfStyle w:val="100000000000" w:firstRow="1" w:lastRow="0" w:firstColumn="0" w:lastColumn="0" w:oddVBand="0" w:evenVBand="0" w:oddHBand="0" w:evenHBand="0" w:firstRowFirstColumn="0" w:firstRowLastColumn="0" w:lastRowFirstColumn="0" w:lastRowLastColumn="0"/>
          <w:trHeight w:val="20"/>
        </w:trPr>
        <w:tc>
          <w:tcPr>
            <w:tcW w:w="1491" w:type="pct"/>
          </w:tcPr>
          <w:p w14:paraId="6A3A132A" w14:textId="77777777" w:rsidR="00EC052A" w:rsidRPr="0084217D" w:rsidRDefault="00EC052A" w:rsidP="00D2603F">
            <w:pPr>
              <w:pStyle w:val="Tabletext0"/>
            </w:pPr>
            <w:r w:rsidRPr="0084217D">
              <w:t>Perspective</w:t>
            </w:r>
          </w:p>
        </w:tc>
        <w:tc>
          <w:tcPr>
            <w:tcW w:w="3509" w:type="pct"/>
            <w:gridSpan w:val="2"/>
          </w:tcPr>
          <w:p w14:paraId="50FE1E87" w14:textId="77777777" w:rsidR="00EC052A" w:rsidRPr="0084217D" w:rsidRDefault="00EC052A" w:rsidP="00D2603F">
            <w:pPr>
              <w:pStyle w:val="Tabletext0"/>
            </w:pPr>
            <w:r>
              <w:t>Health care system</w:t>
            </w:r>
          </w:p>
        </w:tc>
      </w:tr>
      <w:tr w:rsidR="00EC052A" w:rsidRPr="0084217D" w14:paraId="3CC93308" w14:textId="77777777" w:rsidTr="00D2603F">
        <w:trPr>
          <w:trHeight w:val="20"/>
        </w:trPr>
        <w:tc>
          <w:tcPr>
            <w:tcW w:w="1491" w:type="pct"/>
          </w:tcPr>
          <w:p w14:paraId="778B429A" w14:textId="77777777" w:rsidR="00EC052A" w:rsidRPr="0084217D" w:rsidRDefault="00EC052A" w:rsidP="00AF7A39">
            <w:pPr>
              <w:pStyle w:val="Tabletext0"/>
              <w:spacing w:before="0" w:after="0"/>
            </w:pPr>
            <w:r w:rsidRPr="0084217D">
              <w:t>Comparator</w:t>
            </w:r>
          </w:p>
        </w:tc>
        <w:tc>
          <w:tcPr>
            <w:tcW w:w="3509" w:type="pct"/>
            <w:gridSpan w:val="2"/>
          </w:tcPr>
          <w:p w14:paraId="348711F8" w14:textId="09B2DE2E" w:rsidR="00EC052A" w:rsidRPr="00866575" w:rsidRDefault="00EC052A" w:rsidP="00AF7A39">
            <w:pPr>
              <w:pStyle w:val="Tabletext0"/>
              <w:spacing w:before="0" w:after="0"/>
            </w:pPr>
            <w:r w:rsidRPr="00866575">
              <w:t>C</w:t>
            </w:r>
            <w:r w:rsidR="00632E7E">
              <w:t xml:space="preserve">onventional </w:t>
            </w:r>
            <w:r w:rsidR="00632E7E" w:rsidRPr="00866575">
              <w:t>i</w:t>
            </w:r>
            <w:r w:rsidR="00632E7E">
              <w:t>maging</w:t>
            </w:r>
          </w:p>
        </w:tc>
      </w:tr>
      <w:tr w:rsidR="00EC052A" w:rsidRPr="0084217D" w14:paraId="19ABADF3" w14:textId="77777777" w:rsidTr="00D2603F">
        <w:trPr>
          <w:trHeight w:val="20"/>
        </w:trPr>
        <w:tc>
          <w:tcPr>
            <w:tcW w:w="1491" w:type="pct"/>
          </w:tcPr>
          <w:p w14:paraId="0DB78EE1" w14:textId="77777777" w:rsidR="00EC052A" w:rsidRPr="0084217D" w:rsidRDefault="00EC052A" w:rsidP="00AF7A39">
            <w:pPr>
              <w:pStyle w:val="Tabletext0"/>
              <w:spacing w:before="0" w:after="0"/>
            </w:pPr>
            <w:r w:rsidRPr="0084217D">
              <w:t>Type of economic evaluation</w:t>
            </w:r>
          </w:p>
        </w:tc>
        <w:tc>
          <w:tcPr>
            <w:tcW w:w="3509" w:type="pct"/>
            <w:gridSpan w:val="2"/>
          </w:tcPr>
          <w:p w14:paraId="55F10077" w14:textId="6F8D3670" w:rsidR="00EC052A" w:rsidRPr="00866575" w:rsidRDefault="00EC052A" w:rsidP="00AF7A39">
            <w:pPr>
              <w:pStyle w:val="Tabletext0"/>
              <w:spacing w:before="0" w:after="0"/>
            </w:pPr>
            <w:r w:rsidRPr="00866575">
              <w:t>C</w:t>
            </w:r>
            <w:r w:rsidR="00632E7E">
              <w:t>ost-utility analysis</w:t>
            </w:r>
          </w:p>
        </w:tc>
      </w:tr>
      <w:tr w:rsidR="00EC052A" w:rsidRPr="0084217D" w14:paraId="69AB03E8" w14:textId="77777777" w:rsidTr="00D2603F">
        <w:trPr>
          <w:trHeight w:val="20"/>
        </w:trPr>
        <w:tc>
          <w:tcPr>
            <w:tcW w:w="1491" w:type="pct"/>
          </w:tcPr>
          <w:p w14:paraId="6A3CF926" w14:textId="77777777" w:rsidR="00EC052A" w:rsidRPr="0084217D" w:rsidRDefault="00EC052A" w:rsidP="00AF7A39">
            <w:pPr>
              <w:pStyle w:val="Tabletext0"/>
              <w:spacing w:before="0" w:after="0"/>
            </w:pPr>
            <w:r w:rsidRPr="0084217D">
              <w:t>Sources of evidence</w:t>
            </w:r>
          </w:p>
        </w:tc>
        <w:tc>
          <w:tcPr>
            <w:tcW w:w="3509" w:type="pct"/>
            <w:gridSpan w:val="2"/>
          </w:tcPr>
          <w:p w14:paraId="402F17A6" w14:textId="677BE9BE" w:rsidR="00EC052A" w:rsidRPr="00866575" w:rsidRDefault="00EC052A" w:rsidP="00AF7A39">
            <w:pPr>
              <w:pStyle w:val="Tabletext0"/>
              <w:spacing w:before="0" w:after="0"/>
            </w:pPr>
            <w:r w:rsidRPr="00866575">
              <w:t>Linked evidence</w:t>
            </w:r>
            <w:r w:rsidR="00632E7E">
              <w:t xml:space="preserve"> approach</w:t>
            </w:r>
          </w:p>
        </w:tc>
      </w:tr>
      <w:tr w:rsidR="00EC052A" w:rsidRPr="0084217D" w14:paraId="41F87EB0" w14:textId="77777777" w:rsidTr="00D2603F">
        <w:trPr>
          <w:trHeight w:val="20"/>
        </w:trPr>
        <w:tc>
          <w:tcPr>
            <w:tcW w:w="1491" w:type="pct"/>
            <w:hideMark/>
          </w:tcPr>
          <w:p w14:paraId="60C1DBDB" w14:textId="77777777" w:rsidR="00EC052A" w:rsidRPr="0084217D" w:rsidRDefault="00EC052A" w:rsidP="00AF7A39">
            <w:pPr>
              <w:pStyle w:val="Tabletext0"/>
              <w:spacing w:before="0" w:after="0"/>
            </w:pPr>
            <w:r w:rsidRPr="0084217D">
              <w:t>Time horizon</w:t>
            </w:r>
          </w:p>
        </w:tc>
        <w:tc>
          <w:tcPr>
            <w:tcW w:w="3509" w:type="pct"/>
            <w:gridSpan w:val="2"/>
          </w:tcPr>
          <w:p w14:paraId="081C5513" w14:textId="77777777" w:rsidR="00EC052A" w:rsidRPr="00866575" w:rsidRDefault="00EC052A" w:rsidP="00AF7A39">
            <w:pPr>
              <w:pStyle w:val="Tabletext0"/>
              <w:spacing w:before="0" w:after="0"/>
            </w:pPr>
            <w:r w:rsidRPr="00866575">
              <w:t>10 years</w:t>
            </w:r>
          </w:p>
        </w:tc>
      </w:tr>
      <w:tr w:rsidR="00EC052A" w:rsidRPr="0084217D" w14:paraId="624A8555" w14:textId="77777777" w:rsidTr="00D2603F">
        <w:trPr>
          <w:trHeight w:val="20"/>
        </w:trPr>
        <w:tc>
          <w:tcPr>
            <w:tcW w:w="1491" w:type="pct"/>
            <w:hideMark/>
          </w:tcPr>
          <w:p w14:paraId="7520F608" w14:textId="77777777" w:rsidR="00EC052A" w:rsidRPr="0084217D" w:rsidRDefault="00EC052A" w:rsidP="00AF7A39">
            <w:pPr>
              <w:pStyle w:val="Tabletext0"/>
              <w:spacing w:before="0" w:after="0"/>
            </w:pPr>
            <w:r w:rsidRPr="0084217D">
              <w:t>Outcomes</w:t>
            </w:r>
          </w:p>
        </w:tc>
        <w:tc>
          <w:tcPr>
            <w:tcW w:w="3509" w:type="pct"/>
            <w:gridSpan w:val="2"/>
          </w:tcPr>
          <w:p w14:paraId="0C8B97C8" w14:textId="77777777" w:rsidR="00EC052A" w:rsidRPr="00866575" w:rsidRDefault="00EC052A" w:rsidP="00AF7A39">
            <w:pPr>
              <w:pStyle w:val="Tabletext0"/>
              <w:spacing w:before="0" w:after="0"/>
            </w:pPr>
            <w:r w:rsidRPr="00866575">
              <w:t>Cost, LYG, QALY, incremental cost per QALY gained</w:t>
            </w:r>
          </w:p>
        </w:tc>
      </w:tr>
      <w:tr w:rsidR="00EC052A" w:rsidRPr="0084217D" w14:paraId="2512EA66" w14:textId="77777777" w:rsidTr="00E75AB8">
        <w:trPr>
          <w:trHeight w:val="20"/>
        </w:trPr>
        <w:tc>
          <w:tcPr>
            <w:tcW w:w="1491" w:type="pct"/>
            <w:tcBorders>
              <w:bottom w:val="single" w:sz="4" w:space="0" w:color="auto"/>
            </w:tcBorders>
            <w:hideMark/>
          </w:tcPr>
          <w:p w14:paraId="5FE9F820" w14:textId="77777777" w:rsidR="00EC052A" w:rsidRPr="0084217D" w:rsidRDefault="00EC052A" w:rsidP="00AF7A39">
            <w:pPr>
              <w:pStyle w:val="Tabletext0"/>
              <w:spacing w:before="0" w:after="0"/>
            </w:pPr>
            <w:r w:rsidRPr="0084217D">
              <w:t>Methods used to generate results</w:t>
            </w:r>
          </w:p>
        </w:tc>
        <w:tc>
          <w:tcPr>
            <w:tcW w:w="3509" w:type="pct"/>
            <w:gridSpan w:val="2"/>
            <w:tcBorders>
              <w:bottom w:val="single" w:sz="4" w:space="0" w:color="auto"/>
            </w:tcBorders>
          </w:tcPr>
          <w:p w14:paraId="2DE0D332" w14:textId="77777777" w:rsidR="00EC052A" w:rsidRPr="00866575" w:rsidRDefault="00EC052A" w:rsidP="00AF7A39">
            <w:pPr>
              <w:pStyle w:val="Tabletext0"/>
              <w:spacing w:before="0" w:after="0"/>
            </w:pPr>
            <w:r w:rsidRPr="00866575">
              <w:t>Combined decision tree model and Markov cohort model</w:t>
            </w:r>
          </w:p>
        </w:tc>
      </w:tr>
      <w:tr w:rsidR="00EC052A" w:rsidRPr="0084217D" w14:paraId="63488B0A" w14:textId="77777777" w:rsidTr="00E75AB8">
        <w:trPr>
          <w:trHeight w:val="231"/>
        </w:trPr>
        <w:tc>
          <w:tcPr>
            <w:tcW w:w="1491" w:type="pct"/>
            <w:tcBorders>
              <w:top w:val="single" w:sz="4" w:space="0" w:color="auto"/>
              <w:left w:val="single" w:sz="4" w:space="0" w:color="auto"/>
              <w:bottom w:val="nil"/>
              <w:right w:val="single" w:sz="4" w:space="0" w:color="auto"/>
            </w:tcBorders>
          </w:tcPr>
          <w:p w14:paraId="61B71E99" w14:textId="77777777" w:rsidR="00EC052A" w:rsidRPr="001F21AB" w:rsidRDefault="00EC052A" w:rsidP="00AF7A39">
            <w:pPr>
              <w:pStyle w:val="Tabletext0"/>
              <w:spacing w:before="0" w:after="0"/>
              <w:rPr>
                <w:vertAlign w:val="superscript"/>
              </w:rPr>
            </w:pPr>
            <w:r w:rsidRPr="0084217D">
              <w:t>Health states</w:t>
            </w:r>
            <w:r>
              <w:rPr>
                <w:vertAlign w:val="superscript"/>
              </w:rPr>
              <w:t>a</w:t>
            </w:r>
          </w:p>
        </w:tc>
        <w:tc>
          <w:tcPr>
            <w:tcW w:w="1754" w:type="pct"/>
            <w:tcBorders>
              <w:top w:val="single" w:sz="4" w:space="0" w:color="auto"/>
              <w:left w:val="single" w:sz="4" w:space="0" w:color="auto"/>
              <w:bottom w:val="nil"/>
              <w:right w:val="nil"/>
            </w:tcBorders>
          </w:tcPr>
          <w:p w14:paraId="491DC1BA" w14:textId="77777777" w:rsidR="00EC052A" w:rsidRDefault="00EC052A" w:rsidP="00AF7A39">
            <w:pPr>
              <w:pStyle w:val="Tabletext0"/>
              <w:spacing w:before="0" w:after="0"/>
            </w:pPr>
            <w:r w:rsidRPr="007450F6">
              <w:rPr>
                <w:u w:val="single"/>
              </w:rPr>
              <w:t>Population 1</w:t>
            </w:r>
          </w:p>
        </w:tc>
        <w:tc>
          <w:tcPr>
            <w:tcW w:w="1755" w:type="pct"/>
            <w:tcBorders>
              <w:top w:val="single" w:sz="4" w:space="0" w:color="auto"/>
              <w:left w:val="nil"/>
              <w:bottom w:val="nil"/>
              <w:right w:val="single" w:sz="4" w:space="0" w:color="auto"/>
            </w:tcBorders>
          </w:tcPr>
          <w:p w14:paraId="159DD6DD" w14:textId="77777777" w:rsidR="00EC052A" w:rsidRPr="0084217D" w:rsidRDefault="00EC052A" w:rsidP="00AF7A39">
            <w:pPr>
              <w:pStyle w:val="Tabletext0"/>
              <w:spacing w:before="0" w:after="0"/>
              <w:rPr>
                <w:vanish/>
              </w:rPr>
            </w:pPr>
            <w:r w:rsidRPr="007450F6">
              <w:rPr>
                <w:u w:val="single"/>
              </w:rPr>
              <w:t>Population 2</w:t>
            </w:r>
          </w:p>
        </w:tc>
      </w:tr>
      <w:tr w:rsidR="00EC052A" w:rsidRPr="0084217D" w14:paraId="60B9E164" w14:textId="77777777" w:rsidTr="00E75AB8">
        <w:trPr>
          <w:trHeight w:val="300"/>
        </w:trPr>
        <w:tc>
          <w:tcPr>
            <w:tcW w:w="1491" w:type="pct"/>
            <w:tcBorders>
              <w:top w:val="nil"/>
              <w:left w:val="single" w:sz="4" w:space="0" w:color="auto"/>
              <w:bottom w:val="nil"/>
              <w:right w:val="single" w:sz="4" w:space="0" w:color="auto"/>
            </w:tcBorders>
          </w:tcPr>
          <w:p w14:paraId="710AE5A8" w14:textId="77777777" w:rsidR="00EC052A" w:rsidRPr="0084217D" w:rsidRDefault="00EC052A" w:rsidP="00AF7A39">
            <w:pPr>
              <w:pStyle w:val="Tabletext0"/>
              <w:spacing w:before="0" w:after="0"/>
            </w:pPr>
          </w:p>
        </w:tc>
        <w:tc>
          <w:tcPr>
            <w:tcW w:w="1754" w:type="pct"/>
            <w:tcBorders>
              <w:top w:val="nil"/>
              <w:left w:val="single" w:sz="4" w:space="0" w:color="auto"/>
              <w:bottom w:val="nil"/>
              <w:right w:val="nil"/>
            </w:tcBorders>
          </w:tcPr>
          <w:p w14:paraId="4A1954DE" w14:textId="77777777" w:rsidR="00EC052A" w:rsidRPr="007450F6" w:rsidRDefault="00EC052A" w:rsidP="00AF7A39">
            <w:pPr>
              <w:pStyle w:val="Tabletext0"/>
              <w:spacing w:before="0" w:after="0"/>
              <w:rPr>
                <w:u w:val="single"/>
              </w:rPr>
            </w:pPr>
            <w:r>
              <w:t>MET Optimal tx</w:t>
            </w:r>
          </w:p>
        </w:tc>
        <w:tc>
          <w:tcPr>
            <w:tcW w:w="1755" w:type="pct"/>
            <w:tcBorders>
              <w:top w:val="nil"/>
              <w:left w:val="nil"/>
              <w:bottom w:val="nil"/>
              <w:right w:val="single" w:sz="4" w:space="0" w:color="auto"/>
            </w:tcBorders>
          </w:tcPr>
          <w:p w14:paraId="48D9A5C9" w14:textId="77777777" w:rsidR="00EC052A" w:rsidRPr="007450F6" w:rsidRDefault="00EC052A" w:rsidP="00AF7A39">
            <w:pPr>
              <w:pStyle w:val="Tabletext0"/>
              <w:spacing w:before="0" w:after="0"/>
              <w:rPr>
                <w:u w:val="single"/>
              </w:rPr>
            </w:pPr>
            <w:r>
              <w:t>MET Optimal tx</w:t>
            </w:r>
          </w:p>
        </w:tc>
      </w:tr>
      <w:tr w:rsidR="00EC052A" w:rsidRPr="0084217D" w14:paraId="41B4AE9C" w14:textId="77777777" w:rsidTr="00E75AB8">
        <w:trPr>
          <w:trHeight w:val="264"/>
        </w:trPr>
        <w:tc>
          <w:tcPr>
            <w:tcW w:w="1491" w:type="pct"/>
            <w:tcBorders>
              <w:top w:val="nil"/>
              <w:left w:val="single" w:sz="4" w:space="0" w:color="auto"/>
              <w:bottom w:val="nil"/>
              <w:right w:val="single" w:sz="4" w:space="0" w:color="auto"/>
            </w:tcBorders>
          </w:tcPr>
          <w:p w14:paraId="56089D35" w14:textId="77777777" w:rsidR="00EC052A" w:rsidRPr="0084217D" w:rsidRDefault="00EC052A" w:rsidP="00AF7A39">
            <w:pPr>
              <w:pStyle w:val="Tabletext0"/>
              <w:spacing w:before="0" w:after="0"/>
            </w:pPr>
          </w:p>
        </w:tc>
        <w:tc>
          <w:tcPr>
            <w:tcW w:w="1754" w:type="pct"/>
            <w:tcBorders>
              <w:top w:val="nil"/>
              <w:left w:val="single" w:sz="4" w:space="0" w:color="auto"/>
              <w:bottom w:val="nil"/>
              <w:right w:val="nil"/>
            </w:tcBorders>
          </w:tcPr>
          <w:p w14:paraId="2383D8F7" w14:textId="77777777" w:rsidR="00EC052A" w:rsidRDefault="00EC052A" w:rsidP="00AF7A39">
            <w:pPr>
              <w:pStyle w:val="Tabletext0"/>
              <w:spacing w:before="0" w:after="0"/>
            </w:pPr>
            <w:r>
              <w:t>MET Suboptimal tx</w:t>
            </w:r>
          </w:p>
        </w:tc>
        <w:tc>
          <w:tcPr>
            <w:tcW w:w="1755" w:type="pct"/>
            <w:tcBorders>
              <w:top w:val="nil"/>
              <w:left w:val="nil"/>
              <w:bottom w:val="nil"/>
              <w:right w:val="single" w:sz="4" w:space="0" w:color="auto"/>
            </w:tcBorders>
          </w:tcPr>
          <w:p w14:paraId="142745FD" w14:textId="77777777" w:rsidR="00EC052A" w:rsidRDefault="00EC052A" w:rsidP="00AF7A39">
            <w:pPr>
              <w:pStyle w:val="Tabletext0"/>
              <w:spacing w:before="0" w:after="0"/>
            </w:pPr>
            <w:r>
              <w:t>MET Suboptimal tx</w:t>
            </w:r>
          </w:p>
        </w:tc>
      </w:tr>
      <w:tr w:rsidR="00EC052A" w:rsidRPr="0084217D" w14:paraId="50C308A1" w14:textId="77777777" w:rsidTr="00E75AB8">
        <w:trPr>
          <w:trHeight w:val="300"/>
        </w:trPr>
        <w:tc>
          <w:tcPr>
            <w:tcW w:w="1491" w:type="pct"/>
            <w:tcBorders>
              <w:top w:val="nil"/>
              <w:left w:val="single" w:sz="4" w:space="0" w:color="auto"/>
              <w:bottom w:val="nil"/>
              <w:right w:val="single" w:sz="4" w:space="0" w:color="auto"/>
            </w:tcBorders>
          </w:tcPr>
          <w:p w14:paraId="4B9B7D40" w14:textId="77777777" w:rsidR="00EC052A" w:rsidRPr="0084217D" w:rsidRDefault="00EC052A" w:rsidP="00AF7A39">
            <w:pPr>
              <w:pStyle w:val="Tabletext0"/>
              <w:spacing w:before="0" w:after="0"/>
            </w:pPr>
          </w:p>
        </w:tc>
        <w:tc>
          <w:tcPr>
            <w:tcW w:w="1754" w:type="pct"/>
            <w:tcBorders>
              <w:top w:val="nil"/>
              <w:left w:val="single" w:sz="4" w:space="0" w:color="auto"/>
              <w:bottom w:val="nil"/>
              <w:right w:val="nil"/>
            </w:tcBorders>
          </w:tcPr>
          <w:p w14:paraId="2720CD47" w14:textId="77777777" w:rsidR="00EC052A" w:rsidRDefault="00EC052A" w:rsidP="00AF7A39">
            <w:pPr>
              <w:pStyle w:val="Tabletext0"/>
              <w:spacing w:before="0" w:after="0"/>
            </w:pPr>
            <w:r>
              <w:t>LOC Optimal tx</w:t>
            </w:r>
          </w:p>
        </w:tc>
        <w:tc>
          <w:tcPr>
            <w:tcW w:w="1755" w:type="pct"/>
            <w:tcBorders>
              <w:top w:val="nil"/>
              <w:left w:val="nil"/>
              <w:bottom w:val="nil"/>
              <w:right w:val="single" w:sz="4" w:space="0" w:color="auto"/>
            </w:tcBorders>
          </w:tcPr>
          <w:p w14:paraId="306FEC25" w14:textId="77777777" w:rsidR="00EC052A" w:rsidRDefault="00EC052A" w:rsidP="00AF7A39">
            <w:pPr>
              <w:pStyle w:val="Tabletext0"/>
              <w:spacing w:before="0" w:after="0"/>
            </w:pPr>
            <w:r>
              <w:t>MET Untreated</w:t>
            </w:r>
          </w:p>
        </w:tc>
      </w:tr>
      <w:tr w:rsidR="00EC052A" w:rsidRPr="0084217D" w14:paraId="1A51AA15" w14:textId="77777777" w:rsidTr="00E75AB8">
        <w:trPr>
          <w:trHeight w:val="300"/>
        </w:trPr>
        <w:tc>
          <w:tcPr>
            <w:tcW w:w="1491" w:type="pct"/>
            <w:tcBorders>
              <w:top w:val="nil"/>
              <w:left w:val="single" w:sz="4" w:space="0" w:color="auto"/>
              <w:bottom w:val="nil"/>
              <w:right w:val="single" w:sz="4" w:space="0" w:color="auto"/>
            </w:tcBorders>
          </w:tcPr>
          <w:p w14:paraId="652EE360" w14:textId="77777777" w:rsidR="00EC052A" w:rsidRPr="0084217D" w:rsidRDefault="00EC052A" w:rsidP="00AF7A39">
            <w:pPr>
              <w:pStyle w:val="Tabletext0"/>
              <w:spacing w:before="0" w:after="0"/>
            </w:pPr>
          </w:p>
        </w:tc>
        <w:tc>
          <w:tcPr>
            <w:tcW w:w="1754" w:type="pct"/>
            <w:tcBorders>
              <w:top w:val="nil"/>
              <w:left w:val="single" w:sz="4" w:space="0" w:color="auto"/>
              <w:bottom w:val="nil"/>
              <w:right w:val="nil"/>
            </w:tcBorders>
          </w:tcPr>
          <w:p w14:paraId="52D5C060" w14:textId="77777777" w:rsidR="00EC052A" w:rsidRDefault="00EC052A" w:rsidP="00AF7A39">
            <w:pPr>
              <w:pStyle w:val="Tabletext0"/>
              <w:keepNext/>
              <w:spacing w:before="0" w:after="0"/>
            </w:pPr>
            <w:r>
              <w:t>Dead</w:t>
            </w:r>
          </w:p>
        </w:tc>
        <w:tc>
          <w:tcPr>
            <w:tcW w:w="1755" w:type="pct"/>
            <w:tcBorders>
              <w:top w:val="nil"/>
              <w:left w:val="nil"/>
              <w:bottom w:val="nil"/>
              <w:right w:val="single" w:sz="4" w:space="0" w:color="auto"/>
            </w:tcBorders>
          </w:tcPr>
          <w:p w14:paraId="6D420F4B" w14:textId="77777777" w:rsidR="00EC052A" w:rsidRDefault="00EC052A" w:rsidP="00AF7A39">
            <w:pPr>
              <w:pStyle w:val="Tabletext0"/>
              <w:spacing w:before="0" w:after="0"/>
            </w:pPr>
            <w:r>
              <w:t>LOC Optimal tx</w:t>
            </w:r>
          </w:p>
        </w:tc>
      </w:tr>
      <w:tr w:rsidR="00EC052A" w:rsidRPr="0084217D" w14:paraId="5E14BFA0" w14:textId="77777777" w:rsidTr="00E75AB8">
        <w:trPr>
          <w:trHeight w:val="263"/>
        </w:trPr>
        <w:tc>
          <w:tcPr>
            <w:tcW w:w="1491" w:type="pct"/>
            <w:tcBorders>
              <w:top w:val="nil"/>
              <w:left w:val="single" w:sz="4" w:space="0" w:color="auto"/>
              <w:bottom w:val="nil"/>
              <w:right w:val="single" w:sz="4" w:space="0" w:color="auto"/>
            </w:tcBorders>
          </w:tcPr>
          <w:p w14:paraId="49F6A897" w14:textId="77777777" w:rsidR="00EC052A" w:rsidRPr="0084217D" w:rsidRDefault="00EC052A" w:rsidP="00AF7A39">
            <w:pPr>
              <w:pStyle w:val="Tabletext0"/>
              <w:spacing w:before="0" w:after="0"/>
            </w:pPr>
          </w:p>
        </w:tc>
        <w:tc>
          <w:tcPr>
            <w:tcW w:w="1754" w:type="pct"/>
            <w:tcBorders>
              <w:top w:val="nil"/>
              <w:left w:val="single" w:sz="4" w:space="0" w:color="auto"/>
              <w:bottom w:val="nil"/>
              <w:right w:val="nil"/>
            </w:tcBorders>
          </w:tcPr>
          <w:p w14:paraId="16AE9534" w14:textId="77777777" w:rsidR="00EC052A" w:rsidRDefault="00EC052A" w:rsidP="00AF7A39">
            <w:pPr>
              <w:pStyle w:val="Tabletext0"/>
              <w:keepNext/>
              <w:spacing w:before="0" w:after="0"/>
            </w:pPr>
          </w:p>
        </w:tc>
        <w:tc>
          <w:tcPr>
            <w:tcW w:w="1755" w:type="pct"/>
            <w:tcBorders>
              <w:top w:val="nil"/>
              <w:left w:val="nil"/>
              <w:bottom w:val="nil"/>
              <w:right w:val="single" w:sz="4" w:space="0" w:color="auto"/>
            </w:tcBorders>
          </w:tcPr>
          <w:p w14:paraId="429EB865" w14:textId="77777777" w:rsidR="00EC052A" w:rsidRDefault="00EC052A" w:rsidP="00AF7A39">
            <w:pPr>
              <w:pStyle w:val="Tabletext0"/>
              <w:spacing w:before="0" w:after="0"/>
            </w:pPr>
            <w:r>
              <w:t>LOC Untreated</w:t>
            </w:r>
          </w:p>
        </w:tc>
      </w:tr>
      <w:tr w:rsidR="00EC052A" w:rsidRPr="0084217D" w14:paraId="2C8DD1C8" w14:textId="77777777" w:rsidTr="00E75AB8">
        <w:trPr>
          <w:trHeight w:val="279"/>
        </w:trPr>
        <w:tc>
          <w:tcPr>
            <w:tcW w:w="1491" w:type="pct"/>
            <w:tcBorders>
              <w:top w:val="nil"/>
              <w:left w:val="single" w:sz="4" w:space="0" w:color="auto"/>
              <w:bottom w:val="nil"/>
              <w:right w:val="single" w:sz="4" w:space="0" w:color="auto"/>
            </w:tcBorders>
          </w:tcPr>
          <w:p w14:paraId="5D083B29" w14:textId="77777777" w:rsidR="00EC052A" w:rsidRPr="0084217D" w:rsidRDefault="00EC052A" w:rsidP="00AF7A39">
            <w:pPr>
              <w:pStyle w:val="Tabletext0"/>
              <w:spacing w:before="0" w:after="0"/>
            </w:pPr>
          </w:p>
        </w:tc>
        <w:tc>
          <w:tcPr>
            <w:tcW w:w="1754" w:type="pct"/>
            <w:tcBorders>
              <w:top w:val="nil"/>
              <w:left w:val="single" w:sz="4" w:space="0" w:color="auto"/>
              <w:bottom w:val="nil"/>
              <w:right w:val="nil"/>
            </w:tcBorders>
          </w:tcPr>
          <w:p w14:paraId="1FD26C2A" w14:textId="77777777" w:rsidR="00EC052A" w:rsidRDefault="00EC052A" w:rsidP="00AF7A39">
            <w:pPr>
              <w:pStyle w:val="Tabletext0"/>
              <w:keepNext/>
              <w:spacing w:before="0" w:after="0"/>
            </w:pPr>
          </w:p>
        </w:tc>
        <w:tc>
          <w:tcPr>
            <w:tcW w:w="1755" w:type="pct"/>
            <w:tcBorders>
              <w:top w:val="nil"/>
              <w:left w:val="nil"/>
              <w:bottom w:val="nil"/>
              <w:right w:val="single" w:sz="4" w:space="0" w:color="auto"/>
            </w:tcBorders>
          </w:tcPr>
          <w:p w14:paraId="668C39AF" w14:textId="77777777" w:rsidR="00EC052A" w:rsidRDefault="00EC052A" w:rsidP="00AF7A39">
            <w:pPr>
              <w:pStyle w:val="Tabletext0"/>
              <w:spacing w:before="0" w:after="0"/>
            </w:pPr>
            <w:r>
              <w:t>NO C Untreated</w:t>
            </w:r>
          </w:p>
        </w:tc>
      </w:tr>
      <w:tr w:rsidR="00EC052A" w:rsidRPr="0084217D" w14:paraId="7A80BC6F" w14:textId="77777777" w:rsidTr="00EC052A">
        <w:trPr>
          <w:trHeight w:val="285"/>
        </w:trPr>
        <w:tc>
          <w:tcPr>
            <w:tcW w:w="1491" w:type="pct"/>
            <w:tcBorders>
              <w:top w:val="nil"/>
              <w:left w:val="single" w:sz="4" w:space="0" w:color="auto"/>
              <w:bottom w:val="single" w:sz="4" w:space="0" w:color="auto"/>
              <w:right w:val="single" w:sz="4" w:space="0" w:color="auto"/>
            </w:tcBorders>
          </w:tcPr>
          <w:p w14:paraId="57B5AC03" w14:textId="77777777" w:rsidR="00EC052A" w:rsidRPr="0084217D" w:rsidRDefault="00EC052A" w:rsidP="00AF7A39">
            <w:pPr>
              <w:pStyle w:val="Tabletext0"/>
              <w:spacing w:before="0" w:after="0"/>
            </w:pPr>
          </w:p>
        </w:tc>
        <w:tc>
          <w:tcPr>
            <w:tcW w:w="1754" w:type="pct"/>
            <w:tcBorders>
              <w:top w:val="nil"/>
              <w:left w:val="single" w:sz="4" w:space="0" w:color="auto"/>
              <w:bottom w:val="single" w:sz="4" w:space="0" w:color="auto"/>
              <w:right w:val="nil"/>
            </w:tcBorders>
          </w:tcPr>
          <w:p w14:paraId="6F94DE6E" w14:textId="77777777" w:rsidR="00EC052A" w:rsidRDefault="00EC052A" w:rsidP="00AF7A39">
            <w:pPr>
              <w:pStyle w:val="Tabletext0"/>
              <w:keepNext/>
              <w:spacing w:before="0" w:after="0"/>
            </w:pPr>
          </w:p>
        </w:tc>
        <w:tc>
          <w:tcPr>
            <w:tcW w:w="1755" w:type="pct"/>
            <w:tcBorders>
              <w:top w:val="nil"/>
              <w:left w:val="nil"/>
              <w:bottom w:val="single" w:sz="4" w:space="0" w:color="auto"/>
              <w:right w:val="single" w:sz="4" w:space="0" w:color="auto"/>
            </w:tcBorders>
          </w:tcPr>
          <w:p w14:paraId="3D261F04" w14:textId="77777777" w:rsidR="00EC052A" w:rsidRDefault="00EC052A" w:rsidP="00AF7A39">
            <w:pPr>
              <w:pStyle w:val="Tabletext0"/>
              <w:spacing w:before="0" w:after="0"/>
            </w:pPr>
            <w:r>
              <w:t>Dead</w:t>
            </w:r>
          </w:p>
        </w:tc>
      </w:tr>
      <w:tr w:rsidR="00EC052A" w:rsidRPr="0084217D" w14:paraId="1B5E13B2" w14:textId="77777777" w:rsidTr="00EC052A">
        <w:trPr>
          <w:trHeight w:val="20"/>
        </w:trPr>
        <w:tc>
          <w:tcPr>
            <w:tcW w:w="1491" w:type="pct"/>
            <w:tcBorders>
              <w:top w:val="single" w:sz="4" w:space="0" w:color="auto"/>
              <w:left w:val="single" w:sz="4" w:space="0" w:color="auto"/>
              <w:bottom w:val="single" w:sz="4" w:space="0" w:color="auto"/>
              <w:right w:val="single" w:sz="4" w:space="0" w:color="auto"/>
            </w:tcBorders>
          </w:tcPr>
          <w:p w14:paraId="37C9E250" w14:textId="77777777" w:rsidR="00EC052A" w:rsidRPr="0084217D" w:rsidRDefault="00EC052A" w:rsidP="00AF7A39">
            <w:pPr>
              <w:pStyle w:val="Tabletext0"/>
              <w:spacing w:before="0" w:after="0"/>
            </w:pPr>
            <w:r>
              <w:t>Cycle length</w:t>
            </w:r>
          </w:p>
        </w:tc>
        <w:tc>
          <w:tcPr>
            <w:tcW w:w="3509" w:type="pct"/>
            <w:gridSpan w:val="2"/>
            <w:tcBorders>
              <w:top w:val="single" w:sz="4" w:space="0" w:color="auto"/>
              <w:left w:val="single" w:sz="4" w:space="0" w:color="auto"/>
              <w:bottom w:val="single" w:sz="4" w:space="0" w:color="auto"/>
              <w:right w:val="single" w:sz="4" w:space="0" w:color="auto"/>
            </w:tcBorders>
          </w:tcPr>
          <w:p w14:paraId="56FBF7CB" w14:textId="77777777" w:rsidR="00EC052A" w:rsidRPr="0084217D" w:rsidRDefault="00EC052A" w:rsidP="00AF7A39">
            <w:pPr>
              <w:pStyle w:val="Tabletext0"/>
              <w:spacing w:before="0" w:after="0"/>
              <w:rPr>
                <w:vanish/>
              </w:rPr>
            </w:pPr>
            <w:r>
              <w:t>6 months</w:t>
            </w:r>
          </w:p>
        </w:tc>
      </w:tr>
      <w:tr w:rsidR="00EC052A" w:rsidRPr="0084217D" w14:paraId="1C1E523D" w14:textId="77777777" w:rsidTr="00EC052A">
        <w:trPr>
          <w:trHeight w:val="20"/>
        </w:trPr>
        <w:tc>
          <w:tcPr>
            <w:tcW w:w="1491" w:type="pct"/>
            <w:tcBorders>
              <w:top w:val="single" w:sz="4" w:space="0" w:color="auto"/>
              <w:left w:val="single" w:sz="4" w:space="0" w:color="auto"/>
              <w:bottom w:val="single" w:sz="4" w:space="0" w:color="auto"/>
              <w:right w:val="single" w:sz="4" w:space="0" w:color="auto"/>
            </w:tcBorders>
          </w:tcPr>
          <w:p w14:paraId="03264B31" w14:textId="77777777" w:rsidR="00EC052A" w:rsidRPr="0084217D" w:rsidRDefault="00EC052A" w:rsidP="00AF7A39">
            <w:pPr>
              <w:pStyle w:val="Tabletext0"/>
              <w:spacing w:before="0" w:after="0"/>
            </w:pPr>
            <w:r w:rsidRPr="0084217D">
              <w:t>Discount rate</w:t>
            </w:r>
          </w:p>
        </w:tc>
        <w:tc>
          <w:tcPr>
            <w:tcW w:w="3509" w:type="pct"/>
            <w:gridSpan w:val="2"/>
            <w:tcBorders>
              <w:top w:val="single" w:sz="4" w:space="0" w:color="auto"/>
              <w:left w:val="single" w:sz="4" w:space="0" w:color="auto"/>
              <w:bottom w:val="single" w:sz="4" w:space="0" w:color="auto"/>
              <w:right w:val="single" w:sz="4" w:space="0" w:color="auto"/>
            </w:tcBorders>
          </w:tcPr>
          <w:p w14:paraId="6F1F3AC4" w14:textId="77777777" w:rsidR="00EC052A" w:rsidRPr="0084217D" w:rsidRDefault="00EC052A" w:rsidP="00AF7A39">
            <w:pPr>
              <w:pStyle w:val="Tabletext0"/>
              <w:spacing w:before="0" w:after="0"/>
            </w:pPr>
            <w:r>
              <w:t>5% per annum</w:t>
            </w:r>
          </w:p>
        </w:tc>
      </w:tr>
      <w:tr w:rsidR="00EC052A" w:rsidRPr="0084217D" w14:paraId="66855AB6" w14:textId="77777777" w:rsidTr="00EC052A">
        <w:trPr>
          <w:trHeight w:val="20"/>
        </w:trPr>
        <w:tc>
          <w:tcPr>
            <w:tcW w:w="1491" w:type="pct"/>
            <w:tcBorders>
              <w:top w:val="single" w:sz="4" w:space="0" w:color="auto"/>
              <w:left w:val="single" w:sz="4" w:space="0" w:color="auto"/>
              <w:bottom w:val="single" w:sz="4" w:space="0" w:color="auto"/>
              <w:right w:val="single" w:sz="4" w:space="0" w:color="auto"/>
            </w:tcBorders>
          </w:tcPr>
          <w:p w14:paraId="5245C141" w14:textId="69E6473E" w:rsidR="00EC052A" w:rsidRPr="0084217D" w:rsidRDefault="00EC052A" w:rsidP="00AF7A39">
            <w:pPr>
              <w:pStyle w:val="Tabletext0"/>
              <w:spacing w:before="0" w:after="0"/>
            </w:pPr>
            <w:r w:rsidRPr="0084217D">
              <w:t>Software package used</w:t>
            </w:r>
          </w:p>
        </w:tc>
        <w:tc>
          <w:tcPr>
            <w:tcW w:w="3509" w:type="pct"/>
            <w:gridSpan w:val="2"/>
            <w:tcBorders>
              <w:top w:val="single" w:sz="4" w:space="0" w:color="auto"/>
              <w:left w:val="single" w:sz="4" w:space="0" w:color="auto"/>
              <w:bottom w:val="single" w:sz="4" w:space="0" w:color="auto"/>
              <w:right w:val="single" w:sz="4" w:space="0" w:color="auto"/>
            </w:tcBorders>
          </w:tcPr>
          <w:p w14:paraId="5913C54F" w14:textId="77777777" w:rsidR="00EC052A" w:rsidRPr="0084217D" w:rsidRDefault="00EC052A" w:rsidP="00AF7A39">
            <w:pPr>
              <w:pStyle w:val="Tabletext0"/>
              <w:spacing w:before="0" w:after="0"/>
            </w:pPr>
            <w:r>
              <w:t>TreeAge Pro 2017</w:t>
            </w:r>
          </w:p>
        </w:tc>
      </w:tr>
    </w:tbl>
    <w:p w14:paraId="24F5F15A" w14:textId="77777777" w:rsidR="00E75AB8" w:rsidRDefault="00E75AB8" w:rsidP="00E75AB8">
      <w:pPr>
        <w:pStyle w:val="Tablenotes"/>
      </w:pPr>
      <w:r>
        <w:rPr>
          <w:vertAlign w:val="superscript"/>
        </w:rPr>
        <w:t xml:space="preserve">a </w:t>
      </w:r>
      <w:r w:rsidRPr="00C72F53">
        <w:t xml:space="preserve">The disease states listed in this summary reflects </w:t>
      </w:r>
      <w:r>
        <w:t xml:space="preserve">a combination of the </w:t>
      </w:r>
      <w:r w:rsidRPr="00C72F53">
        <w:t>patient’s true health status</w:t>
      </w:r>
      <w:r>
        <w:t xml:space="preserve"> and the treatment they are receiving based on their imaging results.</w:t>
      </w:r>
    </w:p>
    <w:p w14:paraId="0A38DF7E" w14:textId="77777777" w:rsidR="00E75AB8" w:rsidRDefault="00E75AB8" w:rsidP="003018F2">
      <w:pPr>
        <w:pStyle w:val="Tablenotes"/>
      </w:pPr>
      <w:r>
        <w:t>Abbreviations: MET: Optimal tx: Patient has metastatic disease; correctly identified; treated accordingly; MET: Suboptimal tx: Patient has metastatic disease; local disease identified and treated but metastatic disease is not detected; MET: Untreated: Patient has metastatic disease, no cancer detected, no treatment initiated; LOC: Optimal tx: Patient has local disease; local disease identified and treated; LOC: Untreated: Patient has local disease, no cancer detected, no treatment initiated; NO C: Patient has no disease, no cancer d</w:t>
      </w:r>
      <w:r w:rsidR="003018F2">
        <w:t>etected, no treatment initiated</w:t>
      </w:r>
    </w:p>
    <w:p w14:paraId="42E2976D" w14:textId="4F9AB4AE" w:rsidR="00AD4AB8" w:rsidRDefault="00AF3250" w:rsidP="00AD4AB8">
      <w:r>
        <w:lastRenderedPageBreak/>
        <w:t xml:space="preserve">However, in response to advice from ESC, </w:t>
      </w:r>
      <w:r w:rsidR="00FF0466">
        <w:t>s</w:t>
      </w:r>
      <w:r w:rsidR="00AD4AB8">
        <w:t>upplementary economic analys</w:t>
      </w:r>
      <w:r w:rsidR="003D5CBA">
        <w:t>e</w:t>
      </w:r>
      <w:r w:rsidR="00AD4AB8">
        <w:t xml:space="preserve">s </w:t>
      </w:r>
      <w:r w:rsidR="00FF0466">
        <w:t>presented</w:t>
      </w:r>
      <w:r w:rsidR="00AD4AB8">
        <w:t xml:space="preserve"> </w:t>
      </w:r>
      <w:r>
        <w:t>cost-consequence analys</w:t>
      </w:r>
      <w:r w:rsidR="003D5CBA">
        <w:t>e</w:t>
      </w:r>
      <w:r>
        <w:t xml:space="preserve">s for </w:t>
      </w:r>
      <w:r w:rsidR="009873AB">
        <w:t xml:space="preserve">the </w:t>
      </w:r>
      <w:r w:rsidR="00AD4AB8">
        <w:t>two scenarios:</w:t>
      </w:r>
    </w:p>
    <w:p w14:paraId="09D80259" w14:textId="07767DFC" w:rsidR="00624C68" w:rsidRDefault="00AD4AB8" w:rsidP="004F2AC8">
      <w:pPr>
        <w:pStyle w:val="ListParagraph"/>
        <w:numPr>
          <w:ilvl w:val="0"/>
          <w:numId w:val="30"/>
        </w:numPr>
      </w:pPr>
      <w:r>
        <w:t xml:space="preserve">Scenario 1: </w:t>
      </w:r>
      <w:r w:rsidR="00FA6035">
        <w:t>p</w:t>
      </w:r>
      <w:r>
        <w:t xml:space="preserve">atients in population 1 or population 2 receiving PET/CT </w:t>
      </w:r>
      <w:r w:rsidR="004F2AC8" w:rsidRPr="004F2AC8">
        <w:t>when the results of conventional imaging were equivocal</w:t>
      </w:r>
      <w:r w:rsidR="004F2AC8">
        <w:t xml:space="preserve"> </w:t>
      </w:r>
      <w:r w:rsidR="00AF3250">
        <w:t xml:space="preserve">– i.e., PET/CT </w:t>
      </w:r>
      <w:r w:rsidR="000B4241">
        <w:t xml:space="preserve">would be </w:t>
      </w:r>
      <w:r w:rsidR="00AF3250">
        <w:t xml:space="preserve">an additional </w:t>
      </w:r>
      <w:r w:rsidR="000B4241">
        <w:t>test</w:t>
      </w:r>
      <w:r w:rsidR="00632E7E">
        <w:t xml:space="preserve"> for some patients</w:t>
      </w:r>
      <w:r w:rsidR="004F2AC8">
        <w:t xml:space="preserve"> in these populations</w:t>
      </w:r>
      <w:r w:rsidR="000B4241">
        <w:t xml:space="preserve">; </w:t>
      </w:r>
      <w:r>
        <w:t>and</w:t>
      </w:r>
    </w:p>
    <w:p w14:paraId="3EDECA54" w14:textId="1358581D" w:rsidR="00AD4AB8" w:rsidRDefault="00052A87" w:rsidP="000B4241">
      <w:pPr>
        <w:pStyle w:val="ListParagraph"/>
        <w:numPr>
          <w:ilvl w:val="0"/>
          <w:numId w:val="30"/>
        </w:numPr>
      </w:pPr>
      <w:r>
        <w:t xml:space="preserve">Scenario 2: </w:t>
      </w:r>
      <w:r w:rsidR="00FA6035">
        <w:t>p</w:t>
      </w:r>
      <w:r>
        <w:t xml:space="preserve">atients in population 1 or population 2 receiving PET/CT as an alternative staging or diagnostic tool which </w:t>
      </w:r>
      <w:r w:rsidR="004F2AC8">
        <w:t>w</w:t>
      </w:r>
      <w:r>
        <w:t>ould replace conventional imaging</w:t>
      </w:r>
      <w:r w:rsidR="004F2AC8">
        <w:t xml:space="preserve"> for all patients in these populations</w:t>
      </w:r>
      <w:r>
        <w:t>.</w:t>
      </w:r>
    </w:p>
    <w:p w14:paraId="1FEE16A7" w14:textId="3D24A388" w:rsidR="00FA6035" w:rsidRDefault="00FA6035" w:rsidP="004F2AC8">
      <w:pPr>
        <w:spacing w:before="240" w:after="240"/>
      </w:pPr>
      <w:r>
        <w:t>T</w:t>
      </w:r>
      <w:r w:rsidR="003D5CBA">
        <w:t>ables 6 to 8 summarise t</w:t>
      </w:r>
      <w:r>
        <w:t xml:space="preserve">he costs of imaging estimated </w:t>
      </w:r>
      <w:r w:rsidR="003D5CBA">
        <w:t>in the supplementary economic analyses</w:t>
      </w:r>
      <w:r>
        <w:t>.</w:t>
      </w:r>
    </w:p>
    <w:p w14:paraId="647AE942" w14:textId="00F2CC64" w:rsidR="006A06B0" w:rsidRDefault="006A06B0" w:rsidP="006A06B0">
      <w:pPr>
        <w:pStyle w:val="Caption"/>
      </w:pPr>
      <w:r>
        <w:t>Table 6</w:t>
      </w:r>
      <w:r>
        <w:tab/>
      </w:r>
      <w:r w:rsidRPr="006A06B0">
        <w:t>PET/CT imaging costs (</w:t>
      </w:r>
      <w:r>
        <w:t xml:space="preserve">both </w:t>
      </w:r>
      <w:r w:rsidRPr="006A06B0">
        <w:t>scenarios)</w:t>
      </w:r>
    </w:p>
    <w:tbl>
      <w:tblPr>
        <w:tblStyle w:val="TableGrid"/>
        <w:tblW w:w="0" w:type="auto"/>
        <w:tblLook w:val="04A0" w:firstRow="1" w:lastRow="0" w:firstColumn="1" w:lastColumn="0" w:noHBand="0" w:noVBand="1"/>
        <w:tblDescription w:val="Estimated costs for PET/CT imaging"/>
      </w:tblPr>
      <w:tblGrid>
        <w:gridCol w:w="6345"/>
        <w:gridCol w:w="1560"/>
        <w:gridCol w:w="1337"/>
      </w:tblGrid>
      <w:tr w:rsidR="006A06B0" w14:paraId="6962CF33" w14:textId="77777777" w:rsidTr="00530298">
        <w:trPr>
          <w:tblHeader/>
        </w:trPr>
        <w:tc>
          <w:tcPr>
            <w:tcW w:w="6345" w:type="dxa"/>
          </w:tcPr>
          <w:p w14:paraId="7F62BC3F" w14:textId="2115371C" w:rsidR="006A06B0" w:rsidRPr="006A06B0" w:rsidRDefault="006A06B0" w:rsidP="006A06B0">
            <w:pPr>
              <w:rPr>
                <w:b/>
              </w:rPr>
            </w:pPr>
            <w:r w:rsidRPr="006A06B0">
              <w:rPr>
                <w:rFonts w:ascii="Arial Narrow" w:eastAsia="Calibri" w:hAnsi="Arial Narrow" w:cs="Arial Narrow"/>
                <w:b/>
                <w:bCs/>
                <w:color w:val="000000"/>
                <w:sz w:val="20"/>
              </w:rPr>
              <w:t>Parameter</w:t>
            </w:r>
          </w:p>
        </w:tc>
        <w:tc>
          <w:tcPr>
            <w:tcW w:w="1560" w:type="dxa"/>
          </w:tcPr>
          <w:p w14:paraId="09DCC3C3" w14:textId="0D766FA1" w:rsidR="006A06B0" w:rsidRPr="006A06B0" w:rsidRDefault="006A06B0" w:rsidP="006A06B0">
            <w:pPr>
              <w:jc w:val="center"/>
              <w:rPr>
                <w:b/>
                <w:sz w:val="20"/>
              </w:rPr>
            </w:pPr>
            <w:r w:rsidRPr="006A06B0">
              <w:rPr>
                <w:rFonts w:ascii="Arial Narrow" w:eastAsia="Calibri" w:hAnsi="Arial Narrow" w:cs="Arial Narrow"/>
                <w:b/>
                <w:color w:val="000000"/>
                <w:sz w:val="20"/>
              </w:rPr>
              <w:t>MBS item</w:t>
            </w:r>
          </w:p>
        </w:tc>
        <w:tc>
          <w:tcPr>
            <w:tcW w:w="1337" w:type="dxa"/>
          </w:tcPr>
          <w:p w14:paraId="754EC184" w14:textId="13A52EFC" w:rsidR="006A06B0" w:rsidRPr="006A06B0" w:rsidRDefault="006A06B0" w:rsidP="006A06B0">
            <w:pPr>
              <w:jc w:val="center"/>
              <w:rPr>
                <w:b/>
              </w:rPr>
            </w:pPr>
            <w:r w:rsidRPr="006A06B0">
              <w:rPr>
                <w:rFonts w:ascii="Arial Narrow" w:eastAsia="Calibri" w:hAnsi="Arial Narrow" w:cs="Arial Narrow"/>
                <w:b/>
                <w:bCs/>
                <w:color w:val="000000"/>
                <w:sz w:val="20"/>
              </w:rPr>
              <w:t>Cost</w:t>
            </w:r>
          </w:p>
        </w:tc>
      </w:tr>
      <w:tr w:rsidR="006A06B0" w14:paraId="5DC69DA4" w14:textId="77777777" w:rsidTr="006A06B0">
        <w:tc>
          <w:tcPr>
            <w:tcW w:w="6345" w:type="dxa"/>
          </w:tcPr>
          <w:p w14:paraId="0EB3C740" w14:textId="21672801" w:rsidR="006A06B0" w:rsidRDefault="006A06B0" w:rsidP="006A06B0">
            <w:r w:rsidRPr="006A06B0">
              <w:rPr>
                <w:rFonts w:ascii="Arial Narrow" w:eastAsia="Calibri" w:hAnsi="Arial Narrow" w:cs="Arial Narrow"/>
                <w:color w:val="000000"/>
                <w:sz w:val="20"/>
              </w:rPr>
              <w:t>PET</w:t>
            </w:r>
            <w:r>
              <w:rPr>
                <w:rFonts w:ascii="Arial Narrow" w:eastAsia="Calibri" w:hAnsi="Arial Narrow" w:cs="Arial Narrow"/>
                <w:color w:val="000000"/>
                <w:sz w:val="20"/>
              </w:rPr>
              <w:t>/CT</w:t>
            </w:r>
          </w:p>
        </w:tc>
        <w:tc>
          <w:tcPr>
            <w:tcW w:w="1560" w:type="dxa"/>
          </w:tcPr>
          <w:p w14:paraId="21EF8F0F" w14:textId="43083591" w:rsidR="006A06B0" w:rsidRPr="006A06B0" w:rsidRDefault="006A06B0" w:rsidP="006A06B0">
            <w:pPr>
              <w:jc w:val="center"/>
              <w:rPr>
                <w:sz w:val="20"/>
              </w:rPr>
            </w:pPr>
            <w:r w:rsidRPr="006A06B0">
              <w:rPr>
                <w:rFonts w:ascii="Arial Narrow" w:eastAsia="Calibri" w:hAnsi="Arial Narrow" w:cs="Arial Narrow"/>
                <w:color w:val="000000"/>
                <w:sz w:val="20"/>
              </w:rPr>
              <w:t>61523</w:t>
            </w:r>
          </w:p>
        </w:tc>
        <w:tc>
          <w:tcPr>
            <w:tcW w:w="1337" w:type="dxa"/>
          </w:tcPr>
          <w:p w14:paraId="7E4FFDC0" w14:textId="2CFBC21C" w:rsidR="006A06B0" w:rsidRDefault="006A06B0" w:rsidP="006A06B0">
            <w:pPr>
              <w:jc w:val="center"/>
            </w:pPr>
            <w:r w:rsidRPr="006A06B0">
              <w:rPr>
                <w:rFonts w:ascii="Arial Narrow" w:eastAsia="Calibri" w:hAnsi="Arial Narrow" w:cs="Arial Narrow"/>
                <w:color w:val="000000"/>
                <w:sz w:val="20"/>
              </w:rPr>
              <w:t>$953.00</w:t>
            </w:r>
          </w:p>
        </w:tc>
      </w:tr>
      <w:tr w:rsidR="006A06B0" w14:paraId="5D4AF9BD" w14:textId="77777777" w:rsidTr="006A06B0">
        <w:tc>
          <w:tcPr>
            <w:tcW w:w="6345" w:type="dxa"/>
          </w:tcPr>
          <w:p w14:paraId="279A9630" w14:textId="39802C56" w:rsidR="006A06B0" w:rsidRDefault="006A06B0" w:rsidP="006A06B0">
            <w:r w:rsidRPr="006A06B0">
              <w:rPr>
                <w:rFonts w:ascii="Arial Narrow" w:eastAsia="Calibri" w:hAnsi="Arial Narrow" w:cs="Arial Narrow"/>
                <w:color w:val="000000"/>
                <w:sz w:val="20"/>
              </w:rPr>
              <w:t>Physician consultation (subsequent attendance)</w:t>
            </w:r>
          </w:p>
        </w:tc>
        <w:tc>
          <w:tcPr>
            <w:tcW w:w="1560" w:type="dxa"/>
          </w:tcPr>
          <w:p w14:paraId="708081B5" w14:textId="51527C1F" w:rsidR="006A06B0" w:rsidRPr="006A06B0" w:rsidRDefault="006A06B0" w:rsidP="006A06B0">
            <w:pPr>
              <w:jc w:val="center"/>
              <w:rPr>
                <w:sz w:val="20"/>
              </w:rPr>
            </w:pPr>
            <w:r w:rsidRPr="006A06B0">
              <w:rPr>
                <w:rFonts w:ascii="Arial Narrow" w:eastAsia="Calibri" w:hAnsi="Arial Narrow" w:cs="Arial Narrow"/>
                <w:color w:val="000000"/>
                <w:sz w:val="20"/>
              </w:rPr>
              <w:t>116</w:t>
            </w:r>
          </w:p>
        </w:tc>
        <w:tc>
          <w:tcPr>
            <w:tcW w:w="1337" w:type="dxa"/>
          </w:tcPr>
          <w:p w14:paraId="0CFCE788" w14:textId="647083D5" w:rsidR="006A06B0" w:rsidRDefault="006A06B0" w:rsidP="006A06B0">
            <w:pPr>
              <w:jc w:val="center"/>
            </w:pPr>
            <w:r w:rsidRPr="006A06B0">
              <w:rPr>
                <w:rFonts w:ascii="Arial Narrow" w:eastAsia="Calibri" w:hAnsi="Arial Narrow" w:cs="Arial Narrow"/>
                <w:color w:val="000000"/>
                <w:sz w:val="20"/>
              </w:rPr>
              <w:t>$75.50</w:t>
            </w:r>
          </w:p>
        </w:tc>
      </w:tr>
      <w:tr w:rsidR="006A06B0" w14:paraId="753E2818" w14:textId="77777777" w:rsidTr="006A06B0">
        <w:tc>
          <w:tcPr>
            <w:tcW w:w="6345" w:type="dxa"/>
          </w:tcPr>
          <w:p w14:paraId="205B9D61" w14:textId="0531A0BC" w:rsidR="006A06B0" w:rsidRDefault="006A06B0" w:rsidP="006A06B0">
            <w:r w:rsidRPr="006A06B0">
              <w:rPr>
                <w:rFonts w:ascii="Arial Narrow" w:eastAsia="Calibri" w:hAnsi="Arial Narrow" w:cs="Arial Narrow"/>
                <w:b/>
                <w:bCs/>
                <w:color w:val="000000"/>
                <w:sz w:val="20"/>
              </w:rPr>
              <w:t>Total cost</w:t>
            </w:r>
          </w:p>
        </w:tc>
        <w:tc>
          <w:tcPr>
            <w:tcW w:w="1560" w:type="dxa"/>
          </w:tcPr>
          <w:p w14:paraId="75B16448" w14:textId="36A07A27" w:rsidR="006A06B0" w:rsidRPr="006A06B0" w:rsidRDefault="006A06B0" w:rsidP="006A06B0">
            <w:pPr>
              <w:jc w:val="center"/>
              <w:rPr>
                <w:sz w:val="20"/>
              </w:rPr>
            </w:pPr>
          </w:p>
        </w:tc>
        <w:tc>
          <w:tcPr>
            <w:tcW w:w="1337" w:type="dxa"/>
          </w:tcPr>
          <w:p w14:paraId="31611A63" w14:textId="35D14CE8" w:rsidR="006A06B0" w:rsidRDefault="006A06B0" w:rsidP="006A06B0">
            <w:pPr>
              <w:jc w:val="center"/>
            </w:pPr>
            <w:r w:rsidRPr="006A06B0">
              <w:rPr>
                <w:rFonts w:ascii="Arial Narrow" w:eastAsia="Calibri" w:hAnsi="Arial Narrow" w:cs="Arial Narrow"/>
                <w:b/>
                <w:bCs/>
                <w:color w:val="000000"/>
                <w:sz w:val="20"/>
              </w:rPr>
              <w:t>$1,028.50</w:t>
            </w:r>
          </w:p>
        </w:tc>
      </w:tr>
    </w:tbl>
    <w:p w14:paraId="36A03919" w14:textId="05B0DF61" w:rsidR="006A06B0" w:rsidRPr="00640CFE" w:rsidRDefault="006A06B0" w:rsidP="006A06B0">
      <w:pPr>
        <w:pStyle w:val="Caption"/>
        <w:spacing w:before="240"/>
      </w:pPr>
      <w:r w:rsidRPr="00640CFE">
        <w:t xml:space="preserve">Table </w:t>
      </w:r>
      <w:r w:rsidR="00640CFE" w:rsidRPr="00640CFE">
        <w:t>7</w:t>
      </w:r>
      <w:r w:rsidRPr="00640CFE">
        <w:tab/>
      </w:r>
      <w:r w:rsidRPr="00640CFE">
        <w:rPr>
          <w:rFonts w:eastAsia="Calibri" w:cs="Arial Narrow"/>
          <w:bCs w:val="0"/>
          <w:color w:val="000000"/>
        </w:rPr>
        <w:t>Confirmatory conventional imaging costs (scenario 1)</w:t>
      </w:r>
    </w:p>
    <w:tbl>
      <w:tblPr>
        <w:tblStyle w:val="TableGrid"/>
        <w:tblW w:w="0" w:type="auto"/>
        <w:tblLook w:val="04A0" w:firstRow="1" w:lastRow="0" w:firstColumn="1" w:lastColumn="0" w:noHBand="0" w:noVBand="1"/>
        <w:tblDescription w:val="Estimated costs for confirmatory conventional imaging (scenario 1)"/>
      </w:tblPr>
      <w:tblGrid>
        <w:gridCol w:w="5920"/>
        <w:gridCol w:w="1276"/>
        <w:gridCol w:w="992"/>
        <w:gridCol w:w="1054"/>
      </w:tblGrid>
      <w:tr w:rsidR="006A06B0" w14:paraId="2E82FFDC" w14:textId="77777777" w:rsidTr="00530298">
        <w:trPr>
          <w:tblHeader/>
        </w:trPr>
        <w:tc>
          <w:tcPr>
            <w:tcW w:w="5920" w:type="dxa"/>
          </w:tcPr>
          <w:p w14:paraId="55A85A22" w14:textId="7F62EDEB" w:rsidR="006A06B0" w:rsidRPr="00640CFE" w:rsidRDefault="006A06B0" w:rsidP="006A06B0">
            <w:pPr>
              <w:rPr>
                <w:b/>
              </w:rPr>
            </w:pPr>
            <w:r w:rsidRPr="00640CFE">
              <w:rPr>
                <w:rFonts w:ascii="Arial Narrow" w:eastAsia="Calibri" w:hAnsi="Arial Narrow" w:cs="Arial Narrow"/>
                <w:b/>
                <w:bCs/>
                <w:color w:val="000000"/>
                <w:sz w:val="20"/>
              </w:rPr>
              <w:t>Parameter</w:t>
            </w:r>
          </w:p>
        </w:tc>
        <w:tc>
          <w:tcPr>
            <w:tcW w:w="1276" w:type="dxa"/>
          </w:tcPr>
          <w:p w14:paraId="3696A6E4" w14:textId="0370D537" w:rsidR="006A06B0" w:rsidRPr="00640CFE" w:rsidRDefault="006A06B0" w:rsidP="006A06B0">
            <w:pPr>
              <w:jc w:val="center"/>
              <w:rPr>
                <w:b/>
                <w:sz w:val="20"/>
              </w:rPr>
            </w:pPr>
            <w:r w:rsidRPr="00640CFE">
              <w:rPr>
                <w:rFonts w:ascii="Arial Narrow" w:eastAsia="Calibri" w:hAnsi="Arial Narrow" w:cs="Arial Narrow"/>
                <w:b/>
                <w:color w:val="000000"/>
                <w:sz w:val="20"/>
              </w:rPr>
              <w:t>MBS item</w:t>
            </w:r>
          </w:p>
        </w:tc>
        <w:tc>
          <w:tcPr>
            <w:tcW w:w="992" w:type="dxa"/>
          </w:tcPr>
          <w:p w14:paraId="4C8D38D1" w14:textId="1AB0480B" w:rsidR="006A06B0" w:rsidRPr="00640CFE" w:rsidRDefault="006A06B0" w:rsidP="006A06B0">
            <w:pPr>
              <w:jc w:val="center"/>
              <w:rPr>
                <w:b/>
                <w:sz w:val="20"/>
              </w:rPr>
            </w:pPr>
            <w:r w:rsidRPr="00640CFE">
              <w:rPr>
                <w:rFonts w:ascii="Arial Narrow" w:eastAsia="Calibri" w:hAnsi="Arial Narrow" w:cs="Arial Narrow"/>
                <w:b/>
                <w:bCs/>
                <w:color w:val="000000"/>
                <w:sz w:val="20"/>
              </w:rPr>
              <w:t>Cost</w:t>
            </w:r>
          </w:p>
        </w:tc>
        <w:tc>
          <w:tcPr>
            <w:tcW w:w="1054" w:type="dxa"/>
          </w:tcPr>
          <w:p w14:paraId="60C98869" w14:textId="77C89626" w:rsidR="006A06B0" w:rsidRPr="00640CFE" w:rsidRDefault="006A06B0" w:rsidP="006A06B0">
            <w:pPr>
              <w:jc w:val="center"/>
              <w:rPr>
                <w:b/>
                <w:sz w:val="20"/>
              </w:rPr>
            </w:pPr>
            <w:r w:rsidRPr="00640CFE">
              <w:rPr>
                <w:rFonts w:ascii="Arial Narrow" w:eastAsia="Calibri" w:hAnsi="Arial Narrow" w:cs="Arial Narrow"/>
                <w:b/>
                <w:bCs/>
                <w:color w:val="000000"/>
                <w:sz w:val="20"/>
              </w:rPr>
              <w:t>Weighted</w:t>
            </w:r>
          </w:p>
        </w:tc>
      </w:tr>
      <w:tr w:rsidR="006A06B0" w14:paraId="2AF783BF" w14:textId="77777777" w:rsidTr="00640CFE">
        <w:tc>
          <w:tcPr>
            <w:tcW w:w="5920" w:type="dxa"/>
          </w:tcPr>
          <w:p w14:paraId="729E5AFC" w14:textId="7563593A" w:rsidR="006A06B0" w:rsidRDefault="006A06B0" w:rsidP="006A06B0">
            <w:r w:rsidRPr="00FA6035">
              <w:rPr>
                <w:rFonts w:ascii="Arial Narrow" w:eastAsia="Calibri" w:hAnsi="Arial Narrow" w:cs="Arial Narrow"/>
                <w:color w:val="000000"/>
                <w:sz w:val="20"/>
              </w:rPr>
              <w:t>CT (chest, abdomen, and pelvis)</w:t>
            </w:r>
          </w:p>
        </w:tc>
        <w:tc>
          <w:tcPr>
            <w:tcW w:w="1276" w:type="dxa"/>
          </w:tcPr>
          <w:p w14:paraId="40155B00" w14:textId="65352CEF" w:rsidR="006A06B0" w:rsidRPr="006A06B0" w:rsidRDefault="006A06B0" w:rsidP="006A06B0">
            <w:pPr>
              <w:jc w:val="center"/>
              <w:rPr>
                <w:sz w:val="20"/>
              </w:rPr>
            </w:pPr>
            <w:r w:rsidRPr="006A06B0">
              <w:rPr>
                <w:rFonts w:ascii="Arial Narrow" w:eastAsia="Calibri" w:hAnsi="Arial Narrow" w:cs="Arial Narrow"/>
                <w:color w:val="000000"/>
                <w:sz w:val="20"/>
              </w:rPr>
              <w:t>56807</w:t>
            </w:r>
          </w:p>
        </w:tc>
        <w:tc>
          <w:tcPr>
            <w:tcW w:w="992" w:type="dxa"/>
          </w:tcPr>
          <w:p w14:paraId="0E50E6BF" w14:textId="4409B3DA" w:rsidR="006A06B0" w:rsidRPr="006A06B0" w:rsidRDefault="006A06B0" w:rsidP="006A06B0">
            <w:pPr>
              <w:jc w:val="center"/>
              <w:rPr>
                <w:sz w:val="20"/>
              </w:rPr>
            </w:pPr>
            <w:r w:rsidRPr="006A06B0">
              <w:rPr>
                <w:rFonts w:ascii="Arial Narrow" w:eastAsia="Calibri" w:hAnsi="Arial Narrow" w:cs="Arial Narrow"/>
                <w:color w:val="000000"/>
                <w:sz w:val="20"/>
              </w:rPr>
              <w:t>$560.00</w:t>
            </w:r>
          </w:p>
        </w:tc>
        <w:tc>
          <w:tcPr>
            <w:tcW w:w="1054" w:type="dxa"/>
          </w:tcPr>
          <w:p w14:paraId="50B0D566" w14:textId="434582AB" w:rsidR="006A06B0" w:rsidRPr="00264EF1" w:rsidRDefault="006A06B0" w:rsidP="006A06B0">
            <w:pPr>
              <w:jc w:val="center"/>
              <w:rPr>
                <w:sz w:val="20"/>
              </w:rPr>
            </w:pPr>
            <w:r w:rsidRPr="00264EF1">
              <w:rPr>
                <w:rFonts w:ascii="Arial Narrow" w:eastAsia="Calibri" w:hAnsi="Arial Narrow" w:cs="Arial Narrow"/>
                <w:iCs/>
                <w:color w:val="000000"/>
                <w:sz w:val="20"/>
              </w:rPr>
              <w:t>26%</w:t>
            </w:r>
          </w:p>
        </w:tc>
      </w:tr>
      <w:tr w:rsidR="006A06B0" w14:paraId="117D203D" w14:textId="77777777" w:rsidTr="00640CFE">
        <w:tc>
          <w:tcPr>
            <w:tcW w:w="5920" w:type="dxa"/>
          </w:tcPr>
          <w:p w14:paraId="7485FA1E" w14:textId="5841F510" w:rsidR="006A06B0" w:rsidRDefault="006A06B0" w:rsidP="00640CFE">
            <w:r w:rsidRPr="00FA6035">
              <w:rPr>
                <w:rFonts w:ascii="Arial Narrow" w:eastAsia="Calibri" w:hAnsi="Arial Narrow" w:cs="Arial Narrow"/>
                <w:color w:val="000000"/>
                <w:sz w:val="20"/>
              </w:rPr>
              <w:t>CT (chest)</w:t>
            </w:r>
          </w:p>
        </w:tc>
        <w:tc>
          <w:tcPr>
            <w:tcW w:w="1276" w:type="dxa"/>
          </w:tcPr>
          <w:p w14:paraId="52D958E4" w14:textId="5CB2B71B" w:rsidR="006A06B0" w:rsidRPr="006A06B0" w:rsidRDefault="006A06B0" w:rsidP="006A06B0">
            <w:pPr>
              <w:jc w:val="center"/>
              <w:rPr>
                <w:sz w:val="20"/>
              </w:rPr>
            </w:pPr>
            <w:r w:rsidRPr="006A06B0">
              <w:rPr>
                <w:rFonts w:ascii="Arial Narrow" w:eastAsia="Calibri" w:hAnsi="Arial Narrow" w:cs="Arial Narrow"/>
                <w:color w:val="000000"/>
                <w:sz w:val="20"/>
              </w:rPr>
              <w:t>56307</w:t>
            </w:r>
          </w:p>
        </w:tc>
        <w:tc>
          <w:tcPr>
            <w:tcW w:w="992" w:type="dxa"/>
          </w:tcPr>
          <w:p w14:paraId="773416BD" w14:textId="4F27709B" w:rsidR="006A06B0" w:rsidRPr="006A06B0" w:rsidRDefault="006A06B0" w:rsidP="006A06B0">
            <w:pPr>
              <w:jc w:val="center"/>
              <w:rPr>
                <w:sz w:val="20"/>
              </w:rPr>
            </w:pPr>
            <w:r w:rsidRPr="006A06B0">
              <w:rPr>
                <w:rFonts w:ascii="Arial Narrow" w:eastAsia="Calibri" w:hAnsi="Arial Narrow" w:cs="Arial Narrow"/>
                <w:color w:val="000000"/>
                <w:sz w:val="20"/>
              </w:rPr>
              <w:t>$400.00</w:t>
            </w:r>
          </w:p>
        </w:tc>
        <w:tc>
          <w:tcPr>
            <w:tcW w:w="1054" w:type="dxa"/>
          </w:tcPr>
          <w:p w14:paraId="245950CA" w14:textId="3717D66E" w:rsidR="006A06B0" w:rsidRPr="00264EF1" w:rsidRDefault="006A06B0" w:rsidP="006A06B0">
            <w:pPr>
              <w:jc w:val="center"/>
              <w:rPr>
                <w:sz w:val="20"/>
              </w:rPr>
            </w:pPr>
            <w:r w:rsidRPr="00264EF1">
              <w:rPr>
                <w:rFonts w:ascii="Arial Narrow" w:eastAsia="Calibri" w:hAnsi="Arial Narrow" w:cs="Arial Narrow"/>
                <w:iCs/>
                <w:color w:val="000000"/>
                <w:sz w:val="20"/>
              </w:rPr>
              <w:t>26%</w:t>
            </w:r>
          </w:p>
        </w:tc>
      </w:tr>
      <w:tr w:rsidR="006A06B0" w14:paraId="7EC8438F" w14:textId="77777777" w:rsidTr="00640CFE">
        <w:tc>
          <w:tcPr>
            <w:tcW w:w="5920" w:type="dxa"/>
          </w:tcPr>
          <w:p w14:paraId="084A893F" w14:textId="5B048A7E" w:rsidR="006A06B0" w:rsidRDefault="006A06B0" w:rsidP="006A06B0">
            <w:r w:rsidRPr="00FA6035">
              <w:rPr>
                <w:rFonts w:ascii="Arial Narrow" w:eastAsia="Calibri" w:hAnsi="Arial Narrow" w:cs="Arial Narrow"/>
                <w:color w:val="000000"/>
                <w:sz w:val="20"/>
              </w:rPr>
              <w:t>CT (brain)</w:t>
            </w:r>
          </w:p>
        </w:tc>
        <w:tc>
          <w:tcPr>
            <w:tcW w:w="1276" w:type="dxa"/>
          </w:tcPr>
          <w:p w14:paraId="2E7FFB7F" w14:textId="288A17EC" w:rsidR="006A06B0" w:rsidRPr="006A06B0" w:rsidRDefault="006A06B0" w:rsidP="006A06B0">
            <w:pPr>
              <w:jc w:val="center"/>
              <w:rPr>
                <w:sz w:val="20"/>
              </w:rPr>
            </w:pPr>
            <w:r w:rsidRPr="006A06B0">
              <w:rPr>
                <w:rFonts w:ascii="Arial Narrow" w:eastAsia="Calibri" w:hAnsi="Arial Narrow" w:cs="Arial Narrow"/>
                <w:color w:val="000000"/>
                <w:sz w:val="20"/>
              </w:rPr>
              <w:t>56007</w:t>
            </w:r>
          </w:p>
        </w:tc>
        <w:tc>
          <w:tcPr>
            <w:tcW w:w="992" w:type="dxa"/>
          </w:tcPr>
          <w:p w14:paraId="7EE00728" w14:textId="54C48A08" w:rsidR="006A06B0" w:rsidRPr="006A06B0" w:rsidRDefault="006A06B0" w:rsidP="006A06B0">
            <w:pPr>
              <w:jc w:val="center"/>
              <w:rPr>
                <w:sz w:val="20"/>
              </w:rPr>
            </w:pPr>
            <w:r w:rsidRPr="006A06B0">
              <w:rPr>
                <w:rFonts w:ascii="Arial Narrow" w:eastAsia="Calibri" w:hAnsi="Arial Narrow" w:cs="Arial Narrow"/>
                <w:color w:val="000000"/>
                <w:sz w:val="20"/>
              </w:rPr>
              <w:t>$250.00</w:t>
            </w:r>
          </w:p>
        </w:tc>
        <w:tc>
          <w:tcPr>
            <w:tcW w:w="1054" w:type="dxa"/>
          </w:tcPr>
          <w:p w14:paraId="737F896E" w14:textId="12F031D2" w:rsidR="006A06B0" w:rsidRPr="00264EF1" w:rsidRDefault="006A06B0" w:rsidP="006A06B0">
            <w:pPr>
              <w:jc w:val="center"/>
              <w:rPr>
                <w:sz w:val="20"/>
              </w:rPr>
            </w:pPr>
            <w:r w:rsidRPr="00264EF1">
              <w:rPr>
                <w:rFonts w:ascii="Arial Narrow" w:eastAsia="Calibri" w:hAnsi="Arial Narrow" w:cs="Arial Narrow"/>
                <w:iCs/>
                <w:color w:val="000000"/>
                <w:sz w:val="20"/>
              </w:rPr>
              <w:t>14%</w:t>
            </w:r>
          </w:p>
        </w:tc>
      </w:tr>
      <w:tr w:rsidR="006A06B0" w14:paraId="57E26535" w14:textId="77777777" w:rsidTr="00640CFE">
        <w:tc>
          <w:tcPr>
            <w:tcW w:w="5920" w:type="dxa"/>
          </w:tcPr>
          <w:p w14:paraId="63D4B5DD" w14:textId="6A7664C3" w:rsidR="006A06B0" w:rsidRDefault="006A06B0" w:rsidP="006A06B0">
            <w:r w:rsidRPr="00FA6035">
              <w:rPr>
                <w:rFonts w:ascii="Arial Narrow" w:eastAsia="Calibri" w:hAnsi="Arial Narrow" w:cs="Arial Narrow"/>
                <w:color w:val="000000"/>
                <w:sz w:val="20"/>
              </w:rPr>
              <w:t>MRI (brain) + MRI (brain - contrast medium)</w:t>
            </w:r>
          </w:p>
        </w:tc>
        <w:tc>
          <w:tcPr>
            <w:tcW w:w="1276" w:type="dxa"/>
          </w:tcPr>
          <w:p w14:paraId="7251D54B" w14:textId="23B401C2" w:rsidR="006A06B0" w:rsidRPr="006A06B0" w:rsidRDefault="006A06B0" w:rsidP="006A06B0">
            <w:pPr>
              <w:jc w:val="center"/>
              <w:rPr>
                <w:sz w:val="20"/>
              </w:rPr>
            </w:pPr>
            <w:r w:rsidRPr="006A06B0">
              <w:rPr>
                <w:rFonts w:ascii="Arial Narrow" w:eastAsia="Calibri" w:hAnsi="Arial Narrow" w:cs="Arial Narrow"/>
                <w:color w:val="000000"/>
                <w:sz w:val="20"/>
              </w:rPr>
              <w:t>63001+63491</w:t>
            </w:r>
          </w:p>
        </w:tc>
        <w:tc>
          <w:tcPr>
            <w:tcW w:w="992" w:type="dxa"/>
          </w:tcPr>
          <w:p w14:paraId="4870A1AC" w14:textId="4BB4395B" w:rsidR="006A06B0" w:rsidRPr="006A06B0" w:rsidRDefault="006A06B0" w:rsidP="006A06B0">
            <w:pPr>
              <w:jc w:val="center"/>
              <w:rPr>
                <w:sz w:val="20"/>
              </w:rPr>
            </w:pPr>
            <w:r w:rsidRPr="006A06B0">
              <w:rPr>
                <w:rFonts w:ascii="Arial Narrow" w:eastAsia="Calibri" w:hAnsi="Arial Narrow" w:cs="Arial Narrow"/>
                <w:color w:val="000000"/>
                <w:sz w:val="20"/>
              </w:rPr>
              <w:t>$448.00</w:t>
            </w:r>
          </w:p>
        </w:tc>
        <w:tc>
          <w:tcPr>
            <w:tcW w:w="1054" w:type="dxa"/>
          </w:tcPr>
          <w:p w14:paraId="23F70E0A" w14:textId="5C0935A5" w:rsidR="006A06B0" w:rsidRPr="00264EF1" w:rsidRDefault="006A06B0" w:rsidP="006A06B0">
            <w:pPr>
              <w:jc w:val="center"/>
              <w:rPr>
                <w:sz w:val="20"/>
              </w:rPr>
            </w:pPr>
            <w:r w:rsidRPr="00264EF1">
              <w:rPr>
                <w:rFonts w:ascii="Arial Narrow" w:eastAsia="Calibri" w:hAnsi="Arial Narrow" w:cs="Arial Narrow"/>
                <w:iCs/>
                <w:color w:val="000000"/>
                <w:sz w:val="20"/>
              </w:rPr>
              <w:t>15%</w:t>
            </w:r>
          </w:p>
        </w:tc>
      </w:tr>
      <w:tr w:rsidR="006A06B0" w14:paraId="425E35D8" w14:textId="77777777" w:rsidTr="00640CFE">
        <w:tc>
          <w:tcPr>
            <w:tcW w:w="5920" w:type="dxa"/>
          </w:tcPr>
          <w:p w14:paraId="23517859" w14:textId="5B8723D4" w:rsidR="006A06B0" w:rsidRDefault="006A06B0" w:rsidP="006A06B0">
            <w:r w:rsidRPr="00FA6035">
              <w:rPr>
                <w:rFonts w:ascii="Arial Narrow" w:eastAsia="Calibri" w:hAnsi="Arial Narrow" w:cs="Arial Narrow"/>
                <w:color w:val="000000"/>
                <w:sz w:val="20"/>
              </w:rPr>
              <w:t>MRI (spine) + MRI (spine - contrast medium)</w:t>
            </w:r>
          </w:p>
        </w:tc>
        <w:tc>
          <w:tcPr>
            <w:tcW w:w="1276" w:type="dxa"/>
          </w:tcPr>
          <w:p w14:paraId="0782BCDC" w14:textId="685BCFC2" w:rsidR="006A06B0" w:rsidRPr="006A06B0" w:rsidRDefault="006A06B0" w:rsidP="006A06B0">
            <w:pPr>
              <w:jc w:val="center"/>
              <w:rPr>
                <w:sz w:val="20"/>
              </w:rPr>
            </w:pPr>
            <w:r w:rsidRPr="006A06B0">
              <w:rPr>
                <w:rFonts w:ascii="Arial Narrow" w:eastAsia="Calibri" w:hAnsi="Arial Narrow" w:cs="Arial Narrow"/>
                <w:color w:val="000000"/>
                <w:sz w:val="20"/>
              </w:rPr>
              <w:t>63154+63491</w:t>
            </w:r>
          </w:p>
        </w:tc>
        <w:tc>
          <w:tcPr>
            <w:tcW w:w="992" w:type="dxa"/>
          </w:tcPr>
          <w:p w14:paraId="3D94052F" w14:textId="253E36FF" w:rsidR="006A06B0" w:rsidRPr="006A06B0" w:rsidRDefault="006A06B0" w:rsidP="006A06B0">
            <w:pPr>
              <w:jc w:val="center"/>
              <w:rPr>
                <w:sz w:val="20"/>
              </w:rPr>
            </w:pPr>
            <w:r w:rsidRPr="006A06B0">
              <w:rPr>
                <w:rFonts w:ascii="Arial Narrow" w:eastAsia="Calibri" w:hAnsi="Arial Narrow" w:cs="Arial Narrow"/>
                <w:color w:val="000000"/>
                <w:sz w:val="20"/>
              </w:rPr>
              <w:t>$403.20</w:t>
            </w:r>
          </w:p>
        </w:tc>
        <w:tc>
          <w:tcPr>
            <w:tcW w:w="1054" w:type="dxa"/>
          </w:tcPr>
          <w:p w14:paraId="7297BDEE" w14:textId="5ED08F3B" w:rsidR="006A06B0" w:rsidRPr="00264EF1" w:rsidRDefault="006A06B0" w:rsidP="006A06B0">
            <w:pPr>
              <w:jc w:val="center"/>
              <w:rPr>
                <w:sz w:val="20"/>
              </w:rPr>
            </w:pPr>
            <w:r w:rsidRPr="00264EF1">
              <w:rPr>
                <w:rFonts w:ascii="Arial Narrow" w:eastAsia="Calibri" w:hAnsi="Arial Narrow" w:cs="Arial Narrow"/>
                <w:iCs/>
                <w:color w:val="000000"/>
                <w:sz w:val="20"/>
              </w:rPr>
              <w:t>1%</w:t>
            </w:r>
          </w:p>
        </w:tc>
      </w:tr>
      <w:tr w:rsidR="006A06B0" w14:paraId="135113FF" w14:textId="77777777" w:rsidTr="00640CFE">
        <w:tc>
          <w:tcPr>
            <w:tcW w:w="5920" w:type="dxa"/>
          </w:tcPr>
          <w:p w14:paraId="334465FA" w14:textId="23BB17A7" w:rsidR="006A06B0" w:rsidRDefault="006A06B0" w:rsidP="006A06B0">
            <w:r w:rsidRPr="00FA6035">
              <w:rPr>
                <w:rFonts w:ascii="Arial Narrow" w:eastAsia="Calibri" w:hAnsi="Arial Narrow" w:cs="Arial Narrow"/>
                <w:color w:val="000000"/>
                <w:sz w:val="20"/>
              </w:rPr>
              <w:t>Bone study (for bone scintigraphy) with low dose CT</w:t>
            </w:r>
          </w:p>
        </w:tc>
        <w:tc>
          <w:tcPr>
            <w:tcW w:w="1276" w:type="dxa"/>
          </w:tcPr>
          <w:p w14:paraId="6208FEBC" w14:textId="0213A5ED" w:rsidR="006A06B0" w:rsidRPr="006A06B0" w:rsidRDefault="006A06B0" w:rsidP="006A06B0">
            <w:pPr>
              <w:jc w:val="center"/>
              <w:rPr>
                <w:sz w:val="20"/>
              </w:rPr>
            </w:pPr>
            <w:r w:rsidRPr="006A06B0">
              <w:rPr>
                <w:rFonts w:ascii="Arial Narrow" w:eastAsia="Calibri" w:hAnsi="Arial Narrow" w:cs="Arial Narrow"/>
                <w:color w:val="000000"/>
                <w:sz w:val="20"/>
              </w:rPr>
              <w:t>61425+61505</w:t>
            </w:r>
          </w:p>
        </w:tc>
        <w:tc>
          <w:tcPr>
            <w:tcW w:w="992" w:type="dxa"/>
          </w:tcPr>
          <w:p w14:paraId="0E21671D" w14:textId="46D12042" w:rsidR="006A06B0" w:rsidRPr="006A06B0" w:rsidRDefault="006A06B0" w:rsidP="006A06B0">
            <w:pPr>
              <w:jc w:val="center"/>
              <w:rPr>
                <w:sz w:val="20"/>
              </w:rPr>
            </w:pPr>
            <w:r w:rsidRPr="006A06B0">
              <w:rPr>
                <w:rFonts w:ascii="Arial Narrow" w:eastAsia="Calibri" w:hAnsi="Arial Narrow" w:cs="Arial Narrow"/>
                <w:color w:val="000000"/>
                <w:sz w:val="20"/>
              </w:rPr>
              <w:t>$700.70</w:t>
            </w:r>
          </w:p>
        </w:tc>
        <w:tc>
          <w:tcPr>
            <w:tcW w:w="1054" w:type="dxa"/>
          </w:tcPr>
          <w:p w14:paraId="327D7DD5" w14:textId="5FCF4F6E" w:rsidR="006A06B0" w:rsidRPr="00264EF1" w:rsidRDefault="006A06B0" w:rsidP="006A06B0">
            <w:pPr>
              <w:jc w:val="center"/>
              <w:rPr>
                <w:sz w:val="20"/>
              </w:rPr>
            </w:pPr>
            <w:r w:rsidRPr="00264EF1">
              <w:rPr>
                <w:rFonts w:ascii="Arial Narrow" w:eastAsia="Calibri" w:hAnsi="Arial Narrow" w:cs="Arial Narrow"/>
                <w:iCs/>
                <w:color w:val="000000"/>
                <w:sz w:val="20"/>
              </w:rPr>
              <w:t>17%</w:t>
            </w:r>
          </w:p>
        </w:tc>
      </w:tr>
      <w:tr w:rsidR="006A06B0" w14:paraId="03B56599" w14:textId="77777777" w:rsidTr="00640CFE">
        <w:tc>
          <w:tcPr>
            <w:tcW w:w="5920" w:type="dxa"/>
          </w:tcPr>
          <w:p w14:paraId="2878D948" w14:textId="6BD9F5E4" w:rsidR="006A06B0" w:rsidRDefault="006A06B0" w:rsidP="00640CFE">
            <w:r w:rsidRPr="00FA6035">
              <w:rPr>
                <w:rFonts w:ascii="Arial Narrow" w:eastAsia="Calibri" w:hAnsi="Arial Narrow" w:cs="Arial Narrow"/>
                <w:color w:val="000000"/>
                <w:sz w:val="20"/>
              </w:rPr>
              <w:t>Abdomen ultrasound</w:t>
            </w:r>
          </w:p>
        </w:tc>
        <w:tc>
          <w:tcPr>
            <w:tcW w:w="1276" w:type="dxa"/>
          </w:tcPr>
          <w:p w14:paraId="3F34691C" w14:textId="2F271C6F" w:rsidR="006A06B0" w:rsidRPr="006A06B0" w:rsidRDefault="006A06B0" w:rsidP="006A06B0">
            <w:pPr>
              <w:jc w:val="center"/>
              <w:rPr>
                <w:sz w:val="20"/>
              </w:rPr>
            </w:pPr>
            <w:r w:rsidRPr="006A06B0">
              <w:rPr>
                <w:rFonts w:ascii="Arial Narrow" w:eastAsia="Calibri" w:hAnsi="Arial Narrow" w:cs="Arial Narrow"/>
                <w:color w:val="000000"/>
                <w:sz w:val="20"/>
              </w:rPr>
              <w:t>55036</w:t>
            </w:r>
          </w:p>
        </w:tc>
        <w:tc>
          <w:tcPr>
            <w:tcW w:w="992" w:type="dxa"/>
          </w:tcPr>
          <w:p w14:paraId="58B13BB9" w14:textId="0A7A9044" w:rsidR="006A06B0" w:rsidRPr="006A06B0" w:rsidRDefault="006A06B0" w:rsidP="006A06B0">
            <w:pPr>
              <w:jc w:val="center"/>
              <w:rPr>
                <w:sz w:val="20"/>
              </w:rPr>
            </w:pPr>
            <w:r w:rsidRPr="006A06B0">
              <w:rPr>
                <w:rFonts w:ascii="Arial Narrow" w:eastAsia="Calibri" w:hAnsi="Arial Narrow" w:cs="Arial Narrow"/>
                <w:color w:val="000000"/>
                <w:sz w:val="20"/>
              </w:rPr>
              <w:t>$111.30</w:t>
            </w:r>
          </w:p>
        </w:tc>
        <w:tc>
          <w:tcPr>
            <w:tcW w:w="1054" w:type="dxa"/>
          </w:tcPr>
          <w:p w14:paraId="224D1F45" w14:textId="1AFD2E30" w:rsidR="006A06B0" w:rsidRPr="00264EF1" w:rsidRDefault="006A06B0" w:rsidP="006A06B0">
            <w:pPr>
              <w:jc w:val="center"/>
              <w:rPr>
                <w:sz w:val="20"/>
              </w:rPr>
            </w:pPr>
            <w:r w:rsidRPr="00264EF1">
              <w:rPr>
                <w:rFonts w:ascii="Arial Narrow" w:eastAsia="Calibri" w:hAnsi="Arial Narrow" w:cs="Arial Narrow"/>
                <w:iCs/>
                <w:color w:val="000000"/>
                <w:sz w:val="20"/>
              </w:rPr>
              <w:t>-</w:t>
            </w:r>
          </w:p>
        </w:tc>
      </w:tr>
      <w:tr w:rsidR="006A06B0" w14:paraId="05503D1F" w14:textId="77777777" w:rsidTr="00640CFE">
        <w:tc>
          <w:tcPr>
            <w:tcW w:w="5920" w:type="dxa"/>
          </w:tcPr>
          <w:p w14:paraId="6C716B6F" w14:textId="1C9A7D67" w:rsidR="006A06B0" w:rsidRDefault="006A06B0" w:rsidP="006A06B0">
            <w:r w:rsidRPr="00FA6035">
              <w:rPr>
                <w:rFonts w:ascii="Arial Narrow" w:eastAsia="Calibri" w:hAnsi="Arial Narrow" w:cs="Arial Narrow"/>
                <w:color w:val="000000"/>
                <w:sz w:val="20"/>
              </w:rPr>
              <w:t>Physician consultation (subsequent attendance) – added to all investigations</w:t>
            </w:r>
          </w:p>
        </w:tc>
        <w:tc>
          <w:tcPr>
            <w:tcW w:w="1276" w:type="dxa"/>
          </w:tcPr>
          <w:p w14:paraId="5633692C" w14:textId="7DE1A4BA" w:rsidR="006A06B0" w:rsidRPr="006A06B0" w:rsidRDefault="006A06B0" w:rsidP="006A06B0">
            <w:pPr>
              <w:jc w:val="center"/>
              <w:rPr>
                <w:sz w:val="20"/>
              </w:rPr>
            </w:pPr>
            <w:r w:rsidRPr="006A06B0">
              <w:rPr>
                <w:rFonts w:ascii="Arial Narrow" w:eastAsia="Calibri" w:hAnsi="Arial Narrow" w:cs="Arial Narrow"/>
                <w:color w:val="000000"/>
                <w:sz w:val="20"/>
              </w:rPr>
              <w:t>116</w:t>
            </w:r>
          </w:p>
        </w:tc>
        <w:tc>
          <w:tcPr>
            <w:tcW w:w="992" w:type="dxa"/>
          </w:tcPr>
          <w:p w14:paraId="0D56B3E6" w14:textId="547963BD" w:rsidR="006A06B0" w:rsidRPr="006A06B0" w:rsidRDefault="006A06B0" w:rsidP="006A06B0">
            <w:pPr>
              <w:jc w:val="center"/>
              <w:rPr>
                <w:sz w:val="20"/>
              </w:rPr>
            </w:pPr>
            <w:r w:rsidRPr="006A06B0">
              <w:rPr>
                <w:rFonts w:ascii="Arial Narrow" w:eastAsia="Calibri" w:hAnsi="Arial Narrow" w:cs="Arial Narrow"/>
                <w:color w:val="000000"/>
                <w:sz w:val="20"/>
              </w:rPr>
              <w:t>$75.50</w:t>
            </w:r>
          </w:p>
        </w:tc>
        <w:tc>
          <w:tcPr>
            <w:tcW w:w="1054" w:type="dxa"/>
          </w:tcPr>
          <w:p w14:paraId="52403C25" w14:textId="4FF4205A" w:rsidR="006A06B0" w:rsidRPr="00264EF1" w:rsidRDefault="006A06B0" w:rsidP="006A06B0">
            <w:pPr>
              <w:jc w:val="center"/>
              <w:rPr>
                <w:sz w:val="20"/>
              </w:rPr>
            </w:pPr>
            <w:r w:rsidRPr="00264EF1">
              <w:rPr>
                <w:rFonts w:ascii="Arial Narrow" w:eastAsia="Calibri" w:hAnsi="Arial Narrow" w:cs="Arial Narrow"/>
                <w:iCs/>
                <w:color w:val="000000"/>
                <w:sz w:val="20"/>
              </w:rPr>
              <w:t>100%</w:t>
            </w:r>
          </w:p>
        </w:tc>
      </w:tr>
      <w:tr w:rsidR="006A06B0" w14:paraId="52EA610F" w14:textId="77777777" w:rsidTr="00640CFE">
        <w:tc>
          <w:tcPr>
            <w:tcW w:w="5920" w:type="dxa"/>
          </w:tcPr>
          <w:p w14:paraId="38DD9787" w14:textId="114E4749" w:rsidR="006A06B0" w:rsidRDefault="006A06B0" w:rsidP="00640CFE">
            <w:r w:rsidRPr="00FA6035">
              <w:rPr>
                <w:rFonts w:ascii="Arial Narrow" w:eastAsia="Calibri" w:hAnsi="Arial Narrow" w:cs="Arial Narrow"/>
                <w:b/>
                <w:bCs/>
                <w:color w:val="000000"/>
                <w:sz w:val="20"/>
              </w:rPr>
              <w:t>Total average cost</w:t>
            </w:r>
          </w:p>
        </w:tc>
        <w:tc>
          <w:tcPr>
            <w:tcW w:w="1276" w:type="dxa"/>
          </w:tcPr>
          <w:p w14:paraId="280AE64B" w14:textId="4CB6DCF4" w:rsidR="006A06B0" w:rsidRPr="006A06B0" w:rsidRDefault="006A06B0" w:rsidP="006A06B0">
            <w:pPr>
              <w:jc w:val="center"/>
              <w:rPr>
                <w:sz w:val="20"/>
              </w:rPr>
            </w:pPr>
          </w:p>
        </w:tc>
        <w:tc>
          <w:tcPr>
            <w:tcW w:w="992" w:type="dxa"/>
          </w:tcPr>
          <w:p w14:paraId="45319354" w14:textId="77777777" w:rsidR="006A06B0" w:rsidRPr="006A06B0" w:rsidRDefault="006A06B0" w:rsidP="006A06B0">
            <w:pPr>
              <w:jc w:val="center"/>
              <w:rPr>
                <w:sz w:val="20"/>
              </w:rPr>
            </w:pPr>
          </w:p>
        </w:tc>
        <w:tc>
          <w:tcPr>
            <w:tcW w:w="1054" w:type="dxa"/>
          </w:tcPr>
          <w:p w14:paraId="19EDCD51" w14:textId="6389FC9A" w:rsidR="006A06B0" w:rsidRPr="00264EF1" w:rsidRDefault="006A06B0" w:rsidP="006A06B0">
            <w:pPr>
              <w:jc w:val="center"/>
              <w:rPr>
                <w:sz w:val="20"/>
              </w:rPr>
            </w:pPr>
            <w:r w:rsidRPr="00264EF1">
              <w:rPr>
                <w:rFonts w:ascii="Arial Narrow" w:eastAsia="Calibri" w:hAnsi="Arial Narrow" w:cs="Arial Narrow"/>
                <w:b/>
                <w:bCs/>
                <w:iCs/>
                <w:color w:val="000000"/>
                <w:sz w:val="20"/>
              </w:rPr>
              <w:t>$550.45</w:t>
            </w:r>
          </w:p>
        </w:tc>
      </w:tr>
    </w:tbl>
    <w:p w14:paraId="74F6E00A" w14:textId="46C7267B" w:rsidR="00640CFE" w:rsidRPr="00640CFE" w:rsidRDefault="00640CFE" w:rsidP="00640CFE">
      <w:pPr>
        <w:pStyle w:val="Caption"/>
        <w:spacing w:before="240"/>
      </w:pPr>
      <w:r w:rsidRPr="00640CFE">
        <w:t xml:space="preserve">Table </w:t>
      </w:r>
      <w:r>
        <w:t>8</w:t>
      </w:r>
      <w:r w:rsidRPr="00640CFE">
        <w:tab/>
      </w:r>
      <w:r w:rsidRPr="00640CFE">
        <w:rPr>
          <w:rFonts w:eastAsia="Calibri" w:cs="Arial Narrow"/>
          <w:bCs w:val="0"/>
          <w:color w:val="000000"/>
        </w:rPr>
        <w:t xml:space="preserve">Conventional imaging costs (scenario </w:t>
      </w:r>
      <w:r>
        <w:rPr>
          <w:rFonts w:eastAsia="Calibri" w:cs="Arial Narrow"/>
          <w:bCs w:val="0"/>
          <w:color w:val="000000"/>
        </w:rPr>
        <w:t>2</w:t>
      </w:r>
      <w:r w:rsidRPr="00640CFE">
        <w:rPr>
          <w:rFonts w:eastAsia="Calibri" w:cs="Arial Narrow"/>
          <w:bCs w:val="0"/>
          <w:color w:val="000000"/>
        </w:rPr>
        <w:t>)</w:t>
      </w:r>
    </w:p>
    <w:tbl>
      <w:tblPr>
        <w:tblStyle w:val="TableGrid"/>
        <w:tblW w:w="0" w:type="auto"/>
        <w:tblLook w:val="04A0" w:firstRow="1" w:lastRow="0" w:firstColumn="1" w:lastColumn="0" w:noHBand="0" w:noVBand="1"/>
        <w:tblDescription w:val="Estimated costs for conventional imaging (scenario 2)"/>
      </w:tblPr>
      <w:tblGrid>
        <w:gridCol w:w="6345"/>
        <w:gridCol w:w="1560"/>
        <w:gridCol w:w="1337"/>
      </w:tblGrid>
      <w:tr w:rsidR="00640CFE" w14:paraId="5AD2DAA7" w14:textId="77777777" w:rsidTr="00530298">
        <w:trPr>
          <w:tblHeader/>
        </w:trPr>
        <w:tc>
          <w:tcPr>
            <w:tcW w:w="6345" w:type="dxa"/>
          </w:tcPr>
          <w:p w14:paraId="3E3267D3" w14:textId="77777777" w:rsidR="00640CFE" w:rsidRPr="006A06B0" w:rsidRDefault="00640CFE" w:rsidP="004D4BA3">
            <w:pPr>
              <w:rPr>
                <w:b/>
              </w:rPr>
            </w:pPr>
            <w:r w:rsidRPr="006A06B0">
              <w:rPr>
                <w:rFonts w:ascii="Arial Narrow" w:eastAsia="Calibri" w:hAnsi="Arial Narrow" w:cs="Arial Narrow"/>
                <w:b/>
                <w:bCs/>
                <w:color w:val="000000"/>
                <w:sz w:val="20"/>
              </w:rPr>
              <w:t>Parameter</w:t>
            </w:r>
          </w:p>
        </w:tc>
        <w:tc>
          <w:tcPr>
            <w:tcW w:w="1560" w:type="dxa"/>
          </w:tcPr>
          <w:p w14:paraId="2EC5EFEE" w14:textId="77777777" w:rsidR="00640CFE" w:rsidRPr="006A06B0" w:rsidRDefault="00640CFE" w:rsidP="004D4BA3">
            <w:pPr>
              <w:jc w:val="center"/>
              <w:rPr>
                <w:b/>
                <w:sz w:val="20"/>
              </w:rPr>
            </w:pPr>
            <w:r w:rsidRPr="006A06B0">
              <w:rPr>
                <w:rFonts w:ascii="Arial Narrow" w:eastAsia="Calibri" w:hAnsi="Arial Narrow" w:cs="Arial Narrow"/>
                <w:b/>
                <w:color w:val="000000"/>
                <w:sz w:val="20"/>
              </w:rPr>
              <w:t>MBS item</w:t>
            </w:r>
          </w:p>
        </w:tc>
        <w:tc>
          <w:tcPr>
            <w:tcW w:w="1337" w:type="dxa"/>
          </w:tcPr>
          <w:p w14:paraId="7A9254F9" w14:textId="77777777" w:rsidR="00640CFE" w:rsidRPr="006A06B0" w:rsidRDefault="00640CFE" w:rsidP="004D4BA3">
            <w:pPr>
              <w:jc w:val="center"/>
              <w:rPr>
                <w:b/>
              </w:rPr>
            </w:pPr>
            <w:r w:rsidRPr="006A06B0">
              <w:rPr>
                <w:rFonts w:ascii="Arial Narrow" w:eastAsia="Calibri" w:hAnsi="Arial Narrow" w:cs="Arial Narrow"/>
                <w:b/>
                <w:bCs/>
                <w:color w:val="000000"/>
                <w:sz w:val="20"/>
              </w:rPr>
              <w:t>Cost</w:t>
            </w:r>
          </w:p>
        </w:tc>
      </w:tr>
      <w:tr w:rsidR="00640CFE" w14:paraId="71338964" w14:textId="77777777" w:rsidTr="004D4BA3">
        <w:tc>
          <w:tcPr>
            <w:tcW w:w="6345" w:type="dxa"/>
          </w:tcPr>
          <w:p w14:paraId="661B1ECB" w14:textId="0537191D" w:rsidR="00640CFE" w:rsidRDefault="00640CFE" w:rsidP="004D4BA3">
            <w:r w:rsidRPr="00640CFE">
              <w:rPr>
                <w:rFonts w:ascii="Arial Narrow" w:eastAsia="Calibri" w:hAnsi="Arial Narrow" w:cs="Arial Narrow"/>
                <w:color w:val="000000"/>
                <w:sz w:val="20"/>
              </w:rPr>
              <w:t>Computed tomograp</w:t>
            </w:r>
            <w:r>
              <w:rPr>
                <w:rFonts w:ascii="Arial Narrow" w:eastAsia="Calibri" w:hAnsi="Arial Narrow" w:cs="Arial Narrow"/>
                <w:color w:val="000000"/>
                <w:sz w:val="20"/>
              </w:rPr>
              <w:t>hy (chest, abdomen, and pelvis)</w:t>
            </w:r>
          </w:p>
        </w:tc>
        <w:tc>
          <w:tcPr>
            <w:tcW w:w="1560" w:type="dxa"/>
          </w:tcPr>
          <w:p w14:paraId="397941B1" w14:textId="1C7B6675" w:rsidR="00640CFE" w:rsidRPr="006A06B0" w:rsidRDefault="00640CFE" w:rsidP="004D4BA3">
            <w:pPr>
              <w:jc w:val="center"/>
              <w:rPr>
                <w:sz w:val="20"/>
              </w:rPr>
            </w:pPr>
            <w:r>
              <w:rPr>
                <w:rFonts w:ascii="Arial Narrow" w:eastAsia="Calibri" w:hAnsi="Arial Narrow" w:cs="Arial Narrow"/>
                <w:color w:val="000000"/>
                <w:sz w:val="20"/>
              </w:rPr>
              <w:t>56807</w:t>
            </w:r>
          </w:p>
        </w:tc>
        <w:tc>
          <w:tcPr>
            <w:tcW w:w="1337" w:type="dxa"/>
          </w:tcPr>
          <w:p w14:paraId="7BD9E502" w14:textId="1BA3CEB1" w:rsidR="00640CFE" w:rsidRDefault="00640CFE" w:rsidP="00640CFE">
            <w:pPr>
              <w:jc w:val="center"/>
            </w:pPr>
            <w:r w:rsidRPr="00640CFE">
              <w:rPr>
                <w:rFonts w:ascii="Arial Narrow" w:eastAsia="Calibri" w:hAnsi="Arial Narrow" w:cs="Arial Narrow"/>
                <w:color w:val="000000"/>
                <w:sz w:val="20"/>
              </w:rPr>
              <w:t>$560.00</w:t>
            </w:r>
          </w:p>
        </w:tc>
      </w:tr>
      <w:tr w:rsidR="00640CFE" w14:paraId="540F87B0" w14:textId="77777777" w:rsidTr="004D4BA3">
        <w:tc>
          <w:tcPr>
            <w:tcW w:w="6345" w:type="dxa"/>
          </w:tcPr>
          <w:p w14:paraId="2C6B7FA9" w14:textId="6342D2D5" w:rsidR="00640CFE" w:rsidRPr="006A06B0" w:rsidRDefault="00640CFE" w:rsidP="004D4BA3">
            <w:pPr>
              <w:rPr>
                <w:rFonts w:ascii="Arial Narrow" w:eastAsia="Calibri" w:hAnsi="Arial Narrow" w:cs="Arial Narrow"/>
                <w:color w:val="000000"/>
                <w:sz w:val="20"/>
              </w:rPr>
            </w:pPr>
            <w:r w:rsidRPr="00640CFE">
              <w:rPr>
                <w:rFonts w:ascii="Arial Narrow" w:eastAsia="Calibri" w:hAnsi="Arial Narrow" w:cs="Arial Narrow"/>
                <w:color w:val="000000"/>
                <w:sz w:val="20"/>
              </w:rPr>
              <w:t>Bon</w:t>
            </w:r>
            <w:r>
              <w:rPr>
                <w:rFonts w:ascii="Arial Narrow" w:eastAsia="Calibri" w:hAnsi="Arial Narrow" w:cs="Arial Narrow"/>
                <w:color w:val="000000"/>
                <w:sz w:val="20"/>
              </w:rPr>
              <w:t>e study (for bone scintigraphy)</w:t>
            </w:r>
          </w:p>
        </w:tc>
        <w:tc>
          <w:tcPr>
            <w:tcW w:w="1560" w:type="dxa"/>
          </w:tcPr>
          <w:p w14:paraId="330D51CF" w14:textId="4366E2C8" w:rsidR="00640CFE" w:rsidRPr="006A06B0" w:rsidRDefault="00640CFE" w:rsidP="004D4BA3">
            <w:pPr>
              <w:jc w:val="center"/>
              <w:rPr>
                <w:rFonts w:ascii="Arial Narrow" w:eastAsia="Calibri" w:hAnsi="Arial Narrow" w:cs="Arial Narrow"/>
                <w:color w:val="000000"/>
                <w:sz w:val="20"/>
              </w:rPr>
            </w:pPr>
            <w:r>
              <w:rPr>
                <w:rFonts w:ascii="Arial Narrow" w:eastAsia="Calibri" w:hAnsi="Arial Narrow" w:cs="Arial Narrow"/>
                <w:color w:val="000000"/>
                <w:sz w:val="20"/>
              </w:rPr>
              <w:t>61425+61505</w:t>
            </w:r>
          </w:p>
        </w:tc>
        <w:tc>
          <w:tcPr>
            <w:tcW w:w="1337" w:type="dxa"/>
          </w:tcPr>
          <w:p w14:paraId="21083CC1" w14:textId="54CEC68C" w:rsidR="00640CFE" w:rsidRPr="006A06B0" w:rsidRDefault="00640CFE" w:rsidP="004D4BA3">
            <w:pPr>
              <w:jc w:val="center"/>
              <w:rPr>
                <w:rFonts w:ascii="Arial Narrow" w:eastAsia="Calibri" w:hAnsi="Arial Narrow" w:cs="Arial Narrow"/>
                <w:color w:val="000000"/>
                <w:sz w:val="20"/>
              </w:rPr>
            </w:pPr>
            <w:r>
              <w:rPr>
                <w:rFonts w:ascii="Arial Narrow" w:eastAsia="Calibri" w:hAnsi="Arial Narrow" w:cs="Arial Narrow"/>
                <w:color w:val="000000"/>
                <w:sz w:val="20"/>
              </w:rPr>
              <w:t>$700.70</w:t>
            </w:r>
          </w:p>
        </w:tc>
      </w:tr>
      <w:tr w:rsidR="00640CFE" w14:paraId="7F388AC0" w14:textId="77777777" w:rsidTr="004D4BA3">
        <w:tc>
          <w:tcPr>
            <w:tcW w:w="6345" w:type="dxa"/>
          </w:tcPr>
          <w:p w14:paraId="2E3CA2FA" w14:textId="130EDDE6" w:rsidR="00640CFE" w:rsidRPr="006A06B0" w:rsidRDefault="00640CFE" w:rsidP="004D4BA3">
            <w:pPr>
              <w:rPr>
                <w:rFonts w:ascii="Arial Narrow" w:eastAsia="Calibri" w:hAnsi="Arial Narrow" w:cs="Arial Narrow"/>
                <w:color w:val="000000"/>
                <w:sz w:val="20"/>
              </w:rPr>
            </w:pPr>
            <w:r w:rsidRPr="00640CFE">
              <w:rPr>
                <w:rFonts w:ascii="Arial Narrow" w:eastAsia="Calibri" w:hAnsi="Arial Narrow" w:cs="Arial Narrow"/>
                <w:color w:val="000000"/>
                <w:sz w:val="20"/>
              </w:rPr>
              <w:t>Abdomen ultrasound – a</w:t>
            </w:r>
            <w:r>
              <w:rPr>
                <w:rFonts w:ascii="Arial Narrow" w:eastAsia="Calibri" w:hAnsi="Arial Narrow" w:cs="Arial Narrow"/>
                <w:color w:val="000000"/>
                <w:sz w:val="20"/>
              </w:rPr>
              <w:t>ssumed to occur in 50% of cases</w:t>
            </w:r>
          </w:p>
        </w:tc>
        <w:tc>
          <w:tcPr>
            <w:tcW w:w="1560" w:type="dxa"/>
          </w:tcPr>
          <w:p w14:paraId="67452929" w14:textId="451655BE" w:rsidR="00640CFE" w:rsidRPr="006A06B0" w:rsidRDefault="00640CFE" w:rsidP="00640CFE">
            <w:pPr>
              <w:jc w:val="center"/>
              <w:rPr>
                <w:rFonts w:ascii="Arial Narrow" w:eastAsia="Calibri" w:hAnsi="Arial Narrow" w:cs="Arial Narrow"/>
                <w:color w:val="000000"/>
                <w:sz w:val="20"/>
              </w:rPr>
            </w:pPr>
            <w:r w:rsidRPr="00640CFE">
              <w:rPr>
                <w:rFonts w:ascii="Arial Narrow" w:eastAsia="Calibri" w:hAnsi="Arial Narrow" w:cs="Arial Narrow"/>
                <w:color w:val="000000"/>
                <w:sz w:val="20"/>
              </w:rPr>
              <w:t>55036</w:t>
            </w:r>
          </w:p>
        </w:tc>
        <w:tc>
          <w:tcPr>
            <w:tcW w:w="1337" w:type="dxa"/>
          </w:tcPr>
          <w:p w14:paraId="6348E9A7" w14:textId="43579D26" w:rsidR="00640CFE" w:rsidRPr="006A06B0" w:rsidRDefault="00640CFE" w:rsidP="00640CFE">
            <w:pPr>
              <w:jc w:val="center"/>
              <w:rPr>
                <w:rFonts w:ascii="Arial Narrow" w:eastAsia="Calibri" w:hAnsi="Arial Narrow" w:cs="Arial Narrow"/>
                <w:color w:val="000000"/>
                <w:sz w:val="20"/>
              </w:rPr>
            </w:pPr>
            <w:r w:rsidRPr="00640CFE">
              <w:rPr>
                <w:rFonts w:ascii="Arial Narrow" w:eastAsia="Calibri" w:hAnsi="Arial Narrow" w:cs="Arial Narrow"/>
                <w:color w:val="000000"/>
                <w:sz w:val="20"/>
              </w:rPr>
              <w:t>$111.30 x 50%</w:t>
            </w:r>
          </w:p>
        </w:tc>
      </w:tr>
      <w:tr w:rsidR="00640CFE" w14:paraId="2C30015A" w14:textId="77777777" w:rsidTr="004D4BA3">
        <w:tc>
          <w:tcPr>
            <w:tcW w:w="6345" w:type="dxa"/>
          </w:tcPr>
          <w:p w14:paraId="612AB158" w14:textId="4CF73922" w:rsidR="00640CFE" w:rsidRDefault="00640CFE" w:rsidP="004D4BA3">
            <w:r w:rsidRPr="00640CFE">
              <w:rPr>
                <w:rFonts w:ascii="Arial Narrow" w:eastAsia="Calibri" w:hAnsi="Arial Narrow" w:cs="Arial Narrow"/>
                <w:color w:val="000000"/>
                <w:sz w:val="20"/>
              </w:rPr>
              <w:t>Physician consu</w:t>
            </w:r>
            <w:r>
              <w:rPr>
                <w:rFonts w:ascii="Arial Narrow" w:eastAsia="Calibri" w:hAnsi="Arial Narrow" w:cs="Arial Narrow"/>
                <w:color w:val="000000"/>
                <w:sz w:val="20"/>
              </w:rPr>
              <w:t>ltation (subsequent attendance)</w:t>
            </w:r>
          </w:p>
        </w:tc>
        <w:tc>
          <w:tcPr>
            <w:tcW w:w="1560" w:type="dxa"/>
          </w:tcPr>
          <w:p w14:paraId="3DE26C16" w14:textId="77777777" w:rsidR="00640CFE" w:rsidRPr="006A06B0" w:rsidRDefault="00640CFE" w:rsidP="004D4BA3">
            <w:pPr>
              <w:jc w:val="center"/>
              <w:rPr>
                <w:sz w:val="20"/>
              </w:rPr>
            </w:pPr>
            <w:r w:rsidRPr="006A06B0">
              <w:rPr>
                <w:rFonts w:ascii="Arial Narrow" w:eastAsia="Calibri" w:hAnsi="Arial Narrow" w:cs="Arial Narrow"/>
                <w:color w:val="000000"/>
                <w:sz w:val="20"/>
              </w:rPr>
              <w:t>116</w:t>
            </w:r>
          </w:p>
        </w:tc>
        <w:tc>
          <w:tcPr>
            <w:tcW w:w="1337" w:type="dxa"/>
          </w:tcPr>
          <w:p w14:paraId="32597025" w14:textId="77777777" w:rsidR="00640CFE" w:rsidRDefault="00640CFE" w:rsidP="004D4BA3">
            <w:pPr>
              <w:jc w:val="center"/>
            </w:pPr>
            <w:r w:rsidRPr="006A06B0">
              <w:rPr>
                <w:rFonts w:ascii="Arial Narrow" w:eastAsia="Calibri" w:hAnsi="Arial Narrow" w:cs="Arial Narrow"/>
                <w:color w:val="000000"/>
                <w:sz w:val="20"/>
              </w:rPr>
              <w:t>$75.50</w:t>
            </w:r>
          </w:p>
        </w:tc>
      </w:tr>
      <w:tr w:rsidR="00640CFE" w14:paraId="3605DE54" w14:textId="77777777" w:rsidTr="004D4BA3">
        <w:tc>
          <w:tcPr>
            <w:tcW w:w="6345" w:type="dxa"/>
          </w:tcPr>
          <w:p w14:paraId="48B09F3B" w14:textId="77777777" w:rsidR="00640CFE" w:rsidRDefault="00640CFE" w:rsidP="004D4BA3">
            <w:r w:rsidRPr="006A06B0">
              <w:rPr>
                <w:rFonts w:ascii="Arial Narrow" w:eastAsia="Calibri" w:hAnsi="Arial Narrow" w:cs="Arial Narrow"/>
                <w:b/>
                <w:bCs/>
                <w:color w:val="000000"/>
                <w:sz w:val="20"/>
              </w:rPr>
              <w:t>Total cost</w:t>
            </w:r>
          </w:p>
        </w:tc>
        <w:tc>
          <w:tcPr>
            <w:tcW w:w="1560" w:type="dxa"/>
          </w:tcPr>
          <w:p w14:paraId="3AD9637D" w14:textId="77777777" w:rsidR="00640CFE" w:rsidRPr="006A06B0" w:rsidRDefault="00640CFE" w:rsidP="004D4BA3">
            <w:pPr>
              <w:jc w:val="center"/>
              <w:rPr>
                <w:sz w:val="20"/>
              </w:rPr>
            </w:pPr>
          </w:p>
        </w:tc>
        <w:tc>
          <w:tcPr>
            <w:tcW w:w="1337" w:type="dxa"/>
          </w:tcPr>
          <w:p w14:paraId="40CA9012" w14:textId="763D0A01" w:rsidR="00640CFE" w:rsidRDefault="00640CFE" w:rsidP="00640CFE">
            <w:pPr>
              <w:jc w:val="center"/>
            </w:pPr>
            <w:r w:rsidRPr="00640CFE">
              <w:rPr>
                <w:rFonts w:ascii="Arial Narrow" w:eastAsia="Calibri" w:hAnsi="Arial Narrow" w:cs="Arial Narrow"/>
                <w:b/>
                <w:bCs/>
                <w:color w:val="000000"/>
                <w:sz w:val="20"/>
              </w:rPr>
              <w:t>$1,336.20</w:t>
            </w:r>
          </w:p>
        </w:tc>
      </w:tr>
    </w:tbl>
    <w:p w14:paraId="45AB19E4" w14:textId="6B66EEDB" w:rsidR="00AD4AB8" w:rsidRDefault="00052A87" w:rsidP="004F2AC8">
      <w:pPr>
        <w:spacing w:before="240" w:after="240"/>
      </w:pPr>
      <w:r w:rsidRPr="00F64574">
        <w:t xml:space="preserve">In the </w:t>
      </w:r>
      <w:r w:rsidR="00A2178C">
        <w:t>Scenario 1 analys</w:t>
      </w:r>
      <w:r w:rsidR="00640CFE">
        <w:t>e</w:t>
      </w:r>
      <w:r w:rsidR="00A2178C">
        <w:t xml:space="preserve">s </w:t>
      </w:r>
      <w:r>
        <w:t>(</w:t>
      </w:r>
      <w:r w:rsidR="00FF0466">
        <w:t xml:space="preserve">Table </w:t>
      </w:r>
      <w:r w:rsidR="00640CFE">
        <w:t>9</w:t>
      </w:r>
      <w:r>
        <w:t>)</w:t>
      </w:r>
      <w:r w:rsidRPr="00F64574">
        <w:t xml:space="preserve">, </w:t>
      </w:r>
      <w:r>
        <w:t>the economic model determined</w:t>
      </w:r>
      <w:r w:rsidRPr="00F64574">
        <w:t xml:space="preserve"> PET/CT</w:t>
      </w:r>
      <w:r>
        <w:t xml:space="preserve"> (relative to conventional imaging)</w:t>
      </w:r>
      <w:r w:rsidR="00981C0E">
        <w:t xml:space="preserve"> </w:t>
      </w:r>
      <w:r w:rsidRPr="00F64574">
        <w:t>to be</w:t>
      </w:r>
      <w:r w:rsidR="00A2178C">
        <w:t xml:space="preserve"> either</w:t>
      </w:r>
      <w:r w:rsidRPr="00F64574">
        <w:t xml:space="preserve"> </w:t>
      </w:r>
      <w:r w:rsidR="00A2178C">
        <w:t>cost saving</w:t>
      </w:r>
      <w:r>
        <w:t xml:space="preserve"> of </w:t>
      </w:r>
      <w:r w:rsidRPr="00F64574">
        <w:t>$</w:t>
      </w:r>
      <w:r w:rsidR="00A2178C">
        <w:t>277</w:t>
      </w:r>
      <w:r>
        <w:t xml:space="preserve"> per patient in population 1 (locally advanced</w:t>
      </w:r>
      <w:r w:rsidR="00AF3250">
        <w:t xml:space="preserve"> disease</w:t>
      </w:r>
      <w:r>
        <w:t>)</w:t>
      </w:r>
      <w:r w:rsidRPr="00F64574">
        <w:t xml:space="preserve"> </w:t>
      </w:r>
      <w:r w:rsidR="00A2178C">
        <w:t>or additional cost of</w:t>
      </w:r>
      <w:r>
        <w:t xml:space="preserve"> </w:t>
      </w:r>
      <w:r w:rsidR="00A2178C">
        <w:t>$845</w:t>
      </w:r>
      <w:r>
        <w:t xml:space="preserve"> per </w:t>
      </w:r>
      <w:r w:rsidRPr="00F64574">
        <w:t>patient in</w:t>
      </w:r>
      <w:r>
        <w:t xml:space="preserve"> population 2 (</w:t>
      </w:r>
      <w:r w:rsidRPr="00F64574">
        <w:t>suspected recurren</w:t>
      </w:r>
      <w:r w:rsidR="00AF3250">
        <w:t>t or metastatic disease</w:t>
      </w:r>
      <w:r w:rsidRPr="00F64574">
        <w:t>).</w:t>
      </w:r>
    </w:p>
    <w:p w14:paraId="1F03A4CD" w14:textId="66E63CBF" w:rsidR="00052A87" w:rsidRPr="004F2AC8" w:rsidRDefault="00052A87" w:rsidP="004F2AC8">
      <w:pPr>
        <w:pStyle w:val="Caption"/>
      </w:pPr>
      <w:r w:rsidRPr="004F2AC8">
        <w:t xml:space="preserve">Table </w:t>
      </w:r>
      <w:r w:rsidR="00640CFE">
        <w:t>9</w:t>
      </w:r>
      <w:r w:rsidRPr="004F2AC8">
        <w:tab/>
      </w:r>
      <w:r w:rsidR="004F2AC8">
        <w:t>Economic evaluation r</w:t>
      </w:r>
      <w:r w:rsidRPr="004F2AC8">
        <w:t>esults</w:t>
      </w:r>
      <w:r w:rsidR="004F2AC8">
        <w:t xml:space="preserve"> for</w:t>
      </w:r>
      <w:r w:rsidRPr="004F2AC8">
        <w:t xml:space="preserve"> Scenario 1</w:t>
      </w:r>
    </w:p>
    <w:tbl>
      <w:tblPr>
        <w:tblStyle w:val="TableGrid1"/>
        <w:tblW w:w="5000" w:type="pct"/>
        <w:tblLook w:val="0000" w:firstRow="0" w:lastRow="0" w:firstColumn="0" w:lastColumn="0" w:noHBand="0" w:noVBand="0"/>
        <w:tblDescription w:val="Results of the economic evaluation for scenario 1"/>
      </w:tblPr>
      <w:tblGrid>
        <w:gridCol w:w="2141"/>
        <w:gridCol w:w="2645"/>
        <w:gridCol w:w="1418"/>
        <w:gridCol w:w="1445"/>
        <w:gridCol w:w="1593"/>
      </w:tblGrid>
      <w:tr w:rsidR="00DA7619" w:rsidRPr="00DA7619" w14:paraId="283A5746" w14:textId="77777777" w:rsidTr="00530298">
        <w:trPr>
          <w:trHeight w:val="141"/>
          <w:tblHeader/>
        </w:trPr>
        <w:tc>
          <w:tcPr>
            <w:tcW w:w="1158" w:type="pct"/>
          </w:tcPr>
          <w:p w14:paraId="69D5FC80" w14:textId="3F60F344" w:rsidR="00DA7619" w:rsidRPr="00DA7619" w:rsidRDefault="004F2AC8" w:rsidP="00CF0B3B">
            <w:pPr>
              <w:autoSpaceDE w:val="0"/>
              <w:autoSpaceDN w:val="0"/>
              <w:adjustRightInd w:val="0"/>
              <w:rPr>
                <w:rFonts w:eastAsia="Calibri" w:cs="Arial Narrow"/>
                <w:color w:val="000000"/>
                <w:sz w:val="20"/>
              </w:rPr>
            </w:pPr>
            <w:r>
              <w:rPr>
                <w:rFonts w:eastAsia="Calibri" w:cs="Arial Narrow"/>
                <w:b/>
                <w:bCs/>
                <w:color w:val="000000"/>
                <w:sz w:val="20"/>
              </w:rPr>
              <w:t>Model</w:t>
            </w:r>
          </w:p>
        </w:tc>
        <w:tc>
          <w:tcPr>
            <w:tcW w:w="1431" w:type="pct"/>
          </w:tcPr>
          <w:p w14:paraId="5144A4E6" w14:textId="1BC576B8" w:rsidR="00DA7619" w:rsidRPr="00DA7619" w:rsidRDefault="00DA7619" w:rsidP="004F2AC8">
            <w:pPr>
              <w:autoSpaceDE w:val="0"/>
              <w:autoSpaceDN w:val="0"/>
              <w:adjustRightInd w:val="0"/>
              <w:rPr>
                <w:rFonts w:eastAsia="Calibri" w:cs="Arial Narrow"/>
                <w:color w:val="000000"/>
                <w:sz w:val="20"/>
              </w:rPr>
            </w:pPr>
            <w:r w:rsidRPr="00DA7619">
              <w:rPr>
                <w:rFonts w:eastAsia="Calibri" w:cs="Arial Narrow"/>
                <w:b/>
                <w:bCs/>
                <w:color w:val="000000"/>
                <w:sz w:val="20"/>
              </w:rPr>
              <w:t>Item</w:t>
            </w:r>
          </w:p>
        </w:tc>
        <w:tc>
          <w:tcPr>
            <w:tcW w:w="767" w:type="pct"/>
          </w:tcPr>
          <w:p w14:paraId="5176E2B2" w14:textId="7DBAADC3"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PET/CT</w:t>
            </w:r>
          </w:p>
        </w:tc>
        <w:tc>
          <w:tcPr>
            <w:tcW w:w="782" w:type="pct"/>
          </w:tcPr>
          <w:p w14:paraId="58E3AA05" w14:textId="7DA90C0B"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CI</w:t>
            </w:r>
          </w:p>
        </w:tc>
        <w:tc>
          <w:tcPr>
            <w:tcW w:w="862" w:type="pct"/>
          </w:tcPr>
          <w:p w14:paraId="30FE561D" w14:textId="59400C16"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Increment</w:t>
            </w:r>
          </w:p>
        </w:tc>
      </w:tr>
      <w:tr w:rsidR="00DA7619" w:rsidRPr="00DA7619" w14:paraId="54D4F7C4" w14:textId="77777777" w:rsidTr="00530298">
        <w:trPr>
          <w:trHeight w:val="253"/>
        </w:trPr>
        <w:tc>
          <w:tcPr>
            <w:tcW w:w="1158" w:type="pct"/>
          </w:tcPr>
          <w:p w14:paraId="6132EFDF" w14:textId="152EA54E" w:rsidR="00DA7619" w:rsidRPr="00DA7619" w:rsidRDefault="00DA7619" w:rsidP="004F2AC8">
            <w:pPr>
              <w:autoSpaceDE w:val="0"/>
              <w:autoSpaceDN w:val="0"/>
              <w:adjustRightInd w:val="0"/>
              <w:rPr>
                <w:rFonts w:eastAsia="Calibri" w:cs="Arial Narrow"/>
                <w:color w:val="000000"/>
                <w:sz w:val="20"/>
              </w:rPr>
            </w:pPr>
            <w:r w:rsidRPr="00DA7619">
              <w:rPr>
                <w:rFonts w:eastAsia="Calibri" w:cs="Arial Narrow"/>
                <w:color w:val="000000"/>
                <w:sz w:val="20"/>
              </w:rPr>
              <w:t>Population 1:</w:t>
            </w:r>
          </w:p>
        </w:tc>
        <w:tc>
          <w:tcPr>
            <w:tcW w:w="1431" w:type="pct"/>
          </w:tcPr>
          <w:p w14:paraId="7A2916E0" w14:textId="57380931" w:rsidR="00DA7619" w:rsidRPr="00DA7619" w:rsidRDefault="004F2AC8" w:rsidP="00CF0B3B">
            <w:pPr>
              <w:autoSpaceDE w:val="0"/>
              <w:autoSpaceDN w:val="0"/>
              <w:adjustRightInd w:val="0"/>
              <w:rPr>
                <w:rFonts w:eastAsia="Calibri" w:cs="Arial Narrow"/>
                <w:color w:val="000000"/>
                <w:sz w:val="20"/>
              </w:rPr>
            </w:pPr>
            <w:r>
              <w:rPr>
                <w:rFonts w:eastAsia="Calibri" w:cs="Arial Narrow"/>
                <w:color w:val="000000"/>
                <w:sz w:val="20"/>
              </w:rPr>
              <w:t>Cost</w:t>
            </w:r>
          </w:p>
        </w:tc>
        <w:tc>
          <w:tcPr>
            <w:tcW w:w="767" w:type="pct"/>
          </w:tcPr>
          <w:p w14:paraId="155F798D" w14:textId="091C9F35"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$28,496</w:t>
            </w:r>
          </w:p>
        </w:tc>
        <w:tc>
          <w:tcPr>
            <w:tcW w:w="782" w:type="pct"/>
          </w:tcPr>
          <w:p w14:paraId="0AC6D88A" w14:textId="2A14675B"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$28,773</w:t>
            </w:r>
          </w:p>
        </w:tc>
        <w:tc>
          <w:tcPr>
            <w:tcW w:w="862" w:type="pct"/>
          </w:tcPr>
          <w:p w14:paraId="096DD019" w14:textId="6BCDE340" w:rsidR="00DA7619" w:rsidRPr="00DA7619" w:rsidRDefault="00DA7619" w:rsidP="004F2AC8">
            <w:pPr>
              <w:autoSpaceDE w:val="0"/>
              <w:autoSpaceDN w:val="0"/>
              <w:adjustRightInd w:val="0"/>
              <w:jc w:val="center"/>
              <w:rPr>
                <w:rFonts w:eastAsia="Calibri" w:cs="Arial Narrow"/>
                <w:color w:val="FF0000"/>
                <w:sz w:val="20"/>
              </w:rPr>
            </w:pPr>
            <w:r w:rsidRPr="00DA7619">
              <w:rPr>
                <w:rFonts w:eastAsia="Calibri" w:cs="Arial Narrow"/>
                <w:color w:val="FF0000"/>
                <w:sz w:val="20"/>
              </w:rPr>
              <w:t>-$277 (saving)</w:t>
            </w:r>
          </w:p>
        </w:tc>
      </w:tr>
      <w:tr w:rsidR="00DA7619" w:rsidRPr="00DA7619" w14:paraId="135361F9" w14:textId="77777777" w:rsidTr="00530298">
        <w:trPr>
          <w:trHeight w:val="138"/>
        </w:trPr>
        <w:tc>
          <w:tcPr>
            <w:tcW w:w="1158" w:type="pct"/>
          </w:tcPr>
          <w:p w14:paraId="09320C3F" w14:textId="77777777" w:rsidR="00DA7619" w:rsidRPr="00DA7619" w:rsidRDefault="003018F2" w:rsidP="00CF0B3B">
            <w:pPr>
              <w:autoSpaceDE w:val="0"/>
              <w:autoSpaceDN w:val="0"/>
              <w:adjustRightInd w:val="0"/>
              <w:rPr>
                <w:rFonts w:eastAsia="Calibri" w:cs="Arial Narrow"/>
                <w:color w:val="000000"/>
                <w:sz w:val="20"/>
              </w:rPr>
            </w:pPr>
            <w:r w:rsidRPr="00DA7619">
              <w:rPr>
                <w:rFonts w:eastAsia="Calibri" w:cs="Arial Narrow"/>
                <w:color w:val="000000"/>
                <w:sz w:val="20"/>
              </w:rPr>
              <w:t>Proven local cancer</w:t>
            </w:r>
          </w:p>
        </w:tc>
        <w:tc>
          <w:tcPr>
            <w:tcW w:w="1431" w:type="pct"/>
          </w:tcPr>
          <w:p w14:paraId="600C91E5" w14:textId="5284A255" w:rsidR="00DA7619" w:rsidRPr="00DA7619" w:rsidRDefault="004F2AC8" w:rsidP="00CF0B3B">
            <w:pPr>
              <w:autoSpaceDE w:val="0"/>
              <w:autoSpaceDN w:val="0"/>
              <w:adjustRightInd w:val="0"/>
              <w:rPr>
                <w:rFonts w:eastAsia="Calibri" w:cs="Arial Narrow"/>
                <w:color w:val="000000"/>
                <w:sz w:val="20"/>
              </w:rPr>
            </w:pPr>
            <w:r>
              <w:rPr>
                <w:rFonts w:eastAsia="Calibri" w:cs="Arial Narrow"/>
                <w:color w:val="000000"/>
                <w:sz w:val="20"/>
              </w:rPr>
              <w:t>Indicative QALYs</w:t>
            </w:r>
          </w:p>
        </w:tc>
        <w:tc>
          <w:tcPr>
            <w:tcW w:w="767" w:type="pct"/>
          </w:tcPr>
          <w:p w14:paraId="5D45E331" w14:textId="5493FC3E"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4.903</w:t>
            </w:r>
          </w:p>
        </w:tc>
        <w:tc>
          <w:tcPr>
            <w:tcW w:w="782" w:type="pct"/>
          </w:tcPr>
          <w:p w14:paraId="5D29C94F" w14:textId="4C40C93D"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4.897</w:t>
            </w:r>
          </w:p>
        </w:tc>
        <w:tc>
          <w:tcPr>
            <w:tcW w:w="862" w:type="pct"/>
          </w:tcPr>
          <w:p w14:paraId="271CB4DE" w14:textId="77777777"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0.006</w:t>
            </w:r>
          </w:p>
        </w:tc>
      </w:tr>
      <w:tr w:rsidR="003018F2" w:rsidRPr="00DA7619" w14:paraId="428B0946" w14:textId="77777777" w:rsidTr="00530298">
        <w:trPr>
          <w:trHeight w:val="141"/>
        </w:trPr>
        <w:tc>
          <w:tcPr>
            <w:tcW w:w="1158" w:type="pct"/>
          </w:tcPr>
          <w:p w14:paraId="00E23F37" w14:textId="77777777" w:rsidR="00DA7619" w:rsidRPr="00DA7619" w:rsidRDefault="00DA7619" w:rsidP="00CF0B3B">
            <w:pPr>
              <w:autoSpaceDE w:val="0"/>
              <w:autoSpaceDN w:val="0"/>
              <w:adjustRightInd w:val="0"/>
              <w:rPr>
                <w:rFonts w:eastAsia="Calibri" w:cs="Arial Narrow"/>
                <w:b/>
                <w:bCs/>
                <w:color w:val="000000"/>
                <w:sz w:val="20"/>
              </w:rPr>
            </w:pPr>
          </w:p>
        </w:tc>
        <w:tc>
          <w:tcPr>
            <w:tcW w:w="1431" w:type="pct"/>
          </w:tcPr>
          <w:p w14:paraId="029FC57A" w14:textId="6F46D3AD" w:rsidR="00DA7619" w:rsidRPr="00DA7619" w:rsidRDefault="004F2AC8" w:rsidP="00CF0B3B">
            <w:pPr>
              <w:autoSpaceDE w:val="0"/>
              <w:autoSpaceDN w:val="0"/>
              <w:adjustRightInd w:val="0"/>
              <w:rPr>
                <w:rFonts w:eastAsia="Calibri" w:cs="Arial Narrow"/>
                <w:color w:val="000000"/>
                <w:sz w:val="20"/>
              </w:rPr>
            </w:pPr>
            <w:r>
              <w:rPr>
                <w:rFonts w:eastAsia="Calibri" w:cs="Arial Narrow"/>
                <w:b/>
                <w:bCs/>
                <w:color w:val="000000"/>
                <w:sz w:val="20"/>
              </w:rPr>
              <w:t>Indicative $/QALY gained</w:t>
            </w:r>
          </w:p>
        </w:tc>
        <w:tc>
          <w:tcPr>
            <w:tcW w:w="767" w:type="pct"/>
          </w:tcPr>
          <w:p w14:paraId="4667780B" w14:textId="77777777" w:rsidR="00DA7619" w:rsidRPr="00DA7619" w:rsidRDefault="00DA7619" w:rsidP="00CF0B3B">
            <w:pPr>
              <w:autoSpaceDE w:val="0"/>
              <w:autoSpaceDN w:val="0"/>
              <w:adjustRightInd w:val="0"/>
              <w:rPr>
                <w:rFonts w:eastAsia="Calibri" w:cs="Arial Narrow"/>
                <w:color w:val="000000"/>
                <w:sz w:val="20"/>
              </w:rPr>
            </w:pPr>
          </w:p>
        </w:tc>
        <w:tc>
          <w:tcPr>
            <w:tcW w:w="782" w:type="pct"/>
          </w:tcPr>
          <w:p w14:paraId="0A750F1B" w14:textId="77777777" w:rsidR="00DA7619" w:rsidRPr="00DA7619" w:rsidRDefault="00DA7619" w:rsidP="00CF0B3B">
            <w:pPr>
              <w:autoSpaceDE w:val="0"/>
              <w:autoSpaceDN w:val="0"/>
              <w:adjustRightInd w:val="0"/>
              <w:rPr>
                <w:rFonts w:eastAsia="Calibri" w:cs="Arial Narrow"/>
                <w:color w:val="000000"/>
                <w:sz w:val="20"/>
              </w:rPr>
            </w:pPr>
          </w:p>
        </w:tc>
        <w:tc>
          <w:tcPr>
            <w:tcW w:w="862" w:type="pct"/>
          </w:tcPr>
          <w:p w14:paraId="47D14684" w14:textId="77777777"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Dominant</w:t>
            </w:r>
          </w:p>
        </w:tc>
      </w:tr>
      <w:tr w:rsidR="00CF0B3B" w:rsidRPr="00DA7619" w14:paraId="533ED609" w14:textId="77777777" w:rsidTr="00530298">
        <w:trPr>
          <w:trHeight w:val="225"/>
        </w:trPr>
        <w:tc>
          <w:tcPr>
            <w:tcW w:w="1158" w:type="pct"/>
          </w:tcPr>
          <w:p w14:paraId="6AEF9BAB" w14:textId="723FD080" w:rsidR="00DA7619" w:rsidRPr="00DA7619" w:rsidRDefault="004F2AC8" w:rsidP="00CF0B3B">
            <w:pPr>
              <w:autoSpaceDE w:val="0"/>
              <w:autoSpaceDN w:val="0"/>
              <w:adjustRightInd w:val="0"/>
              <w:rPr>
                <w:rFonts w:eastAsia="Calibri" w:cs="Arial Narrow"/>
                <w:color w:val="000000"/>
                <w:sz w:val="20"/>
              </w:rPr>
            </w:pPr>
            <w:r>
              <w:rPr>
                <w:rFonts w:eastAsia="Calibri" w:cs="Arial Narrow"/>
                <w:color w:val="000000"/>
                <w:sz w:val="20"/>
              </w:rPr>
              <w:t>Population 2:</w:t>
            </w:r>
          </w:p>
        </w:tc>
        <w:tc>
          <w:tcPr>
            <w:tcW w:w="1431" w:type="pct"/>
          </w:tcPr>
          <w:p w14:paraId="0533D5C7" w14:textId="69B58195" w:rsidR="00DA7619" w:rsidRPr="00DA7619" w:rsidRDefault="004F2AC8" w:rsidP="00CF0B3B">
            <w:pPr>
              <w:autoSpaceDE w:val="0"/>
              <w:autoSpaceDN w:val="0"/>
              <w:adjustRightInd w:val="0"/>
              <w:rPr>
                <w:rFonts w:eastAsia="Calibri" w:cs="Arial Narrow"/>
                <w:color w:val="000000"/>
                <w:sz w:val="20"/>
              </w:rPr>
            </w:pPr>
            <w:r>
              <w:rPr>
                <w:rFonts w:eastAsia="Calibri" w:cs="Arial Narrow"/>
                <w:color w:val="000000"/>
                <w:sz w:val="20"/>
              </w:rPr>
              <w:t>Cost</w:t>
            </w:r>
          </w:p>
        </w:tc>
        <w:tc>
          <w:tcPr>
            <w:tcW w:w="767" w:type="pct"/>
          </w:tcPr>
          <w:p w14:paraId="309CE113" w14:textId="6C750685"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$16,908</w:t>
            </w:r>
          </w:p>
        </w:tc>
        <w:tc>
          <w:tcPr>
            <w:tcW w:w="782" w:type="pct"/>
          </w:tcPr>
          <w:p w14:paraId="0D736F12" w14:textId="60880298"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$16,063</w:t>
            </w:r>
          </w:p>
        </w:tc>
        <w:tc>
          <w:tcPr>
            <w:tcW w:w="862" w:type="pct"/>
          </w:tcPr>
          <w:p w14:paraId="2078BEDD" w14:textId="5CD858CF"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$845</w:t>
            </w:r>
          </w:p>
        </w:tc>
      </w:tr>
      <w:tr w:rsidR="00DA7619" w:rsidRPr="00DA7619" w14:paraId="37FCB0A1" w14:textId="77777777" w:rsidTr="00530298">
        <w:trPr>
          <w:trHeight w:val="219"/>
        </w:trPr>
        <w:tc>
          <w:tcPr>
            <w:tcW w:w="1158" w:type="pct"/>
          </w:tcPr>
          <w:p w14:paraId="2CA6087D" w14:textId="4ED7B61D" w:rsidR="00DA7619" w:rsidRPr="00DA7619" w:rsidRDefault="00DA7619" w:rsidP="00CF0B3B">
            <w:pPr>
              <w:autoSpaceDE w:val="0"/>
              <w:autoSpaceDN w:val="0"/>
              <w:adjustRightInd w:val="0"/>
              <w:rPr>
                <w:rFonts w:eastAsia="Calibri" w:cs="Arial Narrow"/>
                <w:color w:val="000000"/>
                <w:sz w:val="20"/>
              </w:rPr>
            </w:pPr>
            <w:r w:rsidRPr="00DA7619">
              <w:rPr>
                <w:rFonts w:eastAsia="Calibri" w:cs="Arial Narrow"/>
                <w:color w:val="000000"/>
                <w:sz w:val="20"/>
              </w:rPr>
              <w:t>Suspected recurrent</w:t>
            </w:r>
            <w:r>
              <w:rPr>
                <w:rFonts w:eastAsia="Calibri" w:cs="Arial Narrow"/>
                <w:color w:val="000000"/>
                <w:sz w:val="20"/>
              </w:rPr>
              <w:t xml:space="preserve"> local</w:t>
            </w:r>
          </w:p>
        </w:tc>
        <w:tc>
          <w:tcPr>
            <w:tcW w:w="1431" w:type="pct"/>
          </w:tcPr>
          <w:p w14:paraId="78A0687E" w14:textId="06E8462B" w:rsidR="00DA7619" w:rsidRPr="00DA7619" w:rsidRDefault="004F2AC8" w:rsidP="00CF0B3B">
            <w:pPr>
              <w:autoSpaceDE w:val="0"/>
              <w:autoSpaceDN w:val="0"/>
              <w:adjustRightInd w:val="0"/>
              <w:rPr>
                <w:rFonts w:eastAsia="Calibri" w:cs="Arial Narrow"/>
                <w:color w:val="000000"/>
                <w:sz w:val="20"/>
              </w:rPr>
            </w:pPr>
            <w:r>
              <w:rPr>
                <w:rFonts w:eastAsia="Calibri" w:cs="Arial Narrow"/>
                <w:color w:val="000000"/>
                <w:sz w:val="20"/>
              </w:rPr>
              <w:t>Indicative QALYs</w:t>
            </w:r>
          </w:p>
        </w:tc>
        <w:tc>
          <w:tcPr>
            <w:tcW w:w="767" w:type="pct"/>
          </w:tcPr>
          <w:p w14:paraId="3CD595BF" w14:textId="72D3E400"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3.873</w:t>
            </w:r>
          </w:p>
        </w:tc>
        <w:tc>
          <w:tcPr>
            <w:tcW w:w="782" w:type="pct"/>
          </w:tcPr>
          <w:p w14:paraId="68DE907C" w14:textId="45DEB5EE"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3.829</w:t>
            </w:r>
          </w:p>
        </w:tc>
        <w:tc>
          <w:tcPr>
            <w:tcW w:w="862" w:type="pct"/>
          </w:tcPr>
          <w:p w14:paraId="3D59C58E" w14:textId="0BF654E3"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color w:val="000000"/>
                <w:sz w:val="20"/>
              </w:rPr>
              <w:t>0.044</w:t>
            </w:r>
          </w:p>
        </w:tc>
      </w:tr>
      <w:tr w:rsidR="00DA7619" w:rsidRPr="00DA7619" w14:paraId="7C745162" w14:textId="77777777" w:rsidTr="00530298">
        <w:trPr>
          <w:trHeight w:val="138"/>
        </w:trPr>
        <w:tc>
          <w:tcPr>
            <w:tcW w:w="1158" w:type="pct"/>
          </w:tcPr>
          <w:p w14:paraId="7410D45F" w14:textId="4013B370" w:rsidR="00DA7619" w:rsidRPr="00DA7619" w:rsidRDefault="00DA7619" w:rsidP="004F2AC8">
            <w:pPr>
              <w:autoSpaceDE w:val="0"/>
              <w:autoSpaceDN w:val="0"/>
              <w:adjustRightInd w:val="0"/>
              <w:rPr>
                <w:rFonts w:eastAsia="Calibri" w:cs="Arial Narrow"/>
                <w:color w:val="000000"/>
                <w:sz w:val="20"/>
              </w:rPr>
            </w:pPr>
            <w:r w:rsidRPr="00DA7619">
              <w:rPr>
                <w:rFonts w:eastAsia="Calibri" w:cs="Arial Narrow"/>
                <w:color w:val="000000"/>
                <w:sz w:val="20"/>
              </w:rPr>
              <w:t>or metastatic</w:t>
            </w:r>
            <w:r>
              <w:rPr>
                <w:rFonts w:eastAsia="Calibri" w:cs="Arial Narrow"/>
                <w:color w:val="000000"/>
                <w:sz w:val="20"/>
              </w:rPr>
              <w:t xml:space="preserve"> cancer</w:t>
            </w:r>
          </w:p>
        </w:tc>
        <w:tc>
          <w:tcPr>
            <w:tcW w:w="1431" w:type="pct"/>
          </w:tcPr>
          <w:p w14:paraId="44B03014" w14:textId="3F5F7377" w:rsidR="00DA7619" w:rsidRPr="00DA7619" w:rsidRDefault="004F2AC8" w:rsidP="00CF0B3B">
            <w:pPr>
              <w:autoSpaceDE w:val="0"/>
              <w:autoSpaceDN w:val="0"/>
              <w:adjustRightInd w:val="0"/>
              <w:rPr>
                <w:rFonts w:eastAsia="Calibri" w:cs="Arial Narrow"/>
                <w:color w:val="000000"/>
                <w:sz w:val="20"/>
              </w:rPr>
            </w:pPr>
            <w:r>
              <w:rPr>
                <w:rFonts w:eastAsia="Calibri" w:cs="Arial Narrow"/>
                <w:b/>
                <w:bCs/>
                <w:color w:val="000000"/>
                <w:sz w:val="20"/>
              </w:rPr>
              <w:t>Indicative $/QALY gained</w:t>
            </w:r>
          </w:p>
        </w:tc>
        <w:tc>
          <w:tcPr>
            <w:tcW w:w="767" w:type="pct"/>
          </w:tcPr>
          <w:p w14:paraId="36315AF0" w14:textId="77777777" w:rsidR="00DA7619" w:rsidRPr="00DA7619" w:rsidRDefault="00DA7619" w:rsidP="00CF0B3B">
            <w:pPr>
              <w:autoSpaceDE w:val="0"/>
              <w:autoSpaceDN w:val="0"/>
              <w:adjustRightInd w:val="0"/>
              <w:rPr>
                <w:rFonts w:eastAsia="Calibri" w:cs="Arial Narrow"/>
                <w:color w:val="000000"/>
                <w:sz w:val="20"/>
              </w:rPr>
            </w:pPr>
          </w:p>
        </w:tc>
        <w:tc>
          <w:tcPr>
            <w:tcW w:w="782" w:type="pct"/>
          </w:tcPr>
          <w:p w14:paraId="1E7A83B4" w14:textId="77777777" w:rsidR="00DA7619" w:rsidRPr="00DA7619" w:rsidRDefault="00DA7619" w:rsidP="00CF0B3B">
            <w:pPr>
              <w:autoSpaceDE w:val="0"/>
              <w:autoSpaceDN w:val="0"/>
              <w:adjustRightInd w:val="0"/>
              <w:rPr>
                <w:rFonts w:eastAsia="Calibri" w:cs="Arial Narrow"/>
                <w:color w:val="000000"/>
                <w:sz w:val="20"/>
              </w:rPr>
            </w:pPr>
          </w:p>
        </w:tc>
        <w:tc>
          <w:tcPr>
            <w:tcW w:w="862" w:type="pct"/>
          </w:tcPr>
          <w:p w14:paraId="5D1B540D" w14:textId="77777777" w:rsidR="00DA7619" w:rsidRPr="00DA7619" w:rsidRDefault="00DA7619"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$19,205</w:t>
            </w:r>
          </w:p>
        </w:tc>
      </w:tr>
    </w:tbl>
    <w:p w14:paraId="15631491" w14:textId="77777777" w:rsidR="003018F2" w:rsidRDefault="00A2178C" w:rsidP="00A2178C">
      <w:pPr>
        <w:pStyle w:val="Tablenotes"/>
        <w:rPr>
          <w:i/>
        </w:rPr>
      </w:pPr>
      <w:r>
        <w:t>CI = conventional imaging; PET/CT = positron emission tomography/computed tomography; QALY = quality-adjusted life year.</w:t>
      </w:r>
    </w:p>
    <w:p w14:paraId="1518AAD0" w14:textId="25A3EC9B" w:rsidR="00A2178C" w:rsidRDefault="00A2178C" w:rsidP="004F2AC8">
      <w:pPr>
        <w:spacing w:after="240"/>
      </w:pPr>
      <w:r w:rsidRPr="00F64574">
        <w:lastRenderedPageBreak/>
        <w:t xml:space="preserve">In the </w:t>
      </w:r>
      <w:r>
        <w:t>Scenario 2 analys</w:t>
      </w:r>
      <w:r w:rsidR="00640CFE">
        <w:t>e</w:t>
      </w:r>
      <w:r>
        <w:t>s (</w:t>
      </w:r>
      <w:r w:rsidR="00FF0466">
        <w:t xml:space="preserve">Table </w:t>
      </w:r>
      <w:r w:rsidR="00640CFE">
        <w:t>10</w:t>
      </w:r>
      <w:r>
        <w:t>)</w:t>
      </w:r>
      <w:r w:rsidRPr="00F64574">
        <w:t xml:space="preserve">, </w:t>
      </w:r>
      <w:r>
        <w:t>the economic model determined</w:t>
      </w:r>
      <w:r w:rsidRPr="00F64574">
        <w:t xml:space="preserve"> PET/CT</w:t>
      </w:r>
      <w:r>
        <w:t xml:space="preserve"> (relative to conventional imaging) </w:t>
      </w:r>
      <w:r w:rsidRPr="00F64574">
        <w:t xml:space="preserve">to be </w:t>
      </w:r>
      <w:r>
        <w:t xml:space="preserve">cost saving of </w:t>
      </w:r>
      <w:r w:rsidRPr="00F64574">
        <w:t>$</w:t>
      </w:r>
      <w:r>
        <w:t>1,510 per patient in population 1 (locally advanced</w:t>
      </w:r>
      <w:r w:rsidR="00AF3250">
        <w:t xml:space="preserve"> disease</w:t>
      </w:r>
      <w:r>
        <w:t>)</w:t>
      </w:r>
      <w:r w:rsidRPr="00F64574">
        <w:t xml:space="preserve"> </w:t>
      </w:r>
      <w:r>
        <w:t xml:space="preserve">and $832 per </w:t>
      </w:r>
      <w:r w:rsidRPr="00F64574">
        <w:t>patient in</w:t>
      </w:r>
      <w:r>
        <w:t xml:space="preserve"> population 2 (</w:t>
      </w:r>
      <w:r w:rsidRPr="00F64574">
        <w:t xml:space="preserve">suspected </w:t>
      </w:r>
      <w:r w:rsidR="00AF3250" w:rsidRPr="00F64574">
        <w:t>recurren</w:t>
      </w:r>
      <w:r w:rsidR="00AF3250">
        <w:t>t or metastatic disease</w:t>
      </w:r>
      <w:r w:rsidRPr="00F64574">
        <w:t>).</w:t>
      </w:r>
    </w:p>
    <w:p w14:paraId="18E3AF36" w14:textId="1CB8AEA8" w:rsidR="003018F2" w:rsidRPr="004F2AC8" w:rsidRDefault="00FF0466" w:rsidP="004F2AC8">
      <w:pPr>
        <w:pStyle w:val="Caption"/>
      </w:pPr>
      <w:r w:rsidRPr="004F2AC8">
        <w:t xml:space="preserve">Table </w:t>
      </w:r>
      <w:r w:rsidR="00640CFE">
        <w:t>10</w:t>
      </w:r>
      <w:r w:rsidRPr="004F2AC8">
        <w:tab/>
      </w:r>
      <w:r w:rsidR="004F2AC8">
        <w:t>Economic evaluation r</w:t>
      </w:r>
      <w:r w:rsidR="003018F2" w:rsidRPr="004F2AC8">
        <w:t>esults</w:t>
      </w:r>
      <w:r w:rsidR="004F2AC8" w:rsidRPr="004F2AC8">
        <w:t xml:space="preserve"> for</w:t>
      </w:r>
      <w:r w:rsidR="003018F2" w:rsidRPr="004F2AC8">
        <w:t xml:space="preserve"> Scenario 2</w:t>
      </w:r>
    </w:p>
    <w:tbl>
      <w:tblPr>
        <w:tblStyle w:val="TableGrid1"/>
        <w:tblW w:w="5000" w:type="pct"/>
        <w:tblLook w:val="0000" w:firstRow="0" w:lastRow="0" w:firstColumn="0" w:lastColumn="0" w:noHBand="0" w:noVBand="0"/>
        <w:tblDescription w:val="Results of the economic evaluation for scenario 2"/>
      </w:tblPr>
      <w:tblGrid>
        <w:gridCol w:w="2141"/>
        <w:gridCol w:w="2645"/>
        <w:gridCol w:w="1418"/>
        <w:gridCol w:w="1445"/>
        <w:gridCol w:w="1593"/>
      </w:tblGrid>
      <w:tr w:rsidR="003018F2" w:rsidRPr="00DA7619" w14:paraId="2CE1A214" w14:textId="77777777" w:rsidTr="00530298">
        <w:trPr>
          <w:trHeight w:val="141"/>
          <w:tblHeader/>
        </w:trPr>
        <w:tc>
          <w:tcPr>
            <w:tcW w:w="1158" w:type="pct"/>
          </w:tcPr>
          <w:p w14:paraId="71C57A90" w14:textId="03BB3991" w:rsidR="003018F2" w:rsidRPr="00DA7619" w:rsidRDefault="004F2AC8" w:rsidP="00C65CE2">
            <w:pPr>
              <w:autoSpaceDE w:val="0"/>
              <w:autoSpaceDN w:val="0"/>
              <w:adjustRightInd w:val="0"/>
              <w:rPr>
                <w:rFonts w:eastAsia="Calibri" w:cs="Arial Narrow"/>
                <w:color w:val="000000"/>
                <w:sz w:val="20"/>
              </w:rPr>
            </w:pPr>
            <w:r>
              <w:rPr>
                <w:rFonts w:eastAsia="Calibri" w:cs="Arial Narrow"/>
                <w:b/>
                <w:bCs/>
                <w:color w:val="000000"/>
                <w:sz w:val="20"/>
              </w:rPr>
              <w:t>Model</w:t>
            </w:r>
          </w:p>
        </w:tc>
        <w:tc>
          <w:tcPr>
            <w:tcW w:w="1431" w:type="pct"/>
          </w:tcPr>
          <w:p w14:paraId="3FFBDF3F" w14:textId="5CD6C153" w:rsidR="003018F2" w:rsidRPr="00DA7619" w:rsidRDefault="004F2AC8" w:rsidP="00C65CE2">
            <w:pPr>
              <w:autoSpaceDE w:val="0"/>
              <w:autoSpaceDN w:val="0"/>
              <w:adjustRightInd w:val="0"/>
              <w:rPr>
                <w:rFonts w:eastAsia="Calibri" w:cs="Arial Narrow"/>
                <w:color w:val="000000"/>
                <w:sz w:val="20"/>
              </w:rPr>
            </w:pPr>
            <w:r>
              <w:rPr>
                <w:rFonts w:eastAsia="Calibri" w:cs="Arial Narrow"/>
                <w:b/>
                <w:bCs/>
                <w:color w:val="000000"/>
                <w:sz w:val="20"/>
              </w:rPr>
              <w:t>Item</w:t>
            </w:r>
          </w:p>
        </w:tc>
        <w:tc>
          <w:tcPr>
            <w:tcW w:w="767" w:type="pct"/>
          </w:tcPr>
          <w:p w14:paraId="3CB05452" w14:textId="5A494633" w:rsidR="003018F2" w:rsidRPr="00DA7619" w:rsidRDefault="003018F2"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PET/CT</w:t>
            </w:r>
          </w:p>
        </w:tc>
        <w:tc>
          <w:tcPr>
            <w:tcW w:w="782" w:type="pct"/>
          </w:tcPr>
          <w:p w14:paraId="539F9EDC" w14:textId="4816E95E" w:rsidR="003018F2" w:rsidRPr="00DA7619" w:rsidRDefault="003018F2"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CI</w:t>
            </w:r>
          </w:p>
        </w:tc>
        <w:tc>
          <w:tcPr>
            <w:tcW w:w="862" w:type="pct"/>
          </w:tcPr>
          <w:p w14:paraId="2D9E4C4B" w14:textId="413961A3" w:rsidR="003018F2" w:rsidRPr="00DA7619" w:rsidRDefault="003018F2"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Increment</w:t>
            </w:r>
          </w:p>
        </w:tc>
      </w:tr>
      <w:tr w:rsidR="003018F2" w:rsidRPr="00DA7619" w14:paraId="4CAD6C39" w14:textId="77777777" w:rsidTr="00530298">
        <w:trPr>
          <w:trHeight w:val="253"/>
        </w:trPr>
        <w:tc>
          <w:tcPr>
            <w:tcW w:w="1158" w:type="pct"/>
          </w:tcPr>
          <w:p w14:paraId="6713A205" w14:textId="40420702" w:rsidR="003018F2" w:rsidRPr="00DA7619" w:rsidRDefault="004F2AC8" w:rsidP="00C65CE2">
            <w:pPr>
              <w:autoSpaceDE w:val="0"/>
              <w:autoSpaceDN w:val="0"/>
              <w:adjustRightInd w:val="0"/>
              <w:rPr>
                <w:rFonts w:eastAsia="Calibri" w:cs="Arial Narrow"/>
                <w:color w:val="000000"/>
                <w:sz w:val="20"/>
              </w:rPr>
            </w:pPr>
            <w:r>
              <w:rPr>
                <w:rFonts w:eastAsia="Calibri" w:cs="Arial Narrow"/>
                <w:color w:val="000000"/>
                <w:sz w:val="20"/>
              </w:rPr>
              <w:t>Population 1:</w:t>
            </w:r>
          </w:p>
        </w:tc>
        <w:tc>
          <w:tcPr>
            <w:tcW w:w="1431" w:type="pct"/>
          </w:tcPr>
          <w:p w14:paraId="773B81F7" w14:textId="35C372AE" w:rsidR="003018F2" w:rsidRPr="00DA7619" w:rsidRDefault="003018F2" w:rsidP="004F2AC8">
            <w:pPr>
              <w:autoSpaceDE w:val="0"/>
              <w:autoSpaceDN w:val="0"/>
              <w:adjustRightInd w:val="0"/>
              <w:rPr>
                <w:rFonts w:eastAsia="Calibri" w:cs="Arial Narrow"/>
                <w:color w:val="000000"/>
                <w:sz w:val="20"/>
              </w:rPr>
            </w:pPr>
            <w:r w:rsidRPr="00DA7619">
              <w:rPr>
                <w:rFonts w:eastAsia="Calibri" w:cs="Arial Narrow"/>
                <w:color w:val="000000"/>
                <w:sz w:val="20"/>
              </w:rPr>
              <w:t>Cost</w:t>
            </w:r>
          </w:p>
        </w:tc>
        <w:tc>
          <w:tcPr>
            <w:tcW w:w="767" w:type="pct"/>
          </w:tcPr>
          <w:p w14:paraId="40F5CD01" w14:textId="7777777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$26,934</w:t>
            </w:r>
          </w:p>
        </w:tc>
        <w:tc>
          <w:tcPr>
            <w:tcW w:w="782" w:type="pct"/>
          </w:tcPr>
          <w:p w14:paraId="30C664F9" w14:textId="7777777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$28,444</w:t>
            </w:r>
          </w:p>
        </w:tc>
        <w:tc>
          <w:tcPr>
            <w:tcW w:w="862" w:type="pct"/>
          </w:tcPr>
          <w:p w14:paraId="461C747B" w14:textId="51638D6B" w:rsidR="003018F2" w:rsidRPr="00DA7619" w:rsidRDefault="003018F2" w:rsidP="004F2AC8">
            <w:pPr>
              <w:autoSpaceDE w:val="0"/>
              <w:autoSpaceDN w:val="0"/>
              <w:adjustRightInd w:val="0"/>
              <w:jc w:val="center"/>
              <w:rPr>
                <w:rFonts w:eastAsia="Calibri" w:cs="Arial Narrow"/>
                <w:color w:val="FF0000"/>
                <w:sz w:val="20"/>
              </w:rPr>
            </w:pPr>
            <w:r>
              <w:rPr>
                <w:rFonts w:eastAsia="Calibri" w:cs="Arial Narrow"/>
                <w:color w:val="FF0000"/>
                <w:sz w:val="20"/>
              </w:rPr>
              <w:t>-$1,510</w:t>
            </w:r>
            <w:r w:rsidRPr="00DA7619">
              <w:rPr>
                <w:rFonts w:eastAsia="Calibri" w:cs="Arial Narrow"/>
                <w:color w:val="FF0000"/>
                <w:sz w:val="20"/>
              </w:rPr>
              <w:t xml:space="preserve"> (saving)</w:t>
            </w:r>
          </w:p>
        </w:tc>
      </w:tr>
      <w:tr w:rsidR="003018F2" w:rsidRPr="00DA7619" w14:paraId="4E3D6095" w14:textId="77777777" w:rsidTr="00530298">
        <w:trPr>
          <w:trHeight w:val="138"/>
        </w:trPr>
        <w:tc>
          <w:tcPr>
            <w:tcW w:w="1158" w:type="pct"/>
          </w:tcPr>
          <w:p w14:paraId="341DA2DF" w14:textId="77777777" w:rsidR="003018F2" w:rsidRPr="00DA7619" w:rsidRDefault="003018F2" w:rsidP="00C65CE2">
            <w:pPr>
              <w:autoSpaceDE w:val="0"/>
              <w:autoSpaceDN w:val="0"/>
              <w:adjustRightInd w:val="0"/>
              <w:rPr>
                <w:rFonts w:eastAsia="Calibri" w:cs="Arial Narrow"/>
                <w:color w:val="000000"/>
                <w:sz w:val="20"/>
              </w:rPr>
            </w:pPr>
            <w:r w:rsidRPr="00DA7619">
              <w:rPr>
                <w:rFonts w:eastAsia="Calibri" w:cs="Arial Narrow"/>
                <w:color w:val="000000"/>
                <w:sz w:val="20"/>
              </w:rPr>
              <w:t>Proven local cancer</w:t>
            </w:r>
          </w:p>
        </w:tc>
        <w:tc>
          <w:tcPr>
            <w:tcW w:w="1431" w:type="pct"/>
          </w:tcPr>
          <w:p w14:paraId="6FFE0885" w14:textId="4FB4773F" w:rsidR="003018F2" w:rsidRPr="00DA7619" w:rsidRDefault="004F2AC8" w:rsidP="00C65CE2">
            <w:pPr>
              <w:autoSpaceDE w:val="0"/>
              <w:autoSpaceDN w:val="0"/>
              <w:adjustRightInd w:val="0"/>
              <w:rPr>
                <w:rFonts w:eastAsia="Calibri" w:cs="Arial Narrow"/>
                <w:color w:val="000000"/>
                <w:sz w:val="20"/>
              </w:rPr>
            </w:pPr>
            <w:r>
              <w:rPr>
                <w:rFonts w:eastAsia="Calibri" w:cs="Arial Narrow"/>
                <w:color w:val="000000"/>
                <w:sz w:val="20"/>
              </w:rPr>
              <w:t>Indicative QALYs</w:t>
            </w:r>
          </w:p>
        </w:tc>
        <w:tc>
          <w:tcPr>
            <w:tcW w:w="767" w:type="pct"/>
          </w:tcPr>
          <w:p w14:paraId="7F99C967" w14:textId="7777777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4.5998</w:t>
            </w:r>
          </w:p>
        </w:tc>
        <w:tc>
          <w:tcPr>
            <w:tcW w:w="782" w:type="pct"/>
          </w:tcPr>
          <w:p w14:paraId="49D0749F" w14:textId="7777777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4.5911</w:t>
            </w:r>
          </w:p>
        </w:tc>
        <w:tc>
          <w:tcPr>
            <w:tcW w:w="862" w:type="pct"/>
          </w:tcPr>
          <w:p w14:paraId="5D16C982" w14:textId="7777777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0.0087</w:t>
            </w:r>
          </w:p>
        </w:tc>
      </w:tr>
      <w:tr w:rsidR="003018F2" w:rsidRPr="00DA7619" w14:paraId="53E6B115" w14:textId="77777777" w:rsidTr="00530298">
        <w:trPr>
          <w:trHeight w:val="141"/>
        </w:trPr>
        <w:tc>
          <w:tcPr>
            <w:tcW w:w="1158" w:type="pct"/>
          </w:tcPr>
          <w:p w14:paraId="23AF2499" w14:textId="77777777" w:rsidR="003018F2" w:rsidRPr="00DA7619" w:rsidRDefault="003018F2" w:rsidP="00C65CE2">
            <w:pPr>
              <w:autoSpaceDE w:val="0"/>
              <w:autoSpaceDN w:val="0"/>
              <w:adjustRightInd w:val="0"/>
              <w:rPr>
                <w:rFonts w:eastAsia="Calibri" w:cs="Arial Narrow"/>
                <w:b/>
                <w:bCs/>
                <w:color w:val="000000"/>
                <w:sz w:val="20"/>
              </w:rPr>
            </w:pPr>
          </w:p>
        </w:tc>
        <w:tc>
          <w:tcPr>
            <w:tcW w:w="1431" w:type="pct"/>
          </w:tcPr>
          <w:p w14:paraId="111BCDB6" w14:textId="5C0ED3A0" w:rsidR="003018F2" w:rsidRPr="00DA7619" w:rsidRDefault="004F2AC8" w:rsidP="004F2AC8">
            <w:pPr>
              <w:autoSpaceDE w:val="0"/>
              <w:autoSpaceDN w:val="0"/>
              <w:adjustRightInd w:val="0"/>
              <w:rPr>
                <w:rFonts w:eastAsia="Calibri" w:cs="Arial Narrow"/>
                <w:color w:val="000000"/>
                <w:sz w:val="20"/>
              </w:rPr>
            </w:pPr>
            <w:r>
              <w:rPr>
                <w:rFonts w:eastAsia="Calibri" w:cs="Arial Narrow"/>
                <w:b/>
                <w:bCs/>
                <w:color w:val="000000"/>
                <w:sz w:val="20"/>
              </w:rPr>
              <w:t>Indicative $/QALY gained</w:t>
            </w:r>
          </w:p>
        </w:tc>
        <w:tc>
          <w:tcPr>
            <w:tcW w:w="767" w:type="pct"/>
          </w:tcPr>
          <w:p w14:paraId="72AF8792" w14:textId="77777777" w:rsidR="003018F2" w:rsidRPr="00DA7619" w:rsidRDefault="003018F2" w:rsidP="00C65CE2">
            <w:pPr>
              <w:autoSpaceDE w:val="0"/>
              <w:autoSpaceDN w:val="0"/>
              <w:adjustRightInd w:val="0"/>
              <w:rPr>
                <w:rFonts w:eastAsia="Calibri" w:cs="Arial Narrow"/>
                <w:color w:val="000000"/>
                <w:sz w:val="20"/>
              </w:rPr>
            </w:pPr>
          </w:p>
        </w:tc>
        <w:tc>
          <w:tcPr>
            <w:tcW w:w="782" w:type="pct"/>
          </w:tcPr>
          <w:p w14:paraId="52F0DEAE" w14:textId="77777777" w:rsidR="003018F2" w:rsidRPr="00DA7619" w:rsidRDefault="003018F2" w:rsidP="00C65CE2">
            <w:pPr>
              <w:autoSpaceDE w:val="0"/>
              <w:autoSpaceDN w:val="0"/>
              <w:adjustRightInd w:val="0"/>
              <w:rPr>
                <w:rFonts w:eastAsia="Calibri" w:cs="Arial Narrow"/>
                <w:color w:val="000000"/>
                <w:sz w:val="20"/>
              </w:rPr>
            </w:pPr>
          </w:p>
        </w:tc>
        <w:tc>
          <w:tcPr>
            <w:tcW w:w="862" w:type="pct"/>
          </w:tcPr>
          <w:p w14:paraId="7D9B8FC0" w14:textId="77777777" w:rsidR="003018F2" w:rsidRPr="00DA7619" w:rsidRDefault="003018F2"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Dominant</w:t>
            </w:r>
          </w:p>
        </w:tc>
      </w:tr>
      <w:tr w:rsidR="003018F2" w:rsidRPr="00DA7619" w14:paraId="6FAF0DAA" w14:textId="77777777" w:rsidTr="00530298">
        <w:trPr>
          <w:trHeight w:val="225"/>
        </w:trPr>
        <w:tc>
          <w:tcPr>
            <w:tcW w:w="1158" w:type="pct"/>
          </w:tcPr>
          <w:p w14:paraId="5424680A" w14:textId="4D28A26C" w:rsidR="003018F2" w:rsidRPr="00DA7619" w:rsidRDefault="004F2AC8" w:rsidP="00C65CE2">
            <w:pPr>
              <w:autoSpaceDE w:val="0"/>
              <w:autoSpaceDN w:val="0"/>
              <w:adjustRightInd w:val="0"/>
              <w:rPr>
                <w:rFonts w:eastAsia="Calibri" w:cs="Arial Narrow"/>
                <w:color w:val="000000"/>
                <w:sz w:val="20"/>
              </w:rPr>
            </w:pPr>
            <w:r>
              <w:rPr>
                <w:rFonts w:eastAsia="Calibri" w:cs="Arial Narrow"/>
                <w:color w:val="000000"/>
                <w:sz w:val="20"/>
              </w:rPr>
              <w:t>Population 2:</w:t>
            </w:r>
          </w:p>
        </w:tc>
        <w:tc>
          <w:tcPr>
            <w:tcW w:w="1431" w:type="pct"/>
          </w:tcPr>
          <w:p w14:paraId="13B839AD" w14:textId="1A318F26" w:rsidR="003018F2" w:rsidRPr="00DA7619" w:rsidRDefault="004F2AC8" w:rsidP="00C65CE2">
            <w:pPr>
              <w:autoSpaceDE w:val="0"/>
              <w:autoSpaceDN w:val="0"/>
              <w:adjustRightInd w:val="0"/>
              <w:rPr>
                <w:rFonts w:eastAsia="Calibri" w:cs="Arial Narrow"/>
                <w:color w:val="000000"/>
                <w:sz w:val="20"/>
              </w:rPr>
            </w:pPr>
            <w:r>
              <w:rPr>
                <w:rFonts w:eastAsia="Calibri" w:cs="Arial Narrow"/>
                <w:color w:val="000000"/>
                <w:sz w:val="20"/>
              </w:rPr>
              <w:t>Cost</w:t>
            </w:r>
          </w:p>
        </w:tc>
        <w:tc>
          <w:tcPr>
            <w:tcW w:w="767" w:type="pct"/>
          </w:tcPr>
          <w:p w14:paraId="1D8966DC" w14:textId="7777777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$9,138</w:t>
            </w:r>
          </w:p>
        </w:tc>
        <w:tc>
          <w:tcPr>
            <w:tcW w:w="782" w:type="pct"/>
          </w:tcPr>
          <w:p w14:paraId="3B3BC490" w14:textId="3203A8FF"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$9,970</w:t>
            </w:r>
          </w:p>
        </w:tc>
        <w:tc>
          <w:tcPr>
            <w:tcW w:w="862" w:type="pct"/>
          </w:tcPr>
          <w:p w14:paraId="7EF09C74" w14:textId="4813D86E" w:rsidR="003018F2" w:rsidRPr="00DA7619" w:rsidRDefault="009873AB" w:rsidP="004F2AC8">
            <w:pPr>
              <w:autoSpaceDE w:val="0"/>
              <w:autoSpaceDN w:val="0"/>
              <w:adjustRightInd w:val="0"/>
              <w:jc w:val="center"/>
              <w:rPr>
                <w:rFonts w:eastAsia="Calibri" w:cs="Arial Narrow"/>
                <w:color w:val="000000"/>
                <w:sz w:val="20"/>
              </w:rPr>
            </w:pPr>
            <w:r w:rsidRPr="009873AB">
              <w:rPr>
                <w:rFonts w:eastAsia="Calibri" w:cs="Arial Narrow"/>
                <w:color w:val="FF0000"/>
                <w:sz w:val="20"/>
              </w:rPr>
              <w:t>-</w:t>
            </w:r>
            <w:r w:rsidR="003018F2" w:rsidRPr="009873AB">
              <w:rPr>
                <w:rFonts w:eastAsia="Calibri" w:cs="Arial Narrow"/>
                <w:color w:val="FF0000"/>
                <w:sz w:val="20"/>
              </w:rPr>
              <w:t>$</w:t>
            </w:r>
            <w:r w:rsidR="003018F2" w:rsidRPr="003018F2">
              <w:rPr>
                <w:rFonts w:eastAsia="Calibri" w:cs="Arial Narrow"/>
                <w:color w:val="FF0000"/>
                <w:sz w:val="20"/>
              </w:rPr>
              <w:t>832 (saving)</w:t>
            </w:r>
          </w:p>
        </w:tc>
      </w:tr>
      <w:tr w:rsidR="003018F2" w:rsidRPr="00DA7619" w14:paraId="27006A81" w14:textId="77777777" w:rsidTr="00530298">
        <w:trPr>
          <w:trHeight w:val="219"/>
        </w:trPr>
        <w:tc>
          <w:tcPr>
            <w:tcW w:w="1158" w:type="pct"/>
          </w:tcPr>
          <w:p w14:paraId="29AC38F5" w14:textId="2AEBDEA7" w:rsidR="003018F2" w:rsidRPr="00DA7619" w:rsidRDefault="003018F2" w:rsidP="00C65CE2">
            <w:pPr>
              <w:autoSpaceDE w:val="0"/>
              <w:autoSpaceDN w:val="0"/>
              <w:adjustRightInd w:val="0"/>
              <w:rPr>
                <w:rFonts w:eastAsia="Calibri" w:cs="Arial Narrow"/>
                <w:color w:val="000000"/>
                <w:sz w:val="20"/>
              </w:rPr>
            </w:pPr>
            <w:r w:rsidRPr="00DA7619">
              <w:rPr>
                <w:rFonts w:eastAsia="Calibri" w:cs="Arial Narrow"/>
                <w:color w:val="000000"/>
                <w:sz w:val="20"/>
              </w:rPr>
              <w:t>Suspected recurrent</w:t>
            </w:r>
            <w:r>
              <w:rPr>
                <w:rFonts w:eastAsia="Calibri" w:cs="Arial Narrow"/>
                <w:color w:val="000000"/>
                <w:sz w:val="20"/>
              </w:rPr>
              <w:t xml:space="preserve"> local</w:t>
            </w:r>
          </w:p>
        </w:tc>
        <w:tc>
          <w:tcPr>
            <w:tcW w:w="1431" w:type="pct"/>
          </w:tcPr>
          <w:p w14:paraId="4F11CEC4" w14:textId="05BEE2A2" w:rsidR="003018F2" w:rsidRPr="00DA7619" w:rsidRDefault="004F2AC8" w:rsidP="00C65CE2">
            <w:pPr>
              <w:autoSpaceDE w:val="0"/>
              <w:autoSpaceDN w:val="0"/>
              <w:adjustRightInd w:val="0"/>
              <w:rPr>
                <w:rFonts w:eastAsia="Calibri" w:cs="Arial Narrow"/>
                <w:color w:val="000000"/>
                <w:sz w:val="20"/>
              </w:rPr>
            </w:pPr>
            <w:r>
              <w:rPr>
                <w:rFonts w:eastAsia="Calibri" w:cs="Arial Narrow"/>
                <w:color w:val="000000"/>
                <w:sz w:val="20"/>
              </w:rPr>
              <w:t>Indicative QALYs</w:t>
            </w:r>
          </w:p>
        </w:tc>
        <w:tc>
          <w:tcPr>
            <w:tcW w:w="767" w:type="pct"/>
          </w:tcPr>
          <w:p w14:paraId="79362525" w14:textId="7777777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4.1198</w:t>
            </w:r>
          </w:p>
        </w:tc>
        <w:tc>
          <w:tcPr>
            <w:tcW w:w="782" w:type="pct"/>
          </w:tcPr>
          <w:p w14:paraId="2D3BE485" w14:textId="7777777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4.0912</w:t>
            </w:r>
          </w:p>
        </w:tc>
        <w:tc>
          <w:tcPr>
            <w:tcW w:w="862" w:type="pct"/>
          </w:tcPr>
          <w:p w14:paraId="6DBA8154" w14:textId="73352E97" w:rsidR="003018F2" w:rsidRPr="00DA7619" w:rsidRDefault="003018F2" w:rsidP="004F2AC8">
            <w:pPr>
              <w:autoSpaceDE w:val="0"/>
              <w:autoSpaceDN w:val="0"/>
              <w:adjustRightInd w:val="0"/>
              <w:jc w:val="center"/>
              <w:rPr>
                <w:rFonts w:eastAsia="Calibri" w:cs="Arial Narrow"/>
                <w:color w:val="000000"/>
                <w:sz w:val="20"/>
              </w:rPr>
            </w:pPr>
            <w:r>
              <w:rPr>
                <w:rFonts w:eastAsia="Calibri" w:cs="Arial Narrow"/>
                <w:color w:val="000000"/>
                <w:sz w:val="20"/>
              </w:rPr>
              <w:t>0.0286</w:t>
            </w:r>
          </w:p>
        </w:tc>
      </w:tr>
      <w:tr w:rsidR="009873AB" w:rsidRPr="00DA7619" w14:paraId="74838237" w14:textId="77777777" w:rsidTr="00530298">
        <w:trPr>
          <w:trHeight w:val="138"/>
        </w:trPr>
        <w:tc>
          <w:tcPr>
            <w:tcW w:w="1158" w:type="pct"/>
          </w:tcPr>
          <w:p w14:paraId="56029B6C" w14:textId="35C98935" w:rsidR="009873AB" w:rsidRPr="00DA7619" w:rsidRDefault="009873AB" w:rsidP="00C65CE2">
            <w:pPr>
              <w:autoSpaceDE w:val="0"/>
              <w:autoSpaceDN w:val="0"/>
              <w:adjustRightInd w:val="0"/>
              <w:rPr>
                <w:rFonts w:eastAsia="Calibri" w:cs="Arial Narrow"/>
                <w:color w:val="000000"/>
                <w:sz w:val="20"/>
              </w:rPr>
            </w:pPr>
            <w:r w:rsidRPr="00DA7619">
              <w:rPr>
                <w:rFonts w:eastAsia="Calibri" w:cs="Arial Narrow"/>
                <w:color w:val="000000"/>
                <w:sz w:val="20"/>
              </w:rPr>
              <w:t>or metastatic</w:t>
            </w:r>
            <w:r>
              <w:rPr>
                <w:rFonts w:eastAsia="Calibri" w:cs="Arial Narrow"/>
                <w:color w:val="000000"/>
                <w:sz w:val="20"/>
              </w:rPr>
              <w:t xml:space="preserve"> cancer</w:t>
            </w:r>
          </w:p>
        </w:tc>
        <w:tc>
          <w:tcPr>
            <w:tcW w:w="1431" w:type="pct"/>
          </w:tcPr>
          <w:p w14:paraId="3D115FCB" w14:textId="00A8BFD9" w:rsidR="009873AB" w:rsidRPr="00DA7619" w:rsidRDefault="009873AB" w:rsidP="00C65CE2">
            <w:pPr>
              <w:autoSpaceDE w:val="0"/>
              <w:autoSpaceDN w:val="0"/>
              <w:adjustRightInd w:val="0"/>
              <w:rPr>
                <w:rFonts w:eastAsia="Calibri" w:cs="Arial Narrow"/>
                <w:color w:val="000000"/>
                <w:sz w:val="20"/>
              </w:rPr>
            </w:pPr>
            <w:r>
              <w:rPr>
                <w:rFonts w:eastAsia="Calibri" w:cs="Arial Narrow"/>
                <w:b/>
                <w:bCs/>
                <w:color w:val="000000"/>
                <w:sz w:val="20"/>
              </w:rPr>
              <w:t>Indicative $/QALY gained</w:t>
            </w:r>
          </w:p>
        </w:tc>
        <w:tc>
          <w:tcPr>
            <w:tcW w:w="767" w:type="pct"/>
          </w:tcPr>
          <w:p w14:paraId="5E94B541" w14:textId="77777777" w:rsidR="009873AB" w:rsidRPr="00DA7619" w:rsidRDefault="009873AB" w:rsidP="00C65CE2">
            <w:pPr>
              <w:autoSpaceDE w:val="0"/>
              <w:autoSpaceDN w:val="0"/>
              <w:adjustRightInd w:val="0"/>
              <w:rPr>
                <w:rFonts w:eastAsia="Calibri" w:cs="Arial Narrow"/>
                <w:color w:val="000000"/>
                <w:sz w:val="20"/>
              </w:rPr>
            </w:pPr>
          </w:p>
        </w:tc>
        <w:tc>
          <w:tcPr>
            <w:tcW w:w="782" w:type="pct"/>
          </w:tcPr>
          <w:p w14:paraId="09FA5589" w14:textId="77777777" w:rsidR="009873AB" w:rsidRPr="00DA7619" w:rsidRDefault="009873AB" w:rsidP="00C65CE2">
            <w:pPr>
              <w:autoSpaceDE w:val="0"/>
              <w:autoSpaceDN w:val="0"/>
              <w:adjustRightInd w:val="0"/>
              <w:rPr>
                <w:rFonts w:eastAsia="Calibri" w:cs="Arial Narrow"/>
                <w:color w:val="000000"/>
                <w:sz w:val="20"/>
              </w:rPr>
            </w:pPr>
          </w:p>
        </w:tc>
        <w:tc>
          <w:tcPr>
            <w:tcW w:w="862" w:type="pct"/>
          </w:tcPr>
          <w:p w14:paraId="63B010DB" w14:textId="4E3C6784" w:rsidR="009873AB" w:rsidRPr="00DA7619" w:rsidRDefault="009873AB" w:rsidP="004F2AC8">
            <w:pPr>
              <w:autoSpaceDE w:val="0"/>
              <w:autoSpaceDN w:val="0"/>
              <w:adjustRightInd w:val="0"/>
              <w:jc w:val="center"/>
              <w:rPr>
                <w:rFonts w:eastAsia="Calibri" w:cs="Arial Narrow"/>
                <w:color w:val="000000"/>
                <w:sz w:val="20"/>
              </w:rPr>
            </w:pPr>
            <w:r w:rsidRPr="00DA7619">
              <w:rPr>
                <w:rFonts w:eastAsia="Calibri" w:cs="Arial Narrow"/>
                <w:b/>
                <w:bCs/>
                <w:color w:val="000000"/>
                <w:sz w:val="20"/>
              </w:rPr>
              <w:t>Dominant</w:t>
            </w:r>
          </w:p>
        </w:tc>
      </w:tr>
    </w:tbl>
    <w:p w14:paraId="74275DF4" w14:textId="77777777" w:rsidR="003018F2" w:rsidRDefault="00A2178C" w:rsidP="00A2178C">
      <w:pPr>
        <w:pStyle w:val="Tablenotes"/>
        <w:rPr>
          <w:i/>
        </w:rPr>
      </w:pPr>
      <w:r w:rsidRPr="00A2178C">
        <w:t xml:space="preserve"> </w:t>
      </w:r>
      <w:r>
        <w:t>CI = conventional imaging; PET/CT = positron emission tomography/computed tomography; QALY = quality-adjusted life year.</w:t>
      </w:r>
    </w:p>
    <w:p w14:paraId="254C6216" w14:textId="77777777" w:rsidR="00BC1364" w:rsidRPr="00F715D1" w:rsidRDefault="00BC1364" w:rsidP="00394530">
      <w:pPr>
        <w:pStyle w:val="Heading1"/>
        <w:ind w:hanging="720"/>
      </w:pPr>
      <w:r w:rsidRPr="00F715D1">
        <w:t>Financial/budgetary impacts</w:t>
      </w:r>
    </w:p>
    <w:p w14:paraId="7E5BB6FC" w14:textId="38C20400" w:rsidR="00AF7A39" w:rsidRDefault="004703EA" w:rsidP="00F715D1">
      <w:pPr>
        <w:pStyle w:val="Default"/>
        <w:spacing w:after="240"/>
        <w:rPr>
          <w:rFonts w:eastAsia="Times New Roman"/>
          <w:color w:val="auto"/>
          <w:szCs w:val="20"/>
          <w:lang w:eastAsia="en-AU"/>
        </w:rPr>
      </w:pPr>
      <w:r>
        <w:rPr>
          <w:rFonts w:eastAsia="Times New Roman"/>
          <w:color w:val="auto"/>
          <w:szCs w:val="20"/>
          <w:lang w:eastAsia="en-AU"/>
        </w:rPr>
        <w:t>The financial estimates for PET/CT (relative to conventional imaging)</w:t>
      </w:r>
      <w:r w:rsidR="000B4241">
        <w:rPr>
          <w:rFonts w:eastAsia="Times New Roman"/>
          <w:color w:val="auto"/>
          <w:szCs w:val="20"/>
          <w:lang w:eastAsia="en-AU"/>
        </w:rPr>
        <w:t xml:space="preserve"> </w:t>
      </w:r>
      <w:r>
        <w:rPr>
          <w:rFonts w:eastAsia="Times New Roman"/>
          <w:color w:val="auto"/>
          <w:szCs w:val="20"/>
          <w:lang w:eastAsia="en-AU"/>
        </w:rPr>
        <w:t xml:space="preserve">are presented </w:t>
      </w:r>
      <w:r w:rsidR="009E6728">
        <w:rPr>
          <w:rFonts w:eastAsia="Times New Roman"/>
          <w:color w:val="auto"/>
          <w:szCs w:val="20"/>
          <w:lang w:eastAsia="en-AU"/>
        </w:rPr>
        <w:t>in Table </w:t>
      </w:r>
      <w:r w:rsidR="00640CFE">
        <w:rPr>
          <w:rFonts w:eastAsia="Times New Roman"/>
          <w:color w:val="auto"/>
          <w:szCs w:val="20"/>
          <w:lang w:eastAsia="en-AU"/>
        </w:rPr>
        <w:t>11</w:t>
      </w:r>
      <w:r w:rsidR="009873AB">
        <w:rPr>
          <w:rFonts w:eastAsia="Times New Roman"/>
          <w:color w:val="auto"/>
          <w:szCs w:val="20"/>
          <w:lang w:eastAsia="en-AU"/>
        </w:rPr>
        <w:t xml:space="preserve"> for the two scenarios</w:t>
      </w:r>
      <w:r w:rsidR="009E6728">
        <w:rPr>
          <w:rFonts w:eastAsia="Times New Roman"/>
          <w:color w:val="auto"/>
          <w:szCs w:val="20"/>
          <w:lang w:eastAsia="en-AU"/>
        </w:rPr>
        <w:t>.</w:t>
      </w:r>
    </w:p>
    <w:p w14:paraId="06204E5E" w14:textId="77777777" w:rsidR="00AF7A39" w:rsidRDefault="00AF7A39">
      <w:r>
        <w:br w:type="page"/>
      </w:r>
    </w:p>
    <w:p w14:paraId="1F87EF50" w14:textId="52032395" w:rsidR="00681241" w:rsidRDefault="004703EA" w:rsidP="00C956C0">
      <w:pPr>
        <w:pStyle w:val="Caption"/>
      </w:pPr>
      <w:bookmarkStart w:id="17" w:name="_Ref507076261"/>
      <w:bookmarkStart w:id="18" w:name="_Toc520984849"/>
      <w:r>
        <w:lastRenderedPageBreak/>
        <w:t xml:space="preserve">Table </w:t>
      </w:r>
      <w:bookmarkEnd w:id="17"/>
      <w:r w:rsidR="00640CFE">
        <w:t>11</w:t>
      </w:r>
      <w:r>
        <w:tab/>
        <w:t>Estimated utilisation of PET/CT and net financial impact to the MBS</w:t>
      </w:r>
      <w:bookmarkEnd w:id="18"/>
    </w:p>
    <w:tbl>
      <w:tblPr>
        <w:tblStyle w:val="TableGrid1"/>
        <w:tblW w:w="0" w:type="auto"/>
        <w:tblLook w:val="0000" w:firstRow="0" w:lastRow="0" w:firstColumn="0" w:lastColumn="0" w:noHBand="0" w:noVBand="0"/>
        <w:tblDescription w:val="Estimated utilisation and net financial impact to the MBS for both scenarios"/>
      </w:tblPr>
      <w:tblGrid>
        <w:gridCol w:w="3525"/>
        <w:gridCol w:w="1129"/>
        <w:gridCol w:w="1129"/>
        <w:gridCol w:w="1129"/>
        <w:gridCol w:w="1129"/>
        <w:gridCol w:w="1183"/>
      </w:tblGrid>
      <w:tr w:rsidR="00681241" w:rsidRPr="00681241" w14:paraId="1447AD8A" w14:textId="77777777" w:rsidTr="00530298">
        <w:trPr>
          <w:trHeight w:val="146"/>
          <w:tblHeader/>
        </w:trPr>
        <w:tc>
          <w:tcPr>
            <w:tcW w:w="0" w:type="auto"/>
          </w:tcPr>
          <w:p w14:paraId="3CF49D04" w14:textId="4C670975" w:rsidR="00681241" w:rsidRPr="00681241" w:rsidRDefault="004F2AC8" w:rsidP="00681241">
            <w:pPr>
              <w:autoSpaceDE w:val="0"/>
              <w:autoSpaceDN w:val="0"/>
              <w:adjustRightInd w:val="0"/>
              <w:rPr>
                <w:rFonts w:eastAsia="Calibri" w:cs="Arial Narrow"/>
                <w:color w:val="000000"/>
                <w:sz w:val="20"/>
              </w:rPr>
            </w:pPr>
            <w:r>
              <w:rPr>
                <w:rFonts w:eastAsia="Calibri" w:cs="Arial Narrow"/>
                <w:b/>
                <w:bCs/>
                <w:color w:val="000000"/>
                <w:sz w:val="20"/>
              </w:rPr>
              <w:t>Parameter</w:t>
            </w:r>
          </w:p>
        </w:tc>
        <w:tc>
          <w:tcPr>
            <w:tcW w:w="0" w:type="auto"/>
          </w:tcPr>
          <w:p w14:paraId="0F386AD6" w14:textId="27E2B9E4"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b/>
                <w:bCs/>
                <w:color w:val="000000"/>
                <w:sz w:val="20"/>
              </w:rPr>
              <w:t>2019</w:t>
            </w:r>
          </w:p>
        </w:tc>
        <w:tc>
          <w:tcPr>
            <w:tcW w:w="0" w:type="auto"/>
          </w:tcPr>
          <w:p w14:paraId="0267590E" w14:textId="40021CAC"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b/>
                <w:bCs/>
                <w:color w:val="000000"/>
                <w:sz w:val="20"/>
              </w:rPr>
              <w:t>2020</w:t>
            </w:r>
          </w:p>
        </w:tc>
        <w:tc>
          <w:tcPr>
            <w:tcW w:w="0" w:type="auto"/>
          </w:tcPr>
          <w:p w14:paraId="51D0223C" w14:textId="2C12B8D8"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b/>
                <w:bCs/>
                <w:color w:val="000000"/>
                <w:sz w:val="20"/>
              </w:rPr>
              <w:t>2021</w:t>
            </w:r>
          </w:p>
        </w:tc>
        <w:tc>
          <w:tcPr>
            <w:tcW w:w="0" w:type="auto"/>
          </w:tcPr>
          <w:p w14:paraId="38BE41D3" w14:textId="6549FF72"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b/>
                <w:bCs/>
                <w:color w:val="000000"/>
                <w:sz w:val="20"/>
              </w:rPr>
              <w:t>2022</w:t>
            </w:r>
          </w:p>
        </w:tc>
        <w:tc>
          <w:tcPr>
            <w:tcW w:w="0" w:type="auto"/>
          </w:tcPr>
          <w:p w14:paraId="75F006F4" w14:textId="62D9B578"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b/>
                <w:bCs/>
                <w:color w:val="000000"/>
                <w:sz w:val="20"/>
              </w:rPr>
              <w:t>2023</w:t>
            </w:r>
          </w:p>
        </w:tc>
      </w:tr>
      <w:tr w:rsidR="00681241" w:rsidRPr="00681241" w14:paraId="53AD4FB9" w14:textId="77777777" w:rsidTr="00530298">
        <w:trPr>
          <w:trHeight w:val="146"/>
        </w:trPr>
        <w:tc>
          <w:tcPr>
            <w:tcW w:w="0" w:type="auto"/>
            <w:gridSpan w:val="6"/>
          </w:tcPr>
          <w:p w14:paraId="1CD93404" w14:textId="13183188"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b/>
                <w:bCs/>
                <w:color w:val="000000"/>
                <w:sz w:val="20"/>
              </w:rPr>
              <w:t>S</w:t>
            </w:r>
            <w:r w:rsidR="004F2AC8" w:rsidRPr="00681241">
              <w:rPr>
                <w:rFonts w:eastAsia="Calibri" w:cs="Arial Narrow"/>
                <w:b/>
                <w:bCs/>
                <w:color w:val="000000"/>
                <w:sz w:val="20"/>
              </w:rPr>
              <w:t>cenario</w:t>
            </w:r>
            <w:r w:rsidRPr="00681241">
              <w:rPr>
                <w:rFonts w:eastAsia="Calibri" w:cs="Arial Narrow"/>
                <w:b/>
                <w:bCs/>
                <w:color w:val="000000"/>
                <w:sz w:val="20"/>
              </w:rPr>
              <w:t xml:space="preserve"> 1 </w:t>
            </w:r>
            <w:r w:rsidR="00C956C0">
              <w:rPr>
                <w:rFonts w:eastAsia="Calibri" w:cs="Arial Narrow"/>
                <w:b/>
                <w:bCs/>
                <w:color w:val="000000"/>
                <w:sz w:val="20"/>
              </w:rPr>
              <w:t>(requiring prior equivocal imaging)</w:t>
            </w:r>
          </w:p>
        </w:tc>
      </w:tr>
      <w:tr w:rsidR="00681241" w:rsidRPr="00681241" w14:paraId="188DAECE" w14:textId="77777777" w:rsidTr="00530298">
        <w:trPr>
          <w:trHeight w:val="140"/>
        </w:trPr>
        <w:tc>
          <w:tcPr>
            <w:tcW w:w="0" w:type="auto"/>
            <w:gridSpan w:val="6"/>
          </w:tcPr>
          <w:p w14:paraId="3AD856FB" w14:textId="77777777"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i/>
                <w:iCs/>
                <w:color w:val="000000"/>
                <w:sz w:val="20"/>
              </w:rPr>
              <w:t xml:space="preserve">Proven locally advanced breast cancer </w:t>
            </w:r>
            <w:r>
              <w:rPr>
                <w:rFonts w:eastAsia="Calibri" w:cs="Arial Narrow"/>
                <w:i/>
                <w:iCs/>
                <w:color w:val="000000"/>
                <w:sz w:val="20"/>
              </w:rPr>
              <w:t>(population 1)</w:t>
            </w:r>
          </w:p>
        </w:tc>
      </w:tr>
      <w:tr w:rsidR="00681241" w:rsidRPr="00681241" w14:paraId="3B57D048" w14:textId="77777777" w:rsidTr="00530298">
        <w:trPr>
          <w:trHeight w:val="144"/>
        </w:trPr>
        <w:tc>
          <w:tcPr>
            <w:tcW w:w="0" w:type="auto"/>
          </w:tcPr>
          <w:p w14:paraId="0E77E397" w14:textId="5389763D" w:rsidR="00681241" w:rsidRPr="00C956C0" w:rsidRDefault="004F2AC8" w:rsidP="00C956C0">
            <w:pPr>
              <w:pStyle w:val="Tabletext0"/>
              <w:rPr>
                <w:rFonts w:eastAsia="Calibri" w:cs="Times New Roman"/>
                <w:color w:val="000000"/>
              </w:rPr>
            </w:pPr>
            <w:r>
              <w:t>Services for PET/CT imaging</w:t>
            </w:r>
          </w:p>
        </w:tc>
        <w:tc>
          <w:tcPr>
            <w:tcW w:w="0" w:type="auto"/>
          </w:tcPr>
          <w:p w14:paraId="2862C7A9" w14:textId="55139C80" w:rsidR="00681241" w:rsidRPr="00681241" w:rsidRDefault="00681241" w:rsidP="004F2AC8">
            <w:pPr>
              <w:pStyle w:val="Tabletext0"/>
              <w:jc w:val="center"/>
              <w:rPr>
                <w:rFonts w:eastAsia="Calibri" w:cs="Arial Narrow"/>
                <w:color w:val="000000"/>
              </w:rPr>
            </w:pPr>
            <w:r>
              <w:t>912</w:t>
            </w:r>
          </w:p>
        </w:tc>
        <w:tc>
          <w:tcPr>
            <w:tcW w:w="0" w:type="auto"/>
          </w:tcPr>
          <w:p w14:paraId="709273E3" w14:textId="6C67C785" w:rsidR="00681241" w:rsidRPr="00681241" w:rsidRDefault="00681241" w:rsidP="004F2AC8">
            <w:pPr>
              <w:pStyle w:val="Tabletext0"/>
              <w:jc w:val="center"/>
              <w:rPr>
                <w:rFonts w:eastAsia="Calibri" w:cs="Arial Narrow"/>
                <w:color w:val="000000"/>
              </w:rPr>
            </w:pPr>
            <w:r>
              <w:t>929</w:t>
            </w:r>
          </w:p>
        </w:tc>
        <w:tc>
          <w:tcPr>
            <w:tcW w:w="0" w:type="auto"/>
          </w:tcPr>
          <w:p w14:paraId="3D74AEF8" w14:textId="645E1E2B" w:rsidR="00681241" w:rsidRPr="00681241" w:rsidRDefault="00681241" w:rsidP="004F2AC8">
            <w:pPr>
              <w:pStyle w:val="Tabletext0"/>
              <w:jc w:val="center"/>
              <w:rPr>
                <w:rFonts w:eastAsia="Calibri" w:cs="Arial Narrow"/>
                <w:color w:val="000000"/>
              </w:rPr>
            </w:pPr>
            <w:r>
              <w:t>947</w:t>
            </w:r>
          </w:p>
        </w:tc>
        <w:tc>
          <w:tcPr>
            <w:tcW w:w="0" w:type="auto"/>
          </w:tcPr>
          <w:p w14:paraId="40694253" w14:textId="09B84458" w:rsidR="00681241" w:rsidRPr="00681241" w:rsidRDefault="00681241" w:rsidP="004F2AC8">
            <w:pPr>
              <w:pStyle w:val="Tabletext0"/>
              <w:jc w:val="center"/>
              <w:rPr>
                <w:rFonts w:eastAsia="Calibri" w:cs="Arial Narrow"/>
                <w:color w:val="000000"/>
              </w:rPr>
            </w:pPr>
            <w:r>
              <w:t>965</w:t>
            </w:r>
          </w:p>
        </w:tc>
        <w:tc>
          <w:tcPr>
            <w:tcW w:w="0" w:type="auto"/>
          </w:tcPr>
          <w:p w14:paraId="21224904" w14:textId="7D22ACF2" w:rsidR="00681241" w:rsidRPr="00681241" w:rsidRDefault="00681241" w:rsidP="004F2AC8">
            <w:pPr>
              <w:pStyle w:val="Tabletext0"/>
              <w:jc w:val="center"/>
              <w:rPr>
                <w:rFonts w:eastAsia="Calibri" w:cs="Arial Narrow"/>
                <w:color w:val="000000"/>
              </w:rPr>
            </w:pPr>
            <w:r>
              <w:t>982</w:t>
            </w:r>
          </w:p>
        </w:tc>
      </w:tr>
      <w:tr w:rsidR="00681241" w:rsidRPr="00681241" w14:paraId="754BC7D5" w14:textId="77777777" w:rsidTr="00530298">
        <w:trPr>
          <w:trHeight w:val="144"/>
        </w:trPr>
        <w:tc>
          <w:tcPr>
            <w:tcW w:w="0" w:type="auto"/>
          </w:tcPr>
          <w:p w14:paraId="32DE2BFB" w14:textId="5B89D8C7" w:rsidR="00681241" w:rsidRPr="00681241" w:rsidRDefault="00681241" w:rsidP="004F2AC8">
            <w:pPr>
              <w:autoSpaceDE w:val="0"/>
              <w:autoSpaceDN w:val="0"/>
              <w:adjustRightInd w:val="0"/>
              <w:rPr>
                <w:rFonts w:eastAsia="Calibri" w:cs="Arial Narrow"/>
                <w:color w:val="000000"/>
                <w:sz w:val="20"/>
              </w:rPr>
            </w:pPr>
            <w:r w:rsidRPr="00681241">
              <w:rPr>
                <w:rFonts w:eastAsia="Calibri" w:cs="Arial Narrow"/>
                <w:color w:val="000000"/>
                <w:sz w:val="20"/>
              </w:rPr>
              <w:t xml:space="preserve">MBS </w:t>
            </w:r>
            <w:r w:rsidR="004F2AC8">
              <w:rPr>
                <w:rFonts w:eastAsia="Calibri" w:cs="Arial Narrow"/>
                <w:color w:val="000000"/>
                <w:sz w:val="20"/>
              </w:rPr>
              <w:t>c</w:t>
            </w:r>
            <w:r w:rsidRPr="00681241">
              <w:rPr>
                <w:rFonts w:eastAsia="Calibri" w:cs="Arial Narrow"/>
                <w:color w:val="000000"/>
                <w:sz w:val="20"/>
              </w:rPr>
              <w:t>osts of PET/CT imaging</w:t>
            </w:r>
          </w:p>
        </w:tc>
        <w:tc>
          <w:tcPr>
            <w:tcW w:w="0" w:type="auto"/>
          </w:tcPr>
          <w:p w14:paraId="1049FD26" w14:textId="3651BCF8"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$869,136</w:t>
            </w:r>
          </w:p>
        </w:tc>
        <w:tc>
          <w:tcPr>
            <w:tcW w:w="0" w:type="auto"/>
          </w:tcPr>
          <w:p w14:paraId="018160CB" w14:textId="78CB5613"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$885,146</w:t>
            </w:r>
          </w:p>
        </w:tc>
        <w:tc>
          <w:tcPr>
            <w:tcW w:w="0" w:type="auto"/>
          </w:tcPr>
          <w:p w14:paraId="5B6AF1E2" w14:textId="2BB20AE5"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$902,300</w:t>
            </w:r>
          </w:p>
        </w:tc>
        <w:tc>
          <w:tcPr>
            <w:tcW w:w="0" w:type="auto"/>
          </w:tcPr>
          <w:p w14:paraId="30CE5667" w14:textId="6858AD8F"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$919,454</w:t>
            </w:r>
          </w:p>
        </w:tc>
        <w:tc>
          <w:tcPr>
            <w:tcW w:w="0" w:type="auto"/>
          </w:tcPr>
          <w:p w14:paraId="76D5708D" w14:textId="2D0733E5"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$935,465</w:t>
            </w:r>
          </w:p>
        </w:tc>
      </w:tr>
      <w:tr w:rsidR="00681241" w:rsidRPr="00681241" w14:paraId="4C8E629F" w14:textId="77777777" w:rsidTr="00530298">
        <w:trPr>
          <w:trHeight w:val="143"/>
        </w:trPr>
        <w:tc>
          <w:tcPr>
            <w:tcW w:w="0" w:type="auto"/>
          </w:tcPr>
          <w:p w14:paraId="773E24E5" w14:textId="1AAA7F94"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color w:val="000000"/>
                <w:sz w:val="20"/>
              </w:rPr>
              <w:t>Alter</w:t>
            </w:r>
            <w:r w:rsidR="004F2AC8">
              <w:rPr>
                <w:rFonts w:eastAsia="Calibri" w:cs="Arial Narrow"/>
                <w:color w:val="000000"/>
                <w:sz w:val="20"/>
              </w:rPr>
              <w:t>native imaging MBS cost offsets</w:t>
            </w:r>
          </w:p>
        </w:tc>
        <w:tc>
          <w:tcPr>
            <w:tcW w:w="0" w:type="auto"/>
          </w:tcPr>
          <w:p w14:paraId="261A6266" w14:textId="085EB615" w:rsidR="00681241" w:rsidRPr="004F2AC8" w:rsidRDefault="00681241" w:rsidP="004F2AC8">
            <w:pPr>
              <w:autoSpaceDE w:val="0"/>
              <w:autoSpaceDN w:val="0"/>
              <w:adjustRightInd w:val="0"/>
              <w:jc w:val="center"/>
              <w:rPr>
                <w:rFonts w:eastAsia="Calibri" w:cs="Arial Narrow"/>
                <w:color w:val="FF0000"/>
                <w:sz w:val="20"/>
              </w:rPr>
            </w:pPr>
            <w:r w:rsidRPr="004F2AC8">
              <w:rPr>
                <w:rFonts w:eastAsia="Calibri" w:cs="Arial Narrow"/>
                <w:color w:val="FF0000"/>
                <w:sz w:val="20"/>
              </w:rPr>
              <w:t>-$427,892</w:t>
            </w:r>
          </w:p>
        </w:tc>
        <w:tc>
          <w:tcPr>
            <w:tcW w:w="0" w:type="auto"/>
          </w:tcPr>
          <w:p w14:paraId="5D3DAA9C" w14:textId="347BE798" w:rsidR="00681241" w:rsidRPr="004F2AC8" w:rsidRDefault="00681241" w:rsidP="004F2AC8">
            <w:pPr>
              <w:autoSpaceDE w:val="0"/>
              <w:autoSpaceDN w:val="0"/>
              <w:adjustRightInd w:val="0"/>
              <w:jc w:val="center"/>
              <w:rPr>
                <w:rFonts w:eastAsia="Calibri" w:cs="Arial Narrow"/>
                <w:color w:val="FF0000"/>
                <w:sz w:val="20"/>
              </w:rPr>
            </w:pPr>
            <w:r w:rsidRPr="004F2AC8">
              <w:rPr>
                <w:rFonts w:eastAsia="Calibri" w:cs="Arial Narrow"/>
                <w:color w:val="FF0000"/>
                <w:sz w:val="20"/>
              </w:rPr>
              <w:t>-$435,774</w:t>
            </w:r>
          </w:p>
        </w:tc>
        <w:tc>
          <w:tcPr>
            <w:tcW w:w="0" w:type="auto"/>
          </w:tcPr>
          <w:p w14:paraId="21C70E6C" w14:textId="10709341" w:rsidR="00681241" w:rsidRPr="004F2AC8" w:rsidRDefault="00681241" w:rsidP="004F2AC8">
            <w:pPr>
              <w:autoSpaceDE w:val="0"/>
              <w:autoSpaceDN w:val="0"/>
              <w:adjustRightInd w:val="0"/>
              <w:jc w:val="center"/>
              <w:rPr>
                <w:rFonts w:eastAsia="Calibri" w:cs="Arial Narrow"/>
                <w:color w:val="FF0000"/>
                <w:sz w:val="20"/>
              </w:rPr>
            </w:pPr>
            <w:r w:rsidRPr="004F2AC8">
              <w:rPr>
                <w:rFonts w:eastAsia="Calibri" w:cs="Arial Narrow"/>
                <w:color w:val="FF0000"/>
                <w:sz w:val="20"/>
              </w:rPr>
              <w:t>-$444,220</w:t>
            </w:r>
          </w:p>
        </w:tc>
        <w:tc>
          <w:tcPr>
            <w:tcW w:w="0" w:type="auto"/>
          </w:tcPr>
          <w:p w14:paraId="6C81005A" w14:textId="49CDE0B5" w:rsidR="00681241" w:rsidRPr="004F2AC8" w:rsidRDefault="00681241" w:rsidP="004F2AC8">
            <w:pPr>
              <w:autoSpaceDE w:val="0"/>
              <w:autoSpaceDN w:val="0"/>
              <w:adjustRightInd w:val="0"/>
              <w:jc w:val="center"/>
              <w:rPr>
                <w:rFonts w:eastAsia="Calibri" w:cs="Arial Narrow"/>
                <w:color w:val="FF0000"/>
                <w:sz w:val="20"/>
              </w:rPr>
            </w:pPr>
            <w:r w:rsidRPr="004F2AC8">
              <w:rPr>
                <w:rFonts w:eastAsia="Calibri" w:cs="Arial Narrow"/>
                <w:color w:val="FF0000"/>
                <w:sz w:val="20"/>
              </w:rPr>
              <w:t>-$452,665</w:t>
            </w:r>
          </w:p>
        </w:tc>
        <w:tc>
          <w:tcPr>
            <w:tcW w:w="0" w:type="auto"/>
          </w:tcPr>
          <w:p w14:paraId="2BF76299" w14:textId="7A324D27" w:rsidR="00681241" w:rsidRPr="004F2AC8" w:rsidRDefault="00681241" w:rsidP="004F2AC8">
            <w:pPr>
              <w:autoSpaceDE w:val="0"/>
              <w:autoSpaceDN w:val="0"/>
              <w:adjustRightInd w:val="0"/>
              <w:jc w:val="center"/>
              <w:rPr>
                <w:rFonts w:eastAsia="Calibri" w:cs="Arial Narrow"/>
                <w:color w:val="FF0000"/>
                <w:sz w:val="20"/>
              </w:rPr>
            </w:pPr>
            <w:r w:rsidRPr="004F2AC8">
              <w:rPr>
                <w:rFonts w:eastAsia="Calibri" w:cs="Arial Narrow"/>
                <w:color w:val="FF0000"/>
                <w:sz w:val="20"/>
              </w:rPr>
              <w:t>-$460,547</w:t>
            </w:r>
          </w:p>
        </w:tc>
      </w:tr>
      <w:tr w:rsidR="00681241" w:rsidRPr="00681241" w14:paraId="44A94E1C" w14:textId="77777777" w:rsidTr="00530298">
        <w:trPr>
          <w:trHeight w:val="144"/>
        </w:trPr>
        <w:tc>
          <w:tcPr>
            <w:tcW w:w="0" w:type="auto"/>
          </w:tcPr>
          <w:p w14:paraId="0D6A3BD7" w14:textId="3660BDD5" w:rsidR="00681241" w:rsidRPr="00681241" w:rsidRDefault="00681241" w:rsidP="004F2AC8">
            <w:pPr>
              <w:autoSpaceDE w:val="0"/>
              <w:autoSpaceDN w:val="0"/>
              <w:adjustRightInd w:val="0"/>
              <w:rPr>
                <w:rFonts w:eastAsia="Calibri" w:cs="Arial Narrow"/>
                <w:color w:val="000000"/>
                <w:sz w:val="20"/>
              </w:rPr>
            </w:pPr>
            <w:r w:rsidRPr="00681241">
              <w:rPr>
                <w:rFonts w:eastAsia="Calibri" w:cs="Arial Narrow"/>
                <w:color w:val="000000"/>
                <w:sz w:val="20"/>
              </w:rPr>
              <w:t xml:space="preserve">Net </w:t>
            </w:r>
            <w:r w:rsidR="004F2AC8">
              <w:rPr>
                <w:rFonts w:eastAsia="Calibri" w:cs="Arial Narrow"/>
                <w:color w:val="000000"/>
                <w:sz w:val="20"/>
              </w:rPr>
              <w:t>cost to MBS of PET/CT imaging</w:t>
            </w:r>
          </w:p>
        </w:tc>
        <w:tc>
          <w:tcPr>
            <w:tcW w:w="0" w:type="auto"/>
          </w:tcPr>
          <w:p w14:paraId="3F8664EC" w14:textId="76C6C35B"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$441,244</w:t>
            </w:r>
          </w:p>
        </w:tc>
        <w:tc>
          <w:tcPr>
            <w:tcW w:w="0" w:type="auto"/>
          </w:tcPr>
          <w:p w14:paraId="21DA85F5" w14:textId="4241735E"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$449,372</w:t>
            </w:r>
          </w:p>
        </w:tc>
        <w:tc>
          <w:tcPr>
            <w:tcW w:w="0" w:type="auto"/>
          </w:tcPr>
          <w:p w14:paraId="5751C1C6" w14:textId="63F3B9FC"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$458,081</w:t>
            </w:r>
          </w:p>
        </w:tc>
        <w:tc>
          <w:tcPr>
            <w:tcW w:w="0" w:type="auto"/>
          </w:tcPr>
          <w:p w14:paraId="7683A47D" w14:textId="1832D469"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$466,790</w:t>
            </w:r>
          </w:p>
        </w:tc>
        <w:tc>
          <w:tcPr>
            <w:tcW w:w="0" w:type="auto"/>
          </w:tcPr>
          <w:p w14:paraId="334A4E44" w14:textId="710B8E24" w:rsidR="00681241" w:rsidRPr="00681241" w:rsidRDefault="00681241" w:rsidP="004F2AC8">
            <w:pPr>
              <w:autoSpaceDE w:val="0"/>
              <w:autoSpaceDN w:val="0"/>
              <w:adjustRightInd w:val="0"/>
              <w:jc w:val="center"/>
              <w:rPr>
                <w:rFonts w:eastAsia="Calibri" w:cs="Arial Narrow"/>
                <w:color w:val="000000"/>
                <w:sz w:val="20"/>
              </w:rPr>
            </w:pPr>
            <w:r w:rsidRPr="00681241">
              <w:rPr>
                <w:rFonts w:eastAsia="Calibri" w:cs="Arial Narrow"/>
                <w:color w:val="000000"/>
                <w:sz w:val="20"/>
              </w:rPr>
              <w:t>$474,918</w:t>
            </w:r>
          </w:p>
        </w:tc>
      </w:tr>
      <w:tr w:rsidR="00681241" w:rsidRPr="00681241" w14:paraId="122337E9" w14:textId="77777777" w:rsidTr="00530298">
        <w:trPr>
          <w:trHeight w:val="140"/>
        </w:trPr>
        <w:tc>
          <w:tcPr>
            <w:tcW w:w="0" w:type="auto"/>
            <w:gridSpan w:val="6"/>
          </w:tcPr>
          <w:p w14:paraId="2E2665FC" w14:textId="77777777"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i/>
                <w:iCs/>
                <w:color w:val="000000"/>
                <w:sz w:val="20"/>
              </w:rPr>
              <w:t xml:space="preserve">Suspected recurrent or metastatic breast cancer </w:t>
            </w:r>
            <w:r>
              <w:rPr>
                <w:rFonts w:eastAsia="Calibri" w:cs="Arial Narrow"/>
                <w:i/>
                <w:iCs/>
                <w:color w:val="000000"/>
                <w:sz w:val="20"/>
              </w:rPr>
              <w:t>(population 2)</w:t>
            </w:r>
          </w:p>
        </w:tc>
      </w:tr>
      <w:tr w:rsidR="00C956C0" w:rsidRPr="00681241" w14:paraId="58C85AF7" w14:textId="77777777" w:rsidTr="00530298">
        <w:trPr>
          <w:trHeight w:val="144"/>
        </w:trPr>
        <w:tc>
          <w:tcPr>
            <w:tcW w:w="0" w:type="auto"/>
          </w:tcPr>
          <w:p w14:paraId="6C24A46F" w14:textId="77777777" w:rsidR="00C956C0" w:rsidRPr="00681241" w:rsidRDefault="00C956C0" w:rsidP="00C956C0">
            <w:pPr>
              <w:pStyle w:val="Tabletext0"/>
              <w:rPr>
                <w:rFonts w:eastAsia="Calibri" w:cs="Arial Narrow"/>
                <w:color w:val="000000"/>
              </w:rPr>
            </w:pPr>
            <w:r>
              <w:t>Services for PET/CT imaging</w:t>
            </w:r>
          </w:p>
        </w:tc>
        <w:tc>
          <w:tcPr>
            <w:tcW w:w="0" w:type="auto"/>
          </w:tcPr>
          <w:p w14:paraId="54C51868" w14:textId="3C62D7B1" w:rsidR="00C956C0" w:rsidRPr="00681241" w:rsidRDefault="00C956C0" w:rsidP="009873AB">
            <w:pPr>
              <w:pStyle w:val="Tabletext0"/>
              <w:jc w:val="center"/>
              <w:rPr>
                <w:rFonts w:eastAsia="Calibri" w:cs="Arial Narrow"/>
                <w:color w:val="000000"/>
              </w:rPr>
            </w:pPr>
            <w:r>
              <w:t>2211</w:t>
            </w:r>
          </w:p>
        </w:tc>
        <w:tc>
          <w:tcPr>
            <w:tcW w:w="0" w:type="auto"/>
          </w:tcPr>
          <w:p w14:paraId="28461EC8" w14:textId="36F97213" w:rsidR="00C956C0" w:rsidRPr="00681241" w:rsidRDefault="00C956C0" w:rsidP="009873AB">
            <w:pPr>
              <w:pStyle w:val="Tabletext0"/>
              <w:jc w:val="center"/>
              <w:rPr>
                <w:rFonts w:eastAsia="Calibri" w:cs="Arial Narrow"/>
                <w:color w:val="000000"/>
              </w:rPr>
            </w:pPr>
            <w:r>
              <w:t>2252</w:t>
            </w:r>
          </w:p>
        </w:tc>
        <w:tc>
          <w:tcPr>
            <w:tcW w:w="0" w:type="auto"/>
          </w:tcPr>
          <w:p w14:paraId="25179FB2" w14:textId="1A9A1567" w:rsidR="00C956C0" w:rsidRPr="00681241" w:rsidRDefault="00C956C0" w:rsidP="009873AB">
            <w:pPr>
              <w:pStyle w:val="Tabletext0"/>
              <w:jc w:val="center"/>
              <w:rPr>
                <w:rFonts w:eastAsia="Calibri" w:cs="Arial Narrow"/>
                <w:color w:val="000000"/>
              </w:rPr>
            </w:pPr>
            <w:r>
              <w:t>2295</w:t>
            </w:r>
          </w:p>
        </w:tc>
        <w:tc>
          <w:tcPr>
            <w:tcW w:w="0" w:type="auto"/>
          </w:tcPr>
          <w:p w14:paraId="16563C9E" w14:textId="2433C35F" w:rsidR="00C956C0" w:rsidRPr="00681241" w:rsidRDefault="00C956C0" w:rsidP="009873AB">
            <w:pPr>
              <w:pStyle w:val="Tabletext0"/>
              <w:jc w:val="center"/>
              <w:rPr>
                <w:rFonts w:eastAsia="Calibri" w:cs="Arial Narrow"/>
                <w:color w:val="000000"/>
              </w:rPr>
            </w:pPr>
            <w:r>
              <w:t>2337</w:t>
            </w:r>
          </w:p>
        </w:tc>
        <w:tc>
          <w:tcPr>
            <w:tcW w:w="0" w:type="auto"/>
          </w:tcPr>
          <w:p w14:paraId="056041C8" w14:textId="70DADAC4" w:rsidR="00C956C0" w:rsidRPr="00681241" w:rsidRDefault="00C956C0" w:rsidP="009873AB">
            <w:pPr>
              <w:pStyle w:val="Tabletext0"/>
              <w:jc w:val="center"/>
              <w:rPr>
                <w:rFonts w:eastAsia="Calibri" w:cs="Arial Narrow"/>
                <w:color w:val="000000"/>
              </w:rPr>
            </w:pPr>
            <w:r>
              <w:t>2379</w:t>
            </w:r>
          </w:p>
        </w:tc>
      </w:tr>
      <w:tr w:rsidR="00681241" w:rsidRPr="00681241" w14:paraId="2AC8D8C9" w14:textId="77777777" w:rsidTr="00530298">
        <w:trPr>
          <w:trHeight w:val="144"/>
        </w:trPr>
        <w:tc>
          <w:tcPr>
            <w:tcW w:w="0" w:type="auto"/>
          </w:tcPr>
          <w:p w14:paraId="1956903F" w14:textId="3E8D3D9B" w:rsidR="00681241" w:rsidRPr="00681241" w:rsidRDefault="00681241" w:rsidP="004F2AC8">
            <w:pPr>
              <w:autoSpaceDE w:val="0"/>
              <w:autoSpaceDN w:val="0"/>
              <w:adjustRightInd w:val="0"/>
              <w:rPr>
                <w:rFonts w:eastAsia="Calibri" w:cs="Arial Narrow"/>
                <w:color w:val="000000"/>
                <w:sz w:val="20"/>
              </w:rPr>
            </w:pPr>
            <w:r w:rsidRPr="00681241">
              <w:rPr>
                <w:rFonts w:eastAsia="Calibri" w:cs="Arial Narrow"/>
                <w:color w:val="000000"/>
                <w:sz w:val="20"/>
              </w:rPr>
              <w:t xml:space="preserve">MBS </w:t>
            </w:r>
            <w:r w:rsidR="004F2AC8">
              <w:rPr>
                <w:rFonts w:eastAsia="Calibri" w:cs="Arial Narrow"/>
                <w:color w:val="000000"/>
                <w:sz w:val="20"/>
              </w:rPr>
              <w:t>c</w:t>
            </w:r>
            <w:r w:rsidRPr="00681241">
              <w:rPr>
                <w:rFonts w:eastAsia="Calibri" w:cs="Arial Narrow"/>
                <w:color w:val="000000"/>
                <w:sz w:val="20"/>
              </w:rPr>
              <w:t>o</w:t>
            </w:r>
            <w:r w:rsidR="004F2AC8">
              <w:rPr>
                <w:rFonts w:eastAsia="Calibri" w:cs="Arial Narrow"/>
                <w:color w:val="000000"/>
                <w:sz w:val="20"/>
              </w:rPr>
              <w:t>sts of PET/CT imaging</w:t>
            </w:r>
          </w:p>
        </w:tc>
        <w:tc>
          <w:tcPr>
            <w:tcW w:w="0" w:type="auto"/>
          </w:tcPr>
          <w:p w14:paraId="28E8848C" w14:textId="17078771"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$1,926,091</w:t>
            </w:r>
          </w:p>
        </w:tc>
        <w:tc>
          <w:tcPr>
            <w:tcW w:w="0" w:type="auto"/>
          </w:tcPr>
          <w:p w14:paraId="7B31C985" w14:textId="16E3C5CE"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$1,962,544</w:t>
            </w:r>
          </w:p>
        </w:tc>
        <w:tc>
          <w:tcPr>
            <w:tcW w:w="0" w:type="auto"/>
          </w:tcPr>
          <w:p w14:paraId="400CEB47" w14:textId="3B283BD0"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$1,999,845</w:t>
            </w:r>
          </w:p>
        </w:tc>
        <w:tc>
          <w:tcPr>
            <w:tcW w:w="0" w:type="auto"/>
          </w:tcPr>
          <w:p w14:paraId="4AAAD54A" w14:textId="118B7B73"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$2,036,299</w:t>
            </w:r>
          </w:p>
        </w:tc>
        <w:tc>
          <w:tcPr>
            <w:tcW w:w="0" w:type="auto"/>
          </w:tcPr>
          <w:p w14:paraId="16C55133" w14:textId="2F0B98EF"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$2,073,176</w:t>
            </w:r>
          </w:p>
        </w:tc>
      </w:tr>
      <w:tr w:rsidR="00681241" w:rsidRPr="00681241" w14:paraId="697ED08E" w14:textId="77777777" w:rsidTr="00530298">
        <w:trPr>
          <w:trHeight w:val="144"/>
        </w:trPr>
        <w:tc>
          <w:tcPr>
            <w:tcW w:w="0" w:type="auto"/>
          </w:tcPr>
          <w:p w14:paraId="763166E4" w14:textId="35C3871E"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color w:val="000000"/>
                <w:sz w:val="20"/>
              </w:rPr>
              <w:t>Alter</w:t>
            </w:r>
            <w:r w:rsidR="004F2AC8">
              <w:rPr>
                <w:rFonts w:eastAsia="Calibri" w:cs="Arial Narrow"/>
                <w:color w:val="000000"/>
                <w:sz w:val="20"/>
              </w:rPr>
              <w:t>native imaging MBS cost offsets</w:t>
            </w:r>
          </w:p>
        </w:tc>
        <w:tc>
          <w:tcPr>
            <w:tcW w:w="0" w:type="auto"/>
          </w:tcPr>
          <w:p w14:paraId="60452ACB" w14:textId="6AF6DE77"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-$1,037,167</w:t>
            </w:r>
          </w:p>
        </w:tc>
        <w:tc>
          <w:tcPr>
            <w:tcW w:w="0" w:type="auto"/>
          </w:tcPr>
          <w:p w14:paraId="58879239" w14:textId="1BC16CAD"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-$1,056,796</w:t>
            </w:r>
          </w:p>
        </w:tc>
        <w:tc>
          <w:tcPr>
            <w:tcW w:w="0" w:type="auto"/>
          </w:tcPr>
          <w:p w14:paraId="640184CC" w14:textId="6672DC9F"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-$1,076,882</w:t>
            </w:r>
          </w:p>
        </w:tc>
        <w:tc>
          <w:tcPr>
            <w:tcW w:w="0" w:type="auto"/>
          </w:tcPr>
          <w:p w14:paraId="29507C20" w14:textId="5F86AD4E"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-$1,096,512</w:t>
            </w:r>
          </w:p>
        </w:tc>
        <w:tc>
          <w:tcPr>
            <w:tcW w:w="0" w:type="auto"/>
          </w:tcPr>
          <w:p w14:paraId="0FB68E53" w14:textId="4CB3789B"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-$1,116,369</w:t>
            </w:r>
          </w:p>
        </w:tc>
      </w:tr>
      <w:tr w:rsidR="00681241" w:rsidRPr="00681241" w14:paraId="6EDAC914" w14:textId="77777777" w:rsidTr="00530298">
        <w:trPr>
          <w:trHeight w:val="144"/>
        </w:trPr>
        <w:tc>
          <w:tcPr>
            <w:tcW w:w="0" w:type="auto"/>
          </w:tcPr>
          <w:p w14:paraId="4113BF96" w14:textId="0F2C4124" w:rsidR="00681241" w:rsidRPr="00681241" w:rsidRDefault="00681241" w:rsidP="004F2AC8">
            <w:pPr>
              <w:autoSpaceDE w:val="0"/>
              <w:autoSpaceDN w:val="0"/>
              <w:adjustRightInd w:val="0"/>
              <w:rPr>
                <w:rFonts w:eastAsia="Calibri" w:cs="Arial Narrow"/>
                <w:color w:val="000000"/>
                <w:sz w:val="20"/>
              </w:rPr>
            </w:pPr>
            <w:r w:rsidRPr="00681241">
              <w:rPr>
                <w:rFonts w:eastAsia="Calibri" w:cs="Arial Narrow"/>
                <w:color w:val="000000"/>
                <w:sz w:val="20"/>
              </w:rPr>
              <w:t xml:space="preserve">Net </w:t>
            </w:r>
            <w:r w:rsidR="004F2AC8">
              <w:rPr>
                <w:rFonts w:eastAsia="Calibri" w:cs="Arial Narrow"/>
                <w:color w:val="000000"/>
                <w:sz w:val="20"/>
              </w:rPr>
              <w:t>c</w:t>
            </w:r>
            <w:r w:rsidRPr="00681241">
              <w:rPr>
                <w:rFonts w:eastAsia="Calibri" w:cs="Arial Narrow"/>
                <w:color w:val="000000"/>
                <w:sz w:val="20"/>
              </w:rPr>
              <w:t>ost to MBS of PET/CT imaging</w:t>
            </w:r>
          </w:p>
        </w:tc>
        <w:tc>
          <w:tcPr>
            <w:tcW w:w="0" w:type="auto"/>
          </w:tcPr>
          <w:p w14:paraId="2DA9BBD4" w14:textId="1C26A209"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$888,924</w:t>
            </w:r>
          </w:p>
        </w:tc>
        <w:tc>
          <w:tcPr>
            <w:tcW w:w="0" w:type="auto"/>
          </w:tcPr>
          <w:p w14:paraId="639781CA" w14:textId="1122F0F0"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$905,748</w:t>
            </w:r>
          </w:p>
        </w:tc>
        <w:tc>
          <w:tcPr>
            <w:tcW w:w="0" w:type="auto"/>
          </w:tcPr>
          <w:p w14:paraId="465B110D" w14:textId="0481ED79"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$922,963</w:t>
            </w:r>
          </w:p>
        </w:tc>
        <w:tc>
          <w:tcPr>
            <w:tcW w:w="0" w:type="auto"/>
          </w:tcPr>
          <w:p w14:paraId="2EAA046D" w14:textId="077FFCF9"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$939,787</w:t>
            </w:r>
          </w:p>
        </w:tc>
        <w:tc>
          <w:tcPr>
            <w:tcW w:w="0" w:type="auto"/>
          </w:tcPr>
          <w:p w14:paraId="4B78A83B" w14:textId="541890E8"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$956,807</w:t>
            </w:r>
          </w:p>
        </w:tc>
      </w:tr>
      <w:tr w:rsidR="00681241" w:rsidRPr="00681241" w14:paraId="579BF9D7" w14:textId="77777777" w:rsidTr="00530298">
        <w:trPr>
          <w:trHeight w:val="146"/>
        </w:trPr>
        <w:tc>
          <w:tcPr>
            <w:tcW w:w="0" w:type="auto"/>
            <w:gridSpan w:val="6"/>
          </w:tcPr>
          <w:p w14:paraId="5A6108D0" w14:textId="36C436B6" w:rsidR="00681241" w:rsidRPr="00681241" w:rsidRDefault="004F2AC8" w:rsidP="00681241">
            <w:pPr>
              <w:autoSpaceDE w:val="0"/>
              <w:autoSpaceDN w:val="0"/>
              <w:adjustRightInd w:val="0"/>
              <w:rPr>
                <w:rFonts w:eastAsia="Calibri" w:cs="Arial Narrow"/>
                <w:color w:val="000000"/>
                <w:sz w:val="20"/>
              </w:rPr>
            </w:pPr>
            <w:r>
              <w:rPr>
                <w:rFonts w:eastAsia="Calibri" w:cs="Arial Narrow"/>
                <w:b/>
                <w:bCs/>
                <w:color w:val="000000"/>
                <w:sz w:val="20"/>
              </w:rPr>
              <w:t>All eligible patients</w:t>
            </w:r>
          </w:p>
        </w:tc>
      </w:tr>
      <w:tr w:rsidR="00C956C0" w:rsidRPr="00681241" w14:paraId="085F5D4F" w14:textId="77777777" w:rsidTr="00530298">
        <w:trPr>
          <w:trHeight w:val="144"/>
        </w:trPr>
        <w:tc>
          <w:tcPr>
            <w:tcW w:w="0" w:type="auto"/>
          </w:tcPr>
          <w:p w14:paraId="15CC84A0" w14:textId="77777777" w:rsidR="00C956C0" w:rsidRPr="00681241" w:rsidRDefault="00C956C0" w:rsidP="00C956C0">
            <w:pPr>
              <w:pStyle w:val="Tabletext0"/>
              <w:rPr>
                <w:rFonts w:eastAsia="Calibri" w:cs="Arial Narrow"/>
                <w:color w:val="000000"/>
              </w:rPr>
            </w:pPr>
            <w:r>
              <w:t>Services for PET/CT imaging</w:t>
            </w:r>
          </w:p>
        </w:tc>
        <w:tc>
          <w:tcPr>
            <w:tcW w:w="0" w:type="auto"/>
          </w:tcPr>
          <w:p w14:paraId="6208A798" w14:textId="4D7BF3D0" w:rsidR="00C956C0" w:rsidRPr="00681241" w:rsidRDefault="00C956C0" w:rsidP="009873AB">
            <w:pPr>
              <w:pStyle w:val="Tabletext0"/>
              <w:jc w:val="center"/>
              <w:rPr>
                <w:rFonts w:eastAsia="Calibri" w:cs="Arial Narrow"/>
                <w:color w:val="000000"/>
              </w:rPr>
            </w:pPr>
            <w:r>
              <w:t>3,123</w:t>
            </w:r>
          </w:p>
        </w:tc>
        <w:tc>
          <w:tcPr>
            <w:tcW w:w="0" w:type="auto"/>
          </w:tcPr>
          <w:p w14:paraId="01125846" w14:textId="2745631B" w:rsidR="00C956C0" w:rsidRPr="00681241" w:rsidRDefault="00C956C0" w:rsidP="009873AB">
            <w:pPr>
              <w:pStyle w:val="Tabletext0"/>
              <w:jc w:val="center"/>
              <w:rPr>
                <w:rFonts w:eastAsia="Calibri" w:cs="Arial Narrow"/>
                <w:color w:val="000000"/>
              </w:rPr>
            </w:pPr>
            <w:r>
              <w:t>3,181</w:t>
            </w:r>
          </w:p>
        </w:tc>
        <w:tc>
          <w:tcPr>
            <w:tcW w:w="0" w:type="auto"/>
          </w:tcPr>
          <w:p w14:paraId="37D1380B" w14:textId="2BF7D5E8" w:rsidR="00C956C0" w:rsidRPr="00681241" w:rsidRDefault="00C956C0" w:rsidP="009873AB">
            <w:pPr>
              <w:pStyle w:val="Tabletext0"/>
              <w:jc w:val="center"/>
              <w:rPr>
                <w:rFonts w:eastAsia="Calibri" w:cs="Arial Narrow"/>
                <w:color w:val="000000"/>
              </w:rPr>
            </w:pPr>
            <w:r>
              <w:t>3,242</w:t>
            </w:r>
          </w:p>
        </w:tc>
        <w:tc>
          <w:tcPr>
            <w:tcW w:w="0" w:type="auto"/>
          </w:tcPr>
          <w:p w14:paraId="705FC3D4" w14:textId="5DD5E99D" w:rsidR="00C956C0" w:rsidRPr="00681241" w:rsidRDefault="00C956C0" w:rsidP="009873AB">
            <w:pPr>
              <w:pStyle w:val="Tabletext0"/>
              <w:jc w:val="center"/>
              <w:rPr>
                <w:rFonts w:eastAsia="Calibri" w:cs="Arial Narrow"/>
                <w:color w:val="000000"/>
              </w:rPr>
            </w:pPr>
            <w:r>
              <w:t>3,302</w:t>
            </w:r>
          </w:p>
        </w:tc>
        <w:tc>
          <w:tcPr>
            <w:tcW w:w="0" w:type="auto"/>
          </w:tcPr>
          <w:p w14:paraId="24E88C69" w14:textId="72701F0C" w:rsidR="00C956C0" w:rsidRPr="00681241" w:rsidRDefault="00C956C0" w:rsidP="009873AB">
            <w:pPr>
              <w:pStyle w:val="Tabletext0"/>
              <w:jc w:val="center"/>
              <w:rPr>
                <w:rFonts w:eastAsia="Calibri" w:cs="Arial Narrow"/>
                <w:color w:val="000000"/>
              </w:rPr>
            </w:pPr>
            <w:r>
              <w:t>3,361</w:t>
            </w:r>
          </w:p>
        </w:tc>
      </w:tr>
      <w:tr w:rsidR="00681241" w:rsidRPr="00681241" w14:paraId="6B0ADC4D" w14:textId="77777777" w:rsidTr="00530298">
        <w:trPr>
          <w:trHeight w:val="144"/>
        </w:trPr>
        <w:tc>
          <w:tcPr>
            <w:tcW w:w="0" w:type="auto"/>
          </w:tcPr>
          <w:p w14:paraId="4D8B45EA" w14:textId="62253E9C" w:rsidR="00681241" w:rsidRPr="00681241" w:rsidRDefault="00681241" w:rsidP="004F2AC8">
            <w:pPr>
              <w:autoSpaceDE w:val="0"/>
              <w:autoSpaceDN w:val="0"/>
              <w:adjustRightInd w:val="0"/>
              <w:rPr>
                <w:rFonts w:eastAsia="Calibri" w:cs="Arial Narrow"/>
                <w:color w:val="000000"/>
                <w:sz w:val="20"/>
              </w:rPr>
            </w:pPr>
            <w:r w:rsidRPr="00681241">
              <w:rPr>
                <w:rFonts w:eastAsia="Calibri" w:cs="Arial Narrow"/>
                <w:color w:val="000000"/>
                <w:sz w:val="20"/>
              </w:rPr>
              <w:t xml:space="preserve">MBS </w:t>
            </w:r>
            <w:r w:rsidR="004F2AC8">
              <w:rPr>
                <w:rFonts w:eastAsia="Calibri" w:cs="Arial Narrow"/>
                <w:color w:val="000000"/>
                <w:sz w:val="20"/>
              </w:rPr>
              <w:t>costs of PET/CT imaging</w:t>
            </w:r>
          </w:p>
        </w:tc>
        <w:tc>
          <w:tcPr>
            <w:tcW w:w="0" w:type="auto"/>
          </w:tcPr>
          <w:p w14:paraId="7305EDE8" w14:textId="52640898"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$2,795,227</w:t>
            </w:r>
          </w:p>
        </w:tc>
        <w:tc>
          <w:tcPr>
            <w:tcW w:w="0" w:type="auto"/>
          </w:tcPr>
          <w:p w14:paraId="4584DD8F" w14:textId="62AA8529"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$2,847,691</w:t>
            </w:r>
          </w:p>
        </w:tc>
        <w:tc>
          <w:tcPr>
            <w:tcW w:w="0" w:type="auto"/>
          </w:tcPr>
          <w:p w14:paraId="15348F98" w14:textId="42C35CD9"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$2,902,146</w:t>
            </w:r>
          </w:p>
        </w:tc>
        <w:tc>
          <w:tcPr>
            <w:tcW w:w="0" w:type="auto"/>
          </w:tcPr>
          <w:p w14:paraId="1C756920" w14:textId="5BCDBA56"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$2,955,753</w:t>
            </w:r>
          </w:p>
        </w:tc>
        <w:tc>
          <w:tcPr>
            <w:tcW w:w="0" w:type="auto"/>
          </w:tcPr>
          <w:p w14:paraId="5F4EBF39" w14:textId="7E725659"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$3,008,641</w:t>
            </w:r>
          </w:p>
        </w:tc>
      </w:tr>
      <w:tr w:rsidR="00681241" w:rsidRPr="00681241" w14:paraId="16098864" w14:textId="77777777" w:rsidTr="00530298">
        <w:trPr>
          <w:trHeight w:val="144"/>
        </w:trPr>
        <w:tc>
          <w:tcPr>
            <w:tcW w:w="0" w:type="auto"/>
          </w:tcPr>
          <w:p w14:paraId="1AB253B6" w14:textId="29678210" w:rsidR="00681241" w:rsidRPr="00681241" w:rsidRDefault="00681241" w:rsidP="00681241">
            <w:pPr>
              <w:autoSpaceDE w:val="0"/>
              <w:autoSpaceDN w:val="0"/>
              <w:adjustRightInd w:val="0"/>
              <w:rPr>
                <w:rFonts w:eastAsia="Calibri" w:cs="Arial Narrow"/>
                <w:color w:val="000000"/>
                <w:sz w:val="20"/>
              </w:rPr>
            </w:pPr>
            <w:r>
              <w:rPr>
                <w:rFonts w:eastAsia="Calibri" w:cs="Arial Narrow"/>
                <w:color w:val="000000"/>
                <w:sz w:val="20"/>
              </w:rPr>
              <w:t xml:space="preserve">Alternative </w:t>
            </w:r>
            <w:r w:rsidR="004F2AC8">
              <w:rPr>
                <w:rFonts w:eastAsia="Calibri" w:cs="Arial Narrow"/>
                <w:color w:val="000000"/>
                <w:sz w:val="20"/>
              </w:rPr>
              <w:t>imaging MBS cost offsets</w:t>
            </w:r>
          </w:p>
        </w:tc>
        <w:tc>
          <w:tcPr>
            <w:tcW w:w="0" w:type="auto"/>
          </w:tcPr>
          <w:p w14:paraId="46422996" w14:textId="03677DC3"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-$1,465,059</w:t>
            </w:r>
          </w:p>
        </w:tc>
        <w:tc>
          <w:tcPr>
            <w:tcW w:w="0" w:type="auto"/>
          </w:tcPr>
          <w:p w14:paraId="7342295E" w14:textId="345044D5"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-$1,492,571</w:t>
            </w:r>
          </w:p>
        </w:tc>
        <w:tc>
          <w:tcPr>
            <w:tcW w:w="0" w:type="auto"/>
          </w:tcPr>
          <w:p w14:paraId="4C39FF19" w14:textId="066D728E"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-$1,521,102</w:t>
            </w:r>
          </w:p>
        </w:tc>
        <w:tc>
          <w:tcPr>
            <w:tcW w:w="0" w:type="auto"/>
          </w:tcPr>
          <w:p w14:paraId="67FC36F9" w14:textId="2FD05687"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-$1,549,177</w:t>
            </w:r>
          </w:p>
        </w:tc>
        <w:tc>
          <w:tcPr>
            <w:tcW w:w="0" w:type="auto"/>
          </w:tcPr>
          <w:p w14:paraId="51D5E6F1" w14:textId="66944192"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-$1,576,917</w:t>
            </w:r>
          </w:p>
        </w:tc>
      </w:tr>
      <w:tr w:rsidR="00681241" w:rsidRPr="00681241" w14:paraId="0954FF89" w14:textId="77777777" w:rsidTr="00530298">
        <w:trPr>
          <w:trHeight w:val="146"/>
        </w:trPr>
        <w:tc>
          <w:tcPr>
            <w:tcW w:w="0" w:type="auto"/>
          </w:tcPr>
          <w:p w14:paraId="06C219D5" w14:textId="1C910121"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b/>
                <w:bCs/>
                <w:color w:val="000000"/>
                <w:sz w:val="20"/>
              </w:rPr>
              <w:t xml:space="preserve">Net </w:t>
            </w:r>
            <w:r w:rsidR="004F2AC8">
              <w:rPr>
                <w:rFonts w:eastAsia="Calibri" w:cs="Arial Narrow"/>
                <w:b/>
                <w:bCs/>
                <w:color w:val="000000"/>
                <w:sz w:val="20"/>
              </w:rPr>
              <w:t>c</w:t>
            </w:r>
            <w:r w:rsidRPr="00AF3250">
              <w:rPr>
                <w:rFonts w:eastAsia="Calibri" w:cs="Arial Narrow"/>
                <w:b/>
                <w:bCs/>
                <w:color w:val="000000"/>
                <w:sz w:val="20"/>
              </w:rPr>
              <w:t>ost</w:t>
            </w:r>
            <w:r w:rsidR="004F2AC8">
              <w:rPr>
                <w:rFonts w:eastAsia="Calibri" w:cs="Arial Narrow"/>
                <w:b/>
                <w:bCs/>
                <w:color w:val="000000"/>
                <w:sz w:val="20"/>
              </w:rPr>
              <w:t xml:space="preserve"> to MBS of PET/CT imaging</w:t>
            </w:r>
          </w:p>
        </w:tc>
        <w:tc>
          <w:tcPr>
            <w:tcW w:w="0" w:type="auto"/>
          </w:tcPr>
          <w:p w14:paraId="5F65A804" w14:textId="60A477A5"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b/>
                <w:bCs/>
                <w:color w:val="000000"/>
                <w:sz w:val="20"/>
              </w:rPr>
              <w:t>$1,330,168</w:t>
            </w:r>
          </w:p>
        </w:tc>
        <w:tc>
          <w:tcPr>
            <w:tcW w:w="0" w:type="auto"/>
          </w:tcPr>
          <w:p w14:paraId="59EB7EAA" w14:textId="208EED94"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b/>
                <w:bCs/>
                <w:color w:val="000000"/>
                <w:sz w:val="20"/>
              </w:rPr>
              <w:t>$1,355,120</w:t>
            </w:r>
          </w:p>
        </w:tc>
        <w:tc>
          <w:tcPr>
            <w:tcW w:w="0" w:type="auto"/>
          </w:tcPr>
          <w:p w14:paraId="3A671819" w14:textId="263D0B2D"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b/>
                <w:bCs/>
                <w:color w:val="000000"/>
                <w:sz w:val="20"/>
              </w:rPr>
              <w:t>$1,381,044</w:t>
            </w:r>
          </w:p>
        </w:tc>
        <w:tc>
          <w:tcPr>
            <w:tcW w:w="0" w:type="auto"/>
          </w:tcPr>
          <w:p w14:paraId="201456D8" w14:textId="0EE290F9"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b/>
                <w:bCs/>
                <w:color w:val="000000"/>
                <w:sz w:val="20"/>
              </w:rPr>
              <w:t>$1,406,577</w:t>
            </w:r>
          </w:p>
        </w:tc>
        <w:tc>
          <w:tcPr>
            <w:tcW w:w="0" w:type="auto"/>
          </w:tcPr>
          <w:p w14:paraId="47545530" w14:textId="24E048D8"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b/>
                <w:bCs/>
                <w:color w:val="000000"/>
                <w:sz w:val="20"/>
              </w:rPr>
              <w:t>$1,431,724</w:t>
            </w:r>
          </w:p>
        </w:tc>
      </w:tr>
      <w:tr w:rsidR="00681241" w:rsidRPr="00681241" w14:paraId="3C9BC985" w14:textId="77777777" w:rsidTr="00530298">
        <w:trPr>
          <w:trHeight w:val="146"/>
        </w:trPr>
        <w:tc>
          <w:tcPr>
            <w:tcW w:w="0" w:type="auto"/>
            <w:gridSpan w:val="6"/>
          </w:tcPr>
          <w:p w14:paraId="1CDBF03B" w14:textId="571476E0"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b/>
                <w:bCs/>
                <w:color w:val="000000"/>
                <w:sz w:val="20"/>
              </w:rPr>
              <w:t>S</w:t>
            </w:r>
            <w:r w:rsidR="004F2AC8" w:rsidRPr="00681241">
              <w:rPr>
                <w:rFonts w:eastAsia="Calibri" w:cs="Arial Narrow"/>
                <w:b/>
                <w:bCs/>
                <w:color w:val="000000"/>
                <w:sz w:val="20"/>
              </w:rPr>
              <w:t>cenario</w:t>
            </w:r>
            <w:r w:rsidRPr="00681241">
              <w:rPr>
                <w:rFonts w:eastAsia="Calibri" w:cs="Arial Narrow"/>
                <w:b/>
                <w:bCs/>
                <w:color w:val="000000"/>
                <w:sz w:val="20"/>
              </w:rPr>
              <w:t xml:space="preserve"> 2 </w:t>
            </w:r>
            <w:r w:rsidR="00C956C0">
              <w:rPr>
                <w:rFonts w:eastAsia="Calibri" w:cs="Arial Narrow"/>
                <w:b/>
                <w:bCs/>
                <w:color w:val="000000"/>
                <w:sz w:val="20"/>
              </w:rPr>
              <w:t>(no requirement for prior equivocal imaging)</w:t>
            </w:r>
          </w:p>
        </w:tc>
      </w:tr>
      <w:tr w:rsidR="00681241" w:rsidRPr="00681241" w14:paraId="6591FB7E" w14:textId="77777777" w:rsidTr="00530298">
        <w:trPr>
          <w:trHeight w:val="140"/>
        </w:trPr>
        <w:tc>
          <w:tcPr>
            <w:tcW w:w="0" w:type="auto"/>
            <w:gridSpan w:val="6"/>
          </w:tcPr>
          <w:p w14:paraId="3F8ED519" w14:textId="77777777"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i/>
                <w:iCs/>
                <w:color w:val="000000"/>
                <w:sz w:val="20"/>
              </w:rPr>
              <w:t xml:space="preserve">Proven locally advanced breast cancer </w:t>
            </w:r>
            <w:r>
              <w:rPr>
                <w:rFonts w:eastAsia="Calibri" w:cs="Arial Narrow"/>
                <w:i/>
                <w:iCs/>
                <w:color w:val="000000"/>
                <w:sz w:val="20"/>
              </w:rPr>
              <w:t>(population 1)</w:t>
            </w:r>
          </w:p>
        </w:tc>
      </w:tr>
      <w:tr w:rsidR="00C956C0" w:rsidRPr="00681241" w14:paraId="289F015B" w14:textId="77777777" w:rsidTr="00530298">
        <w:trPr>
          <w:trHeight w:val="144"/>
        </w:trPr>
        <w:tc>
          <w:tcPr>
            <w:tcW w:w="0" w:type="auto"/>
          </w:tcPr>
          <w:p w14:paraId="2C6A01B1" w14:textId="77777777" w:rsidR="00C956C0" w:rsidRPr="00681241" w:rsidRDefault="00C956C0" w:rsidP="00C956C0">
            <w:pPr>
              <w:pStyle w:val="Tabletext0"/>
              <w:rPr>
                <w:rFonts w:eastAsia="Calibri" w:cs="Arial Narrow"/>
                <w:color w:val="000000"/>
              </w:rPr>
            </w:pPr>
            <w:r>
              <w:t>Services for PET/CT imaging</w:t>
            </w:r>
          </w:p>
        </w:tc>
        <w:tc>
          <w:tcPr>
            <w:tcW w:w="0" w:type="auto"/>
          </w:tcPr>
          <w:p w14:paraId="79CFB2DF" w14:textId="726D27C3" w:rsidR="00C956C0" w:rsidRPr="00681241" w:rsidRDefault="00C956C0" w:rsidP="009873AB">
            <w:pPr>
              <w:pStyle w:val="Tabletext0"/>
              <w:jc w:val="center"/>
              <w:rPr>
                <w:rFonts w:eastAsia="Calibri" w:cs="Arial Narrow"/>
                <w:color w:val="000000"/>
              </w:rPr>
            </w:pPr>
            <w:r>
              <w:t>3,041</w:t>
            </w:r>
          </w:p>
        </w:tc>
        <w:tc>
          <w:tcPr>
            <w:tcW w:w="0" w:type="auto"/>
          </w:tcPr>
          <w:p w14:paraId="300E1178" w14:textId="609B47A5" w:rsidR="00C956C0" w:rsidRPr="00681241" w:rsidRDefault="00C956C0" w:rsidP="009873AB">
            <w:pPr>
              <w:pStyle w:val="Tabletext0"/>
              <w:jc w:val="center"/>
              <w:rPr>
                <w:rFonts w:eastAsia="Calibri" w:cs="Arial Narrow"/>
                <w:color w:val="000000"/>
              </w:rPr>
            </w:pPr>
            <w:r>
              <w:t>3,098</w:t>
            </w:r>
          </w:p>
        </w:tc>
        <w:tc>
          <w:tcPr>
            <w:tcW w:w="0" w:type="auto"/>
          </w:tcPr>
          <w:p w14:paraId="26C0F732" w14:textId="40186839" w:rsidR="00C956C0" w:rsidRPr="00681241" w:rsidRDefault="00C956C0" w:rsidP="009873AB">
            <w:pPr>
              <w:pStyle w:val="Tabletext0"/>
              <w:jc w:val="center"/>
              <w:rPr>
                <w:rFonts w:eastAsia="Calibri" w:cs="Arial Narrow"/>
                <w:color w:val="000000"/>
              </w:rPr>
            </w:pPr>
            <w:r>
              <w:t>3,156</w:t>
            </w:r>
          </w:p>
        </w:tc>
        <w:tc>
          <w:tcPr>
            <w:tcW w:w="0" w:type="auto"/>
          </w:tcPr>
          <w:p w14:paraId="53D80165" w14:textId="03632009" w:rsidR="00C956C0" w:rsidRPr="00681241" w:rsidRDefault="00C956C0" w:rsidP="009873AB">
            <w:pPr>
              <w:pStyle w:val="Tabletext0"/>
              <w:jc w:val="center"/>
              <w:rPr>
                <w:rFonts w:eastAsia="Calibri" w:cs="Arial Narrow"/>
                <w:color w:val="000000"/>
              </w:rPr>
            </w:pPr>
            <w:r>
              <w:t>3,215</w:t>
            </w:r>
          </w:p>
        </w:tc>
        <w:tc>
          <w:tcPr>
            <w:tcW w:w="0" w:type="auto"/>
          </w:tcPr>
          <w:p w14:paraId="20BA5D6E" w14:textId="0CD0BE22" w:rsidR="00C956C0" w:rsidRPr="00681241" w:rsidRDefault="00C956C0" w:rsidP="009873AB">
            <w:pPr>
              <w:pStyle w:val="Tabletext0"/>
              <w:jc w:val="center"/>
              <w:rPr>
                <w:rFonts w:eastAsia="Calibri" w:cs="Arial Narrow"/>
                <w:color w:val="000000"/>
              </w:rPr>
            </w:pPr>
            <w:r>
              <w:t>3,272</w:t>
            </w:r>
          </w:p>
        </w:tc>
      </w:tr>
      <w:tr w:rsidR="00681241" w:rsidRPr="00681241" w14:paraId="49EE8071" w14:textId="77777777" w:rsidTr="00530298">
        <w:trPr>
          <w:trHeight w:val="144"/>
        </w:trPr>
        <w:tc>
          <w:tcPr>
            <w:tcW w:w="0" w:type="auto"/>
          </w:tcPr>
          <w:p w14:paraId="7703C2F7" w14:textId="05A17B36" w:rsidR="00681241" w:rsidRPr="00681241" w:rsidRDefault="009873AB" w:rsidP="009873AB">
            <w:pPr>
              <w:autoSpaceDE w:val="0"/>
              <w:autoSpaceDN w:val="0"/>
              <w:adjustRightInd w:val="0"/>
              <w:rPr>
                <w:rFonts w:eastAsia="Calibri" w:cs="Arial Narrow"/>
                <w:color w:val="000000"/>
                <w:sz w:val="20"/>
              </w:rPr>
            </w:pPr>
            <w:r>
              <w:rPr>
                <w:rFonts w:eastAsia="Calibri" w:cs="Arial Narrow"/>
                <w:color w:val="000000"/>
                <w:sz w:val="20"/>
              </w:rPr>
              <w:t>MBS costs of PET/CT imaging</w:t>
            </w:r>
          </w:p>
        </w:tc>
        <w:tc>
          <w:tcPr>
            <w:tcW w:w="0" w:type="auto"/>
          </w:tcPr>
          <w:p w14:paraId="665B85CC" w14:textId="3F1ACF0E"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$2,649,449</w:t>
            </w:r>
          </w:p>
        </w:tc>
        <w:tc>
          <w:tcPr>
            <w:tcW w:w="0" w:type="auto"/>
          </w:tcPr>
          <w:p w14:paraId="6028DDEA" w14:textId="0286287A"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$2,699,636</w:t>
            </w:r>
          </w:p>
        </w:tc>
        <w:tc>
          <w:tcPr>
            <w:tcW w:w="0" w:type="auto"/>
          </w:tcPr>
          <w:p w14:paraId="1AD64F0C" w14:textId="6FCB825F"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$2,749,823</w:t>
            </w:r>
          </w:p>
        </w:tc>
        <w:tc>
          <w:tcPr>
            <w:tcW w:w="0" w:type="auto"/>
          </w:tcPr>
          <w:p w14:paraId="2AA34E8F" w14:textId="6D555D3D"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$2,801,055</w:t>
            </w:r>
          </w:p>
        </w:tc>
        <w:tc>
          <w:tcPr>
            <w:tcW w:w="0" w:type="auto"/>
          </w:tcPr>
          <w:p w14:paraId="56099D90" w14:textId="7EE6DF1F"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$2,851,242</w:t>
            </w:r>
          </w:p>
        </w:tc>
      </w:tr>
      <w:tr w:rsidR="00681241" w:rsidRPr="00681241" w14:paraId="6DCDBB80" w14:textId="77777777" w:rsidTr="00530298">
        <w:trPr>
          <w:trHeight w:val="259"/>
        </w:trPr>
        <w:tc>
          <w:tcPr>
            <w:tcW w:w="0" w:type="auto"/>
          </w:tcPr>
          <w:p w14:paraId="5DC254CD" w14:textId="1F007F1E" w:rsidR="00681241" w:rsidRPr="00681241" w:rsidRDefault="00681241" w:rsidP="009873AB">
            <w:pPr>
              <w:autoSpaceDE w:val="0"/>
              <w:autoSpaceDN w:val="0"/>
              <w:adjustRightInd w:val="0"/>
              <w:rPr>
                <w:rFonts w:eastAsia="Calibri" w:cs="Arial Narrow"/>
                <w:color w:val="000000"/>
                <w:sz w:val="20"/>
              </w:rPr>
            </w:pPr>
            <w:r w:rsidRPr="00681241">
              <w:rPr>
                <w:rFonts w:eastAsia="Calibri" w:cs="Arial Narrow"/>
                <w:color w:val="000000"/>
                <w:sz w:val="20"/>
              </w:rPr>
              <w:t>Alternative imaging (CT/BS) MBS cost offsets</w:t>
            </w:r>
          </w:p>
        </w:tc>
        <w:tc>
          <w:tcPr>
            <w:tcW w:w="0" w:type="auto"/>
          </w:tcPr>
          <w:p w14:paraId="033C2FF1" w14:textId="7A0AB31A"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-$3,424,549</w:t>
            </w:r>
          </w:p>
        </w:tc>
        <w:tc>
          <w:tcPr>
            <w:tcW w:w="0" w:type="auto"/>
          </w:tcPr>
          <w:p w14:paraId="3707E081" w14:textId="0785DC9E"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-$3,489,418</w:t>
            </w:r>
          </w:p>
        </w:tc>
        <w:tc>
          <w:tcPr>
            <w:tcW w:w="0" w:type="auto"/>
          </w:tcPr>
          <w:p w14:paraId="443C984C" w14:textId="356D49BA"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-$3,554,287</w:t>
            </w:r>
          </w:p>
        </w:tc>
        <w:tc>
          <w:tcPr>
            <w:tcW w:w="0" w:type="auto"/>
          </w:tcPr>
          <w:p w14:paraId="63AB6783" w14:textId="3CB2447B"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-$3,620,508</w:t>
            </w:r>
          </w:p>
        </w:tc>
        <w:tc>
          <w:tcPr>
            <w:tcW w:w="0" w:type="auto"/>
          </w:tcPr>
          <w:p w14:paraId="41AEE681" w14:textId="1DF9E958"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-$3,685,377</w:t>
            </w:r>
          </w:p>
        </w:tc>
      </w:tr>
      <w:tr w:rsidR="00681241" w:rsidRPr="00681241" w14:paraId="5524551B" w14:textId="77777777" w:rsidTr="00530298">
        <w:trPr>
          <w:trHeight w:val="144"/>
        </w:trPr>
        <w:tc>
          <w:tcPr>
            <w:tcW w:w="0" w:type="auto"/>
          </w:tcPr>
          <w:p w14:paraId="089F1923" w14:textId="176EA8FA" w:rsidR="00681241" w:rsidRPr="00681241" w:rsidRDefault="009873AB" w:rsidP="009873AB">
            <w:pPr>
              <w:autoSpaceDE w:val="0"/>
              <w:autoSpaceDN w:val="0"/>
              <w:adjustRightInd w:val="0"/>
              <w:rPr>
                <w:rFonts w:eastAsia="Calibri" w:cs="Arial Narrow"/>
                <w:color w:val="000000"/>
                <w:sz w:val="20"/>
              </w:rPr>
            </w:pPr>
            <w:r>
              <w:rPr>
                <w:rFonts w:eastAsia="Calibri" w:cs="Arial Narrow"/>
                <w:color w:val="000000"/>
                <w:sz w:val="20"/>
              </w:rPr>
              <w:t>Net cost to MBS of PET/CT imaging</w:t>
            </w:r>
          </w:p>
        </w:tc>
        <w:tc>
          <w:tcPr>
            <w:tcW w:w="0" w:type="auto"/>
          </w:tcPr>
          <w:p w14:paraId="5A93FC1A" w14:textId="17799376"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-$775,100</w:t>
            </w:r>
          </w:p>
        </w:tc>
        <w:tc>
          <w:tcPr>
            <w:tcW w:w="0" w:type="auto"/>
          </w:tcPr>
          <w:p w14:paraId="7A3B479C" w14:textId="2E1ADC14"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-$789,782</w:t>
            </w:r>
          </w:p>
        </w:tc>
        <w:tc>
          <w:tcPr>
            <w:tcW w:w="0" w:type="auto"/>
          </w:tcPr>
          <w:p w14:paraId="4F372787" w14:textId="5779A64F"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-$804,464</w:t>
            </w:r>
          </w:p>
        </w:tc>
        <w:tc>
          <w:tcPr>
            <w:tcW w:w="0" w:type="auto"/>
          </w:tcPr>
          <w:p w14:paraId="11F449A0" w14:textId="70EE03A1"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-$819,453</w:t>
            </w:r>
          </w:p>
        </w:tc>
        <w:tc>
          <w:tcPr>
            <w:tcW w:w="0" w:type="auto"/>
          </w:tcPr>
          <w:p w14:paraId="63B941F6" w14:textId="760E3D02"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-$834,135</w:t>
            </w:r>
          </w:p>
        </w:tc>
      </w:tr>
      <w:tr w:rsidR="00681241" w:rsidRPr="00681241" w14:paraId="095DC22E" w14:textId="77777777" w:rsidTr="00530298">
        <w:trPr>
          <w:trHeight w:val="140"/>
        </w:trPr>
        <w:tc>
          <w:tcPr>
            <w:tcW w:w="0" w:type="auto"/>
            <w:gridSpan w:val="6"/>
          </w:tcPr>
          <w:p w14:paraId="6DE1C55F" w14:textId="77777777"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i/>
                <w:iCs/>
                <w:color w:val="000000"/>
                <w:sz w:val="20"/>
              </w:rPr>
              <w:t xml:space="preserve">Suspected recurrent or metastatic breast cancer </w:t>
            </w:r>
            <w:r>
              <w:rPr>
                <w:rFonts w:eastAsia="Calibri" w:cs="Arial Narrow"/>
                <w:i/>
                <w:iCs/>
                <w:color w:val="000000"/>
                <w:sz w:val="20"/>
              </w:rPr>
              <w:t>(population 2)</w:t>
            </w:r>
          </w:p>
        </w:tc>
      </w:tr>
      <w:tr w:rsidR="00C956C0" w:rsidRPr="00681241" w14:paraId="0F44406B" w14:textId="77777777" w:rsidTr="00530298">
        <w:trPr>
          <w:trHeight w:val="144"/>
        </w:trPr>
        <w:tc>
          <w:tcPr>
            <w:tcW w:w="0" w:type="auto"/>
          </w:tcPr>
          <w:p w14:paraId="6CEF0B24" w14:textId="77777777" w:rsidR="00C956C0" w:rsidRPr="00681241" w:rsidRDefault="00C956C0" w:rsidP="00681241">
            <w:pPr>
              <w:autoSpaceDE w:val="0"/>
              <w:autoSpaceDN w:val="0"/>
              <w:adjustRightInd w:val="0"/>
              <w:rPr>
                <w:rFonts w:eastAsia="Calibri" w:cs="Arial Narrow"/>
                <w:color w:val="000000"/>
                <w:sz w:val="20"/>
              </w:rPr>
            </w:pPr>
            <w:r w:rsidRPr="00C956C0">
              <w:rPr>
                <w:rFonts w:eastAsia="Calibri" w:cs="Arial Narrow"/>
                <w:color w:val="000000"/>
                <w:sz w:val="20"/>
              </w:rPr>
              <w:t>Services for PET/CT imaging</w:t>
            </w:r>
          </w:p>
        </w:tc>
        <w:tc>
          <w:tcPr>
            <w:tcW w:w="0" w:type="auto"/>
          </w:tcPr>
          <w:p w14:paraId="298B5945" w14:textId="1B4769F1" w:rsidR="00C956C0" w:rsidRPr="00681241" w:rsidRDefault="00C956C0" w:rsidP="009873AB">
            <w:pPr>
              <w:pStyle w:val="Tabletext0"/>
              <w:jc w:val="center"/>
              <w:rPr>
                <w:rFonts w:eastAsia="Calibri" w:cs="Arial Narrow"/>
                <w:color w:val="000000"/>
              </w:rPr>
            </w:pPr>
            <w:r>
              <w:t>9914</w:t>
            </w:r>
          </w:p>
        </w:tc>
        <w:tc>
          <w:tcPr>
            <w:tcW w:w="0" w:type="auto"/>
          </w:tcPr>
          <w:p w14:paraId="61EC62D6" w14:textId="1DB811E7" w:rsidR="00C956C0" w:rsidRPr="00681241" w:rsidRDefault="00C956C0" w:rsidP="009873AB">
            <w:pPr>
              <w:pStyle w:val="Tabletext0"/>
              <w:jc w:val="center"/>
              <w:rPr>
                <w:rFonts w:eastAsia="Calibri" w:cs="Arial Narrow"/>
                <w:color w:val="000000"/>
              </w:rPr>
            </w:pPr>
            <w:r>
              <w:t>10102</w:t>
            </w:r>
          </w:p>
        </w:tc>
        <w:tc>
          <w:tcPr>
            <w:tcW w:w="0" w:type="auto"/>
          </w:tcPr>
          <w:p w14:paraId="4498A37A" w14:textId="39938C1B" w:rsidR="00C956C0" w:rsidRPr="00681241" w:rsidRDefault="00C956C0" w:rsidP="009873AB">
            <w:pPr>
              <w:pStyle w:val="Tabletext0"/>
              <w:jc w:val="center"/>
              <w:rPr>
                <w:rFonts w:eastAsia="Calibri" w:cs="Arial Narrow"/>
                <w:color w:val="000000"/>
              </w:rPr>
            </w:pPr>
            <w:r>
              <w:t>10294</w:t>
            </w:r>
          </w:p>
        </w:tc>
        <w:tc>
          <w:tcPr>
            <w:tcW w:w="0" w:type="auto"/>
          </w:tcPr>
          <w:p w14:paraId="2EC46333" w14:textId="6C72C2B2" w:rsidR="00C956C0" w:rsidRPr="00681241" w:rsidRDefault="00C956C0" w:rsidP="009873AB">
            <w:pPr>
              <w:pStyle w:val="Tabletext0"/>
              <w:jc w:val="center"/>
              <w:rPr>
                <w:rFonts w:eastAsia="Calibri" w:cs="Arial Narrow"/>
                <w:color w:val="000000"/>
              </w:rPr>
            </w:pPr>
            <w:r>
              <w:t>10481</w:t>
            </w:r>
          </w:p>
        </w:tc>
        <w:tc>
          <w:tcPr>
            <w:tcW w:w="0" w:type="auto"/>
          </w:tcPr>
          <w:p w14:paraId="3F1E7A3D" w14:textId="09A40D2B" w:rsidR="00C956C0" w:rsidRPr="00681241" w:rsidRDefault="00C956C0" w:rsidP="009873AB">
            <w:pPr>
              <w:pStyle w:val="Tabletext0"/>
              <w:jc w:val="center"/>
              <w:rPr>
                <w:rFonts w:eastAsia="Calibri" w:cs="Arial Narrow"/>
                <w:color w:val="000000"/>
              </w:rPr>
            </w:pPr>
            <w:r>
              <w:t>10669</w:t>
            </w:r>
          </w:p>
        </w:tc>
      </w:tr>
      <w:tr w:rsidR="00681241" w:rsidRPr="00681241" w14:paraId="327E3D67" w14:textId="77777777" w:rsidTr="00530298">
        <w:trPr>
          <w:trHeight w:val="144"/>
        </w:trPr>
        <w:tc>
          <w:tcPr>
            <w:tcW w:w="0" w:type="auto"/>
          </w:tcPr>
          <w:p w14:paraId="4867FC92" w14:textId="5E046474" w:rsidR="00681241" w:rsidRPr="00681241" w:rsidRDefault="009873AB" w:rsidP="00681241">
            <w:pPr>
              <w:autoSpaceDE w:val="0"/>
              <w:autoSpaceDN w:val="0"/>
              <w:adjustRightInd w:val="0"/>
              <w:rPr>
                <w:rFonts w:eastAsia="Calibri" w:cs="Arial Narrow"/>
                <w:color w:val="000000"/>
                <w:sz w:val="20"/>
              </w:rPr>
            </w:pPr>
            <w:r>
              <w:rPr>
                <w:rFonts w:eastAsia="Calibri" w:cs="Arial Narrow"/>
                <w:color w:val="000000"/>
                <w:sz w:val="20"/>
              </w:rPr>
              <w:t>MBS costs of PET/CT imaging</w:t>
            </w:r>
          </w:p>
        </w:tc>
        <w:tc>
          <w:tcPr>
            <w:tcW w:w="0" w:type="auto"/>
          </w:tcPr>
          <w:p w14:paraId="5851539D" w14:textId="7599F0AD"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$8,638,227</w:t>
            </w:r>
          </w:p>
        </w:tc>
        <w:tc>
          <w:tcPr>
            <w:tcW w:w="0" w:type="auto"/>
          </w:tcPr>
          <w:p w14:paraId="4301A16D" w14:textId="2DB316AF"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$8,801,714</w:t>
            </w:r>
          </w:p>
        </w:tc>
        <w:tc>
          <w:tcPr>
            <w:tcW w:w="0" w:type="auto"/>
          </w:tcPr>
          <w:p w14:paraId="309AA1F3" w14:textId="4A79F889"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$8,969,004</w:t>
            </w:r>
          </w:p>
        </w:tc>
        <w:tc>
          <w:tcPr>
            <w:tcW w:w="0" w:type="auto"/>
          </w:tcPr>
          <w:p w14:paraId="3743A877" w14:textId="44408C1E"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$9,132,491</w:t>
            </w:r>
          </w:p>
        </w:tc>
        <w:tc>
          <w:tcPr>
            <w:tcW w:w="0" w:type="auto"/>
          </w:tcPr>
          <w:p w14:paraId="39A2B81F" w14:textId="7B4C2766"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$9,295,979</w:t>
            </w:r>
          </w:p>
        </w:tc>
      </w:tr>
      <w:tr w:rsidR="00681241" w:rsidRPr="00681241" w14:paraId="2379F81E" w14:textId="77777777" w:rsidTr="00530298">
        <w:trPr>
          <w:trHeight w:val="259"/>
        </w:trPr>
        <w:tc>
          <w:tcPr>
            <w:tcW w:w="0" w:type="auto"/>
          </w:tcPr>
          <w:p w14:paraId="30065E7A" w14:textId="6BF00216" w:rsidR="00681241" w:rsidRPr="00681241" w:rsidRDefault="00681241" w:rsidP="009873AB">
            <w:pPr>
              <w:autoSpaceDE w:val="0"/>
              <w:autoSpaceDN w:val="0"/>
              <w:adjustRightInd w:val="0"/>
              <w:rPr>
                <w:rFonts w:eastAsia="Calibri" w:cs="Arial Narrow"/>
                <w:color w:val="000000"/>
                <w:sz w:val="20"/>
              </w:rPr>
            </w:pPr>
            <w:r w:rsidRPr="00681241">
              <w:rPr>
                <w:rFonts w:eastAsia="Calibri" w:cs="Arial Narrow"/>
                <w:color w:val="000000"/>
                <w:sz w:val="20"/>
              </w:rPr>
              <w:t>Alternative imaging (CT/BS) MBS cost offsets</w:t>
            </w:r>
          </w:p>
        </w:tc>
        <w:tc>
          <w:tcPr>
            <w:tcW w:w="0" w:type="auto"/>
          </w:tcPr>
          <w:p w14:paraId="7F6341C9" w14:textId="33905F5A" w:rsidR="00681241" w:rsidRPr="009873AB" w:rsidRDefault="00681241" w:rsidP="009873AB">
            <w:pPr>
              <w:autoSpaceDE w:val="0"/>
              <w:autoSpaceDN w:val="0"/>
              <w:adjustRightInd w:val="0"/>
              <w:ind w:left="-132" w:right="-89"/>
              <w:jc w:val="center"/>
              <w:rPr>
                <w:rFonts w:eastAsia="Calibri" w:cs="Arial Narrow"/>
                <w:color w:val="FF0000"/>
                <w:sz w:val="20"/>
              </w:rPr>
            </w:pPr>
            <w:r w:rsidRPr="009873AB">
              <w:rPr>
                <w:rFonts w:eastAsia="Calibri" w:cs="Arial Narrow"/>
                <w:color w:val="FF0000"/>
                <w:sz w:val="20"/>
              </w:rPr>
              <w:t>-$11,165,352</w:t>
            </w:r>
          </w:p>
        </w:tc>
        <w:tc>
          <w:tcPr>
            <w:tcW w:w="0" w:type="auto"/>
          </w:tcPr>
          <w:p w14:paraId="1DDFC990" w14:textId="44A6DDBB" w:rsidR="00681241" w:rsidRPr="009873AB" w:rsidRDefault="00681241" w:rsidP="009873AB">
            <w:pPr>
              <w:autoSpaceDE w:val="0"/>
              <w:autoSpaceDN w:val="0"/>
              <w:adjustRightInd w:val="0"/>
              <w:ind w:left="-127" w:right="-46"/>
              <w:jc w:val="center"/>
              <w:rPr>
                <w:rFonts w:eastAsia="Calibri" w:cs="Arial Narrow"/>
                <w:color w:val="FF0000"/>
                <w:sz w:val="20"/>
              </w:rPr>
            </w:pPr>
            <w:r w:rsidRPr="009873AB">
              <w:rPr>
                <w:rFonts w:eastAsia="Calibri" w:cs="Arial Narrow"/>
                <w:color w:val="FF0000"/>
                <w:sz w:val="20"/>
              </w:rPr>
              <w:t>-$11,376,668</w:t>
            </w:r>
          </w:p>
        </w:tc>
        <w:tc>
          <w:tcPr>
            <w:tcW w:w="0" w:type="auto"/>
          </w:tcPr>
          <w:p w14:paraId="2D44516F" w14:textId="50952733" w:rsidR="00681241" w:rsidRPr="009873AB" w:rsidRDefault="00681241" w:rsidP="009873AB">
            <w:pPr>
              <w:autoSpaceDE w:val="0"/>
              <w:autoSpaceDN w:val="0"/>
              <w:adjustRightInd w:val="0"/>
              <w:ind w:left="-29" w:right="-142"/>
              <w:jc w:val="center"/>
              <w:rPr>
                <w:rFonts w:eastAsia="Calibri" w:cs="Arial Narrow"/>
                <w:color w:val="FF0000"/>
                <w:sz w:val="20"/>
              </w:rPr>
            </w:pPr>
            <w:r w:rsidRPr="009873AB">
              <w:rPr>
                <w:rFonts w:eastAsia="Calibri" w:cs="Arial Narrow"/>
                <w:color w:val="FF0000"/>
                <w:sz w:val="20"/>
              </w:rPr>
              <w:t>-$11,592,898</w:t>
            </w:r>
          </w:p>
        </w:tc>
        <w:tc>
          <w:tcPr>
            <w:tcW w:w="0" w:type="auto"/>
          </w:tcPr>
          <w:p w14:paraId="30F4EB0A" w14:textId="050DA852" w:rsidR="00681241" w:rsidRPr="009873AB" w:rsidRDefault="00681241" w:rsidP="009873AB">
            <w:pPr>
              <w:autoSpaceDE w:val="0"/>
              <w:autoSpaceDN w:val="0"/>
              <w:adjustRightInd w:val="0"/>
              <w:ind w:left="-74"/>
              <w:jc w:val="center"/>
              <w:rPr>
                <w:rFonts w:eastAsia="Calibri" w:cs="Arial Narrow"/>
                <w:color w:val="FF0000"/>
                <w:sz w:val="20"/>
              </w:rPr>
            </w:pPr>
            <w:r w:rsidRPr="009873AB">
              <w:rPr>
                <w:rFonts w:eastAsia="Calibri" w:cs="Arial Narrow"/>
                <w:color w:val="FF0000"/>
                <w:sz w:val="20"/>
              </w:rPr>
              <w:t>-$11,804,214</w:t>
            </w:r>
          </w:p>
        </w:tc>
        <w:tc>
          <w:tcPr>
            <w:tcW w:w="0" w:type="auto"/>
          </w:tcPr>
          <w:p w14:paraId="3EE99EB2" w14:textId="77FF0EA1"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-$12,015,530</w:t>
            </w:r>
          </w:p>
        </w:tc>
      </w:tr>
      <w:tr w:rsidR="00681241" w:rsidRPr="00681241" w14:paraId="42366646" w14:textId="77777777" w:rsidTr="00530298">
        <w:trPr>
          <w:trHeight w:val="144"/>
        </w:trPr>
        <w:tc>
          <w:tcPr>
            <w:tcW w:w="0" w:type="auto"/>
          </w:tcPr>
          <w:p w14:paraId="19306E7E" w14:textId="1EDA0EFA" w:rsidR="00681241" w:rsidRPr="00681241" w:rsidRDefault="00681241" w:rsidP="009873AB">
            <w:pPr>
              <w:autoSpaceDE w:val="0"/>
              <w:autoSpaceDN w:val="0"/>
              <w:adjustRightInd w:val="0"/>
              <w:rPr>
                <w:rFonts w:eastAsia="Calibri" w:cs="Arial Narrow"/>
                <w:color w:val="000000"/>
                <w:sz w:val="20"/>
              </w:rPr>
            </w:pPr>
            <w:r w:rsidRPr="00681241">
              <w:rPr>
                <w:rFonts w:eastAsia="Calibri" w:cs="Arial Narrow"/>
                <w:color w:val="000000"/>
                <w:sz w:val="20"/>
              </w:rPr>
              <w:t xml:space="preserve">Net </w:t>
            </w:r>
            <w:r w:rsidR="009873AB">
              <w:rPr>
                <w:rFonts w:eastAsia="Calibri" w:cs="Arial Narrow"/>
                <w:color w:val="000000"/>
                <w:sz w:val="20"/>
              </w:rPr>
              <w:t>cost to MBS of PET/CT imaging</w:t>
            </w:r>
          </w:p>
        </w:tc>
        <w:tc>
          <w:tcPr>
            <w:tcW w:w="0" w:type="auto"/>
          </w:tcPr>
          <w:p w14:paraId="720B9836" w14:textId="0EE12336"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-$2,527,125</w:t>
            </w:r>
          </w:p>
        </w:tc>
        <w:tc>
          <w:tcPr>
            <w:tcW w:w="0" w:type="auto"/>
          </w:tcPr>
          <w:p w14:paraId="41DB318C" w14:textId="6E1097AB"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-$2,574,953</w:t>
            </w:r>
          </w:p>
        </w:tc>
        <w:tc>
          <w:tcPr>
            <w:tcW w:w="0" w:type="auto"/>
          </w:tcPr>
          <w:p w14:paraId="1108B149" w14:textId="0D977F26"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-$2,623,894</w:t>
            </w:r>
          </w:p>
        </w:tc>
        <w:tc>
          <w:tcPr>
            <w:tcW w:w="0" w:type="auto"/>
          </w:tcPr>
          <w:p w14:paraId="158606CD" w14:textId="07F58A62"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-$2,671,723</w:t>
            </w:r>
          </w:p>
        </w:tc>
        <w:tc>
          <w:tcPr>
            <w:tcW w:w="0" w:type="auto"/>
          </w:tcPr>
          <w:p w14:paraId="51BFB2AD" w14:textId="71CA8034"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color w:val="FF0000"/>
                <w:sz w:val="20"/>
              </w:rPr>
              <w:t>-$2,719,551</w:t>
            </w:r>
          </w:p>
        </w:tc>
      </w:tr>
      <w:tr w:rsidR="00681241" w:rsidRPr="00681241" w14:paraId="26D97843" w14:textId="77777777" w:rsidTr="00530298">
        <w:trPr>
          <w:trHeight w:val="146"/>
        </w:trPr>
        <w:tc>
          <w:tcPr>
            <w:tcW w:w="0" w:type="auto"/>
            <w:gridSpan w:val="6"/>
          </w:tcPr>
          <w:p w14:paraId="3BFE5396" w14:textId="77777777"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b/>
                <w:bCs/>
                <w:color w:val="000000"/>
                <w:sz w:val="20"/>
              </w:rPr>
              <w:t xml:space="preserve">All eligible patients </w:t>
            </w:r>
          </w:p>
        </w:tc>
      </w:tr>
      <w:tr w:rsidR="00C956C0" w:rsidRPr="00681241" w14:paraId="6C2024BB" w14:textId="77777777" w:rsidTr="00530298">
        <w:trPr>
          <w:trHeight w:val="144"/>
        </w:trPr>
        <w:tc>
          <w:tcPr>
            <w:tcW w:w="0" w:type="auto"/>
          </w:tcPr>
          <w:p w14:paraId="7FE762D9" w14:textId="77777777" w:rsidR="00C956C0" w:rsidRPr="00681241" w:rsidRDefault="00C956C0" w:rsidP="00681241">
            <w:pPr>
              <w:autoSpaceDE w:val="0"/>
              <w:autoSpaceDN w:val="0"/>
              <w:adjustRightInd w:val="0"/>
              <w:rPr>
                <w:rFonts w:eastAsia="Calibri" w:cs="Arial Narrow"/>
                <w:color w:val="000000"/>
                <w:sz w:val="20"/>
              </w:rPr>
            </w:pPr>
            <w:r w:rsidRPr="00C956C0">
              <w:rPr>
                <w:rFonts w:eastAsia="Calibri" w:cs="Arial Narrow"/>
                <w:color w:val="000000"/>
                <w:sz w:val="20"/>
              </w:rPr>
              <w:t>Services for PET/CT imaging</w:t>
            </w:r>
          </w:p>
        </w:tc>
        <w:tc>
          <w:tcPr>
            <w:tcW w:w="0" w:type="auto"/>
          </w:tcPr>
          <w:p w14:paraId="6AC82E18" w14:textId="00A54A59" w:rsidR="00C956C0" w:rsidRPr="00681241" w:rsidRDefault="00C956C0" w:rsidP="009873AB">
            <w:pPr>
              <w:pStyle w:val="Tabletext0"/>
              <w:jc w:val="center"/>
              <w:rPr>
                <w:rFonts w:eastAsia="Calibri" w:cs="Arial Narrow"/>
                <w:color w:val="000000"/>
              </w:rPr>
            </w:pPr>
            <w:r>
              <w:t>12,955</w:t>
            </w:r>
          </w:p>
        </w:tc>
        <w:tc>
          <w:tcPr>
            <w:tcW w:w="0" w:type="auto"/>
          </w:tcPr>
          <w:p w14:paraId="1C9D33F3" w14:textId="6021EAC2" w:rsidR="00C956C0" w:rsidRPr="00681241" w:rsidRDefault="00C956C0" w:rsidP="009873AB">
            <w:pPr>
              <w:pStyle w:val="Tabletext0"/>
              <w:jc w:val="center"/>
              <w:rPr>
                <w:rFonts w:eastAsia="Calibri" w:cs="Arial Narrow"/>
                <w:color w:val="000000"/>
              </w:rPr>
            </w:pPr>
            <w:r>
              <w:t>13,200</w:t>
            </w:r>
          </w:p>
        </w:tc>
        <w:tc>
          <w:tcPr>
            <w:tcW w:w="0" w:type="auto"/>
          </w:tcPr>
          <w:p w14:paraId="55DEB40A" w14:textId="1037F7B0" w:rsidR="00C956C0" w:rsidRPr="00681241" w:rsidRDefault="00C956C0" w:rsidP="009873AB">
            <w:pPr>
              <w:pStyle w:val="Tabletext0"/>
              <w:jc w:val="center"/>
              <w:rPr>
                <w:rFonts w:eastAsia="Calibri" w:cs="Arial Narrow"/>
                <w:color w:val="000000"/>
              </w:rPr>
            </w:pPr>
            <w:r>
              <w:t>13,450</w:t>
            </w:r>
          </w:p>
        </w:tc>
        <w:tc>
          <w:tcPr>
            <w:tcW w:w="0" w:type="auto"/>
          </w:tcPr>
          <w:p w14:paraId="5BADB767" w14:textId="4E25C665" w:rsidR="00C956C0" w:rsidRPr="00681241" w:rsidRDefault="00C956C0" w:rsidP="009873AB">
            <w:pPr>
              <w:pStyle w:val="Tabletext0"/>
              <w:jc w:val="center"/>
              <w:rPr>
                <w:rFonts w:eastAsia="Calibri" w:cs="Arial Narrow"/>
                <w:color w:val="000000"/>
              </w:rPr>
            </w:pPr>
            <w:r>
              <w:t>13,696</w:t>
            </w:r>
          </w:p>
        </w:tc>
        <w:tc>
          <w:tcPr>
            <w:tcW w:w="0" w:type="auto"/>
          </w:tcPr>
          <w:p w14:paraId="3261C71B" w14:textId="1A38F805" w:rsidR="00C956C0" w:rsidRPr="00681241" w:rsidRDefault="00C956C0" w:rsidP="009873AB">
            <w:pPr>
              <w:pStyle w:val="Tabletext0"/>
              <w:jc w:val="center"/>
              <w:rPr>
                <w:rFonts w:eastAsia="Calibri" w:cs="Arial Narrow"/>
                <w:color w:val="000000"/>
              </w:rPr>
            </w:pPr>
            <w:r>
              <w:t>13,941</w:t>
            </w:r>
          </w:p>
        </w:tc>
      </w:tr>
      <w:tr w:rsidR="00681241" w:rsidRPr="00681241" w14:paraId="2887AB0C" w14:textId="77777777" w:rsidTr="00530298">
        <w:trPr>
          <w:trHeight w:val="144"/>
        </w:trPr>
        <w:tc>
          <w:tcPr>
            <w:tcW w:w="0" w:type="auto"/>
          </w:tcPr>
          <w:p w14:paraId="282E168B" w14:textId="4D14304E" w:rsidR="00681241" w:rsidRPr="00681241" w:rsidRDefault="009873AB" w:rsidP="009873AB">
            <w:pPr>
              <w:autoSpaceDE w:val="0"/>
              <w:autoSpaceDN w:val="0"/>
              <w:adjustRightInd w:val="0"/>
              <w:rPr>
                <w:rFonts w:eastAsia="Calibri" w:cs="Arial Narrow"/>
                <w:color w:val="000000"/>
                <w:sz w:val="20"/>
              </w:rPr>
            </w:pPr>
            <w:r>
              <w:rPr>
                <w:rFonts w:eastAsia="Calibri" w:cs="Arial Narrow"/>
                <w:color w:val="000000"/>
                <w:sz w:val="20"/>
              </w:rPr>
              <w:t>MBS costs of PET/CT imaging</w:t>
            </w:r>
          </w:p>
        </w:tc>
        <w:tc>
          <w:tcPr>
            <w:tcW w:w="0" w:type="auto"/>
          </w:tcPr>
          <w:p w14:paraId="0B2388AC" w14:textId="168F9DCD"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$11,287,676</w:t>
            </w:r>
          </w:p>
        </w:tc>
        <w:tc>
          <w:tcPr>
            <w:tcW w:w="0" w:type="auto"/>
          </w:tcPr>
          <w:p w14:paraId="6D3EEE79" w14:textId="1EA58DFA"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$11,501,350</w:t>
            </w:r>
          </w:p>
        </w:tc>
        <w:tc>
          <w:tcPr>
            <w:tcW w:w="0" w:type="auto"/>
          </w:tcPr>
          <w:p w14:paraId="224F7672" w14:textId="504474C1"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$11,718,827</w:t>
            </w:r>
          </w:p>
        </w:tc>
        <w:tc>
          <w:tcPr>
            <w:tcW w:w="0" w:type="auto"/>
          </w:tcPr>
          <w:p w14:paraId="5D7FA8D6" w14:textId="6D3FEE25"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$11,933,547</w:t>
            </w:r>
          </w:p>
        </w:tc>
        <w:tc>
          <w:tcPr>
            <w:tcW w:w="0" w:type="auto"/>
          </w:tcPr>
          <w:p w14:paraId="057D0724" w14:textId="48A00012" w:rsidR="00681241" w:rsidRPr="00681241" w:rsidRDefault="00681241" w:rsidP="009873AB">
            <w:pPr>
              <w:autoSpaceDE w:val="0"/>
              <w:autoSpaceDN w:val="0"/>
              <w:adjustRightInd w:val="0"/>
              <w:jc w:val="center"/>
              <w:rPr>
                <w:rFonts w:eastAsia="Calibri" w:cs="Arial Narrow"/>
                <w:color w:val="000000"/>
                <w:sz w:val="20"/>
              </w:rPr>
            </w:pPr>
            <w:r w:rsidRPr="00681241">
              <w:rPr>
                <w:rFonts w:eastAsia="Calibri" w:cs="Arial Narrow"/>
                <w:color w:val="000000"/>
                <w:sz w:val="20"/>
              </w:rPr>
              <w:t>$12,147,221</w:t>
            </w:r>
          </w:p>
        </w:tc>
      </w:tr>
      <w:tr w:rsidR="00681241" w:rsidRPr="00681241" w14:paraId="6649CDE2" w14:textId="77777777" w:rsidTr="00530298">
        <w:trPr>
          <w:trHeight w:val="258"/>
        </w:trPr>
        <w:tc>
          <w:tcPr>
            <w:tcW w:w="0" w:type="auto"/>
          </w:tcPr>
          <w:p w14:paraId="77B9C352" w14:textId="29FFBCB8"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color w:val="000000"/>
                <w:sz w:val="20"/>
              </w:rPr>
              <w:t>Alternative i</w:t>
            </w:r>
            <w:r w:rsidR="009873AB">
              <w:rPr>
                <w:rFonts w:eastAsia="Calibri" w:cs="Arial Narrow"/>
                <w:color w:val="000000"/>
                <w:sz w:val="20"/>
              </w:rPr>
              <w:t>maging (CT/BS) MBS cost offsets</w:t>
            </w:r>
          </w:p>
        </w:tc>
        <w:tc>
          <w:tcPr>
            <w:tcW w:w="0" w:type="auto"/>
          </w:tcPr>
          <w:p w14:paraId="2C872A6F" w14:textId="3D2F8B7B" w:rsidR="00681241" w:rsidRPr="009873AB" w:rsidRDefault="00681241" w:rsidP="009873AB">
            <w:pPr>
              <w:autoSpaceDE w:val="0"/>
              <w:autoSpaceDN w:val="0"/>
              <w:adjustRightInd w:val="0"/>
              <w:ind w:left="-86" w:right="-85"/>
              <w:jc w:val="center"/>
              <w:rPr>
                <w:rFonts w:eastAsia="Calibri" w:cs="Arial Narrow"/>
                <w:color w:val="FF0000"/>
                <w:sz w:val="20"/>
              </w:rPr>
            </w:pPr>
            <w:r w:rsidRPr="009873AB">
              <w:rPr>
                <w:rFonts w:eastAsia="Calibri" w:cs="Arial Narrow"/>
                <w:color w:val="FF0000"/>
                <w:sz w:val="20"/>
              </w:rPr>
              <w:t>-$14,589,901</w:t>
            </w:r>
          </w:p>
        </w:tc>
        <w:tc>
          <w:tcPr>
            <w:tcW w:w="0" w:type="auto"/>
          </w:tcPr>
          <w:p w14:paraId="5873B1B9" w14:textId="6406B876" w:rsidR="00681241" w:rsidRPr="009873AB" w:rsidRDefault="00681241" w:rsidP="009873AB">
            <w:pPr>
              <w:autoSpaceDE w:val="0"/>
              <w:autoSpaceDN w:val="0"/>
              <w:adjustRightInd w:val="0"/>
              <w:ind w:left="-131" w:right="-40"/>
              <w:jc w:val="center"/>
              <w:rPr>
                <w:rFonts w:eastAsia="Calibri" w:cs="Arial Narrow"/>
                <w:color w:val="FF0000"/>
                <w:sz w:val="20"/>
              </w:rPr>
            </w:pPr>
            <w:r w:rsidRPr="009873AB">
              <w:rPr>
                <w:rFonts w:eastAsia="Calibri" w:cs="Arial Narrow"/>
                <w:color w:val="FF0000"/>
                <w:sz w:val="20"/>
              </w:rPr>
              <w:t>-$14,866,086</w:t>
            </w:r>
          </w:p>
        </w:tc>
        <w:tc>
          <w:tcPr>
            <w:tcW w:w="0" w:type="auto"/>
          </w:tcPr>
          <w:p w14:paraId="6975F865" w14:textId="70DF6B58" w:rsidR="00681241" w:rsidRPr="009873AB" w:rsidRDefault="00681241" w:rsidP="009873AB">
            <w:pPr>
              <w:autoSpaceDE w:val="0"/>
              <w:autoSpaceDN w:val="0"/>
              <w:adjustRightInd w:val="0"/>
              <w:ind w:left="-176" w:right="-136"/>
              <w:jc w:val="center"/>
              <w:rPr>
                <w:rFonts w:eastAsia="Calibri" w:cs="Arial Narrow"/>
                <w:color w:val="FF0000"/>
                <w:sz w:val="20"/>
              </w:rPr>
            </w:pPr>
            <w:r w:rsidRPr="009873AB">
              <w:rPr>
                <w:rFonts w:eastAsia="Calibri" w:cs="Arial Narrow"/>
                <w:color w:val="FF0000"/>
                <w:sz w:val="20"/>
              </w:rPr>
              <w:t>-$15,147,185</w:t>
            </w:r>
          </w:p>
        </w:tc>
        <w:tc>
          <w:tcPr>
            <w:tcW w:w="0" w:type="auto"/>
          </w:tcPr>
          <w:p w14:paraId="6DC733FF" w14:textId="4625FF10" w:rsidR="00681241" w:rsidRPr="009873AB" w:rsidRDefault="00681241" w:rsidP="009873AB">
            <w:pPr>
              <w:autoSpaceDE w:val="0"/>
              <w:autoSpaceDN w:val="0"/>
              <w:adjustRightInd w:val="0"/>
              <w:ind w:left="-80" w:right="-91"/>
              <w:jc w:val="center"/>
              <w:rPr>
                <w:rFonts w:eastAsia="Calibri" w:cs="Arial Narrow"/>
                <w:color w:val="FF0000"/>
                <w:sz w:val="20"/>
              </w:rPr>
            </w:pPr>
            <w:r w:rsidRPr="009873AB">
              <w:rPr>
                <w:rFonts w:eastAsia="Calibri" w:cs="Arial Narrow"/>
                <w:color w:val="FF0000"/>
                <w:sz w:val="20"/>
              </w:rPr>
              <w:t>-$15,424,722</w:t>
            </w:r>
          </w:p>
        </w:tc>
        <w:tc>
          <w:tcPr>
            <w:tcW w:w="0" w:type="auto"/>
          </w:tcPr>
          <w:p w14:paraId="0E22C0C4" w14:textId="3AB6D876" w:rsidR="00681241" w:rsidRPr="009873AB" w:rsidRDefault="00681241" w:rsidP="009873AB">
            <w:pPr>
              <w:autoSpaceDE w:val="0"/>
              <w:autoSpaceDN w:val="0"/>
              <w:adjustRightInd w:val="0"/>
              <w:ind w:left="-125" w:right="-46"/>
              <w:jc w:val="center"/>
              <w:rPr>
                <w:rFonts w:eastAsia="Calibri" w:cs="Arial Narrow"/>
                <w:color w:val="FF0000"/>
                <w:sz w:val="20"/>
              </w:rPr>
            </w:pPr>
            <w:r w:rsidRPr="009873AB">
              <w:rPr>
                <w:rFonts w:eastAsia="Calibri" w:cs="Arial Narrow"/>
                <w:color w:val="FF0000"/>
                <w:sz w:val="20"/>
              </w:rPr>
              <w:t>-$15,700,907</w:t>
            </w:r>
          </w:p>
        </w:tc>
      </w:tr>
      <w:tr w:rsidR="00681241" w:rsidRPr="00681241" w14:paraId="655D567D" w14:textId="77777777" w:rsidTr="00530298">
        <w:trPr>
          <w:trHeight w:val="146"/>
        </w:trPr>
        <w:tc>
          <w:tcPr>
            <w:tcW w:w="0" w:type="auto"/>
          </w:tcPr>
          <w:p w14:paraId="386C3729" w14:textId="5344E7B5" w:rsidR="00681241" w:rsidRPr="00681241" w:rsidRDefault="00681241" w:rsidP="00681241">
            <w:pPr>
              <w:autoSpaceDE w:val="0"/>
              <w:autoSpaceDN w:val="0"/>
              <w:adjustRightInd w:val="0"/>
              <w:rPr>
                <w:rFonts w:eastAsia="Calibri" w:cs="Arial Narrow"/>
                <w:color w:val="000000"/>
                <w:sz w:val="20"/>
              </w:rPr>
            </w:pPr>
            <w:r w:rsidRPr="00681241">
              <w:rPr>
                <w:rFonts w:eastAsia="Calibri" w:cs="Arial Narrow"/>
                <w:b/>
                <w:bCs/>
                <w:color w:val="000000"/>
                <w:sz w:val="20"/>
              </w:rPr>
              <w:t xml:space="preserve">Net </w:t>
            </w:r>
            <w:r w:rsidR="009873AB">
              <w:rPr>
                <w:rFonts w:eastAsia="Calibri" w:cs="Arial Narrow"/>
                <w:b/>
                <w:bCs/>
                <w:color w:val="000000"/>
                <w:sz w:val="20"/>
                <w:u w:val="single"/>
              </w:rPr>
              <w:t>s</w:t>
            </w:r>
            <w:r w:rsidRPr="009873AB">
              <w:rPr>
                <w:rFonts w:eastAsia="Calibri" w:cs="Arial Narrow"/>
                <w:b/>
                <w:bCs/>
                <w:color w:val="000000"/>
                <w:sz w:val="20"/>
                <w:u w:val="single"/>
              </w:rPr>
              <w:t>aving</w:t>
            </w:r>
            <w:r w:rsidR="009873AB">
              <w:rPr>
                <w:rFonts w:eastAsia="Calibri" w:cs="Arial Narrow"/>
                <w:b/>
                <w:bCs/>
                <w:color w:val="000000"/>
                <w:sz w:val="20"/>
              </w:rPr>
              <w:t xml:space="preserve"> to MBS of PET/CT imaging</w:t>
            </w:r>
          </w:p>
        </w:tc>
        <w:tc>
          <w:tcPr>
            <w:tcW w:w="0" w:type="auto"/>
          </w:tcPr>
          <w:p w14:paraId="2A8CF47D" w14:textId="139B03EE"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b/>
                <w:bCs/>
                <w:color w:val="FF0000"/>
                <w:sz w:val="20"/>
              </w:rPr>
              <w:t>$3,302,225</w:t>
            </w:r>
          </w:p>
        </w:tc>
        <w:tc>
          <w:tcPr>
            <w:tcW w:w="0" w:type="auto"/>
          </w:tcPr>
          <w:p w14:paraId="7C8C3C05" w14:textId="3CF28BDE"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b/>
                <w:bCs/>
                <w:color w:val="FF0000"/>
                <w:sz w:val="20"/>
              </w:rPr>
              <w:t>$3,364,736</w:t>
            </w:r>
          </w:p>
        </w:tc>
        <w:tc>
          <w:tcPr>
            <w:tcW w:w="0" w:type="auto"/>
          </w:tcPr>
          <w:p w14:paraId="2AE77923" w14:textId="3FEC8549"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b/>
                <w:bCs/>
                <w:color w:val="FF0000"/>
                <w:sz w:val="20"/>
              </w:rPr>
              <w:t>$3,428,359</w:t>
            </w:r>
          </w:p>
        </w:tc>
        <w:tc>
          <w:tcPr>
            <w:tcW w:w="0" w:type="auto"/>
          </w:tcPr>
          <w:p w14:paraId="0D1F0E28" w14:textId="6FC21FDA"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b/>
                <w:bCs/>
                <w:color w:val="FF0000"/>
                <w:sz w:val="20"/>
              </w:rPr>
              <w:t>$3,491,175</w:t>
            </w:r>
          </w:p>
        </w:tc>
        <w:tc>
          <w:tcPr>
            <w:tcW w:w="0" w:type="auto"/>
          </w:tcPr>
          <w:p w14:paraId="7B6ED138" w14:textId="054CE257" w:rsidR="00681241" w:rsidRPr="009873AB" w:rsidRDefault="00681241" w:rsidP="009873AB">
            <w:pPr>
              <w:autoSpaceDE w:val="0"/>
              <w:autoSpaceDN w:val="0"/>
              <w:adjustRightInd w:val="0"/>
              <w:jc w:val="center"/>
              <w:rPr>
                <w:rFonts w:eastAsia="Calibri" w:cs="Arial Narrow"/>
                <w:color w:val="FF0000"/>
                <w:sz w:val="20"/>
              </w:rPr>
            </w:pPr>
            <w:r w:rsidRPr="009873AB">
              <w:rPr>
                <w:rFonts w:eastAsia="Calibri" w:cs="Arial Narrow"/>
                <w:b/>
                <w:bCs/>
                <w:color w:val="FF0000"/>
                <w:sz w:val="20"/>
              </w:rPr>
              <w:t>$3,553,686</w:t>
            </w:r>
          </w:p>
        </w:tc>
      </w:tr>
    </w:tbl>
    <w:p w14:paraId="48CBF112" w14:textId="77777777" w:rsidR="00681241" w:rsidRPr="00681241" w:rsidRDefault="00681241" w:rsidP="00681241">
      <w:pPr>
        <w:pStyle w:val="Tablenotes"/>
        <w:rPr>
          <w:rFonts w:eastAsia="Calibri"/>
        </w:rPr>
      </w:pPr>
      <w:r w:rsidRPr="00681241">
        <w:rPr>
          <w:rFonts w:eastAsia="Calibri"/>
        </w:rPr>
        <w:t xml:space="preserve">CT = computed tomography; PET = positron emission tomography; MBS = Medicare Benefits Scheme </w:t>
      </w:r>
    </w:p>
    <w:p w14:paraId="25E9840D" w14:textId="2B7329DD" w:rsidR="00530298" w:rsidRDefault="00681241" w:rsidP="00530298">
      <w:pPr>
        <w:pStyle w:val="Tablenotes"/>
        <w:rPr>
          <w:rFonts w:eastAsia="Calibri"/>
        </w:rPr>
      </w:pPr>
      <w:r w:rsidRPr="00681241">
        <w:rPr>
          <w:rFonts w:eastAsia="Calibri"/>
        </w:rPr>
        <w:t>Note: rounding has been applied</w:t>
      </w:r>
      <w:r w:rsidR="00530298">
        <w:rPr>
          <w:rFonts w:eastAsia="Calibri"/>
        </w:rPr>
        <w:br w:type="page"/>
      </w:r>
    </w:p>
    <w:p w14:paraId="470C4A9C" w14:textId="77777777" w:rsidR="006A0D97" w:rsidRPr="00F715D1" w:rsidRDefault="006A0D97" w:rsidP="00394530">
      <w:pPr>
        <w:pStyle w:val="Heading1"/>
        <w:ind w:hanging="720"/>
      </w:pPr>
      <w:r w:rsidRPr="00F715D1">
        <w:lastRenderedPageBreak/>
        <w:t>Key issues from ESC for MSAC</w:t>
      </w:r>
    </w:p>
    <w:tbl>
      <w:tblPr>
        <w:tblStyle w:val="TableGrid"/>
        <w:tblW w:w="0" w:type="auto"/>
        <w:tblCellMar>
          <w:left w:w="28" w:type="dxa"/>
          <w:right w:w="28" w:type="dxa"/>
        </w:tblCellMar>
        <w:tblLook w:val="04A0" w:firstRow="1" w:lastRow="0" w:firstColumn="1" w:lastColumn="0" w:noHBand="0" w:noVBand="1"/>
        <w:tblCaption w:val="Table 9 Key issues from ESC to MSAC"/>
      </w:tblPr>
      <w:tblGrid>
        <w:gridCol w:w="3640"/>
        <w:gridCol w:w="5442"/>
      </w:tblGrid>
      <w:tr w:rsidR="0039501E" w:rsidRPr="006C06E9" w14:paraId="7DE166F7" w14:textId="77777777" w:rsidTr="0039501E">
        <w:trPr>
          <w:tblHeader/>
        </w:trPr>
        <w:tc>
          <w:tcPr>
            <w:tcW w:w="0" w:type="auto"/>
            <w:tcBorders>
              <w:top w:val="single" w:sz="4" w:space="0" w:color="auto"/>
              <w:left w:val="single" w:sz="4" w:space="0" w:color="auto"/>
              <w:bottom w:val="single" w:sz="4" w:space="0" w:color="auto"/>
              <w:right w:val="single" w:sz="4" w:space="0" w:color="auto"/>
            </w:tcBorders>
            <w:hideMark/>
          </w:tcPr>
          <w:p w14:paraId="66C95ACE" w14:textId="77777777" w:rsidR="0039501E" w:rsidRPr="006C06E9" w:rsidRDefault="0039501E" w:rsidP="006C06E9">
            <w:pPr>
              <w:pStyle w:val="TableText"/>
              <w:keepNext w:val="0"/>
              <w:widowControl w:val="0"/>
              <w:spacing w:line="240" w:lineRule="auto"/>
              <w:rPr>
                <w:rFonts w:ascii="Times New Roman" w:hAnsi="Times New Roman" w:cs="Times New Roman"/>
                <w:b/>
                <w:sz w:val="24"/>
                <w:szCs w:val="24"/>
              </w:rPr>
            </w:pPr>
            <w:r w:rsidRPr="006C06E9">
              <w:rPr>
                <w:rFonts w:ascii="Times New Roman" w:hAnsi="Times New Roman" w:cs="Times New Roman"/>
                <w:b/>
                <w:sz w:val="24"/>
                <w:szCs w:val="24"/>
              </w:rPr>
              <w:t>ESC key issue</w:t>
            </w:r>
          </w:p>
        </w:tc>
        <w:tc>
          <w:tcPr>
            <w:tcW w:w="0" w:type="auto"/>
            <w:tcBorders>
              <w:top w:val="single" w:sz="4" w:space="0" w:color="auto"/>
              <w:left w:val="single" w:sz="4" w:space="0" w:color="auto"/>
              <w:bottom w:val="single" w:sz="4" w:space="0" w:color="auto"/>
              <w:right w:val="single" w:sz="4" w:space="0" w:color="auto"/>
            </w:tcBorders>
            <w:hideMark/>
          </w:tcPr>
          <w:p w14:paraId="55AD8C04" w14:textId="77777777" w:rsidR="0039501E" w:rsidRPr="006C06E9" w:rsidRDefault="0039501E" w:rsidP="006C06E9">
            <w:pPr>
              <w:pStyle w:val="TableText"/>
              <w:keepNext w:val="0"/>
              <w:widowControl w:val="0"/>
              <w:spacing w:line="240" w:lineRule="auto"/>
              <w:rPr>
                <w:rFonts w:ascii="Times New Roman" w:hAnsi="Times New Roman" w:cs="Times New Roman"/>
                <w:b/>
                <w:sz w:val="24"/>
                <w:szCs w:val="24"/>
              </w:rPr>
            </w:pPr>
            <w:r w:rsidRPr="006C06E9">
              <w:rPr>
                <w:rFonts w:ascii="Times New Roman" w:hAnsi="Times New Roman" w:cs="Times New Roman"/>
                <w:b/>
                <w:sz w:val="24"/>
                <w:szCs w:val="24"/>
              </w:rPr>
              <w:t>ESC advice to MSAC</w:t>
            </w:r>
          </w:p>
        </w:tc>
      </w:tr>
      <w:tr w:rsidR="0039501E" w:rsidRPr="006C06E9" w14:paraId="2E23E450" w14:textId="77777777" w:rsidTr="0039501E">
        <w:tc>
          <w:tcPr>
            <w:tcW w:w="0" w:type="auto"/>
            <w:tcBorders>
              <w:top w:val="single" w:sz="4" w:space="0" w:color="auto"/>
              <w:left w:val="single" w:sz="4" w:space="0" w:color="auto"/>
              <w:bottom w:val="single" w:sz="4" w:space="0" w:color="auto"/>
              <w:right w:val="single" w:sz="4" w:space="0" w:color="auto"/>
            </w:tcBorders>
          </w:tcPr>
          <w:p w14:paraId="4B38190D"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Amendments to the descriptor to give better definitions of what constitutes standard prior imaging and equivocal prior diagnostic work-up; and to specify specialist referral was requested by MSAC</w:t>
            </w:r>
          </w:p>
        </w:tc>
        <w:tc>
          <w:tcPr>
            <w:tcW w:w="0" w:type="auto"/>
            <w:tcBorders>
              <w:top w:val="single" w:sz="4" w:space="0" w:color="auto"/>
              <w:left w:val="single" w:sz="4" w:space="0" w:color="auto"/>
              <w:bottom w:val="single" w:sz="4" w:space="0" w:color="auto"/>
              <w:right w:val="single" w:sz="4" w:space="0" w:color="auto"/>
            </w:tcBorders>
          </w:tcPr>
          <w:p w14:paraId="4225E35C"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The item descriptors have been amended to include the requirement for specialist referral, and equivocal results for recurrent disease in the descriptor for the use of PET/CT in recurrent and metastatic disease. The item descriptors and fees have also been amended to incorporate the use of CT in conjunction with PET.</w:t>
            </w:r>
          </w:p>
          <w:p w14:paraId="42901FE1"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Defining what constitutes prior standard imaging or equivocal prior diagnostic work-up is difficult because clinicians use a variety of different modalities, and the 2017 National Comprehensive Cancer Network guidelines for breast cancer use the same terminology.</w:t>
            </w:r>
          </w:p>
        </w:tc>
      </w:tr>
      <w:tr w:rsidR="0039501E" w:rsidRPr="006C06E9" w14:paraId="1589CD13" w14:textId="77777777" w:rsidTr="0039501E">
        <w:tc>
          <w:tcPr>
            <w:tcW w:w="0" w:type="auto"/>
            <w:tcBorders>
              <w:top w:val="single" w:sz="4" w:space="0" w:color="auto"/>
              <w:left w:val="single" w:sz="4" w:space="0" w:color="auto"/>
              <w:bottom w:val="single" w:sz="4" w:space="0" w:color="auto"/>
              <w:right w:val="single" w:sz="4" w:space="0" w:color="auto"/>
            </w:tcBorders>
          </w:tcPr>
          <w:p w14:paraId="31FAA848"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Amended decision tree to consider earlier use of PET/CT was requested by MSAC</w:t>
            </w:r>
          </w:p>
        </w:tc>
        <w:tc>
          <w:tcPr>
            <w:tcW w:w="0" w:type="auto"/>
            <w:tcBorders>
              <w:top w:val="single" w:sz="4" w:space="0" w:color="auto"/>
              <w:left w:val="single" w:sz="4" w:space="0" w:color="auto"/>
              <w:bottom w:val="single" w:sz="4" w:space="0" w:color="auto"/>
              <w:right w:val="single" w:sz="4" w:space="0" w:color="auto"/>
            </w:tcBorders>
          </w:tcPr>
          <w:p w14:paraId="7816961D"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Earlier use of PET/CT is difficult to clarify as some form of imaging will always be needed to establish the initial diagnosis of breast cancer and to stage local spread of disease. ‘Earlier’ might imply replacing conventional imaging with PET/CT as the initial staging modality. Uncertainty remains as to whether PET/CT is intended to be a replacement for conventional imaging or an ‘add-on’.</w:t>
            </w:r>
          </w:p>
        </w:tc>
      </w:tr>
      <w:tr w:rsidR="0039501E" w:rsidRPr="006C06E9" w14:paraId="7E817EEA" w14:textId="77777777" w:rsidTr="0039501E">
        <w:tc>
          <w:tcPr>
            <w:tcW w:w="0" w:type="auto"/>
            <w:tcBorders>
              <w:top w:val="single" w:sz="4" w:space="0" w:color="auto"/>
              <w:left w:val="single" w:sz="4" w:space="0" w:color="auto"/>
              <w:bottom w:val="single" w:sz="4" w:space="0" w:color="auto"/>
              <w:right w:val="single" w:sz="4" w:space="0" w:color="auto"/>
            </w:tcBorders>
          </w:tcPr>
          <w:p w14:paraId="628D132A"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Any evidence for a consequential change in clinical management and patient outcomes was requested by MSAC</w:t>
            </w:r>
          </w:p>
        </w:tc>
        <w:tc>
          <w:tcPr>
            <w:tcW w:w="0" w:type="auto"/>
            <w:tcBorders>
              <w:top w:val="single" w:sz="4" w:space="0" w:color="auto"/>
              <w:left w:val="single" w:sz="4" w:space="0" w:color="auto"/>
              <w:bottom w:val="single" w:sz="4" w:space="0" w:color="auto"/>
              <w:right w:val="single" w:sz="4" w:space="0" w:color="auto"/>
            </w:tcBorders>
          </w:tcPr>
          <w:p w14:paraId="5925141D"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Further evidence of change in patient management is provided in the resubmission and included in the linked evidence approach.</w:t>
            </w:r>
          </w:p>
        </w:tc>
      </w:tr>
      <w:tr w:rsidR="0039501E" w:rsidRPr="006C06E9" w14:paraId="7C4B4296" w14:textId="77777777" w:rsidTr="0039501E">
        <w:tc>
          <w:tcPr>
            <w:tcW w:w="0" w:type="auto"/>
            <w:tcBorders>
              <w:top w:val="single" w:sz="4" w:space="0" w:color="auto"/>
              <w:left w:val="single" w:sz="4" w:space="0" w:color="auto"/>
              <w:bottom w:val="single" w:sz="4" w:space="0" w:color="auto"/>
              <w:right w:val="single" w:sz="4" w:space="0" w:color="auto"/>
            </w:tcBorders>
          </w:tcPr>
          <w:p w14:paraId="48EEC3CE"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A cost-consequence analysis was requested by MSAC</w:t>
            </w:r>
          </w:p>
        </w:tc>
        <w:tc>
          <w:tcPr>
            <w:tcW w:w="0" w:type="auto"/>
            <w:tcBorders>
              <w:top w:val="single" w:sz="4" w:space="0" w:color="auto"/>
              <w:left w:val="single" w:sz="4" w:space="0" w:color="auto"/>
              <w:bottom w:val="single" w:sz="4" w:space="0" w:color="auto"/>
              <w:right w:val="single" w:sz="4" w:space="0" w:color="auto"/>
            </w:tcBorders>
          </w:tcPr>
          <w:p w14:paraId="0ADA85CA" w14:textId="4D73FF08" w:rsidR="0039501E" w:rsidRPr="006C06E9" w:rsidRDefault="0039501E" w:rsidP="00F24106">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 xml:space="preserve">A cost-utility analysis comparing PET imaging with confirmatory standard imaging was provided instead of a cost-consequence analysis. An HTA group </w:t>
            </w:r>
            <w:r w:rsidR="00F24106">
              <w:rPr>
                <w:rFonts w:ascii="Times New Roman" w:hAnsi="Times New Roman" w:cs="Times New Roman"/>
                <w:sz w:val="24"/>
                <w:szCs w:val="24"/>
              </w:rPr>
              <w:t>was</w:t>
            </w:r>
            <w:r w:rsidRPr="006C06E9">
              <w:rPr>
                <w:rFonts w:ascii="Times New Roman" w:hAnsi="Times New Roman" w:cs="Times New Roman"/>
                <w:sz w:val="24"/>
                <w:szCs w:val="24"/>
              </w:rPr>
              <w:t xml:space="preserve"> requested to undertake a cost-consequence analysis to give more certainty about the costs resulting from change in management.</w:t>
            </w:r>
          </w:p>
        </w:tc>
      </w:tr>
      <w:tr w:rsidR="0039501E" w:rsidRPr="006C06E9" w14:paraId="05C6092E" w14:textId="77777777" w:rsidTr="0039501E">
        <w:tc>
          <w:tcPr>
            <w:tcW w:w="0" w:type="auto"/>
            <w:tcBorders>
              <w:top w:val="single" w:sz="4" w:space="0" w:color="auto"/>
              <w:left w:val="single" w:sz="4" w:space="0" w:color="auto"/>
              <w:bottom w:val="single" w:sz="4" w:space="0" w:color="auto"/>
              <w:right w:val="single" w:sz="4" w:space="0" w:color="auto"/>
            </w:tcBorders>
          </w:tcPr>
          <w:p w14:paraId="6E467B23"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A longer time horizon in the economic evaluation was requested by MSAC</w:t>
            </w:r>
          </w:p>
        </w:tc>
        <w:tc>
          <w:tcPr>
            <w:tcW w:w="0" w:type="auto"/>
            <w:tcBorders>
              <w:top w:val="single" w:sz="4" w:space="0" w:color="auto"/>
              <w:left w:val="single" w:sz="4" w:space="0" w:color="auto"/>
              <w:bottom w:val="single" w:sz="4" w:space="0" w:color="auto"/>
              <w:right w:val="single" w:sz="4" w:space="0" w:color="auto"/>
            </w:tcBorders>
          </w:tcPr>
          <w:p w14:paraId="20EED74B"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The time horizon of the base case cost-utility analysis has been extended to 10 years.</w:t>
            </w:r>
          </w:p>
        </w:tc>
      </w:tr>
      <w:tr w:rsidR="0039501E" w:rsidRPr="006C06E9" w14:paraId="118C5753" w14:textId="77777777" w:rsidTr="0039501E">
        <w:tc>
          <w:tcPr>
            <w:tcW w:w="0" w:type="auto"/>
          </w:tcPr>
          <w:p w14:paraId="195ACE47" w14:textId="7777777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Approach in the contracted assessment for developing the economic model</w:t>
            </w:r>
          </w:p>
        </w:tc>
        <w:tc>
          <w:tcPr>
            <w:tcW w:w="0" w:type="auto"/>
          </w:tcPr>
          <w:p w14:paraId="4BA845D8" w14:textId="793596C7" w:rsidR="0039501E" w:rsidRPr="006C06E9" w:rsidRDefault="0039501E" w:rsidP="006C06E9">
            <w:pPr>
              <w:pStyle w:val="TableText"/>
              <w:keepNext w:val="0"/>
              <w:widowControl w:val="0"/>
              <w:spacing w:line="240" w:lineRule="auto"/>
              <w:rPr>
                <w:rFonts w:ascii="Times New Roman" w:hAnsi="Times New Roman" w:cs="Times New Roman"/>
                <w:sz w:val="24"/>
                <w:szCs w:val="24"/>
              </w:rPr>
            </w:pPr>
            <w:r w:rsidRPr="006C06E9">
              <w:rPr>
                <w:rFonts w:ascii="Times New Roman" w:hAnsi="Times New Roman" w:cs="Times New Roman"/>
                <w:sz w:val="24"/>
                <w:szCs w:val="24"/>
              </w:rPr>
              <w:t xml:space="preserve">The model in the contracted assessment, which partially relied on an assumption of $50,000/QALY and working backwards to obtain implied effectiveness of treatment, cannot be relied on directly. The revised cost-utility analysis from the Critique corrected a number of errors in the contracted model, but it too maintained the approach of starting from an assumption of $50,000 per QALY to estimate effectiveness of treatment. Additional work is being undertaken by the HTA group who </w:t>
            </w:r>
            <w:r w:rsidR="00F24106">
              <w:rPr>
                <w:rFonts w:ascii="Times New Roman" w:hAnsi="Times New Roman" w:cs="Times New Roman"/>
                <w:sz w:val="24"/>
                <w:szCs w:val="24"/>
              </w:rPr>
              <w:t>undertook the Critique.</w:t>
            </w:r>
          </w:p>
        </w:tc>
      </w:tr>
    </w:tbl>
    <w:p w14:paraId="1D0BA664" w14:textId="5AF6113D" w:rsidR="00530298" w:rsidRDefault="00530298">
      <w:pPr>
        <w:rPr>
          <w:rFonts w:cs="Arial"/>
          <w:b/>
          <w:bCs/>
          <w:iCs/>
          <w:szCs w:val="24"/>
          <w:u w:val="single"/>
        </w:rPr>
      </w:pPr>
      <w:r>
        <w:rPr>
          <w:rFonts w:cs="Arial"/>
          <w:b/>
          <w:bCs/>
          <w:iCs/>
          <w:szCs w:val="24"/>
          <w:u w:val="single"/>
        </w:rPr>
        <w:br w:type="page"/>
      </w:r>
    </w:p>
    <w:p w14:paraId="7979C874" w14:textId="439A99D0" w:rsidR="0039501E" w:rsidRPr="00A853D7" w:rsidRDefault="0039501E" w:rsidP="00A853D7">
      <w:pPr>
        <w:keepNext/>
        <w:spacing w:before="240"/>
        <w:outlineLvl w:val="1"/>
        <w:rPr>
          <w:rFonts w:cs="Arial"/>
          <w:b/>
          <w:bCs/>
          <w:iCs/>
          <w:szCs w:val="24"/>
          <w:u w:val="single"/>
        </w:rPr>
      </w:pPr>
      <w:r>
        <w:rPr>
          <w:rFonts w:cs="Arial"/>
          <w:b/>
          <w:bCs/>
          <w:iCs/>
          <w:szCs w:val="24"/>
          <w:u w:val="single"/>
        </w:rPr>
        <w:lastRenderedPageBreak/>
        <w:t>E</w:t>
      </w:r>
      <w:r w:rsidRPr="00F96427">
        <w:rPr>
          <w:rFonts w:cs="Arial"/>
          <w:b/>
          <w:bCs/>
          <w:iCs/>
          <w:szCs w:val="24"/>
          <w:u w:val="single"/>
        </w:rPr>
        <w:t xml:space="preserve">SC </w:t>
      </w:r>
      <w:r w:rsidR="003D5CBA">
        <w:rPr>
          <w:rFonts w:cs="Arial"/>
          <w:b/>
          <w:bCs/>
          <w:iCs/>
          <w:szCs w:val="24"/>
          <w:u w:val="single"/>
        </w:rPr>
        <w:t>d</w:t>
      </w:r>
      <w:r w:rsidRPr="00F96427">
        <w:rPr>
          <w:rFonts w:cs="Arial"/>
          <w:b/>
          <w:bCs/>
          <w:iCs/>
          <w:szCs w:val="24"/>
          <w:u w:val="single"/>
        </w:rPr>
        <w:t>iscussion</w:t>
      </w:r>
    </w:p>
    <w:p w14:paraId="76384345" w14:textId="33CD6DCB" w:rsidR="0039501E" w:rsidRDefault="0039501E" w:rsidP="00530298">
      <w:pPr>
        <w:spacing w:before="240" w:after="240"/>
      </w:pPr>
      <w:r>
        <w:t xml:space="preserve">ESC noted that Application 1357.1 is a resubmission </w:t>
      </w:r>
      <w:r w:rsidRPr="00B11078">
        <w:t xml:space="preserve">that proposes MBS listing of </w:t>
      </w:r>
      <w:r w:rsidR="009E6728">
        <w:t>FDG</w:t>
      </w:r>
      <w:r w:rsidRPr="00B11078">
        <w:t xml:space="preserve"> PET for the evaluation of breast cancer</w:t>
      </w:r>
      <w:r>
        <w:t xml:space="preserve">. MSAC did not support funding at that time due to </w:t>
      </w:r>
      <w:r w:rsidRPr="00A313F1">
        <w:t xml:space="preserve">uncertain clinical effectiveness, cost effectiveness and financial impact </w:t>
      </w:r>
      <w:r>
        <w:t xml:space="preserve">caused by </w:t>
      </w:r>
      <w:r w:rsidRPr="00A313F1">
        <w:t>weak comparative data, and no translation of imaging performance to improved health outcomes.</w:t>
      </w:r>
    </w:p>
    <w:p w14:paraId="3E9027E3" w14:textId="6E2C9CE4" w:rsidR="0039501E" w:rsidRDefault="0039501E" w:rsidP="00A853D7">
      <w:pPr>
        <w:spacing w:after="240"/>
      </w:pPr>
      <w:r>
        <w:t>ESC noted that FDG-PET imaging is already listed on the MBS for a number of other cancers including lung, colorectal, ovarian and cervical cancers, and melanoma. ESC noted that there is very high public demand for public funding of PET/CT scanning for breast cancer and that the current resubmission is supported by Breast Cancer Network Australia, Cancer Voices Australia, and the Royal Australian and New Z</w:t>
      </w:r>
      <w:r w:rsidR="00F24106">
        <w:t>ealand College of Radiologists.</w:t>
      </w:r>
    </w:p>
    <w:p w14:paraId="11A00E75" w14:textId="6814A6F5" w:rsidR="0039501E" w:rsidRDefault="0039501E" w:rsidP="00A853D7">
      <w:pPr>
        <w:spacing w:after="240"/>
      </w:pPr>
      <w:r>
        <w:t>ESC noted that over 18,000 new cases of breast cancer are diagnosed each year, and approximately 25–30% of patients will develop recurrent or metastatic disease. Although the five-year cure rate is now around 80%, the relative survival rate decreases to 55% in patients with locally advanced tumours and 18% in patients with metastatic disease.</w:t>
      </w:r>
      <w:r w:rsidRPr="009D773D">
        <w:t xml:space="preserve"> </w:t>
      </w:r>
      <w:r>
        <w:t>For patients with large tumours, the risk of distant metastasis is 8.3–15%. Precise knowledge of the extent of disease is therefore essential to allow adequate management and prognostic stratification in patients newl</w:t>
      </w:r>
      <w:r w:rsidR="00F24106">
        <w:t>y diagnosed with breast cancer.</w:t>
      </w:r>
    </w:p>
    <w:p w14:paraId="6383CC47" w14:textId="7C805263" w:rsidR="0039501E" w:rsidRDefault="0039501E" w:rsidP="00A853D7">
      <w:pPr>
        <w:spacing w:after="240"/>
      </w:pPr>
      <w:r>
        <w:t>ESC noted that all PET equipment sold in Australia is for PET combined with computed tomography (CT) imaging (PET/CT); PET/CT is the current clinical standard. The application proposes a role for PET/CT</w:t>
      </w:r>
      <w:r w:rsidRPr="008375D5">
        <w:t xml:space="preserve"> </w:t>
      </w:r>
      <w:r>
        <w:t>in breast cancer</w:t>
      </w:r>
      <w:r w:rsidRPr="008375D5">
        <w:t xml:space="preserve"> patients </w:t>
      </w:r>
      <w:r>
        <w:t>with</w:t>
      </w:r>
      <w:r w:rsidRPr="008375D5">
        <w:t xml:space="preserve"> locally advanced </w:t>
      </w:r>
      <w:r>
        <w:t>breast cancer (LABC)</w:t>
      </w:r>
      <w:r w:rsidRPr="008375D5">
        <w:t xml:space="preserve"> where other imaging does not provide sufficient information to determine appropriate treatment</w:t>
      </w:r>
      <w:r>
        <w:t>,</w:t>
      </w:r>
      <w:r w:rsidRPr="008375D5">
        <w:t xml:space="preserve"> and in patients </w:t>
      </w:r>
      <w:r>
        <w:t>with suspected</w:t>
      </w:r>
      <w:r w:rsidRPr="008375D5">
        <w:t xml:space="preserve"> recurrent or metastatic disease for whom active therapy is likely to be pursued.</w:t>
      </w:r>
    </w:p>
    <w:p w14:paraId="16F323C1" w14:textId="45E3DC42" w:rsidR="0039501E" w:rsidRDefault="0039501E" w:rsidP="00A853D7">
      <w:pPr>
        <w:spacing w:after="240"/>
      </w:pPr>
      <w:r>
        <w:t xml:space="preserve">ESC </w:t>
      </w:r>
      <w:r w:rsidR="00F24106">
        <w:t xml:space="preserve">suggested </w:t>
      </w:r>
      <w:r>
        <w:t>amendments to the MBS item descriptors to include the requirement for specialist referral during evaluation, and equivocal results for recurrent disease in the descriptor for recurrent and metastatic disease. Proposed item descriptors have also been amended to incorporate use of CT in conjunction with PET.</w:t>
      </w:r>
    </w:p>
    <w:p w14:paraId="08AF61C2" w14:textId="099CB9D1" w:rsidR="0039501E" w:rsidRPr="008F1FE7" w:rsidRDefault="00EC5A23" w:rsidP="0039501E">
      <w:pPr>
        <w:keepNext/>
        <w:rPr>
          <w:rFonts w:ascii="Arial Narrow" w:hAnsi="Arial Narrow"/>
          <w:b/>
          <w:bCs/>
          <w:szCs w:val="24"/>
        </w:rPr>
      </w:pPr>
      <w:r>
        <w:rPr>
          <w:rFonts w:ascii="Arial Narrow" w:hAnsi="Arial Narrow"/>
          <w:b/>
          <w:bCs/>
          <w:szCs w:val="24"/>
        </w:rPr>
        <w:t>ESC-p</w:t>
      </w:r>
      <w:r w:rsidR="0039501E" w:rsidRPr="008F1FE7">
        <w:rPr>
          <w:rFonts w:ascii="Arial Narrow" w:hAnsi="Arial Narrow"/>
          <w:b/>
          <w:bCs/>
          <w:szCs w:val="24"/>
        </w:rPr>
        <w:t>roposed MBS item descriptor for PET/CT for proven LABC</w:t>
      </w:r>
    </w:p>
    <w:tbl>
      <w:tblPr>
        <w:tblStyle w:val="TableGrid1"/>
        <w:tblW w:w="5000" w:type="pct"/>
        <w:tblLook w:val="04A0" w:firstRow="1" w:lastRow="0" w:firstColumn="1" w:lastColumn="0" w:noHBand="0" w:noVBand="1"/>
        <w:tblCaption w:val="Proposed MBS item descriptor for 18F-FDG PET for proven locally advanced breast cancer"/>
      </w:tblPr>
      <w:tblGrid>
        <w:gridCol w:w="9242"/>
      </w:tblGrid>
      <w:tr w:rsidR="0039501E" w:rsidRPr="008F1FE7" w14:paraId="5711A624" w14:textId="77777777" w:rsidTr="00530298">
        <w:trPr>
          <w:cnfStyle w:val="100000000000" w:firstRow="1" w:lastRow="0" w:firstColumn="0" w:lastColumn="0" w:oddVBand="0" w:evenVBand="0" w:oddHBand="0" w:evenHBand="0" w:firstRowFirstColumn="0" w:firstRowLastColumn="0" w:lastRowFirstColumn="0" w:lastRowLastColumn="0"/>
          <w:trHeight w:val="139"/>
        </w:trPr>
        <w:tc>
          <w:tcPr>
            <w:tcW w:w="5000" w:type="pct"/>
            <w:hideMark/>
          </w:tcPr>
          <w:p w14:paraId="4B45FD42" w14:textId="1A48CAC6" w:rsidR="0039501E" w:rsidRPr="008F1FE7" w:rsidRDefault="0039501E" w:rsidP="00EC5A23">
            <w:pPr>
              <w:jc w:val="right"/>
              <w:rPr>
                <w:b w:val="0"/>
                <w:szCs w:val="24"/>
              </w:rPr>
            </w:pPr>
            <w:r w:rsidRPr="008F1FE7">
              <w:rPr>
                <w:szCs w:val="24"/>
              </w:rPr>
              <w:t>Categor</w:t>
            </w:r>
            <w:r w:rsidR="00EC5A23">
              <w:rPr>
                <w:szCs w:val="24"/>
              </w:rPr>
              <w:t>y 5—DIAGNOSTIC IMAGING SERVICES</w:t>
            </w:r>
          </w:p>
        </w:tc>
      </w:tr>
      <w:tr w:rsidR="0039501E" w:rsidRPr="008F1FE7" w14:paraId="6ED40401" w14:textId="77777777" w:rsidTr="00530298">
        <w:trPr>
          <w:trHeight w:val="334"/>
        </w:trPr>
        <w:tc>
          <w:tcPr>
            <w:tcW w:w="5000" w:type="pct"/>
            <w:hideMark/>
          </w:tcPr>
          <w:p w14:paraId="5B1F92C3" w14:textId="77777777" w:rsidR="0039501E" w:rsidRPr="008F1FE7" w:rsidRDefault="0039501E" w:rsidP="00D2603F">
            <w:pPr>
              <w:rPr>
                <w:b/>
                <w:szCs w:val="24"/>
              </w:rPr>
            </w:pPr>
            <w:r w:rsidRPr="008F1FE7">
              <w:rPr>
                <w:b/>
                <w:szCs w:val="24"/>
              </w:rPr>
              <w:t>MBS [item number]</w:t>
            </w:r>
          </w:p>
          <w:p w14:paraId="654E1AF4" w14:textId="6A4A41FB" w:rsidR="0039501E" w:rsidRPr="008F1FE7" w:rsidRDefault="0039501E" w:rsidP="00D2603F">
            <w:pPr>
              <w:rPr>
                <w:szCs w:val="24"/>
              </w:rPr>
            </w:pPr>
            <w:r w:rsidRPr="008F1FE7">
              <w:rPr>
                <w:szCs w:val="24"/>
              </w:rPr>
              <w:t xml:space="preserve">Whole body </w:t>
            </w:r>
            <w:r w:rsidRPr="00F24106">
              <w:rPr>
                <w:szCs w:val="24"/>
                <w:vertAlign w:val="superscript"/>
              </w:rPr>
              <w:t>18</w:t>
            </w:r>
            <w:r w:rsidRPr="008F1FE7">
              <w:rPr>
                <w:szCs w:val="24"/>
              </w:rPr>
              <w:t>F-FDG PET</w:t>
            </w:r>
            <w:r w:rsidRPr="008F1FE7">
              <w:rPr>
                <w:color w:val="FF0000"/>
                <w:szCs w:val="24"/>
              </w:rPr>
              <w:t>/CT</w:t>
            </w:r>
            <w:r w:rsidRPr="008F1FE7">
              <w:rPr>
                <w:szCs w:val="24"/>
              </w:rPr>
              <w:t xml:space="preserve"> study, </w:t>
            </w:r>
            <w:r w:rsidRPr="008F1FE7">
              <w:rPr>
                <w:color w:val="FF0000"/>
                <w:szCs w:val="24"/>
              </w:rPr>
              <w:t xml:space="preserve">where the patient is referred by a specialist, </w:t>
            </w:r>
            <w:r w:rsidRPr="008F1FE7">
              <w:rPr>
                <w:szCs w:val="24"/>
              </w:rPr>
              <w:t>performed for the staging of locally advanced (Stage III) breast cancer in a patient considered potentially suitable for active therapy, where prior investigations have provided either equivocal results or findings sus</w:t>
            </w:r>
            <w:r w:rsidR="00F24106">
              <w:rPr>
                <w:szCs w:val="24"/>
              </w:rPr>
              <w:t>picious for metastatic disease.</w:t>
            </w:r>
          </w:p>
          <w:p w14:paraId="006CF3DD" w14:textId="439217F9" w:rsidR="0039501E" w:rsidRPr="008F1FE7" w:rsidRDefault="00F24106" w:rsidP="00F24106">
            <w:pPr>
              <w:rPr>
                <w:szCs w:val="24"/>
              </w:rPr>
            </w:pPr>
            <w:r w:rsidRPr="00F24106">
              <w:rPr>
                <w:szCs w:val="24"/>
              </w:rPr>
              <w:t>Fee: $953.00 Benefit: 75% = $714.75 85% = $871.30</w:t>
            </w:r>
          </w:p>
        </w:tc>
      </w:tr>
    </w:tbl>
    <w:p w14:paraId="66F06CE1" w14:textId="56AE8B37" w:rsidR="0039501E" w:rsidRPr="008F1FE7" w:rsidRDefault="00EC5A23" w:rsidP="00A853D7">
      <w:pPr>
        <w:spacing w:before="240"/>
        <w:rPr>
          <w:rFonts w:ascii="Arial Narrow" w:hAnsi="Arial Narrow"/>
          <w:b/>
          <w:bCs/>
          <w:szCs w:val="24"/>
        </w:rPr>
      </w:pPr>
      <w:r>
        <w:rPr>
          <w:rFonts w:ascii="Arial Narrow" w:hAnsi="Arial Narrow"/>
          <w:b/>
          <w:bCs/>
          <w:szCs w:val="24"/>
        </w:rPr>
        <w:t>ESC-p</w:t>
      </w:r>
      <w:r w:rsidR="0039501E" w:rsidRPr="008F1FE7">
        <w:rPr>
          <w:rFonts w:ascii="Arial Narrow" w:hAnsi="Arial Narrow"/>
          <w:b/>
          <w:bCs/>
          <w:szCs w:val="24"/>
        </w:rPr>
        <w:t>roposed MBS item descriptor for PET/CT for suspected locally or regionally recurrent or suspected metastatic breast cancer</w:t>
      </w:r>
    </w:p>
    <w:tbl>
      <w:tblPr>
        <w:tblStyle w:val="TableGrid1"/>
        <w:tblW w:w="5000" w:type="pct"/>
        <w:tblLook w:val="04A0" w:firstRow="1" w:lastRow="0" w:firstColumn="1" w:lastColumn="0" w:noHBand="0" w:noVBand="1"/>
        <w:tblCaption w:val="Proposed MBS item descriptor for 18F-FDG PET for suspected locally or regionally recurrent or suspected metastatic breast cancer"/>
      </w:tblPr>
      <w:tblGrid>
        <w:gridCol w:w="9242"/>
      </w:tblGrid>
      <w:tr w:rsidR="0039501E" w:rsidRPr="008F1FE7" w14:paraId="4BEC0EBD" w14:textId="77777777" w:rsidTr="00530298">
        <w:trPr>
          <w:cnfStyle w:val="100000000000" w:firstRow="1" w:lastRow="0" w:firstColumn="0" w:lastColumn="0" w:oddVBand="0" w:evenVBand="0" w:oddHBand="0" w:evenHBand="0" w:firstRowFirstColumn="0" w:firstRowLastColumn="0" w:lastRowFirstColumn="0" w:lastRowLastColumn="0"/>
          <w:trHeight w:val="139"/>
        </w:trPr>
        <w:tc>
          <w:tcPr>
            <w:tcW w:w="5000" w:type="pct"/>
            <w:hideMark/>
          </w:tcPr>
          <w:p w14:paraId="308DD333" w14:textId="7597D99B" w:rsidR="0039501E" w:rsidRPr="008F1FE7" w:rsidRDefault="0039501E" w:rsidP="00EC5A23">
            <w:pPr>
              <w:jc w:val="right"/>
              <w:rPr>
                <w:b w:val="0"/>
                <w:szCs w:val="24"/>
              </w:rPr>
            </w:pPr>
            <w:r w:rsidRPr="008F1FE7">
              <w:rPr>
                <w:szCs w:val="24"/>
              </w:rPr>
              <w:t>Category 5—DIAGNOSTIC IMAGING SERVICES</w:t>
            </w:r>
          </w:p>
        </w:tc>
      </w:tr>
      <w:tr w:rsidR="0039501E" w:rsidRPr="008F1FE7" w14:paraId="78299100" w14:textId="77777777" w:rsidTr="00530298">
        <w:trPr>
          <w:trHeight w:val="274"/>
        </w:trPr>
        <w:tc>
          <w:tcPr>
            <w:tcW w:w="5000" w:type="pct"/>
            <w:hideMark/>
          </w:tcPr>
          <w:p w14:paraId="39FE3FE1" w14:textId="77777777" w:rsidR="0039501E" w:rsidRPr="008F1FE7" w:rsidRDefault="0039501E" w:rsidP="00D2603F">
            <w:pPr>
              <w:rPr>
                <w:b/>
                <w:szCs w:val="24"/>
              </w:rPr>
            </w:pPr>
            <w:r w:rsidRPr="008F1FE7">
              <w:rPr>
                <w:b/>
                <w:szCs w:val="24"/>
              </w:rPr>
              <w:t>MBS [item number]</w:t>
            </w:r>
          </w:p>
          <w:p w14:paraId="69E55EB2" w14:textId="43564DD0" w:rsidR="0039501E" w:rsidRPr="008F1FE7" w:rsidRDefault="0039501E" w:rsidP="00D2603F">
            <w:pPr>
              <w:rPr>
                <w:szCs w:val="24"/>
              </w:rPr>
            </w:pPr>
            <w:r w:rsidRPr="008F1FE7">
              <w:rPr>
                <w:szCs w:val="24"/>
              </w:rPr>
              <w:t xml:space="preserve">Whole body </w:t>
            </w:r>
            <w:r w:rsidRPr="00F24106">
              <w:rPr>
                <w:szCs w:val="24"/>
                <w:vertAlign w:val="superscript"/>
              </w:rPr>
              <w:t>18</w:t>
            </w:r>
            <w:r w:rsidRPr="008F1FE7">
              <w:rPr>
                <w:szCs w:val="24"/>
              </w:rPr>
              <w:t>F-FDG PET</w:t>
            </w:r>
            <w:r w:rsidRPr="008F1FE7">
              <w:rPr>
                <w:color w:val="FF0000"/>
                <w:szCs w:val="24"/>
              </w:rPr>
              <w:t>/CT</w:t>
            </w:r>
            <w:r w:rsidRPr="008F1FE7">
              <w:rPr>
                <w:szCs w:val="24"/>
              </w:rPr>
              <w:t xml:space="preserve"> study, </w:t>
            </w:r>
            <w:r w:rsidRPr="008F1FE7">
              <w:rPr>
                <w:color w:val="FF0000"/>
                <w:szCs w:val="24"/>
              </w:rPr>
              <w:t xml:space="preserve">where the patient is referred by a specialist, </w:t>
            </w:r>
            <w:r w:rsidRPr="008F1FE7">
              <w:rPr>
                <w:szCs w:val="24"/>
              </w:rPr>
              <w:t xml:space="preserve">performed for the evaluation of suspected metastatic or suspected locally or regionally recurrent breast carcinoma in a patient considered suitable for active therapy, where prior investigations have provided either equivocal results or findings suspicious for </w:t>
            </w:r>
            <w:r w:rsidRPr="008F1FE7">
              <w:rPr>
                <w:color w:val="FF0000"/>
                <w:szCs w:val="24"/>
              </w:rPr>
              <w:t xml:space="preserve">recurrent or </w:t>
            </w:r>
            <w:r w:rsidR="00F24106">
              <w:rPr>
                <w:szCs w:val="24"/>
              </w:rPr>
              <w:t>metastatic disease.</w:t>
            </w:r>
          </w:p>
          <w:p w14:paraId="1F6EC934" w14:textId="5A462726" w:rsidR="0039501E" w:rsidRPr="008F1FE7" w:rsidRDefault="00F24106" w:rsidP="00F24106">
            <w:pPr>
              <w:rPr>
                <w:szCs w:val="24"/>
              </w:rPr>
            </w:pPr>
            <w:r w:rsidRPr="00F24106">
              <w:rPr>
                <w:szCs w:val="24"/>
              </w:rPr>
              <w:t>Fee: $953.00 Benefit: 75% = $714.75 85% = $871.30</w:t>
            </w:r>
          </w:p>
        </w:tc>
      </w:tr>
    </w:tbl>
    <w:p w14:paraId="2459416B" w14:textId="7EE45D1A" w:rsidR="0039501E" w:rsidRDefault="0039501E" w:rsidP="00A853D7">
      <w:pPr>
        <w:spacing w:before="240" w:after="240"/>
      </w:pPr>
      <w:r>
        <w:lastRenderedPageBreak/>
        <w:t>ESC noted that defining</w:t>
      </w:r>
      <w:r w:rsidRPr="001946C4">
        <w:t xml:space="preserve"> what constitutes </w:t>
      </w:r>
      <w:r>
        <w:t>‘</w:t>
      </w:r>
      <w:r w:rsidRPr="001946C4">
        <w:t>standard prior imaging</w:t>
      </w:r>
      <w:r>
        <w:t>’</w:t>
      </w:r>
      <w:r w:rsidRPr="001946C4">
        <w:t xml:space="preserve"> or </w:t>
      </w:r>
      <w:r>
        <w:t>‘</w:t>
      </w:r>
      <w:r w:rsidRPr="001946C4">
        <w:t>equivocal prior diagnostic work-up</w:t>
      </w:r>
      <w:r>
        <w:t>’</w:t>
      </w:r>
      <w:r w:rsidRPr="001946C4">
        <w:t xml:space="preserve"> is difficult as clinicians use a variety of different modalities, and the 2017 </w:t>
      </w:r>
      <w:r>
        <w:t>National Comprehensive Cancer Network (</w:t>
      </w:r>
      <w:r w:rsidRPr="001946C4">
        <w:t>NCCN</w:t>
      </w:r>
      <w:r>
        <w:t>)</w:t>
      </w:r>
      <w:r w:rsidRPr="001946C4">
        <w:t xml:space="preserve"> guidelines for breast cancer use the same terminology.</w:t>
      </w:r>
      <w:r>
        <w:t xml:space="preserve"> ESC noted that, for existing MBS items for PET for other cancers, there is no stipulation requiring that prior investigations have either equivocal results or findings suspicious for metastatic disease.</w:t>
      </w:r>
    </w:p>
    <w:p w14:paraId="272195E5" w14:textId="530D3CC0" w:rsidR="0039501E" w:rsidRDefault="0039501E" w:rsidP="00A853D7">
      <w:pPr>
        <w:spacing w:after="240"/>
      </w:pPr>
      <w:r>
        <w:t>ESC expressed concerns about leakage beyond the intent of the item descriptor due to repeat imaging to monitor patients or provide reassurance. Leakage could potentially be high for the population with recurrent disease or suspected metastases. ESC suggested it may be useful to analyse the number of times patients with other cancers (e.g. colorectal cancer) receive repeat PET/CT for staging. ESC also considered that such leakage may already be occurring when using conventional imaging to reassure patients and that there is need for clarity about the placement of PET/CT in the clinical algorithm so that item descriptors are written to minimise leakage.</w:t>
      </w:r>
    </w:p>
    <w:p w14:paraId="25A7BD7E" w14:textId="16E3D33E" w:rsidR="0039501E" w:rsidRDefault="0039501E" w:rsidP="00A853D7">
      <w:pPr>
        <w:spacing w:after="240"/>
      </w:pPr>
      <w:r>
        <w:t>ESC noted that PET/CT is generally used for staging of disease by detecting lesions away from the breast rather than for imaging of breast lesions (</w:t>
      </w:r>
      <w:r w:rsidRPr="00553149">
        <w:t xml:space="preserve">although </w:t>
      </w:r>
      <w:r>
        <w:t xml:space="preserve">it </w:t>
      </w:r>
      <w:r w:rsidRPr="00553149">
        <w:t>may be</w:t>
      </w:r>
      <w:r>
        <w:t xml:space="preserve"> used to assess response to neo</w:t>
      </w:r>
      <w:r w:rsidRPr="00553149">
        <w:t>adjuvant therapy</w:t>
      </w:r>
      <w:r>
        <w:t xml:space="preserve">). Glucose analogues such as </w:t>
      </w:r>
      <w:r w:rsidRPr="00CB633E">
        <w:rPr>
          <w:vertAlign w:val="superscript"/>
        </w:rPr>
        <w:t>18</w:t>
      </w:r>
      <w:r>
        <w:t>F-FDG are taken up by higher grade and more aggressive tumours, which are more likely to metastasise.</w:t>
      </w:r>
    </w:p>
    <w:p w14:paraId="13456842" w14:textId="3F1FC9D3" w:rsidR="0039501E" w:rsidRDefault="0039501E" w:rsidP="00A853D7">
      <w:pPr>
        <w:spacing w:after="240"/>
      </w:pPr>
      <w:r>
        <w:t xml:space="preserve">ESC noted that the comparator in the application is conventional imaging </w:t>
      </w:r>
      <w:r w:rsidRPr="00142EBC">
        <w:t xml:space="preserve">used </w:t>
      </w:r>
      <w:r>
        <w:t>for</w:t>
      </w:r>
      <w:r w:rsidRPr="00142EBC">
        <w:t xml:space="preserve"> initial s</w:t>
      </w:r>
      <w:r>
        <w:t>taging investigations or for re</w:t>
      </w:r>
      <w:r w:rsidRPr="00142EBC">
        <w:t>staging in cases of suspected metastatic disease.</w:t>
      </w:r>
      <w:r>
        <w:t xml:space="preserve"> ESC noted that g</w:t>
      </w:r>
      <w:r w:rsidRPr="00142EBC">
        <w:t xml:space="preserve">uidelines from the European Society of Medical Oncology (ESMO) recommend initial investigations with chest </w:t>
      </w:r>
      <w:r>
        <w:t>X</w:t>
      </w:r>
      <w:r w:rsidRPr="00142EBC">
        <w:t>-ray, abdominal ultrasound, CT and bone scan for patients with clinically positive axillary lymph nodes, large tumours or suspicion of metastatic disease. In Australia,</w:t>
      </w:r>
      <w:r>
        <w:t xml:space="preserve"> the most usual standard or </w:t>
      </w:r>
      <w:r w:rsidRPr="00142EBC">
        <w:t xml:space="preserve">conventional staging imaging would be a combination of CT </w:t>
      </w:r>
      <w:r>
        <w:t xml:space="preserve">of the </w:t>
      </w:r>
      <w:r w:rsidRPr="00142EBC">
        <w:t>chest/abdome</w:t>
      </w:r>
      <w:r>
        <w:t>n/pelvis and an isotope bone scan. About a third of patients would also have a</w:t>
      </w:r>
      <w:r w:rsidRPr="00142EBC">
        <w:t xml:space="preserve"> liver ultrasound</w:t>
      </w:r>
      <w:r>
        <w:t xml:space="preserve"> depending on results of pelvic imaging.</w:t>
      </w:r>
    </w:p>
    <w:p w14:paraId="43431F7A" w14:textId="55843C0F" w:rsidR="0039501E" w:rsidRDefault="0039501E" w:rsidP="00A853D7">
      <w:pPr>
        <w:spacing w:after="240"/>
      </w:pPr>
      <w:r>
        <w:t>ESC noted that PET/CT has better sensitivity and specificity, and both positive and negative predictive value, than conventional imaging (CT and bone scintigraphy) for detecting distant metastases</w:t>
      </w:r>
      <w:r w:rsidRPr="00713FC7">
        <w:t xml:space="preserve"> </w:t>
      </w:r>
      <w:r>
        <w:t>in patients with LABC. In patients with suspected recurrent or metastatic breast cancer, PET/CT was more effective overall that CT alone in correctly identifying patients with or without recurrent or metastatic disease.</w:t>
      </w:r>
    </w:p>
    <w:p w14:paraId="21A0B4AA" w14:textId="22D50D99" w:rsidR="00EC5A23" w:rsidRDefault="0039501E" w:rsidP="00A853D7">
      <w:pPr>
        <w:spacing w:after="240"/>
      </w:pPr>
      <w:r>
        <w:t>ESC noted that it is also essential to assess diagnostic tests such as PET/CT in terms of changes to clinical management and subsequent changes in health outcomes. Based on nine studies, a mean of 15% of patients with LABC had a change in clinical management after FDG-PET/CT. The majority of LABC patients had a change in treatment intent from curative to palliative due to detection of previously unknown metastases. Based on seven studies, a mean of 48% of patients with suspected recurrent or metastatic breast cancer had a change in management after PET/CT. This suggests that a significant proportion of patients with recurrent or suspected metastatic disease would have received inadequate treatment without a change in management resulting from the PET/CT result. ESC also noted results of a study by Cochet et al. (European Journal of Nuclear Medicine and Molecular Imaging, 2014) that compared PET/CT to conventional imaging as the primary staging tool for large breast cancers. In this study, 21% of patients were upstaged following PET/CT (including 8% changed from stage 2 or 3 to stage 4), and 16% were downstaged (including 3% changed from stage 4 to stage 2 or 3).</w:t>
      </w:r>
    </w:p>
    <w:p w14:paraId="48DB0C2A" w14:textId="7305908B" w:rsidR="0039501E" w:rsidRDefault="0039501E" w:rsidP="00A853D7">
      <w:pPr>
        <w:spacing w:after="240"/>
      </w:pPr>
      <w:r>
        <w:t>ESC noted that the clinical management algorithm in the application is outdated and does not reflect current practice in Australia. T</w:t>
      </w:r>
      <w:r w:rsidRPr="00C96649">
        <w:t>he most common scenario</w:t>
      </w:r>
      <w:r>
        <w:t>s</w:t>
      </w:r>
      <w:r w:rsidRPr="00C96649">
        <w:t xml:space="preserve"> for the use of PET/CT in breast cancer patients would be as a supplementary staging procedure </w:t>
      </w:r>
      <w:r>
        <w:t>if</w:t>
      </w:r>
      <w:r w:rsidRPr="00C96649">
        <w:t xml:space="preserve"> previous standard </w:t>
      </w:r>
      <w:r w:rsidRPr="00C96649">
        <w:lastRenderedPageBreak/>
        <w:t>imaging (chest</w:t>
      </w:r>
      <w:r>
        <w:t>/</w:t>
      </w:r>
      <w:r w:rsidRPr="00C96649">
        <w:t>abdomen</w:t>
      </w:r>
      <w:r>
        <w:t>/</w:t>
      </w:r>
      <w:r w:rsidRPr="00C96649">
        <w:t xml:space="preserve">pelvis CT and bone scan) </w:t>
      </w:r>
      <w:r>
        <w:t>were</w:t>
      </w:r>
      <w:r w:rsidRPr="00C96649">
        <w:t xml:space="preserve"> negative or equivocal, and when </w:t>
      </w:r>
      <w:r>
        <w:t>a</w:t>
      </w:r>
      <w:r w:rsidRPr="00C96649">
        <w:t xml:space="preserve"> patient has persistent systemic symptoms or abnormally raised tumour marker levels </w:t>
      </w:r>
      <w:r>
        <w:t>(s</w:t>
      </w:r>
      <w:r w:rsidRPr="00C96649">
        <w:t>uch as CA15</w:t>
      </w:r>
      <w:r>
        <w:t>-</w:t>
      </w:r>
      <w:r w:rsidRPr="00C96649">
        <w:t>3 or CEA</w:t>
      </w:r>
      <w:r>
        <w:t>)</w:t>
      </w:r>
      <w:r w:rsidRPr="00C96649">
        <w:t>.</w:t>
      </w:r>
      <w:r>
        <w:t xml:space="preserve"> </w:t>
      </w:r>
      <w:r w:rsidRPr="00C96649">
        <w:t xml:space="preserve">In this situation a PET/CT scan would be used to either confirm or exclude the presence of metastatic or recurrent breast cancer. </w:t>
      </w:r>
      <w:r>
        <w:t>T</w:t>
      </w:r>
      <w:r w:rsidRPr="00C96649">
        <w:t xml:space="preserve">he role and use of needle biopsies </w:t>
      </w:r>
      <w:r>
        <w:t xml:space="preserve">in this situation </w:t>
      </w:r>
      <w:r w:rsidRPr="00C96649">
        <w:t>would be relatively infrequent</w:t>
      </w:r>
      <w:r>
        <w:t xml:space="preserve">. </w:t>
      </w:r>
      <w:r w:rsidRPr="00C96649">
        <w:t>Biopsies of bone, mediastinal lymph nodes and lungs would be rarely undertaken, and in most cases treatment would be based on confirmatory imaging evidence.</w:t>
      </w:r>
      <w:r w:rsidRPr="00CA0370">
        <w:t xml:space="preserve"> </w:t>
      </w:r>
      <w:r>
        <w:t xml:space="preserve">ESC considered that </w:t>
      </w:r>
      <w:r w:rsidRPr="00D06B38">
        <w:t xml:space="preserve">the costs of biopsies has probably therefore been overstated </w:t>
      </w:r>
      <w:r>
        <w:t>in</w:t>
      </w:r>
      <w:r w:rsidRPr="00D06B38">
        <w:t xml:space="preserve"> the economic evaluation, </w:t>
      </w:r>
      <w:r>
        <w:t>and</w:t>
      </w:r>
      <w:r w:rsidRPr="00D06B38">
        <w:t xml:space="preserve"> with PET/CT predictably less biopsies would be required</w:t>
      </w:r>
      <w:r>
        <w:t>.</w:t>
      </w:r>
    </w:p>
    <w:p w14:paraId="2A0C0A41" w14:textId="2E34E6AB" w:rsidR="0039501E" w:rsidRDefault="0039501E" w:rsidP="00A853D7">
      <w:pPr>
        <w:spacing w:after="240"/>
      </w:pPr>
      <w:r>
        <w:t>ESC noted the lack of clarity about</w:t>
      </w:r>
      <w:r w:rsidRPr="008E76C1">
        <w:t xml:space="preserve"> </w:t>
      </w:r>
      <w:r>
        <w:t xml:space="preserve">the placement of PET/CT in the clinical management algorithm. ESC queried whether PET/CT is intended to be a replacement for conventional imaging or an ‘add-on’, performed either as an alternative at the same point in the clinical pathway or only after conventional imaging. ESC noted that the placement of PET/CT in the pathway is difficult to clarify as some </w:t>
      </w:r>
      <w:r w:rsidRPr="00685083">
        <w:t xml:space="preserve">form of imaging will always </w:t>
      </w:r>
      <w:r>
        <w:t>be needed</w:t>
      </w:r>
      <w:r w:rsidRPr="00685083">
        <w:t xml:space="preserve"> to establish the initial diagnosis of breast cancer and to stage local spread of disease.</w:t>
      </w:r>
      <w:r>
        <w:t xml:space="preserve"> Placing PET/CT earlier in the pathway </w:t>
      </w:r>
      <w:r w:rsidRPr="00685083">
        <w:t>might imply replacing conventional imaging with PET/CT as the initial staging modality</w:t>
      </w:r>
      <w:r>
        <w:t>. ESC noted that t</w:t>
      </w:r>
      <w:r w:rsidRPr="005E1FDA">
        <w:t xml:space="preserve">his would </w:t>
      </w:r>
      <w:r>
        <w:t xml:space="preserve">have consequences for practice </w:t>
      </w:r>
      <w:r w:rsidRPr="005E1FDA">
        <w:t>for other cancers as well.</w:t>
      </w:r>
    </w:p>
    <w:p w14:paraId="2AF22F1D" w14:textId="77777777" w:rsidR="0039501E" w:rsidRDefault="0039501E" w:rsidP="0039501E">
      <w:pPr>
        <w:pStyle w:val="NormalBeforeBullet"/>
      </w:pPr>
      <w:r>
        <w:t>ESC noted a comparison of the MBS costs of conventional imaging and PET/CT:</w:t>
      </w:r>
    </w:p>
    <w:p w14:paraId="28063AA9" w14:textId="5058CFBE" w:rsidR="0039501E" w:rsidRDefault="0039501E" w:rsidP="0039501E">
      <w:pPr>
        <w:pStyle w:val="Bullet"/>
        <w:numPr>
          <w:ilvl w:val="0"/>
          <w:numId w:val="28"/>
        </w:numPr>
      </w:pPr>
      <w:r w:rsidRPr="00E2628C">
        <w:t>Cost of chest/abdomen/pelvis CT (MBS item 568</w:t>
      </w:r>
      <w:r w:rsidR="00EC5A23">
        <w:t>07</w:t>
      </w:r>
      <w:r w:rsidRPr="00E2628C">
        <w:t xml:space="preserve">; $560) plus isotope bone scan (MBS item 61421; $479.80) </w:t>
      </w:r>
      <w:r>
        <w:t>–</w:t>
      </w:r>
      <w:r w:rsidRPr="00E2628C">
        <w:t xml:space="preserve"> </w:t>
      </w:r>
      <w:r>
        <w:t xml:space="preserve">total MBS cost of </w:t>
      </w:r>
      <w:r w:rsidRPr="00E2628C">
        <w:t>$1039.80</w:t>
      </w:r>
    </w:p>
    <w:p w14:paraId="1205380B" w14:textId="7A269E49" w:rsidR="0039501E" w:rsidRDefault="0039501E" w:rsidP="0039501E">
      <w:pPr>
        <w:pStyle w:val="Bullet"/>
        <w:numPr>
          <w:ilvl w:val="0"/>
          <w:numId w:val="28"/>
        </w:numPr>
      </w:pPr>
      <w:r w:rsidRPr="00E2628C">
        <w:t>Cost of chest/abdomen/pelvis CT</w:t>
      </w:r>
      <w:r w:rsidR="003D5CBA">
        <w:t xml:space="preserve"> </w:t>
      </w:r>
      <w:r w:rsidR="003D5CBA" w:rsidRPr="00E2628C">
        <w:t>(MBS item 550</w:t>
      </w:r>
      <w:r w:rsidR="003D5CBA">
        <w:t>74</w:t>
      </w:r>
      <w:r w:rsidR="003D5CBA" w:rsidRPr="00E2628C">
        <w:t>; $560)</w:t>
      </w:r>
      <w:r w:rsidRPr="00E2628C">
        <w:t xml:space="preserve">, isotope bone scan </w:t>
      </w:r>
      <w:r w:rsidR="003D5CBA" w:rsidRPr="00E2628C">
        <w:t>(MBS item 61421; $479.80)</w:t>
      </w:r>
      <w:r w:rsidR="003D5CBA">
        <w:t xml:space="preserve"> </w:t>
      </w:r>
      <w:r w:rsidRPr="00E2628C">
        <w:t>and abdominal ultrasound (MBS item 55036; $</w:t>
      </w:r>
      <w:r w:rsidR="003D5CBA">
        <w:t>111.3</w:t>
      </w:r>
      <w:r w:rsidRPr="00E2628C">
        <w:t xml:space="preserve">0) </w:t>
      </w:r>
      <w:r>
        <w:t>–</w:t>
      </w:r>
      <w:r w:rsidRPr="00E2628C">
        <w:t xml:space="preserve"> </w:t>
      </w:r>
      <w:r>
        <w:t xml:space="preserve">total MBS cost of </w:t>
      </w:r>
      <w:r w:rsidRPr="00E2628C">
        <w:t>$1151.10</w:t>
      </w:r>
    </w:p>
    <w:p w14:paraId="6D43BEE2" w14:textId="369356CC" w:rsidR="0039501E" w:rsidRPr="00E2628C" w:rsidRDefault="0039501E" w:rsidP="0039501E">
      <w:pPr>
        <w:pStyle w:val="Bullet"/>
        <w:numPr>
          <w:ilvl w:val="0"/>
          <w:numId w:val="28"/>
        </w:numPr>
      </w:pPr>
      <w:r w:rsidRPr="00E2628C">
        <w:t xml:space="preserve">Proposed MBS cost of PET/CT </w:t>
      </w:r>
      <w:r>
        <w:t>–</w:t>
      </w:r>
      <w:r w:rsidRPr="00E2628C">
        <w:t xml:space="preserve"> $</w:t>
      </w:r>
      <w:r w:rsidR="00EC5A23">
        <w:t>9</w:t>
      </w:r>
      <w:r w:rsidRPr="00E2628C">
        <w:t>53.</w:t>
      </w:r>
    </w:p>
    <w:p w14:paraId="7B844461" w14:textId="3D9C8992" w:rsidR="0039501E" w:rsidRDefault="0039501E" w:rsidP="00A853D7">
      <w:pPr>
        <w:spacing w:after="240"/>
      </w:pPr>
      <w:r>
        <w:t>ESC noted potential cost offsets that might apply with use of PET/CT. Conventional imaging can be time-consuming and potential false negative findings could delay therapy, whereas PET/CT involves a single radiological examination, and repeated conventional imaging and some biopsies could be avoided.</w:t>
      </w:r>
    </w:p>
    <w:p w14:paraId="1C402F22" w14:textId="77777777" w:rsidR="0039501E" w:rsidRDefault="0039501E" w:rsidP="0039501E">
      <w:pPr>
        <w:pStyle w:val="NormalBeforeBullet"/>
      </w:pPr>
      <w:r w:rsidRPr="005D6F74">
        <w:t>ESC noted the following clinical policy issues for MSAC:</w:t>
      </w:r>
    </w:p>
    <w:p w14:paraId="655CE26C" w14:textId="77777777" w:rsidR="0039501E" w:rsidRDefault="0039501E" w:rsidP="0039501E">
      <w:pPr>
        <w:pStyle w:val="Bullet"/>
        <w:numPr>
          <w:ilvl w:val="0"/>
          <w:numId w:val="29"/>
        </w:numPr>
      </w:pPr>
      <w:r>
        <w:t>Currently patients with breast cancer either pay for PET scans privately or seek access via the public hospital system. This has been highlighted by the significant amount of correspondence that the Department has received from patients about the high out-of-pocket costs they incur for this service.</w:t>
      </w:r>
    </w:p>
    <w:p w14:paraId="3767367B" w14:textId="77777777" w:rsidR="0039501E" w:rsidRDefault="0039501E" w:rsidP="0039501E">
      <w:pPr>
        <w:pStyle w:val="Bullet"/>
        <w:numPr>
          <w:ilvl w:val="0"/>
          <w:numId w:val="29"/>
        </w:numPr>
      </w:pPr>
      <w:r>
        <w:t>As most patients receive PET/CT as outpatients, MBS listing could potentially result in a significant cost shift from the public to private sector for PET/CT evaluation of breast cancer.</w:t>
      </w:r>
    </w:p>
    <w:p w14:paraId="0DA1E015" w14:textId="151C82C9" w:rsidR="0039501E" w:rsidRDefault="0039501E" w:rsidP="0039501E">
      <w:pPr>
        <w:pStyle w:val="Bullet"/>
        <w:numPr>
          <w:ilvl w:val="0"/>
          <w:numId w:val="29"/>
        </w:numPr>
      </w:pPr>
      <w:r>
        <w:t>Consideration could be given to further amending the MBS item descriptor to remove the requirement for prior conventional staging investigations. Would mandating prior imaging effectiv</w:t>
      </w:r>
      <w:r w:rsidR="003D5CBA">
        <w:t>ely virtually double the costs?</w:t>
      </w:r>
    </w:p>
    <w:p w14:paraId="2175E77D" w14:textId="52F7483D" w:rsidR="0039501E" w:rsidRDefault="0039501E" w:rsidP="00A853D7">
      <w:pPr>
        <w:spacing w:after="240"/>
      </w:pPr>
      <w:r>
        <w:t>ESC noted that a</w:t>
      </w:r>
      <w:r w:rsidRPr="00685083">
        <w:t xml:space="preserve"> cost-utility analysis comparing PET imaging with confirmatory standard imaging is provided</w:t>
      </w:r>
      <w:r>
        <w:t xml:space="preserve"> in the resubmission (not the cost-consequence analysis requested by MSAC)</w:t>
      </w:r>
      <w:r w:rsidRPr="00685083">
        <w:t xml:space="preserve">. </w:t>
      </w:r>
      <w:r>
        <w:t>ESC reinforced that a cost-consequence analysis would give an informative estimate of the cost associated with the overall changes in clinical management.</w:t>
      </w:r>
    </w:p>
    <w:p w14:paraId="4EF9125D" w14:textId="338F3DAE" w:rsidR="0039501E" w:rsidRPr="002409BD" w:rsidRDefault="0039501E" w:rsidP="00A853D7">
      <w:pPr>
        <w:spacing w:after="240"/>
      </w:pPr>
      <w:r>
        <w:t>ESC noted the concern expressed in the Critique that the method used by the assessment group to derive a key variable for the economic model was inappropriate.</w:t>
      </w:r>
      <w:r w:rsidRPr="00430324">
        <w:t xml:space="preserve"> </w:t>
      </w:r>
      <w:r>
        <w:t xml:space="preserve">ESC noted that the </w:t>
      </w:r>
      <w:r>
        <w:lastRenderedPageBreak/>
        <w:t xml:space="preserve">effectiveness of treatment for inclusion in the model was derived by working backwards from an assumed </w:t>
      </w:r>
      <w:r w:rsidRPr="000237AC">
        <w:t xml:space="preserve">incremental cost-effectiveness ratio </w:t>
      </w:r>
      <w:r>
        <w:t>(ICER) of $50,000/QALY and estimated costs of treatment to derive implied outcomes gained and thus c</w:t>
      </w:r>
      <w:r w:rsidRPr="00430324">
        <w:t xml:space="preserve">reate </w:t>
      </w:r>
      <w:r>
        <w:t>‘</w:t>
      </w:r>
      <w:r w:rsidRPr="00430324">
        <w:t>treatment</w:t>
      </w:r>
      <w:r>
        <w:t>-</w:t>
      </w:r>
      <w:r w:rsidRPr="00430324">
        <w:t>specific hazard ratios which deliver the threshold cost per</w:t>
      </w:r>
      <w:r>
        <w:t xml:space="preserve"> QALY ratio for treatment’. The cost-utility analysis was revised in the Critique</w:t>
      </w:r>
      <w:r w:rsidR="003D5CBA">
        <w:t>,</w:t>
      </w:r>
      <w:r>
        <w:t xml:space="preserve"> but maintained the assumption used to infer the extent of benefit of treatment.</w:t>
      </w:r>
    </w:p>
    <w:p w14:paraId="3E94DE0C" w14:textId="48B913CD" w:rsidR="0039501E" w:rsidRDefault="0039501E" w:rsidP="00A853D7">
      <w:pPr>
        <w:spacing w:after="240"/>
      </w:pPr>
      <w:r>
        <w:t>ESC also noted that neither the analytical performance comparison for the model informed an assessment of the use of PET/CT earlier in the clinical pathway as requested by MSAC. ESC also noted that there is uncertainty about what constitutes conventional imaging, but most of the analysis was done using a combination of CT and bone scans, which is realistic.</w:t>
      </w:r>
    </w:p>
    <w:p w14:paraId="4ABE9C16" w14:textId="76A868B7" w:rsidR="0039501E" w:rsidRDefault="0039501E" w:rsidP="00A853D7">
      <w:pPr>
        <w:spacing w:after="240"/>
      </w:pPr>
      <w:r>
        <w:t xml:space="preserve">ESC noted that the economic model was a decision tree and Markov cohort model. </w:t>
      </w:r>
      <w:r w:rsidRPr="00685083">
        <w:t>The</w:t>
      </w:r>
      <w:r>
        <w:t xml:space="preserve"> original</w:t>
      </w:r>
      <w:r w:rsidRPr="00685083">
        <w:t xml:space="preserve"> </w:t>
      </w:r>
      <w:r>
        <w:t>Application 1357</w:t>
      </w:r>
      <w:r w:rsidRPr="00685083">
        <w:t xml:space="preserve"> </w:t>
      </w:r>
      <w:r>
        <w:t>reported</w:t>
      </w:r>
      <w:r w:rsidRPr="00685083">
        <w:t xml:space="preserve"> the cost per diagnostic error avoided. </w:t>
      </w:r>
      <w:r>
        <w:t>T</w:t>
      </w:r>
      <w:r w:rsidRPr="00685083">
        <w:t>he resubmission</w:t>
      </w:r>
      <w:r>
        <w:t xml:space="preserve"> incorporated </w:t>
      </w:r>
      <w:r w:rsidRPr="00685083">
        <w:t xml:space="preserve">additional outcomes </w:t>
      </w:r>
      <w:r>
        <w:t>(</w:t>
      </w:r>
      <w:r w:rsidRPr="00685083">
        <w:t>cost per biopsy avoided, cost per surgery avoided, cost per delayed biopsy avoided</w:t>
      </w:r>
      <w:r>
        <w:t>, and</w:t>
      </w:r>
      <w:r w:rsidRPr="00685083">
        <w:t xml:space="preserve"> cost per QALY</w:t>
      </w:r>
      <w:r>
        <w:t>)</w:t>
      </w:r>
      <w:r w:rsidRPr="00685083">
        <w:t>.</w:t>
      </w:r>
      <w:r>
        <w:t xml:space="preserve"> The model used a six-month cycle and extended the time horizon of the </w:t>
      </w:r>
      <w:r w:rsidRPr="00685083">
        <w:t>base case cost</w:t>
      </w:r>
      <w:r>
        <w:t>-</w:t>
      </w:r>
      <w:r w:rsidRPr="00685083">
        <w:t>utility analysis to 10</w:t>
      </w:r>
      <w:r>
        <w:t> </w:t>
      </w:r>
      <w:r w:rsidRPr="00685083">
        <w:t>years</w:t>
      </w:r>
      <w:r>
        <w:t xml:space="preserve"> as requested by MSAC</w:t>
      </w:r>
      <w:r w:rsidRPr="00685083">
        <w:t>.</w:t>
      </w:r>
    </w:p>
    <w:p w14:paraId="202F0324" w14:textId="422B100F" w:rsidR="0039501E" w:rsidRDefault="0039501E" w:rsidP="00A853D7">
      <w:pPr>
        <w:spacing w:after="240"/>
      </w:pPr>
      <w:r>
        <w:t>ESC noted that the model used a linked evidence approach, but queried the applicability of the evidence base in which prior equivocal imaging was generally not a prerequisite. This is inconsistent with the proposed placement of PET/CT in the clinical pathway included in the application. ESC noted that accuracy estimates for conventional imaging used as second or third-line confirmatory testing are non-specific and unlikely to be accurate. However, these estimates were maintained in the Critique due to a lack of alternative inputs. ESC noted that increasing the time horizon from 1 year to 10 years, while more realistic, introduces considerable uncertainty into modelled survival and treatment costs, as initial uncertainty is compounded over time.</w:t>
      </w:r>
    </w:p>
    <w:p w14:paraId="4F20EA70" w14:textId="528B8197" w:rsidR="003D5CBA" w:rsidRDefault="0039501E" w:rsidP="00A853D7">
      <w:pPr>
        <w:spacing w:after="240"/>
      </w:pPr>
      <w:r>
        <w:t xml:space="preserve">ESC considered that there is substantial uncertainty in the transformation of modelled survival estimates into QALYs. The Critique model resulted in greater estimated health benefit as the increased </w:t>
      </w:r>
      <w:r w:rsidR="003D5CBA">
        <w:t>accuracy of PET/CT is realised.</w:t>
      </w:r>
    </w:p>
    <w:p w14:paraId="03FF1B03" w14:textId="5505C2E1" w:rsidR="0039501E" w:rsidRDefault="0039501E" w:rsidP="00A853D7">
      <w:pPr>
        <w:spacing w:after="240"/>
      </w:pPr>
      <w:r>
        <w:t>ESC considered that utility values are highly uncertain and that much of the uncertainty is not able to be quantified. This is important when interpreting the incremental QALYs and incremental cost-effectiveness ratios generated by the model.</w:t>
      </w:r>
    </w:p>
    <w:p w14:paraId="00D9F816" w14:textId="7C099F8C" w:rsidR="0039501E" w:rsidRDefault="0039501E" w:rsidP="00A853D7">
      <w:pPr>
        <w:spacing w:after="240"/>
      </w:pPr>
      <w:r>
        <w:t>ESC noted that in the Critique model, the ICER is dominant for the population of patients with proven LABC. For the population of patients with suspected recurrent local or metastatic disease, the ICER is $40,454/QALY if the claim of superior accuracy of PET/CT is accepted.</w:t>
      </w:r>
    </w:p>
    <w:p w14:paraId="6E7A2E79" w14:textId="2E75A7AC" w:rsidR="0039501E" w:rsidRDefault="0039501E" w:rsidP="00A853D7">
      <w:pPr>
        <w:spacing w:after="240"/>
      </w:pPr>
      <w:r>
        <w:t xml:space="preserve">ESC noted that, although the economic data are uncertain, there is evidence for changed management in a significant proportion of patients, so benefit arises from treatment being tailored to an accurate diagnosis. However, ESC queried </w:t>
      </w:r>
      <w:r w:rsidRPr="006D561E">
        <w:t xml:space="preserve">whether and how changes in treatment have been adequately identified and costed </w:t>
      </w:r>
      <w:r>
        <w:t>and</w:t>
      </w:r>
      <w:r w:rsidRPr="006D561E">
        <w:t xml:space="preserve"> expressed concern </w:t>
      </w:r>
      <w:r>
        <w:t xml:space="preserve">over the accuracy of the estimated </w:t>
      </w:r>
      <w:r w:rsidRPr="006D561E">
        <w:t xml:space="preserve">costs </w:t>
      </w:r>
      <w:r>
        <w:t>and cost offsets by the model.</w:t>
      </w:r>
    </w:p>
    <w:p w14:paraId="551F3393" w14:textId="528A3591" w:rsidR="0039501E" w:rsidRDefault="0039501E" w:rsidP="00A853D7">
      <w:pPr>
        <w:spacing w:after="240"/>
      </w:pPr>
      <w:r>
        <w:t xml:space="preserve">ESC considered that the sensitivity analyses provided in the application were of limited value. However, the sensitivity analyses were not revised in the Critique. ESC noted that the key drivers of </w:t>
      </w:r>
      <w:r w:rsidRPr="001C47FB">
        <w:t>uncertainty</w:t>
      </w:r>
      <w:r>
        <w:t xml:space="preserve"> are survival, utility values and cost offsets.</w:t>
      </w:r>
    </w:p>
    <w:p w14:paraId="0F1D0666" w14:textId="144EA8EF" w:rsidR="0039501E" w:rsidRDefault="0039501E" w:rsidP="00A853D7">
      <w:pPr>
        <w:spacing w:after="240"/>
      </w:pPr>
      <w:r>
        <w:t xml:space="preserve">ESC considered that there was uncertainty around the number of eligible patients with equivocal results of prior imaging. ESC noted that estimates of financial and budgetary </w:t>
      </w:r>
      <w:r>
        <w:lastRenderedPageBreak/>
        <w:t>impact were also uncertain. If no cost offsets were realised, the cost to the MBS would be just under $2 million per year.</w:t>
      </w:r>
    </w:p>
    <w:p w14:paraId="678B2369" w14:textId="77777777" w:rsidR="0039501E" w:rsidRDefault="0039501E" w:rsidP="0039501E">
      <w:pPr>
        <w:rPr>
          <w:szCs w:val="24"/>
        </w:rPr>
      </w:pPr>
      <w:r>
        <w:t>ESC noted the Department’s concerns about leakage resulting from future uptake of PET/CT. According to advice received by the Department from experts, about a third of women would take it up. ESC noted that the Department’s re-costing resulted in a cost of $2.4 million per year, not taking into account any extra cost offsets.</w:t>
      </w:r>
    </w:p>
    <w:p w14:paraId="57D60E0A" w14:textId="77777777" w:rsidR="00D90A38" w:rsidRPr="00F715D1" w:rsidRDefault="00BC1364" w:rsidP="00394530">
      <w:pPr>
        <w:pStyle w:val="Heading1"/>
        <w:ind w:hanging="720"/>
      </w:pPr>
      <w:r w:rsidRPr="00F715D1">
        <w:t>Other significant factors</w:t>
      </w:r>
    </w:p>
    <w:p w14:paraId="49E58CFE" w14:textId="56B2C1A0" w:rsidR="00BC1364" w:rsidRPr="009E6728" w:rsidRDefault="00BC1364" w:rsidP="00F715D1">
      <w:pPr>
        <w:spacing w:after="240"/>
        <w:rPr>
          <w:szCs w:val="24"/>
        </w:rPr>
      </w:pPr>
      <w:r w:rsidRPr="009E6728">
        <w:rPr>
          <w:szCs w:val="24"/>
        </w:rPr>
        <w:t>Nil</w:t>
      </w:r>
    </w:p>
    <w:p w14:paraId="065ED3AE" w14:textId="77777777" w:rsidR="00BC1364" w:rsidRPr="00F715D1" w:rsidRDefault="00BC1364" w:rsidP="00394530">
      <w:pPr>
        <w:pStyle w:val="Heading1"/>
        <w:ind w:hanging="720"/>
      </w:pPr>
      <w:r w:rsidRPr="00F715D1">
        <w:t xml:space="preserve">Applicant’s comments on MSAC’s </w:t>
      </w:r>
      <w:r w:rsidR="00DA56AA" w:rsidRPr="00F715D1">
        <w:t>Public Summary Document</w:t>
      </w:r>
    </w:p>
    <w:p w14:paraId="69C7E516" w14:textId="77777777" w:rsidR="00394530" w:rsidRPr="00394530" w:rsidRDefault="00394530" w:rsidP="00394530">
      <w:pPr>
        <w:rPr>
          <w:szCs w:val="24"/>
        </w:rPr>
      </w:pPr>
      <w:r w:rsidRPr="00394530">
        <w:rPr>
          <w:szCs w:val="24"/>
          <w:lang w:val="en-US"/>
        </w:rPr>
        <w:t>The AANMS warmly welcomes MSAC's recommendation that PET/CT for breast cancer receive public funding and urges the Government to accept this recommendation as access to publicly-funded PET for breast cancer will provide a very positive health benefit for Australian patients with breast cancer.  We strongly support MSAC's and ESC’s recommendations to remove equivocal and prior imaging requirements in order that implementing this service will be cost effective. We also welcome MSAC's agreement that PET/CT should be used earlier in the diagnostic pathway and note MSAC's acknowledgement that it may require time for clinicians to change their practice. In this regard, the AANMS supports MSAC's role in communicating with professional bodies for oncologists, radiation oncologists and surgeons to encourage that best practice be switched to replacing conventional imaging with PET/CT in these breast cancer populations.  The AANMS also supports MSAC's project to develop a new approach that moves away from condition based assessment and instead seeks to assess the clinical utility of PET in relation to all fluorodeoxyglucose F18 (FDG) avid tumours, regardless of the origin or site of the cancer (</w:t>
      </w:r>
      <w:r w:rsidRPr="00394530">
        <w:rPr>
          <w:i/>
          <w:iCs/>
          <w:szCs w:val="24"/>
          <w:lang w:val="en-US"/>
        </w:rPr>
        <w:t>Proposed streamlining of MSAC assessment of positron emission tomography [PET]</w:t>
      </w:r>
      <w:r w:rsidRPr="00394530">
        <w:rPr>
          <w:szCs w:val="24"/>
          <w:lang w:val="en-US"/>
        </w:rPr>
        <w:t>) and will work with MSAC to progress this project. This is a logical approach that acknowledges PET/CT is a proven technology. Importantly this proposed new approach will also support the use of PET/CT for the assessment of patients with rare cancers.</w:t>
      </w:r>
      <w:r w:rsidRPr="00394530">
        <w:rPr>
          <w:szCs w:val="24"/>
        </w:rPr>
        <w:t> </w:t>
      </w:r>
    </w:p>
    <w:p w14:paraId="26ED60DB" w14:textId="77777777" w:rsidR="00BC1364" w:rsidRPr="00F715D1" w:rsidRDefault="00271F18" w:rsidP="00394530">
      <w:pPr>
        <w:pStyle w:val="Heading1"/>
        <w:ind w:hanging="720"/>
      </w:pPr>
      <w:r w:rsidRPr="00F715D1">
        <w:t>Further information on MSAC</w:t>
      </w:r>
    </w:p>
    <w:p w14:paraId="7BA97704"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Medical Services Advisory Committee website" w:history="1">
        <w:r w:rsidR="00BC2667" w:rsidRPr="00F715D1">
          <w:rPr>
            <w:rStyle w:val="Hyperlink"/>
            <w:szCs w:val="24"/>
          </w:rPr>
          <w:t>visit the MSAC website</w:t>
        </w:r>
      </w:hyperlink>
    </w:p>
    <w:sectPr w:rsidR="00BC1364" w:rsidRPr="00F715D1" w:rsidSect="00271F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8847A" w16cid:durableId="1FE1F0F6"/>
  <w16cid:commentId w16cid:paraId="228772E0" w16cid:durableId="1FE1F0F7"/>
  <w16cid:commentId w16cid:paraId="050676CF" w16cid:durableId="1FE1F0F8"/>
  <w16cid:commentId w16cid:paraId="36AEF1DC" w16cid:durableId="1FE1F0F9"/>
  <w16cid:commentId w16cid:paraId="62D5C890" w16cid:durableId="1FE1F0FA"/>
  <w16cid:commentId w16cid:paraId="31C71154" w16cid:durableId="1FE1F0FB"/>
  <w16cid:commentId w16cid:paraId="60F01F75" w16cid:durableId="1FE1F0FC"/>
  <w16cid:commentId w16cid:paraId="620909EE" w16cid:durableId="1FE1F0FD"/>
  <w16cid:commentId w16cid:paraId="33979956" w16cid:durableId="1FB7DEB2"/>
  <w16cid:commentId w16cid:paraId="6A5090F5" w16cid:durableId="1FE1F0FF"/>
  <w16cid:commentId w16cid:paraId="3346338F" w16cid:durableId="1FE1F1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5BD81" w14:textId="77777777" w:rsidR="00264EF1" w:rsidRDefault="00264EF1" w:rsidP="00065623">
      <w:r>
        <w:separator/>
      </w:r>
    </w:p>
  </w:endnote>
  <w:endnote w:type="continuationSeparator" w:id="0">
    <w:p w14:paraId="3BC6EA64" w14:textId="77777777" w:rsidR="00264EF1" w:rsidRDefault="00264EF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1F97EC6" w14:textId="51E92027" w:rsidR="00264EF1" w:rsidRDefault="00264EF1" w:rsidP="00AF7A39">
        <w:pPr>
          <w:pStyle w:val="Footer"/>
          <w:jc w:val="right"/>
        </w:pPr>
        <w:r>
          <w:fldChar w:fldCharType="begin"/>
        </w:r>
        <w:r>
          <w:instrText xml:space="preserve"> PAGE   \* MERGEFORMAT </w:instrText>
        </w:r>
        <w:r>
          <w:fldChar w:fldCharType="separate"/>
        </w:r>
        <w:r w:rsidR="005518E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FF99B" w14:textId="77777777" w:rsidR="00264EF1" w:rsidRDefault="00264EF1" w:rsidP="00065623">
      <w:r>
        <w:separator/>
      </w:r>
    </w:p>
  </w:footnote>
  <w:footnote w:type="continuationSeparator" w:id="0">
    <w:p w14:paraId="593E5A10" w14:textId="77777777" w:rsidR="00264EF1" w:rsidRDefault="00264EF1" w:rsidP="0006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1F4E6A"/>
    <w:multiLevelType w:val="hybridMultilevel"/>
    <w:tmpl w:val="F756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037B0F"/>
    <w:multiLevelType w:val="hybridMultilevel"/>
    <w:tmpl w:val="6D26B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BB4B03"/>
    <w:multiLevelType w:val="hybridMultilevel"/>
    <w:tmpl w:val="D126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04C9F"/>
    <w:multiLevelType w:val="hybridMultilevel"/>
    <w:tmpl w:val="6CC2C6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
  </w:num>
  <w:num w:numId="4">
    <w:abstractNumId w:val="19"/>
  </w:num>
  <w:num w:numId="5">
    <w:abstractNumId w:val="11"/>
  </w:num>
  <w:num w:numId="6">
    <w:abstractNumId w:val="17"/>
  </w:num>
  <w:num w:numId="7">
    <w:abstractNumId w:val="22"/>
  </w:num>
  <w:num w:numId="8">
    <w:abstractNumId w:val="12"/>
  </w:num>
  <w:num w:numId="9">
    <w:abstractNumId w:val="29"/>
  </w:num>
  <w:num w:numId="10">
    <w:abstractNumId w:val="0"/>
  </w:num>
  <w:num w:numId="11">
    <w:abstractNumId w:val="21"/>
  </w:num>
  <w:num w:numId="12">
    <w:abstractNumId w:val="23"/>
  </w:num>
  <w:num w:numId="13">
    <w:abstractNumId w:val="5"/>
  </w:num>
  <w:num w:numId="14">
    <w:abstractNumId w:val="27"/>
  </w:num>
  <w:num w:numId="15">
    <w:abstractNumId w:val="20"/>
  </w:num>
  <w:num w:numId="16">
    <w:abstractNumId w:val="24"/>
  </w:num>
  <w:num w:numId="17">
    <w:abstractNumId w:val="13"/>
  </w:num>
  <w:num w:numId="18">
    <w:abstractNumId w:val="15"/>
  </w:num>
  <w:num w:numId="19">
    <w:abstractNumId w:val="26"/>
  </w:num>
  <w:num w:numId="20">
    <w:abstractNumId w:val="25"/>
  </w:num>
  <w:num w:numId="21">
    <w:abstractNumId w:val="4"/>
  </w:num>
  <w:num w:numId="22">
    <w:abstractNumId w:val="9"/>
  </w:num>
  <w:num w:numId="23">
    <w:abstractNumId w:val="3"/>
  </w:num>
  <w:num w:numId="24">
    <w:abstractNumId w:val="8"/>
  </w:num>
  <w:num w:numId="25">
    <w:abstractNumId w:val="6"/>
  </w:num>
  <w:num w:numId="26">
    <w:abstractNumId w:val="14"/>
  </w:num>
  <w:num w:numId="27">
    <w:abstractNumId w:val="28"/>
  </w:num>
  <w:num w:numId="28">
    <w:abstractNumId w:val="10"/>
  </w:num>
  <w:num w:numId="29">
    <w:abstractNumId w:val="2"/>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5A96"/>
    <w:rsid w:val="00007312"/>
    <w:rsid w:val="00011A36"/>
    <w:rsid w:val="000317F2"/>
    <w:rsid w:val="00047606"/>
    <w:rsid w:val="00052A87"/>
    <w:rsid w:val="00055F90"/>
    <w:rsid w:val="00062A5E"/>
    <w:rsid w:val="0006519C"/>
    <w:rsid w:val="00065623"/>
    <w:rsid w:val="000756B9"/>
    <w:rsid w:val="00096B67"/>
    <w:rsid w:val="00096DAF"/>
    <w:rsid w:val="000A1FFB"/>
    <w:rsid w:val="000A537D"/>
    <w:rsid w:val="000B4241"/>
    <w:rsid w:val="000C2F47"/>
    <w:rsid w:val="000D2B9A"/>
    <w:rsid w:val="000D60DC"/>
    <w:rsid w:val="000D6C00"/>
    <w:rsid w:val="000E4E04"/>
    <w:rsid w:val="000F14B4"/>
    <w:rsid w:val="000F75DF"/>
    <w:rsid w:val="001023DC"/>
    <w:rsid w:val="001328FA"/>
    <w:rsid w:val="00147AAF"/>
    <w:rsid w:val="001552C0"/>
    <w:rsid w:val="001640B1"/>
    <w:rsid w:val="00173345"/>
    <w:rsid w:val="00182770"/>
    <w:rsid w:val="0018435E"/>
    <w:rsid w:val="001C0E50"/>
    <w:rsid w:val="001C262A"/>
    <w:rsid w:val="002041A1"/>
    <w:rsid w:val="002054F0"/>
    <w:rsid w:val="00230D6B"/>
    <w:rsid w:val="00232068"/>
    <w:rsid w:val="002330F2"/>
    <w:rsid w:val="00234D58"/>
    <w:rsid w:val="00243D9E"/>
    <w:rsid w:val="00253B66"/>
    <w:rsid w:val="00261DF1"/>
    <w:rsid w:val="00264EF1"/>
    <w:rsid w:val="00267975"/>
    <w:rsid w:val="00271F18"/>
    <w:rsid w:val="002755B1"/>
    <w:rsid w:val="00282779"/>
    <w:rsid w:val="0028334D"/>
    <w:rsid w:val="002B7FFA"/>
    <w:rsid w:val="002C2BCF"/>
    <w:rsid w:val="002C6F2C"/>
    <w:rsid w:val="002E2B41"/>
    <w:rsid w:val="002E3C76"/>
    <w:rsid w:val="002F279D"/>
    <w:rsid w:val="002F43B8"/>
    <w:rsid w:val="00300965"/>
    <w:rsid w:val="003018F2"/>
    <w:rsid w:val="00336856"/>
    <w:rsid w:val="0034554D"/>
    <w:rsid w:val="00352224"/>
    <w:rsid w:val="00355BE6"/>
    <w:rsid w:val="00366D3C"/>
    <w:rsid w:val="003671E6"/>
    <w:rsid w:val="00384272"/>
    <w:rsid w:val="00386D67"/>
    <w:rsid w:val="00394530"/>
    <w:rsid w:val="003945B8"/>
    <w:rsid w:val="0039501E"/>
    <w:rsid w:val="003D5CBA"/>
    <w:rsid w:val="003D7F29"/>
    <w:rsid w:val="003E3F2C"/>
    <w:rsid w:val="003E4B00"/>
    <w:rsid w:val="003F1059"/>
    <w:rsid w:val="003F28AA"/>
    <w:rsid w:val="00405A6B"/>
    <w:rsid w:val="00407B1F"/>
    <w:rsid w:val="0041184F"/>
    <w:rsid w:val="00411A52"/>
    <w:rsid w:val="00414C57"/>
    <w:rsid w:val="0041758C"/>
    <w:rsid w:val="004421C5"/>
    <w:rsid w:val="004539DE"/>
    <w:rsid w:val="004703EA"/>
    <w:rsid w:val="00495926"/>
    <w:rsid w:val="004A2CF1"/>
    <w:rsid w:val="004B3680"/>
    <w:rsid w:val="004C3035"/>
    <w:rsid w:val="004C307F"/>
    <w:rsid w:val="004D1679"/>
    <w:rsid w:val="004D4BA3"/>
    <w:rsid w:val="004E4BA8"/>
    <w:rsid w:val="004E7274"/>
    <w:rsid w:val="004F2AC8"/>
    <w:rsid w:val="004F340F"/>
    <w:rsid w:val="004F7B7C"/>
    <w:rsid w:val="0052243D"/>
    <w:rsid w:val="00530298"/>
    <w:rsid w:val="00532435"/>
    <w:rsid w:val="00550354"/>
    <w:rsid w:val="005518E0"/>
    <w:rsid w:val="00571236"/>
    <w:rsid w:val="005953A1"/>
    <w:rsid w:val="00596288"/>
    <w:rsid w:val="005A4362"/>
    <w:rsid w:val="005B5434"/>
    <w:rsid w:val="005D0332"/>
    <w:rsid w:val="005D0D8C"/>
    <w:rsid w:val="005E2C85"/>
    <w:rsid w:val="0062493C"/>
    <w:rsid w:val="00624C68"/>
    <w:rsid w:val="00632E7E"/>
    <w:rsid w:val="00640CFE"/>
    <w:rsid w:val="006776AE"/>
    <w:rsid w:val="00681241"/>
    <w:rsid w:val="006944D3"/>
    <w:rsid w:val="006A06B0"/>
    <w:rsid w:val="006A0D97"/>
    <w:rsid w:val="006B1F86"/>
    <w:rsid w:val="006C06E9"/>
    <w:rsid w:val="006C0A91"/>
    <w:rsid w:val="007054BB"/>
    <w:rsid w:val="00707064"/>
    <w:rsid w:val="00730683"/>
    <w:rsid w:val="007352AD"/>
    <w:rsid w:val="0075261F"/>
    <w:rsid w:val="0075468E"/>
    <w:rsid w:val="007665D8"/>
    <w:rsid w:val="00766E36"/>
    <w:rsid w:val="007765F4"/>
    <w:rsid w:val="00776633"/>
    <w:rsid w:val="00784D53"/>
    <w:rsid w:val="00787FA1"/>
    <w:rsid w:val="00797797"/>
    <w:rsid w:val="007A4E7F"/>
    <w:rsid w:val="007A63C9"/>
    <w:rsid w:val="007B32D1"/>
    <w:rsid w:val="007B7095"/>
    <w:rsid w:val="007D24E1"/>
    <w:rsid w:val="007D5C49"/>
    <w:rsid w:val="007D6288"/>
    <w:rsid w:val="007F4CE9"/>
    <w:rsid w:val="007F4E20"/>
    <w:rsid w:val="00822C7E"/>
    <w:rsid w:val="00835C58"/>
    <w:rsid w:val="00846435"/>
    <w:rsid w:val="00847060"/>
    <w:rsid w:val="00847A36"/>
    <w:rsid w:val="00856A33"/>
    <w:rsid w:val="00863B68"/>
    <w:rsid w:val="008772FC"/>
    <w:rsid w:val="00892620"/>
    <w:rsid w:val="008C7D37"/>
    <w:rsid w:val="008D5885"/>
    <w:rsid w:val="008E6FDA"/>
    <w:rsid w:val="00904F3B"/>
    <w:rsid w:val="00923FA2"/>
    <w:rsid w:val="0096060D"/>
    <w:rsid w:val="00974A50"/>
    <w:rsid w:val="0097585A"/>
    <w:rsid w:val="00981C0E"/>
    <w:rsid w:val="009873AB"/>
    <w:rsid w:val="009924B0"/>
    <w:rsid w:val="009942C9"/>
    <w:rsid w:val="009A34A6"/>
    <w:rsid w:val="009B35C4"/>
    <w:rsid w:val="009C5082"/>
    <w:rsid w:val="009C630A"/>
    <w:rsid w:val="009E0D98"/>
    <w:rsid w:val="009E6728"/>
    <w:rsid w:val="00A068A1"/>
    <w:rsid w:val="00A1207D"/>
    <w:rsid w:val="00A12FD8"/>
    <w:rsid w:val="00A2178C"/>
    <w:rsid w:val="00A346FC"/>
    <w:rsid w:val="00A46D77"/>
    <w:rsid w:val="00A472F4"/>
    <w:rsid w:val="00A846F2"/>
    <w:rsid w:val="00A84F93"/>
    <w:rsid w:val="00A853D7"/>
    <w:rsid w:val="00AB1AC5"/>
    <w:rsid w:val="00AB3BFC"/>
    <w:rsid w:val="00AC35AC"/>
    <w:rsid w:val="00AC4F2E"/>
    <w:rsid w:val="00AD0C37"/>
    <w:rsid w:val="00AD385F"/>
    <w:rsid w:val="00AD4AB8"/>
    <w:rsid w:val="00AE6E2A"/>
    <w:rsid w:val="00AF3250"/>
    <w:rsid w:val="00AF7A39"/>
    <w:rsid w:val="00B0276B"/>
    <w:rsid w:val="00B03EAB"/>
    <w:rsid w:val="00B238B3"/>
    <w:rsid w:val="00B30EBB"/>
    <w:rsid w:val="00B31E9C"/>
    <w:rsid w:val="00B35595"/>
    <w:rsid w:val="00B45B4C"/>
    <w:rsid w:val="00B51C6D"/>
    <w:rsid w:val="00B83DD2"/>
    <w:rsid w:val="00B86D64"/>
    <w:rsid w:val="00B9482D"/>
    <w:rsid w:val="00B96F95"/>
    <w:rsid w:val="00BA4AC5"/>
    <w:rsid w:val="00BB35D7"/>
    <w:rsid w:val="00BC0CBA"/>
    <w:rsid w:val="00BC1364"/>
    <w:rsid w:val="00BC2667"/>
    <w:rsid w:val="00BC7DE9"/>
    <w:rsid w:val="00BF479B"/>
    <w:rsid w:val="00C02577"/>
    <w:rsid w:val="00C204FB"/>
    <w:rsid w:val="00C20BEE"/>
    <w:rsid w:val="00C2158D"/>
    <w:rsid w:val="00C23217"/>
    <w:rsid w:val="00C65CE2"/>
    <w:rsid w:val="00C67DD2"/>
    <w:rsid w:val="00C725CB"/>
    <w:rsid w:val="00C75023"/>
    <w:rsid w:val="00C75452"/>
    <w:rsid w:val="00C76F5C"/>
    <w:rsid w:val="00C8007A"/>
    <w:rsid w:val="00C827D5"/>
    <w:rsid w:val="00C94E59"/>
    <w:rsid w:val="00C956C0"/>
    <w:rsid w:val="00C96BAD"/>
    <w:rsid w:val="00CA6944"/>
    <w:rsid w:val="00CB0F8E"/>
    <w:rsid w:val="00CB633E"/>
    <w:rsid w:val="00CB7E7D"/>
    <w:rsid w:val="00CC2911"/>
    <w:rsid w:val="00CF0B3B"/>
    <w:rsid w:val="00CF0C6D"/>
    <w:rsid w:val="00CF4F38"/>
    <w:rsid w:val="00CF7307"/>
    <w:rsid w:val="00CF7C68"/>
    <w:rsid w:val="00D124FA"/>
    <w:rsid w:val="00D2603F"/>
    <w:rsid w:val="00D340DE"/>
    <w:rsid w:val="00D55723"/>
    <w:rsid w:val="00D62FAD"/>
    <w:rsid w:val="00D64355"/>
    <w:rsid w:val="00D70450"/>
    <w:rsid w:val="00D83BFD"/>
    <w:rsid w:val="00D90A38"/>
    <w:rsid w:val="00D92A1C"/>
    <w:rsid w:val="00DA0515"/>
    <w:rsid w:val="00DA171E"/>
    <w:rsid w:val="00DA56AA"/>
    <w:rsid w:val="00DA7619"/>
    <w:rsid w:val="00DB5833"/>
    <w:rsid w:val="00DD2858"/>
    <w:rsid w:val="00E03E33"/>
    <w:rsid w:val="00E059E0"/>
    <w:rsid w:val="00E3642A"/>
    <w:rsid w:val="00E415C4"/>
    <w:rsid w:val="00E50016"/>
    <w:rsid w:val="00E50EAA"/>
    <w:rsid w:val="00E62471"/>
    <w:rsid w:val="00E656D6"/>
    <w:rsid w:val="00E75AB8"/>
    <w:rsid w:val="00E9579E"/>
    <w:rsid w:val="00E977EE"/>
    <w:rsid w:val="00EA2F24"/>
    <w:rsid w:val="00EA67A2"/>
    <w:rsid w:val="00EB630F"/>
    <w:rsid w:val="00EB6B6F"/>
    <w:rsid w:val="00EC052A"/>
    <w:rsid w:val="00EC4F98"/>
    <w:rsid w:val="00EC5A23"/>
    <w:rsid w:val="00EF587C"/>
    <w:rsid w:val="00F12F02"/>
    <w:rsid w:val="00F14054"/>
    <w:rsid w:val="00F20EF5"/>
    <w:rsid w:val="00F24106"/>
    <w:rsid w:val="00F32E0D"/>
    <w:rsid w:val="00F35134"/>
    <w:rsid w:val="00F37B9C"/>
    <w:rsid w:val="00F41812"/>
    <w:rsid w:val="00F64574"/>
    <w:rsid w:val="00F715D1"/>
    <w:rsid w:val="00F72715"/>
    <w:rsid w:val="00F73333"/>
    <w:rsid w:val="00F772BA"/>
    <w:rsid w:val="00F86738"/>
    <w:rsid w:val="00F95D8F"/>
    <w:rsid w:val="00FA5E3B"/>
    <w:rsid w:val="00FA6035"/>
    <w:rsid w:val="00FB350A"/>
    <w:rsid w:val="00FB4C5D"/>
    <w:rsid w:val="00FB50BF"/>
    <w:rsid w:val="00FC7151"/>
    <w:rsid w:val="00FD7AA7"/>
    <w:rsid w:val="00FE1C3F"/>
    <w:rsid w:val="00FE345E"/>
    <w:rsid w:val="00FE731D"/>
    <w:rsid w:val="00FF0466"/>
    <w:rsid w:val="00FF3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C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Text"/>
    <w:basedOn w:val="Normal"/>
    <w:link w:val="TableTextChar"/>
    <w:qFormat/>
    <w:rsid w:val="00267975"/>
    <w:pPr>
      <w:keepNext/>
      <w:spacing w:before="40" w:after="40" w:line="312" w:lineRule="auto"/>
    </w:pPr>
    <w:rPr>
      <w:rFonts w:ascii="Arial Narrow" w:hAnsi="Arial Narrow" w:cs="Tahoma"/>
      <w:sz w:val="18"/>
      <w:szCs w:val="22"/>
    </w:rPr>
  </w:style>
  <w:style w:type="character" w:customStyle="1" w:styleId="TableTextChar">
    <w:name w:val="TableText Char"/>
    <w:link w:val="TableText"/>
    <w:rsid w:val="00267975"/>
    <w:rPr>
      <w:rFonts w:ascii="Arial Narrow" w:eastAsia="Times New Roman" w:hAnsi="Arial Narrow" w:cs="Tahoma"/>
      <w:sz w:val="18"/>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267975"/>
    <w:pPr>
      <w:keepNext/>
      <w:spacing w:after="120"/>
      <w:ind w:left="1134" w:hanging="1134"/>
    </w:pPr>
    <w:rPr>
      <w:rFonts w:ascii="Arial Narrow" w:hAnsi="Arial Narrow" w:cs="Tahoma"/>
      <w:b/>
      <w:bCs/>
      <w:sz w:val="20"/>
      <w:szCs w:val="22"/>
    </w:rPr>
  </w:style>
  <w:style w:type="paragraph" w:customStyle="1" w:styleId="Tablenotes">
    <w:name w:val="Tablenotes"/>
    <w:basedOn w:val="Normal"/>
    <w:link w:val="TablenotesChar"/>
    <w:qFormat/>
    <w:rsid w:val="00267975"/>
    <w:pPr>
      <w:widowControl w:val="0"/>
      <w:spacing w:after="240"/>
      <w:contextualSpacing/>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267975"/>
    <w:rPr>
      <w:rFonts w:ascii="Arial Narrow" w:eastAsia="Times New Roman" w:hAnsi="Arial Narrow" w:cs="Arial"/>
      <w:snapToGrid w:val="0"/>
      <w:sz w:val="18"/>
      <w:szCs w:val="20"/>
      <w:lang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267975"/>
    <w:rPr>
      <w:rFonts w:ascii="Arial Narrow" w:eastAsia="Times New Roman" w:hAnsi="Arial Narrow" w:cs="Tahoma"/>
      <w:b/>
      <w:bCs/>
      <w:sz w:val="20"/>
    </w:rPr>
  </w:style>
  <w:style w:type="table" w:styleId="TableGrid">
    <w:name w:val="Table Grid"/>
    <w:basedOn w:val="TableNormal"/>
    <w:uiPriority w:val="59"/>
    <w:locked/>
    <w:rsid w:val="0039501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39501E"/>
    <w:pPr>
      <w:numPr>
        <w:numId w:val="27"/>
      </w:numPr>
    </w:pPr>
    <w:rPr>
      <w:color w:val="000000"/>
    </w:rPr>
  </w:style>
  <w:style w:type="paragraph" w:customStyle="1" w:styleId="Bullet">
    <w:name w:val="Bullet"/>
    <w:basedOn w:val="BulletBeforeDash"/>
    <w:qFormat/>
    <w:rsid w:val="0039501E"/>
    <w:pPr>
      <w:spacing w:after="120"/>
    </w:pPr>
  </w:style>
  <w:style w:type="paragraph" w:customStyle="1" w:styleId="BulletLast">
    <w:name w:val="BulletLast"/>
    <w:basedOn w:val="Bullet"/>
    <w:qFormat/>
    <w:rsid w:val="0039501E"/>
    <w:pPr>
      <w:spacing w:after="240"/>
    </w:pPr>
  </w:style>
  <w:style w:type="paragraph" w:customStyle="1" w:styleId="NormalBeforeBullet">
    <w:name w:val="NormalBeforeBullet"/>
    <w:basedOn w:val="Normal"/>
    <w:qFormat/>
    <w:rsid w:val="0039501E"/>
    <w:pPr>
      <w:keepNext/>
      <w:spacing w:after="120"/>
    </w:pPr>
    <w:rPr>
      <w:color w:val="000000"/>
    </w:rPr>
  </w:style>
  <w:style w:type="paragraph" w:customStyle="1" w:styleId="Tabletext0">
    <w:name w:val="Table text"/>
    <w:basedOn w:val="Normal"/>
    <w:link w:val="TabletextChar0"/>
    <w:qFormat/>
    <w:rsid w:val="002E2B41"/>
    <w:pPr>
      <w:keepLines/>
      <w:spacing w:before="40" w:after="40"/>
    </w:pPr>
    <w:rPr>
      <w:rFonts w:ascii="Arial Narrow" w:hAnsi="Arial Narrow" w:cs="Tahoma"/>
      <w:sz w:val="20"/>
    </w:rPr>
  </w:style>
  <w:style w:type="character" w:customStyle="1" w:styleId="TabletextChar0">
    <w:name w:val="Table text Char"/>
    <w:link w:val="Tabletext0"/>
    <w:rsid w:val="002E2B41"/>
    <w:rPr>
      <w:rFonts w:ascii="Arial Narrow" w:eastAsia="Times New Roman" w:hAnsi="Arial Narrow" w:cs="Tahoma"/>
      <w:sz w:val="20"/>
      <w:szCs w:val="20"/>
    </w:rPr>
  </w:style>
  <w:style w:type="table" w:customStyle="1" w:styleId="TableGrid1">
    <w:name w:val="Table Grid1"/>
    <w:basedOn w:val="TableNormal"/>
    <w:next w:val="TableGrid"/>
    <w:rsid w:val="002E2B41"/>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idowControl/>
        <w:wordWrap/>
      </w:pPr>
      <w:rPr>
        <w:rFonts w:ascii="Arial Narrow" w:hAnsi="Arial Narrow"/>
        <w:b/>
        <w:sz w:val="20"/>
      </w:rPr>
      <w:tblPr/>
      <w:trPr>
        <w:tblHeader/>
      </w:trPr>
    </w:tblStylePr>
  </w:style>
  <w:style w:type="paragraph" w:customStyle="1" w:styleId="TableHeading">
    <w:name w:val="TableHeading"/>
    <w:basedOn w:val="TableText"/>
    <w:link w:val="TableHeadingChar"/>
    <w:qFormat/>
    <w:rsid w:val="00D2603F"/>
    <w:pPr>
      <w:spacing w:line="240" w:lineRule="auto"/>
    </w:pPr>
    <w:rPr>
      <w:b/>
      <w:sz w:val="20"/>
      <w:szCs w:val="20"/>
    </w:rPr>
  </w:style>
  <w:style w:type="character" w:customStyle="1" w:styleId="TableHeadingChar">
    <w:name w:val="TableHeading Char"/>
    <w:link w:val="TableHeading"/>
    <w:rsid w:val="00D2603F"/>
    <w:rPr>
      <w:rFonts w:ascii="Arial Narrow" w:eastAsia="Times New Roman" w:hAnsi="Arial Narrow" w:cs="Tahoma"/>
      <w:b/>
      <w:sz w:val="20"/>
      <w:szCs w:val="20"/>
    </w:rPr>
  </w:style>
  <w:style w:type="table" w:customStyle="1" w:styleId="TableGrid2">
    <w:name w:val="Table Grid2"/>
    <w:basedOn w:val="TableNormal"/>
    <w:next w:val="TableGrid"/>
    <w:rsid w:val="00D2603F"/>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rPr>
        <w:rFonts w:ascii="Arial Narrow" w:hAnsi="Arial Narrow"/>
        <w:b w:val="0"/>
        <w:sz w:val="20"/>
      </w:rPr>
    </w:tblStylePr>
  </w:style>
  <w:style w:type="paragraph" w:styleId="Quote">
    <w:name w:val="Quote"/>
    <w:basedOn w:val="Normal"/>
    <w:link w:val="QuoteChar"/>
    <w:rsid w:val="00E62471"/>
    <w:pPr>
      <w:spacing w:after="240"/>
      <w:ind w:left="720" w:right="720"/>
    </w:pPr>
    <w:rPr>
      <w:color w:val="000000"/>
      <w:sz w:val="22"/>
    </w:rPr>
  </w:style>
  <w:style w:type="character" w:customStyle="1" w:styleId="QuoteChar">
    <w:name w:val="Quote Char"/>
    <w:basedOn w:val="DefaultParagraphFont"/>
    <w:link w:val="Quote"/>
    <w:rsid w:val="00E62471"/>
    <w:rPr>
      <w:rFonts w:eastAsia="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63697">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9975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ac.gov.au/"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6354</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2019-02-05T23:34:00Z</dcterms:created>
  <dcterms:modified xsi:type="dcterms:W3CDTF">2019-02-05T23:41:00Z</dcterms:modified>
</cp:coreProperties>
</file>