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B76C" w14:textId="1015AABF" w:rsidR="00E44B80" w:rsidRPr="00F637B3" w:rsidRDefault="00E44B80" w:rsidP="00E44B80">
      <w:pPr>
        <w:jc w:val="center"/>
        <w:rPr>
          <w:b/>
          <w:szCs w:val="20"/>
        </w:rPr>
      </w:pPr>
    </w:p>
    <w:p w14:paraId="169930E9" w14:textId="77777777" w:rsidR="006B4D37" w:rsidRDefault="006B4D37" w:rsidP="006B4D37">
      <w:pPr>
        <w:pStyle w:val="Title"/>
        <w:spacing w:before="2600"/>
      </w:pPr>
      <w:r>
        <w:t xml:space="preserve">MSAC </w:t>
      </w:r>
      <w:r w:rsidRPr="001906CD">
        <w:t xml:space="preserve">Application </w:t>
      </w:r>
      <w:r>
        <w:t>1525.1</w:t>
      </w:r>
    </w:p>
    <w:p w14:paraId="0DF61970" w14:textId="77777777" w:rsidR="006B4D37" w:rsidRDefault="006B4D37" w:rsidP="006B4D37"/>
    <w:p w14:paraId="353A9968" w14:textId="77777777" w:rsidR="006B4D37" w:rsidRPr="001643E6" w:rsidRDefault="006B4D37" w:rsidP="006B4D37">
      <w:pPr>
        <w:jc w:val="center"/>
        <w:rPr>
          <w:rFonts w:ascii="Arial" w:hAnsi="Arial" w:cs="Arial"/>
          <w:b/>
          <w:bCs/>
          <w:color w:val="0070C0"/>
          <w:sz w:val="48"/>
          <w:szCs w:val="48"/>
        </w:rPr>
      </w:pPr>
      <w:r w:rsidRPr="001643E6">
        <w:rPr>
          <w:rFonts w:ascii="Arial" w:hAnsi="Arial" w:cs="Arial"/>
          <w:b/>
          <w:bCs/>
          <w:color w:val="0070C0"/>
          <w:sz w:val="48"/>
          <w:szCs w:val="48"/>
        </w:rPr>
        <w:t>Low dose rate brachytherapy for intermediate and high-risk prostate cancer</w:t>
      </w:r>
    </w:p>
    <w:p w14:paraId="241BFBB5" w14:textId="77777777" w:rsidR="006B4D37" w:rsidRPr="001643E6" w:rsidRDefault="006B4D37" w:rsidP="006B4D37"/>
    <w:p w14:paraId="609408D2" w14:textId="77777777" w:rsidR="006B4D37" w:rsidRPr="00154B00" w:rsidRDefault="006B4D37" w:rsidP="006B4D37">
      <w:r>
        <w:t>T</w:t>
      </w:r>
      <w:r w:rsidRPr="00154B00">
        <w:t xml:space="preserve">his application form is to be completed for new and amended </w:t>
      </w:r>
      <w:r>
        <w:t xml:space="preserve">requests for public funding (including but not limited to the </w:t>
      </w:r>
      <w:r w:rsidRPr="00154B00">
        <w:t>Medicare Benefits Schedule (MBS)</w:t>
      </w:r>
      <w:r>
        <w:t>)</w:t>
      </w:r>
      <w:r w:rsidRPr="00154B00">
        <w:t xml:space="preserve">.  It describes the detailed information that the Australian Government Department of Health requires </w:t>
      </w:r>
      <w:proofErr w:type="gramStart"/>
      <w:r w:rsidRPr="00154B00">
        <w:t>in order to</w:t>
      </w:r>
      <w:proofErr w:type="gramEnd"/>
      <w:r w:rsidRPr="00154B00">
        <w:t xml:space="preserve"> determine whether </w:t>
      </w:r>
      <w:r>
        <w:t>a</w:t>
      </w:r>
      <w:r w:rsidRPr="00154B00">
        <w:t xml:space="preserve"> proposed </w:t>
      </w:r>
      <w:r>
        <w:t xml:space="preserve">medical </w:t>
      </w:r>
      <w:r w:rsidRPr="00154B00">
        <w:t>service is suitable.</w:t>
      </w:r>
    </w:p>
    <w:p w14:paraId="2A2357BA" w14:textId="77777777" w:rsidR="006B4D37" w:rsidRPr="00154B00" w:rsidRDefault="006B4D37" w:rsidP="006B4D37">
      <w:r w:rsidRPr="00154B00">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14:paraId="28E94294" w14:textId="77777777" w:rsidR="006B4D37" w:rsidRPr="00154B00" w:rsidRDefault="006B4D37" w:rsidP="006B4D37">
      <w:r w:rsidRPr="00154B00">
        <w:t xml:space="preserve">Should you require any further assistance, departmental staff are available through the Health Technology Assessment </w:t>
      </w:r>
      <w:r>
        <w:t xml:space="preserve">Team </w:t>
      </w:r>
      <w:r w:rsidRPr="00154B00">
        <w:t>(HTA Team) on the contact numbers and email below to discuss the application form, or any other component of the Medical Services Advisory Committee process.</w:t>
      </w:r>
    </w:p>
    <w:p w14:paraId="17ABF099" w14:textId="77777777" w:rsidR="006B4D37" w:rsidRPr="00154B00" w:rsidRDefault="006B4D37" w:rsidP="006B4D37">
      <w:pPr>
        <w:spacing w:before="0" w:after="0"/>
      </w:pPr>
      <w:r w:rsidRPr="00154B00">
        <w:t>Phone:  +61 2 6289 7550</w:t>
      </w:r>
    </w:p>
    <w:p w14:paraId="3A39E657" w14:textId="77777777" w:rsidR="006B4D37" w:rsidRPr="00154B00" w:rsidRDefault="006B4D37" w:rsidP="006B4D37">
      <w:pPr>
        <w:spacing w:before="0" w:after="0"/>
      </w:pPr>
      <w:r w:rsidRPr="00154B00">
        <w:t>Fax:  +61 2 6289 5540</w:t>
      </w:r>
    </w:p>
    <w:p w14:paraId="5A465964" w14:textId="77777777" w:rsidR="006B4D37" w:rsidRPr="00154B00" w:rsidRDefault="006B4D37" w:rsidP="006B4D37">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57E03D99" w14:textId="77777777" w:rsidR="006B4D37" w:rsidRPr="00154B00" w:rsidRDefault="006B4D37" w:rsidP="006B4D37">
      <w:pPr>
        <w:spacing w:before="0" w:after="0"/>
      </w:pPr>
      <w:r w:rsidRPr="00154B00">
        <w:t xml:space="preserve">Website:  </w:t>
      </w:r>
      <w:hyperlink r:id="rId9" w:tooltip="click here to visit the Medical Services Advisory Committee website" w:history="1">
        <w:r w:rsidRPr="00202C1D">
          <w:rPr>
            <w:rStyle w:val="Hyperlink"/>
          </w:rPr>
          <w:t>www.msac.gov.au</w:t>
        </w:r>
      </w:hyperlink>
      <w:r>
        <w:t xml:space="preserve">  </w:t>
      </w:r>
    </w:p>
    <w:p w14:paraId="50A8027A" w14:textId="77777777" w:rsidR="006B4D37" w:rsidRPr="00C776B1" w:rsidRDefault="006B4D37" w:rsidP="006B4D37">
      <w:pPr>
        <w:pStyle w:val="Heading1"/>
      </w:pPr>
      <w:bookmarkStart w:id="0" w:name="_Toc443555803"/>
      <w:r>
        <w:rPr>
          <w:rStyle w:val="IntenseReference"/>
        </w:rPr>
        <w:br w:type="page"/>
      </w:r>
      <w:bookmarkEnd w:id="0"/>
      <w:r>
        <w:lastRenderedPageBreak/>
        <w:t xml:space="preserve">PART 1 – </w:t>
      </w:r>
      <w:r w:rsidRPr="00C776B1">
        <w:t>APPLICANT DETAILS</w:t>
      </w:r>
    </w:p>
    <w:p w14:paraId="5873F1BD" w14:textId="77777777" w:rsidR="006B4D37" w:rsidRDefault="006B4D37" w:rsidP="006B4D37">
      <w:pPr>
        <w:pStyle w:val="Heading2"/>
      </w:pPr>
      <w:r w:rsidRPr="00A8732C">
        <w:t>Applicant details (primary and alternative contacts)</w:t>
      </w:r>
    </w:p>
    <w:p w14:paraId="730DBD51"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7124CE93" w14:textId="77777777" w:rsidR="006B4D37" w:rsidRDefault="006B4D37" w:rsidP="006B4D37">
      <w:pPr>
        <w:pBdr>
          <w:top w:val="single" w:sz="4" w:space="1" w:color="auto"/>
          <w:left w:val="single" w:sz="4" w:space="4" w:color="auto"/>
          <w:bottom w:val="single" w:sz="4" w:space="1" w:color="auto"/>
          <w:right w:val="single" w:sz="4" w:space="4" w:color="auto"/>
        </w:pBdr>
      </w:pPr>
      <w:r>
        <w:t>Corporation name</w:t>
      </w:r>
      <w:r w:rsidRPr="001643E6">
        <w:t xml:space="preserve">: </w:t>
      </w:r>
      <w:proofErr w:type="spellStart"/>
      <w:r w:rsidRPr="001643E6">
        <w:t>BXTAccelyon</w:t>
      </w:r>
      <w:proofErr w:type="spellEnd"/>
      <w:r w:rsidRPr="001643E6">
        <w:t xml:space="preserve"> Australia Pty Ltd </w:t>
      </w:r>
    </w:p>
    <w:p w14:paraId="2C15CAE0" w14:textId="77777777" w:rsidR="006B4D37" w:rsidRDefault="006B4D37" w:rsidP="006B4D37">
      <w:pPr>
        <w:pBdr>
          <w:top w:val="single" w:sz="4" w:space="1" w:color="auto"/>
          <w:left w:val="single" w:sz="4" w:space="4" w:color="auto"/>
          <w:bottom w:val="single" w:sz="4" w:space="1" w:color="auto"/>
          <w:right w:val="single" w:sz="4" w:space="4" w:color="auto"/>
        </w:pBdr>
      </w:pPr>
      <w:r>
        <w:t>ABN:</w:t>
      </w:r>
      <w:r w:rsidRPr="00A532F2">
        <w:t xml:space="preserve"> </w:t>
      </w:r>
      <w:r w:rsidRPr="009D6063">
        <w:rPr>
          <w:b/>
          <w:bCs/>
        </w:rPr>
        <w:t>REDACTED</w:t>
      </w:r>
      <w:r>
        <w:t xml:space="preserve"> </w:t>
      </w:r>
    </w:p>
    <w:p w14:paraId="5B14B563" w14:textId="77777777" w:rsidR="006B4D37" w:rsidRDefault="006B4D37" w:rsidP="006B4D37">
      <w:pPr>
        <w:pBdr>
          <w:top w:val="single" w:sz="4" w:space="1" w:color="auto"/>
          <w:left w:val="single" w:sz="4" w:space="4" w:color="auto"/>
          <w:bottom w:val="single" w:sz="4" w:space="1" w:color="auto"/>
          <w:right w:val="single" w:sz="4" w:space="4" w:color="auto"/>
        </w:pBdr>
      </w:pPr>
      <w:r>
        <w:t>Business trading name</w:t>
      </w:r>
      <w:r w:rsidRPr="001643E6">
        <w:t xml:space="preserve">: </w:t>
      </w:r>
      <w:proofErr w:type="spellStart"/>
      <w:r w:rsidRPr="001643E6">
        <w:t>BXTAccelyon</w:t>
      </w:r>
      <w:proofErr w:type="spellEnd"/>
      <w:r w:rsidRPr="001643E6">
        <w:t xml:space="preserve"> Australia Pty Ltd </w:t>
      </w:r>
    </w:p>
    <w:p w14:paraId="447F71C7" w14:textId="77777777" w:rsidR="006B4D37" w:rsidRPr="00C171FB" w:rsidRDefault="006B4D37" w:rsidP="006B4D37"/>
    <w:p w14:paraId="683CBED3" w14:textId="77777777" w:rsidR="006B4D37" w:rsidRPr="00C171FB" w:rsidRDefault="006B4D37" w:rsidP="006B4D37">
      <w:pPr>
        <w:rPr>
          <w:b/>
        </w:rPr>
      </w:pPr>
      <w:r>
        <w:rPr>
          <w:b/>
        </w:rPr>
        <w:t xml:space="preserve">Primary contact name: </w:t>
      </w:r>
      <w:r w:rsidRPr="001643E6">
        <w:rPr>
          <w:b/>
          <w:bCs/>
        </w:rPr>
        <w:t>REDACTED</w:t>
      </w:r>
    </w:p>
    <w:p w14:paraId="7D719531" w14:textId="77777777" w:rsidR="006B4D37" w:rsidRDefault="006B4D37" w:rsidP="006B4D37">
      <w:pPr>
        <w:pBdr>
          <w:top w:val="single" w:sz="4" w:space="1" w:color="auto"/>
          <w:left w:val="single" w:sz="4" w:space="4" w:color="auto"/>
          <w:bottom w:val="single" w:sz="4" w:space="1" w:color="auto"/>
          <w:right w:val="single" w:sz="4" w:space="4" w:color="auto"/>
        </w:pBdr>
      </w:pPr>
      <w:r>
        <w:t>Primary contact numbers</w:t>
      </w:r>
    </w:p>
    <w:p w14:paraId="09757243"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Business: </w:t>
      </w:r>
      <w:r w:rsidRPr="001643E6">
        <w:rPr>
          <w:b/>
          <w:bCs/>
        </w:rPr>
        <w:t>REDACTED</w:t>
      </w:r>
    </w:p>
    <w:p w14:paraId="79AD38BF" w14:textId="77777777" w:rsidR="006B4D37" w:rsidRDefault="006B4D37" w:rsidP="006B4D37">
      <w:pPr>
        <w:pBdr>
          <w:top w:val="single" w:sz="4" w:space="1" w:color="auto"/>
          <w:left w:val="single" w:sz="4" w:space="4" w:color="auto"/>
          <w:bottom w:val="single" w:sz="4" w:space="1" w:color="auto"/>
          <w:right w:val="single" w:sz="4" w:space="4" w:color="auto"/>
        </w:pBdr>
      </w:pPr>
      <w:r>
        <w:t>Mobile:</w:t>
      </w:r>
      <w:r>
        <w:tab/>
      </w:r>
      <w:r w:rsidRPr="001643E6">
        <w:rPr>
          <w:b/>
          <w:bCs/>
        </w:rPr>
        <w:t>REDACTED</w:t>
      </w:r>
      <w:r>
        <w:t xml:space="preserve"> </w:t>
      </w:r>
    </w:p>
    <w:p w14:paraId="0566F160"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Email: </w:t>
      </w:r>
      <w:r w:rsidRPr="001643E6">
        <w:rPr>
          <w:b/>
          <w:bCs/>
        </w:rPr>
        <w:t>REDACTED</w:t>
      </w:r>
    </w:p>
    <w:p w14:paraId="59469843" w14:textId="77777777" w:rsidR="006B4D37" w:rsidRDefault="006B4D37" w:rsidP="006B4D37">
      <w:pPr>
        <w:rPr>
          <w:b/>
        </w:rPr>
      </w:pPr>
    </w:p>
    <w:p w14:paraId="044C1883" w14:textId="281DFEC3" w:rsidR="006B4D37" w:rsidRPr="00C171FB" w:rsidRDefault="006B4D37" w:rsidP="006B4D37">
      <w:pPr>
        <w:rPr>
          <w:b/>
        </w:rPr>
      </w:pPr>
      <w:r>
        <w:rPr>
          <w:b/>
        </w:rPr>
        <w:t xml:space="preserve">Alternative contact name: </w:t>
      </w:r>
      <w:r w:rsidRPr="00AB1909">
        <w:rPr>
          <w:b/>
          <w:bCs/>
        </w:rPr>
        <w:t>REDACTED</w:t>
      </w:r>
    </w:p>
    <w:p w14:paraId="765508B7" w14:textId="77777777" w:rsidR="006B4D37" w:rsidRDefault="006B4D37" w:rsidP="006B4D37">
      <w:pPr>
        <w:pBdr>
          <w:top w:val="single" w:sz="4" w:space="1" w:color="auto"/>
          <w:left w:val="single" w:sz="4" w:space="4" w:color="auto"/>
          <w:bottom w:val="single" w:sz="4" w:space="1" w:color="auto"/>
          <w:right w:val="single" w:sz="4" w:space="4" w:color="auto"/>
        </w:pBdr>
      </w:pPr>
      <w:r>
        <w:t>Alternative contact numbers</w:t>
      </w:r>
      <w:r>
        <w:tab/>
      </w:r>
    </w:p>
    <w:p w14:paraId="373C5E59"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Business: </w:t>
      </w:r>
      <w:r w:rsidRPr="001643E6">
        <w:rPr>
          <w:b/>
          <w:bCs/>
        </w:rPr>
        <w:t>REDACTED</w:t>
      </w:r>
    </w:p>
    <w:p w14:paraId="21FC5E91"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Mobile: </w:t>
      </w:r>
      <w:r w:rsidRPr="001643E6">
        <w:rPr>
          <w:b/>
          <w:bCs/>
        </w:rPr>
        <w:t>REDACTED</w:t>
      </w:r>
    </w:p>
    <w:p w14:paraId="69C4992B" w14:textId="77777777" w:rsidR="006B4D37" w:rsidRDefault="006B4D37" w:rsidP="006B4D37">
      <w:pPr>
        <w:pBdr>
          <w:top w:val="single" w:sz="4" w:space="1" w:color="auto"/>
          <w:left w:val="single" w:sz="4" w:space="4" w:color="auto"/>
          <w:bottom w:val="single" w:sz="4" w:space="1" w:color="auto"/>
          <w:right w:val="single" w:sz="4" w:space="4" w:color="auto"/>
        </w:pBdr>
      </w:pPr>
      <w:r>
        <w:t xml:space="preserve">Email: </w:t>
      </w:r>
      <w:r w:rsidRPr="001643E6">
        <w:rPr>
          <w:b/>
          <w:bCs/>
        </w:rPr>
        <w:t>REDACTED</w:t>
      </w:r>
    </w:p>
    <w:p w14:paraId="3635052D" w14:textId="77777777" w:rsidR="006B4D37" w:rsidRPr="00C171FB" w:rsidRDefault="006B4D37" w:rsidP="006B4D37"/>
    <w:p w14:paraId="52443228" w14:textId="77777777" w:rsidR="000C7277" w:rsidRPr="00154B00" w:rsidRDefault="000C7277" w:rsidP="000C7277">
      <w:pPr>
        <w:pStyle w:val="Heading2"/>
      </w:pPr>
      <w:r>
        <w:t>(a) Are you a lobbyist acting on behalf of an Applicant?</w:t>
      </w:r>
    </w:p>
    <w:p w14:paraId="1D4508F7" w14:textId="77777777" w:rsidR="000C7277" w:rsidRPr="001643E6" w:rsidRDefault="000C7277" w:rsidP="000C7277">
      <w:pPr>
        <w:spacing w:before="0" w:after="0"/>
        <w:ind w:left="425"/>
        <w:rPr>
          <w:b/>
          <w:bCs/>
          <w:szCs w:val="20"/>
        </w:rPr>
      </w:pPr>
      <w:r w:rsidRPr="001643E6">
        <w:rPr>
          <w:b/>
          <w:bCs/>
        </w:rPr>
        <w:t>REDACTED</w:t>
      </w:r>
    </w:p>
    <w:p w14:paraId="7C75BCCD" w14:textId="77777777" w:rsidR="000C7277" w:rsidRPr="00154B00" w:rsidRDefault="000C7277" w:rsidP="000C7277">
      <w:pPr>
        <w:pStyle w:val="Heading2"/>
        <w:numPr>
          <w:ilvl w:val="0"/>
          <w:numId w:val="23"/>
        </w:numPr>
        <w:ind w:left="360" w:firstLine="66"/>
      </w:pPr>
      <w:r w:rsidRPr="00154B00">
        <w:t xml:space="preserve">If yes, </w:t>
      </w:r>
      <w:r>
        <w:t xml:space="preserve">are </w:t>
      </w:r>
      <w:r w:rsidRPr="00FE33A6">
        <w:t>you</w:t>
      </w:r>
      <w:r>
        <w:t xml:space="preserve"> listed on the Register of Lobbyists?</w:t>
      </w:r>
    </w:p>
    <w:p w14:paraId="316B43D8" w14:textId="4BD8F2D7" w:rsidR="006B4D37" w:rsidRPr="001643E6" w:rsidRDefault="000C7277" w:rsidP="000C7277">
      <w:pPr>
        <w:spacing w:before="0" w:after="0"/>
        <w:ind w:left="426"/>
        <w:rPr>
          <w:b/>
          <w:bCs/>
          <w:szCs w:val="20"/>
        </w:rPr>
      </w:pPr>
      <w:r w:rsidRPr="001643E6">
        <w:rPr>
          <w:b/>
          <w:bCs/>
        </w:rPr>
        <w:t xml:space="preserve">REDACTED </w:t>
      </w:r>
      <w:r w:rsidR="006B4D37" w:rsidRPr="001643E6">
        <w:rPr>
          <w:b/>
          <w:bCs/>
          <w:szCs w:val="20"/>
        </w:rPr>
        <w:br w:type="page"/>
      </w:r>
    </w:p>
    <w:p w14:paraId="521980D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37700E12" w14:textId="77777777" w:rsidR="000B3CD0" w:rsidRDefault="000B3CD0" w:rsidP="00730C04">
      <w:pPr>
        <w:pStyle w:val="Heading2"/>
      </w:pPr>
      <w:r w:rsidRPr="00154B00">
        <w:t>Application title</w:t>
      </w:r>
      <w:r w:rsidR="00A8732C">
        <w:t xml:space="preserve"> </w:t>
      </w:r>
    </w:p>
    <w:p w14:paraId="60D8A633" w14:textId="77777777" w:rsidR="009056C5" w:rsidRPr="009056C5" w:rsidRDefault="00B64694" w:rsidP="006B4D37">
      <w:pPr>
        <w:ind w:left="284" w:firstLine="76"/>
      </w:pPr>
      <w:r>
        <w:t>Low dose rate</w:t>
      </w:r>
      <w:r w:rsidR="004D3236">
        <w:t xml:space="preserve"> (LDR)</w:t>
      </w:r>
      <w:r>
        <w:t xml:space="preserve"> brachytherapy for intermediate and high</w:t>
      </w:r>
      <w:r w:rsidR="004D3236">
        <w:t>-</w:t>
      </w:r>
      <w:r>
        <w:t>risk prostate cancer</w:t>
      </w:r>
    </w:p>
    <w:p w14:paraId="726CCE50"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333C075" w14:textId="1A87467B" w:rsidR="002C3345" w:rsidRPr="009056C5" w:rsidRDefault="004D3236" w:rsidP="006B4D37">
      <w:pPr>
        <w:ind w:left="360"/>
      </w:pPr>
      <w:r>
        <w:t>Cancer of the prostate gland that is classified as intermediate or high-risk.</w:t>
      </w:r>
      <w:r w:rsidR="00AA61E0">
        <w:t xml:space="preserve"> </w:t>
      </w:r>
      <w:r>
        <w:t xml:space="preserve"> Intermediate</w:t>
      </w:r>
      <w:r w:rsidR="00A11467">
        <w:t xml:space="preserve"> risk prostate cancer </w:t>
      </w:r>
      <w:r w:rsidR="00AA61E0">
        <w:t xml:space="preserve">can be </w:t>
      </w:r>
      <w:r w:rsidR="00A11467">
        <w:t>defined</w:t>
      </w:r>
      <w:r>
        <w:t xml:space="preserve"> as having a Prostate Specific Antigen (PSA) measurement of </w:t>
      </w:r>
      <w:r w:rsidR="00F2417C">
        <w:t>10-20</w:t>
      </w:r>
      <w:r>
        <w:t xml:space="preserve"> nanograms per millilitre of blood (ng/ml) and/or a Gleason score of 7 </w:t>
      </w:r>
      <w:r w:rsidR="00AA61E0">
        <w:t xml:space="preserve">(Grade Group 2 or 3) </w:t>
      </w:r>
      <w:r>
        <w:t xml:space="preserve">and/or a tumour classified as T2b-c.  High-risk prostate cancer is classified as having a PSA of </w:t>
      </w:r>
      <w:r w:rsidR="00F2417C">
        <w:t xml:space="preserve">greater than 20 </w:t>
      </w:r>
      <w:r>
        <w:t xml:space="preserve">and/or a Gleason score of 8-10 and/or a tumour classified as </w:t>
      </w:r>
      <w:r w:rsidR="00C17ECD">
        <w:t>T3</w:t>
      </w:r>
      <w:r w:rsidR="00653A89">
        <w:t xml:space="preserve"> </w:t>
      </w:r>
      <w:r>
        <w:t>OR 2 or more intermediate risk features.</w:t>
      </w:r>
    </w:p>
    <w:p w14:paraId="036B29D7"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130CEB5" w14:textId="77777777" w:rsidR="00CB12EC" w:rsidRPr="00CB12EC" w:rsidRDefault="004D3236" w:rsidP="006B4D37">
      <w:pPr>
        <w:ind w:left="360"/>
      </w:pPr>
      <w:r>
        <w:t>LDR Brachytherapy is the insertion of tiny radioactive capsules or ‘seeds’ into the prostate gland. Generally, 80-120 seeds will be implanted.  The radiation from the seeds targets the tumour and destroys the cancerous cells.  The see</w:t>
      </w:r>
      <w:r w:rsidR="00C17ECD">
        <w:t>ds are inserted via a hollow needle through the perineum.  The procedure is guided by</w:t>
      </w:r>
      <w:r w:rsidR="007A2856">
        <w:t xml:space="preserve"> transrectal</w:t>
      </w:r>
      <w:r w:rsidR="00C17ECD">
        <w:t xml:space="preserve"> ultrasound.</w:t>
      </w:r>
    </w:p>
    <w:p w14:paraId="0876D90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270FB98" w14:textId="77777777" w:rsidR="00753C44" w:rsidRDefault="00C17ECD"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B6390">
        <w:rPr>
          <w:szCs w:val="20"/>
        </w:rPr>
        <w:t xml:space="preserve"> Yes</w:t>
      </w:r>
    </w:p>
    <w:p w14:paraId="5370E171" w14:textId="77777777" w:rsidR="00753C44" w:rsidRPr="00753C44" w:rsidRDefault="006B6390" w:rsidP="006B4D37">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B1909">
        <w:rPr>
          <w:szCs w:val="20"/>
        </w:rPr>
      </w:r>
      <w:r w:rsidR="00AB1909">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2C85831E"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903F24A" w14:textId="1E140B3D" w:rsidR="00753C44" w:rsidRDefault="00BD7A2A" w:rsidP="006B4D37">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4772B2EF" w14:textId="32DCDBB3" w:rsidR="00753C44" w:rsidRPr="00753C44" w:rsidRDefault="00AA61E0" w:rsidP="006B4D37">
      <w:pPr>
        <w:spacing w:before="0" w:after="0"/>
        <w:ind w:left="360"/>
        <w:rPr>
          <w:szCs w:val="20"/>
        </w:rPr>
      </w:pPr>
      <w:r>
        <w:rPr>
          <w:szCs w:val="20"/>
        </w:rPr>
        <w:fldChar w:fldCharType="begin">
          <w:ffData>
            <w:name w:val=""/>
            <w:enabled w:val="0"/>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456B4B3"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E3C356F" w14:textId="32A19C8A" w:rsidR="002A270B" w:rsidRPr="006B4D37" w:rsidRDefault="006B4D37" w:rsidP="006B4D37">
      <w:pPr>
        <w:ind w:firstLine="360"/>
        <w:rPr>
          <w:rStyle w:val="Strong"/>
          <w:bCs/>
        </w:rPr>
      </w:pPr>
      <w:r w:rsidRPr="006B4D37">
        <w:rPr>
          <w:bCs/>
          <w:szCs w:val="20"/>
        </w:rPr>
        <w:t>Not applicable</w:t>
      </w:r>
    </w:p>
    <w:p w14:paraId="1E58DFC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28E5AB8" w14:textId="77777777" w:rsidR="006B6390" w:rsidRPr="006B4D37" w:rsidRDefault="006B6390" w:rsidP="006B4D37">
      <w:pPr>
        <w:spacing w:before="0" w:after="0"/>
        <w:ind w:left="360"/>
        <w:rPr>
          <w:rStyle w:val="Strong"/>
          <w:b w:val="0"/>
        </w:rPr>
      </w:pPr>
      <w:r w:rsidRPr="006B4D37">
        <w:rPr>
          <w:b/>
          <w:szCs w:val="20"/>
        </w:rPr>
        <w:fldChar w:fldCharType="begin">
          <w:ffData>
            <w:name w:val="Check2"/>
            <w:enabled/>
            <w:calcOnExit w:val="0"/>
            <w:checkBox>
              <w:sizeAuto/>
              <w:default w:val="0"/>
            </w:checkBox>
          </w:ffData>
        </w:fldChar>
      </w:r>
      <w:r w:rsidRPr="006B4D37">
        <w:rPr>
          <w:b/>
          <w:szCs w:val="20"/>
        </w:rPr>
        <w:instrText xml:space="preserve"> FORMCHECKBOX </w:instrText>
      </w:r>
      <w:r w:rsidR="00AB1909">
        <w:rPr>
          <w:b/>
          <w:szCs w:val="20"/>
        </w:rPr>
      </w:r>
      <w:r w:rsidR="00AB1909" w:rsidRPr="006B4D37">
        <w:rPr>
          <w:b/>
          <w:szCs w:val="20"/>
        </w:rPr>
        <w:fldChar w:fldCharType="separate"/>
      </w:r>
      <w:r w:rsidRPr="006B4D37">
        <w:rPr>
          <w:b/>
          <w:szCs w:val="20"/>
        </w:rPr>
        <w:fldChar w:fldCharType="end"/>
      </w:r>
      <w:r w:rsidRPr="006B4D37">
        <w:rPr>
          <w:b/>
          <w:szCs w:val="20"/>
        </w:rPr>
        <w:t xml:space="preserve"> </w:t>
      </w:r>
      <w:r w:rsidRPr="006B4D37">
        <w:rPr>
          <w:rStyle w:val="Strong"/>
          <w:b w:val="0"/>
        </w:rPr>
        <w:t>A new item which also seeks to allow access to the MBS for a specific health practitioner group</w:t>
      </w:r>
    </w:p>
    <w:p w14:paraId="3A3B14DE" w14:textId="2B21C41A" w:rsidR="006B6390" w:rsidRPr="006B4D37" w:rsidRDefault="00AA61E0" w:rsidP="006B4D37">
      <w:pPr>
        <w:spacing w:before="0" w:after="0"/>
        <w:ind w:left="360"/>
        <w:rPr>
          <w:rStyle w:val="Strong"/>
          <w:b w:val="0"/>
        </w:rPr>
      </w:pPr>
      <w:r w:rsidRPr="006B4D37">
        <w:rPr>
          <w:b/>
          <w:szCs w:val="20"/>
        </w:rPr>
        <w:fldChar w:fldCharType="begin">
          <w:ffData>
            <w:name w:val=""/>
            <w:enabled/>
            <w:calcOnExit w:val="0"/>
            <w:checkBox>
              <w:sizeAuto/>
              <w:default w:val="1"/>
            </w:checkBox>
          </w:ffData>
        </w:fldChar>
      </w:r>
      <w:r w:rsidRPr="006B4D37">
        <w:rPr>
          <w:b/>
          <w:szCs w:val="20"/>
        </w:rPr>
        <w:instrText xml:space="preserve"> FORMCHECKBOX </w:instrText>
      </w:r>
      <w:r w:rsidR="00AB1909">
        <w:rPr>
          <w:b/>
          <w:szCs w:val="20"/>
        </w:rPr>
      </w:r>
      <w:r w:rsidR="00AB1909" w:rsidRPr="006B4D37">
        <w:rPr>
          <w:b/>
          <w:szCs w:val="20"/>
        </w:rPr>
        <w:fldChar w:fldCharType="separate"/>
      </w:r>
      <w:r w:rsidRPr="006B4D37">
        <w:rPr>
          <w:b/>
          <w:szCs w:val="20"/>
        </w:rPr>
        <w:fldChar w:fldCharType="end"/>
      </w:r>
      <w:r w:rsidR="006B6390" w:rsidRPr="006B4D37">
        <w:rPr>
          <w:b/>
          <w:szCs w:val="20"/>
        </w:rPr>
        <w:t xml:space="preserve"> </w:t>
      </w:r>
      <w:r w:rsidR="006B6390" w:rsidRPr="006B4D37">
        <w:rPr>
          <w:rStyle w:val="Strong"/>
          <w:b w:val="0"/>
        </w:rPr>
        <w:t>A new item that is proposing a way of clinically delivering a service that is new to the MBS (in terms of new technology and / or population)</w:t>
      </w:r>
    </w:p>
    <w:p w14:paraId="079C6231" w14:textId="77777777" w:rsidR="006B6390" w:rsidRPr="006B4D37" w:rsidRDefault="006B6390" w:rsidP="006B4D37">
      <w:pPr>
        <w:spacing w:before="0" w:after="0"/>
        <w:ind w:left="360"/>
        <w:rPr>
          <w:rStyle w:val="Strong"/>
          <w:b w:val="0"/>
        </w:rPr>
      </w:pPr>
      <w:r w:rsidRPr="006B4D37">
        <w:rPr>
          <w:b/>
          <w:szCs w:val="20"/>
        </w:rPr>
        <w:fldChar w:fldCharType="begin">
          <w:ffData>
            <w:name w:val="Check2"/>
            <w:enabled/>
            <w:calcOnExit w:val="0"/>
            <w:checkBox>
              <w:sizeAuto/>
              <w:default w:val="0"/>
            </w:checkBox>
          </w:ffData>
        </w:fldChar>
      </w:r>
      <w:r w:rsidRPr="006B4D37">
        <w:rPr>
          <w:b/>
          <w:szCs w:val="20"/>
        </w:rPr>
        <w:instrText xml:space="preserve"> FORMCHECKBOX </w:instrText>
      </w:r>
      <w:r w:rsidR="00AB1909">
        <w:rPr>
          <w:b/>
          <w:szCs w:val="20"/>
        </w:rPr>
      </w:r>
      <w:r w:rsidR="00AB1909" w:rsidRPr="006B4D37">
        <w:rPr>
          <w:b/>
          <w:szCs w:val="20"/>
        </w:rPr>
        <w:fldChar w:fldCharType="separate"/>
      </w:r>
      <w:r w:rsidRPr="006B4D37">
        <w:rPr>
          <w:b/>
          <w:szCs w:val="20"/>
        </w:rPr>
        <w:fldChar w:fldCharType="end"/>
      </w:r>
      <w:r w:rsidRPr="006B4D37">
        <w:rPr>
          <w:b/>
          <w:szCs w:val="20"/>
        </w:rPr>
        <w:t xml:space="preserve"> </w:t>
      </w:r>
      <w:r w:rsidRPr="006B4D37">
        <w:rPr>
          <w:rStyle w:val="Strong"/>
          <w:b w:val="0"/>
        </w:rPr>
        <w:t>A new item for a specific single consultation item</w:t>
      </w:r>
    </w:p>
    <w:p w14:paraId="156FA79A" w14:textId="77777777" w:rsidR="006B6390" w:rsidRPr="006B4D37" w:rsidRDefault="006B6390" w:rsidP="006B4D37">
      <w:pPr>
        <w:spacing w:before="0" w:after="0"/>
        <w:ind w:left="360"/>
        <w:rPr>
          <w:rStyle w:val="Strong"/>
          <w:b w:val="0"/>
        </w:rPr>
      </w:pPr>
      <w:r w:rsidRPr="006B4D37">
        <w:rPr>
          <w:b/>
          <w:szCs w:val="20"/>
        </w:rPr>
        <w:fldChar w:fldCharType="begin">
          <w:ffData>
            <w:name w:val="Check2"/>
            <w:enabled/>
            <w:calcOnExit w:val="0"/>
            <w:checkBox>
              <w:sizeAuto/>
              <w:default w:val="0"/>
            </w:checkBox>
          </w:ffData>
        </w:fldChar>
      </w:r>
      <w:r w:rsidRPr="006B4D37">
        <w:rPr>
          <w:b/>
          <w:szCs w:val="20"/>
        </w:rPr>
        <w:instrText xml:space="preserve"> FORMCHECKBOX </w:instrText>
      </w:r>
      <w:r w:rsidR="00AB1909">
        <w:rPr>
          <w:b/>
          <w:szCs w:val="20"/>
        </w:rPr>
      </w:r>
      <w:r w:rsidR="00AB1909" w:rsidRPr="006B4D37">
        <w:rPr>
          <w:b/>
          <w:szCs w:val="20"/>
        </w:rPr>
        <w:fldChar w:fldCharType="separate"/>
      </w:r>
      <w:r w:rsidRPr="006B4D37">
        <w:rPr>
          <w:b/>
          <w:szCs w:val="20"/>
        </w:rPr>
        <w:fldChar w:fldCharType="end"/>
      </w:r>
      <w:r w:rsidRPr="006B4D37">
        <w:rPr>
          <w:b/>
          <w:szCs w:val="20"/>
        </w:rPr>
        <w:t xml:space="preserve"> </w:t>
      </w:r>
      <w:r w:rsidRPr="006B4D37">
        <w:rPr>
          <w:rStyle w:val="Strong"/>
          <w:b w:val="0"/>
        </w:rPr>
        <w:t>A new item for a global consultation item(s)</w:t>
      </w:r>
    </w:p>
    <w:p w14:paraId="777D8274"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5028F3C" w14:textId="77777777" w:rsidR="000A5B32" w:rsidRDefault="000A5B32"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sidRPr="000A5B32">
        <w:rPr>
          <w:szCs w:val="20"/>
        </w:rPr>
        <w:t xml:space="preserve"> Yes</w:t>
      </w:r>
    </w:p>
    <w:p w14:paraId="6E3DA445" w14:textId="77777777" w:rsidR="00626365" w:rsidRDefault="00C17ECD"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0A5B32" w:rsidRPr="000A5B32">
        <w:rPr>
          <w:szCs w:val="20"/>
        </w:rPr>
        <w:t xml:space="preserve"> No</w:t>
      </w:r>
    </w:p>
    <w:p w14:paraId="253D1238" w14:textId="77777777" w:rsidR="000B3CD0" w:rsidRDefault="000B3CD0" w:rsidP="00730C04">
      <w:pPr>
        <w:pStyle w:val="Heading2"/>
      </w:pPr>
      <w:r w:rsidRPr="00154B00">
        <w:t xml:space="preserve">What is the type of </w:t>
      </w:r>
      <w:proofErr w:type="gramStart"/>
      <w:r w:rsidRPr="00154B00">
        <w:t>service:</w:t>
      </w:r>
      <w:proofErr w:type="gramEnd"/>
    </w:p>
    <w:p w14:paraId="32F0A1D2" w14:textId="77777777" w:rsidR="00A6594E" w:rsidRDefault="00C17ECD" w:rsidP="006B4D3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AB1909">
        <w:rPr>
          <w:b/>
          <w:szCs w:val="20"/>
        </w:rPr>
      </w:r>
      <w:r w:rsidR="00AB1909">
        <w:rPr>
          <w:b/>
          <w:szCs w:val="20"/>
        </w:rPr>
        <w:fldChar w:fldCharType="separate"/>
      </w:r>
      <w:r>
        <w:rPr>
          <w:b/>
          <w:szCs w:val="20"/>
        </w:rPr>
        <w:fldChar w:fldCharType="end"/>
      </w:r>
      <w:r w:rsidR="00A6594E" w:rsidRPr="0027105F">
        <w:rPr>
          <w:b/>
          <w:szCs w:val="20"/>
        </w:rPr>
        <w:t xml:space="preserve"> </w:t>
      </w:r>
      <w:r w:rsidR="00A6594E">
        <w:t>Therapeutic medical service</w:t>
      </w:r>
    </w:p>
    <w:p w14:paraId="547CC6F6" w14:textId="77777777" w:rsidR="00A6594E" w:rsidRDefault="00A6594E"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Investigative medical service</w:t>
      </w:r>
    </w:p>
    <w:p w14:paraId="51E9A4C2" w14:textId="77777777" w:rsidR="00A6594E" w:rsidRDefault="00A6594E"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Single consultation medical service</w:t>
      </w:r>
    </w:p>
    <w:p w14:paraId="0B6274B5" w14:textId="77777777" w:rsidR="00A6594E" w:rsidRDefault="00A6594E"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Global consultation medical service</w:t>
      </w:r>
    </w:p>
    <w:p w14:paraId="5B23E924" w14:textId="77777777" w:rsidR="00A6594E" w:rsidRDefault="00A6594E"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Allied health service</w:t>
      </w:r>
    </w:p>
    <w:p w14:paraId="0BB3FC6C" w14:textId="77777777" w:rsidR="00A6594E" w:rsidRDefault="00A6594E"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Co-dependent technology</w:t>
      </w:r>
    </w:p>
    <w:p w14:paraId="12E775C2" w14:textId="77777777" w:rsidR="00A6594E" w:rsidRPr="00A6594E" w:rsidRDefault="00A6594E" w:rsidP="006B4D37">
      <w:pPr>
        <w:spacing w:before="0" w:after="0"/>
        <w:ind w:left="284" w:firstLine="7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Hybrid health technology</w:t>
      </w:r>
    </w:p>
    <w:p w14:paraId="046E0029" w14:textId="77777777" w:rsidR="006B4D37" w:rsidRDefault="006B4D37">
      <w:pPr>
        <w:spacing w:before="0" w:after="200" w:line="276" w:lineRule="auto"/>
        <w:rPr>
          <w:b/>
          <w:szCs w:val="20"/>
        </w:rPr>
      </w:pPr>
      <w:r>
        <w:br w:type="page"/>
      </w:r>
    </w:p>
    <w:p w14:paraId="4C8D5200" w14:textId="0B08D560" w:rsidR="00A6594E" w:rsidRDefault="0054594B" w:rsidP="006B4D37">
      <w:pPr>
        <w:pStyle w:val="Heading2"/>
      </w:pPr>
      <w:r w:rsidRPr="00154B00">
        <w:lastRenderedPageBreak/>
        <w:t xml:space="preserve">For investigative services, </w:t>
      </w:r>
      <w:r w:rsidR="00154B00" w:rsidRPr="00154B00">
        <w:t>advise</w:t>
      </w:r>
      <w:r w:rsidRPr="00154B00">
        <w:t xml:space="preserve"> the specific purpose of performing the service </w:t>
      </w:r>
    </w:p>
    <w:p w14:paraId="6CEE8B5B" w14:textId="249E1565" w:rsidR="006B4D37" w:rsidRPr="006B4D37" w:rsidRDefault="006B4D37" w:rsidP="006B4D37">
      <w:pPr>
        <w:ind w:left="360"/>
      </w:pPr>
      <w:r>
        <w:t>Not applicable</w:t>
      </w:r>
    </w:p>
    <w:p w14:paraId="648FB75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8789F26" w14:textId="77777777" w:rsidR="00FE16C1" w:rsidRDefault="00FE16C1"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Pharmaceutical / Biological</w:t>
      </w:r>
    </w:p>
    <w:p w14:paraId="467E7741" w14:textId="77777777" w:rsidR="00FE16C1" w:rsidRDefault="00C17ECD" w:rsidP="006B4D3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AB1909">
        <w:rPr>
          <w:b/>
          <w:szCs w:val="20"/>
        </w:rPr>
      </w:r>
      <w:r w:rsidR="00AB1909">
        <w:rPr>
          <w:b/>
          <w:szCs w:val="20"/>
        </w:rPr>
        <w:fldChar w:fldCharType="separate"/>
      </w:r>
      <w:r>
        <w:rPr>
          <w:b/>
          <w:szCs w:val="20"/>
        </w:rPr>
        <w:fldChar w:fldCharType="end"/>
      </w:r>
      <w:r w:rsidR="00FE16C1" w:rsidRPr="0027105F">
        <w:rPr>
          <w:b/>
          <w:szCs w:val="20"/>
        </w:rPr>
        <w:t xml:space="preserve"> </w:t>
      </w:r>
      <w:r w:rsidR="00FE16C1">
        <w:t>Prosthesis or device</w:t>
      </w:r>
    </w:p>
    <w:p w14:paraId="7CB1DB97" w14:textId="77777777" w:rsidR="00FE16C1" w:rsidRPr="00FE16C1" w:rsidRDefault="00FE16C1" w:rsidP="006B4D3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B1909">
        <w:rPr>
          <w:b/>
          <w:szCs w:val="20"/>
        </w:rPr>
      </w:r>
      <w:r w:rsidR="00AB1909">
        <w:rPr>
          <w:b/>
          <w:szCs w:val="20"/>
        </w:rPr>
        <w:fldChar w:fldCharType="separate"/>
      </w:r>
      <w:r w:rsidRPr="0027105F">
        <w:rPr>
          <w:b/>
          <w:szCs w:val="20"/>
        </w:rPr>
        <w:fldChar w:fldCharType="end"/>
      </w:r>
      <w:r w:rsidRPr="0027105F">
        <w:rPr>
          <w:b/>
          <w:szCs w:val="20"/>
        </w:rPr>
        <w:t xml:space="preserve"> </w:t>
      </w:r>
      <w:r>
        <w:t>No</w:t>
      </w:r>
    </w:p>
    <w:p w14:paraId="4E422E09"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BECE49D" w14:textId="77777777" w:rsidR="00FE16C1" w:rsidRDefault="00FE16C1"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sidRPr="000A5B32">
        <w:rPr>
          <w:szCs w:val="20"/>
        </w:rPr>
        <w:t xml:space="preserve"> Yes</w:t>
      </w:r>
    </w:p>
    <w:p w14:paraId="2A0B309B" w14:textId="77777777" w:rsidR="00FE16C1" w:rsidRPr="00FE16C1" w:rsidRDefault="00FE16C1" w:rsidP="006B4D37">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No  </w:t>
      </w:r>
    </w:p>
    <w:p w14:paraId="0A546E6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41CDCFB" w14:textId="77777777" w:rsidR="007E39E4" w:rsidRPr="007E39E4" w:rsidRDefault="00C17ECD" w:rsidP="006B4D37">
      <w:pPr>
        <w:ind w:left="284" w:firstLine="76"/>
        <w:rPr>
          <w:b/>
          <w:szCs w:val="20"/>
        </w:rPr>
      </w:pPr>
      <w:r>
        <w:t>Not applicable</w:t>
      </w:r>
    </w:p>
    <w:p w14:paraId="4256686B"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2A26950" w14:textId="77777777" w:rsidR="001E6919" w:rsidRPr="007E39E4" w:rsidRDefault="00C17ECD" w:rsidP="006B4D37">
      <w:pPr>
        <w:spacing w:before="0" w:after="0"/>
        <w:ind w:left="284" w:firstLine="76"/>
        <w:rPr>
          <w:szCs w:val="20"/>
        </w:rPr>
      </w:pPr>
      <w:r>
        <w:t>Not applicable</w:t>
      </w:r>
    </w:p>
    <w:p w14:paraId="5BAF232A"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8E4DAE5" w14:textId="77777777" w:rsidR="001E6958" w:rsidRDefault="001E6958" w:rsidP="006B4D37">
      <w:pPr>
        <w:spacing w:before="0" w:after="0"/>
        <w:ind w:left="360"/>
      </w:pPr>
      <w:r>
        <w:t xml:space="preserve">Trade name: </w:t>
      </w:r>
      <w:r w:rsidR="00C17ECD">
        <w:t>Not applicable</w:t>
      </w:r>
    </w:p>
    <w:p w14:paraId="2EAE7ED3" w14:textId="77777777" w:rsidR="001E6958" w:rsidRPr="001E6958" w:rsidRDefault="001E6958" w:rsidP="006B4D37">
      <w:pPr>
        <w:spacing w:before="0" w:after="0"/>
        <w:ind w:left="360"/>
      </w:pPr>
      <w:r>
        <w:t xml:space="preserve">Generic name: </w:t>
      </w:r>
      <w:r w:rsidR="00C17ECD">
        <w:t>Not applicable</w:t>
      </w:r>
    </w:p>
    <w:p w14:paraId="77443340"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0E6F0CD9" w14:textId="77777777" w:rsidR="001E6958" w:rsidRDefault="00C17ECD"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1E6958" w:rsidRPr="000A5B32">
        <w:rPr>
          <w:szCs w:val="20"/>
        </w:rPr>
        <w:t xml:space="preserve"> Yes</w:t>
      </w:r>
    </w:p>
    <w:p w14:paraId="70B1D437" w14:textId="5E132099" w:rsidR="001E6919" w:rsidRPr="001E6958" w:rsidRDefault="001E6958" w:rsidP="006B4D37">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No  </w:t>
      </w:r>
    </w:p>
    <w:p w14:paraId="712723C2"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593CB55" w14:textId="3AF99855" w:rsidR="001E6958" w:rsidRDefault="001E6958" w:rsidP="006B4D37">
      <w:pPr>
        <w:spacing w:before="0" w:after="0"/>
        <w:ind w:left="360"/>
      </w:pPr>
      <w:r>
        <w:t xml:space="preserve">Billing code(s): </w:t>
      </w:r>
      <w:r w:rsidR="00F63E37">
        <w:t>RQ078</w:t>
      </w:r>
    </w:p>
    <w:p w14:paraId="11EC271E" w14:textId="77777777" w:rsidR="001E6958" w:rsidRDefault="001E6958" w:rsidP="006B4D37">
      <w:pPr>
        <w:spacing w:before="0" w:after="0"/>
        <w:ind w:left="360"/>
      </w:pPr>
      <w:r>
        <w:t xml:space="preserve">Trade name of prostheses: </w:t>
      </w:r>
      <w:r w:rsidR="00526BA8">
        <w:t>BXTAccelyon Prescription Loaded A-Strand with A-Seed AgAX100 1-125 Seeds</w:t>
      </w:r>
    </w:p>
    <w:p w14:paraId="2BA555F5" w14:textId="77777777" w:rsidR="001E6958" w:rsidRDefault="001E6958" w:rsidP="006B4D37">
      <w:pPr>
        <w:spacing w:before="0" w:after="0"/>
        <w:ind w:left="360"/>
      </w:pPr>
      <w:r>
        <w:t xml:space="preserve">Clinical name of prostheses: </w:t>
      </w:r>
      <w:r w:rsidR="00526BA8">
        <w:t>Pre-loaded A-Strand I-125 seeds and spacers</w:t>
      </w:r>
    </w:p>
    <w:p w14:paraId="00DF6A5B" w14:textId="77777777" w:rsidR="001E6958" w:rsidRDefault="001E6958" w:rsidP="006B4D37">
      <w:pPr>
        <w:spacing w:before="0" w:after="0"/>
        <w:ind w:left="360"/>
      </w:pPr>
      <w:r>
        <w:t xml:space="preserve">Other device components delivered as part of the service: </w:t>
      </w:r>
      <w:r w:rsidR="00FB11D1">
        <w:t>Not applicable</w:t>
      </w:r>
    </w:p>
    <w:p w14:paraId="15FFCA13" w14:textId="77777777" w:rsidR="00FB11D1" w:rsidRDefault="00FB11D1" w:rsidP="006B4D37">
      <w:pPr>
        <w:spacing w:before="0" w:after="0"/>
        <w:ind w:left="360"/>
      </w:pPr>
    </w:p>
    <w:p w14:paraId="10F80A68" w14:textId="0A98FBF5" w:rsidR="00FB11D1" w:rsidRDefault="00FB11D1" w:rsidP="006B4D37">
      <w:pPr>
        <w:spacing w:before="0" w:after="0"/>
        <w:ind w:left="360"/>
      </w:pPr>
      <w:r>
        <w:t xml:space="preserve">Billing code(s): </w:t>
      </w:r>
      <w:r w:rsidR="00D2270B">
        <w:t xml:space="preserve"> RQ077</w:t>
      </w:r>
    </w:p>
    <w:p w14:paraId="16B3EC0C" w14:textId="77777777" w:rsidR="00FB11D1" w:rsidRDefault="00FB11D1" w:rsidP="006B4D37">
      <w:pPr>
        <w:spacing w:before="0" w:after="0"/>
        <w:ind w:left="360"/>
      </w:pPr>
      <w:r>
        <w:t xml:space="preserve">Trade name of prostheses: BXTAccelyon A-Seed AgX100 I-125 Seeds </w:t>
      </w:r>
    </w:p>
    <w:p w14:paraId="0F73434B" w14:textId="77777777" w:rsidR="00FB11D1" w:rsidRDefault="00FB11D1" w:rsidP="006B4D37">
      <w:pPr>
        <w:spacing w:before="0" w:after="0"/>
        <w:ind w:left="360"/>
      </w:pPr>
      <w:r>
        <w:t xml:space="preserve">Clinical name of prostheses: Pre-loaded A-Strand I-125 seeds </w:t>
      </w:r>
    </w:p>
    <w:p w14:paraId="53E9558C" w14:textId="77777777" w:rsidR="00FB11D1" w:rsidRDefault="00FB11D1" w:rsidP="006B4D37">
      <w:pPr>
        <w:spacing w:before="0" w:after="0"/>
        <w:ind w:left="360"/>
      </w:pPr>
      <w:r>
        <w:t>Other device components delivered as part of the service: Not applicable</w:t>
      </w:r>
    </w:p>
    <w:p w14:paraId="11F8A694" w14:textId="77777777" w:rsidR="00D2270B" w:rsidRDefault="00D2270B" w:rsidP="006B4D37">
      <w:pPr>
        <w:spacing w:before="0" w:after="0"/>
        <w:ind w:left="360"/>
      </w:pPr>
    </w:p>
    <w:p w14:paraId="486AB285" w14:textId="77777777" w:rsidR="00D2270B" w:rsidRDefault="00D2270B" w:rsidP="006B4D37">
      <w:pPr>
        <w:spacing w:before="0" w:after="0"/>
        <w:ind w:left="360"/>
      </w:pPr>
      <w:r>
        <w:t>Billing code(s): RQ079</w:t>
      </w:r>
    </w:p>
    <w:p w14:paraId="404F7C92" w14:textId="77777777" w:rsidR="00D2270B" w:rsidRDefault="00D2270B" w:rsidP="006B4D37">
      <w:pPr>
        <w:spacing w:before="0" w:after="0"/>
        <w:ind w:left="360"/>
      </w:pPr>
      <w:r>
        <w:t>Trade name of prosthesis: BXTAccelyon I-seed AgX100 I-125 seeds</w:t>
      </w:r>
    </w:p>
    <w:p w14:paraId="446AC83A" w14:textId="77777777" w:rsidR="00D2270B" w:rsidRDefault="00D2270B" w:rsidP="006B4D37">
      <w:pPr>
        <w:spacing w:before="0" w:after="0"/>
        <w:ind w:left="360"/>
      </w:pPr>
      <w:r>
        <w:t>Clinical name of prosthesis: Pre-loaded VSM20 cartridge I-125 seeds</w:t>
      </w:r>
    </w:p>
    <w:p w14:paraId="4F903515" w14:textId="77777777" w:rsidR="00D2270B" w:rsidRDefault="00D2270B" w:rsidP="006B4D37">
      <w:pPr>
        <w:spacing w:before="0" w:after="0"/>
        <w:ind w:left="360"/>
      </w:pPr>
      <w:r>
        <w:t xml:space="preserve">Other device components delivered as part of the service: Nor applicable </w:t>
      </w:r>
    </w:p>
    <w:p w14:paraId="6A514290" w14:textId="77777777" w:rsidR="00D2270B" w:rsidRDefault="00D2270B" w:rsidP="006B4D37">
      <w:pPr>
        <w:spacing w:before="0" w:after="0"/>
        <w:ind w:left="360"/>
      </w:pPr>
    </w:p>
    <w:p w14:paraId="4A7389A5" w14:textId="77777777" w:rsidR="00D2270B" w:rsidRDefault="00D2270B" w:rsidP="006B4D37">
      <w:pPr>
        <w:spacing w:before="0" w:after="0"/>
        <w:ind w:left="360"/>
      </w:pPr>
      <w:r>
        <w:t>Billing code(s): RQ076</w:t>
      </w:r>
    </w:p>
    <w:p w14:paraId="4D745808" w14:textId="77777777" w:rsidR="00D2270B" w:rsidRDefault="00D2270B" w:rsidP="006B4D37">
      <w:pPr>
        <w:spacing w:before="0" w:after="0"/>
        <w:ind w:left="360"/>
      </w:pPr>
      <w:r>
        <w:t>Trade name of prosthesis: BXTAccelyon I-seed AgX100 I-125 seeds</w:t>
      </w:r>
    </w:p>
    <w:p w14:paraId="036203A0" w14:textId="77777777" w:rsidR="00D2270B" w:rsidRDefault="00D2270B" w:rsidP="006B4D37">
      <w:pPr>
        <w:spacing w:before="0" w:after="0"/>
        <w:ind w:left="360"/>
      </w:pPr>
      <w:r>
        <w:t xml:space="preserve">Clinical name of prosthesis: Pre-loaded C20 </w:t>
      </w:r>
      <w:proofErr w:type="spellStart"/>
      <w:r>
        <w:t>Isoloader</w:t>
      </w:r>
      <w:proofErr w:type="spellEnd"/>
      <w:r>
        <w:t xml:space="preserve"> magazine I-125 seeds</w:t>
      </w:r>
    </w:p>
    <w:p w14:paraId="21856E03" w14:textId="16DA1B5F" w:rsidR="006B4D37" w:rsidRDefault="00D2270B" w:rsidP="006B4D37">
      <w:pPr>
        <w:spacing w:before="0" w:after="0"/>
        <w:ind w:left="360"/>
      </w:pPr>
      <w:r>
        <w:t>Other device components delivered as part of the service: Nor applicable</w:t>
      </w:r>
    </w:p>
    <w:p w14:paraId="0BB7C2FF"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3C06790" w14:textId="77777777" w:rsidR="009939DC" w:rsidRDefault="009939DC"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sidRPr="000A5B32">
        <w:rPr>
          <w:szCs w:val="20"/>
        </w:rPr>
        <w:t xml:space="preserve"> Yes</w:t>
      </w:r>
    </w:p>
    <w:p w14:paraId="2751B843" w14:textId="77777777" w:rsidR="001E6958" w:rsidRPr="009939DC" w:rsidRDefault="00FB11D1"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9939DC">
        <w:rPr>
          <w:szCs w:val="20"/>
        </w:rPr>
        <w:t xml:space="preserve"> No  </w:t>
      </w:r>
    </w:p>
    <w:p w14:paraId="0516979E" w14:textId="77777777" w:rsidR="00016B6E" w:rsidRPr="009939DC" w:rsidRDefault="00016B6E" w:rsidP="00530204">
      <w:pPr>
        <w:pStyle w:val="Heading2"/>
        <w:numPr>
          <w:ilvl w:val="0"/>
          <w:numId w:val="26"/>
        </w:numPr>
      </w:pPr>
      <w:r w:rsidRPr="009939DC">
        <w:lastRenderedPageBreak/>
        <w:t>Are there any other sponsor(s) and / or manufacturer(</w:t>
      </w:r>
      <w:r w:rsidR="008B729C" w:rsidRPr="009939DC">
        <w:t>s) that have a similar prosthesi</w:t>
      </w:r>
      <w:r w:rsidRPr="009939DC">
        <w:t>s or device component in the Australian market place which this application is relevant to?</w:t>
      </w:r>
    </w:p>
    <w:p w14:paraId="4EC3417E" w14:textId="77777777" w:rsidR="009939DC" w:rsidRDefault="00FB11D1"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9939DC" w:rsidRPr="000A5B32">
        <w:rPr>
          <w:szCs w:val="20"/>
        </w:rPr>
        <w:t xml:space="preserve"> Yes</w:t>
      </w:r>
    </w:p>
    <w:p w14:paraId="33B46859" w14:textId="77777777" w:rsidR="009939DC" w:rsidRPr="001E6958" w:rsidRDefault="009939DC" w:rsidP="006B4D37">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No  </w:t>
      </w:r>
    </w:p>
    <w:p w14:paraId="2B13F58D"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7BFE62F" w14:textId="77777777" w:rsidR="00016B6E" w:rsidRDefault="00FB11D1" w:rsidP="006B4D37">
      <w:pPr>
        <w:ind w:left="284" w:firstLine="76"/>
      </w:pPr>
      <w:r>
        <w:t>AlphaXRT Pty Ltd</w:t>
      </w:r>
    </w:p>
    <w:p w14:paraId="57EE693F" w14:textId="77777777" w:rsidR="00FB11D1" w:rsidRDefault="00FB11D1" w:rsidP="006B4D37">
      <w:pPr>
        <w:ind w:left="284" w:firstLine="76"/>
      </w:pPr>
      <w:r>
        <w:t>Bard Australia Pty Ltd</w:t>
      </w:r>
    </w:p>
    <w:p w14:paraId="27FE2CB5"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D05E003" w14:textId="220D8B93" w:rsidR="009939DC" w:rsidRDefault="009939DC" w:rsidP="006B4D37">
      <w:pPr>
        <w:spacing w:before="0" w:after="0"/>
        <w:ind w:left="360"/>
      </w:pPr>
      <w:r>
        <w:t xml:space="preserve">Single use consumables: </w:t>
      </w:r>
      <w:r w:rsidR="00593C83">
        <w:t>Catheter, condom placed over the ultrasound probe, tape and ultrasound jelly</w:t>
      </w:r>
      <w:r w:rsidR="00F63E37">
        <w:t>, brachytherapy grid</w:t>
      </w:r>
    </w:p>
    <w:p w14:paraId="456FBF23" w14:textId="77777777" w:rsidR="00444A7C" w:rsidRDefault="009939DC" w:rsidP="006B4D37">
      <w:pPr>
        <w:spacing w:before="0" w:after="0"/>
        <w:ind w:left="360"/>
      </w:pPr>
      <w:r>
        <w:t>Multi-use consumables:</w:t>
      </w:r>
      <w:r w:rsidRPr="009939DC">
        <w:t xml:space="preserve"> </w:t>
      </w:r>
      <w:r w:rsidR="00593C83">
        <w:t>none</w:t>
      </w:r>
    </w:p>
    <w:p w14:paraId="6B0478B4" w14:textId="77777777" w:rsidR="00F301F1" w:rsidRPr="00855944" w:rsidRDefault="00F301F1" w:rsidP="00A6491A">
      <w:pPr>
        <w:spacing w:before="0" w:after="0"/>
        <w:ind w:left="284"/>
      </w:pPr>
      <w:r w:rsidRPr="00855944">
        <w:br w:type="page"/>
      </w:r>
    </w:p>
    <w:p w14:paraId="25978D2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420FAD85" w14:textId="57D522F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52797E0" w14:textId="6A995251" w:rsidR="00BF1FB3" w:rsidRDefault="00BF1FB3" w:rsidP="006B4D37">
      <w:pPr>
        <w:ind w:left="284"/>
        <w:rPr>
          <w:b/>
          <w:bCs/>
        </w:rPr>
      </w:pPr>
      <w:r>
        <w:rPr>
          <w:b/>
          <w:bCs/>
        </w:rPr>
        <w:t xml:space="preserve">      Advantage I-125 Brachytherapy Sources in a Capped Vial</w:t>
      </w:r>
    </w:p>
    <w:p w14:paraId="1D609EEB" w14:textId="77777777" w:rsidR="00BF1FB3" w:rsidRPr="00A26343" w:rsidRDefault="00BF1FB3" w:rsidP="006B4D37">
      <w:pPr>
        <w:spacing w:before="0" w:after="0"/>
        <w:ind w:left="568"/>
        <w:rPr>
          <w:szCs w:val="20"/>
        </w:rPr>
      </w:pPr>
      <w:r w:rsidRPr="00A26343">
        <w:rPr>
          <w:szCs w:val="20"/>
        </w:rPr>
        <w:t>Type of therapeutic good</w:t>
      </w:r>
      <w:r>
        <w:rPr>
          <w:szCs w:val="20"/>
        </w:rPr>
        <w:t>: Medical Device</w:t>
      </w:r>
    </w:p>
    <w:p w14:paraId="1EBD4E60" w14:textId="432088E7" w:rsidR="00BF1FB3" w:rsidRPr="00A26343" w:rsidRDefault="00BF1FB3" w:rsidP="006B4D37">
      <w:pPr>
        <w:spacing w:before="0" w:after="0"/>
        <w:ind w:left="568"/>
        <w:rPr>
          <w:szCs w:val="20"/>
        </w:rPr>
      </w:pPr>
      <w:r w:rsidRPr="00A26343">
        <w:rPr>
          <w:szCs w:val="20"/>
        </w:rPr>
        <w:t>Manufacturer’s name</w:t>
      </w:r>
      <w:r>
        <w:rPr>
          <w:szCs w:val="20"/>
        </w:rPr>
        <w:t>: Ashland Speciality Ingredients GP</w:t>
      </w:r>
    </w:p>
    <w:p w14:paraId="14FC95DD" w14:textId="414CC69D" w:rsidR="00BF1FB3" w:rsidRDefault="00BF1FB3" w:rsidP="006B4D37">
      <w:pPr>
        <w:spacing w:before="0" w:after="0"/>
        <w:ind w:left="568"/>
        <w:rPr>
          <w:szCs w:val="20"/>
        </w:rPr>
      </w:pPr>
      <w:r w:rsidRPr="00A26343">
        <w:rPr>
          <w:szCs w:val="20"/>
        </w:rPr>
        <w:t>Sponsor’s name</w:t>
      </w:r>
      <w:r>
        <w:rPr>
          <w:szCs w:val="20"/>
        </w:rPr>
        <w:t>: alphaXRT Pty Ltd</w:t>
      </w:r>
    </w:p>
    <w:p w14:paraId="17731BCB" w14:textId="76324E3C" w:rsidR="00BF1FB3" w:rsidRDefault="00BF1FB3" w:rsidP="006B4D37">
      <w:pPr>
        <w:ind w:left="284"/>
        <w:rPr>
          <w:b/>
          <w:bCs/>
        </w:rPr>
      </w:pPr>
      <w:r>
        <w:rPr>
          <w:b/>
          <w:bCs/>
        </w:rPr>
        <w:t xml:space="preserve">      </w:t>
      </w:r>
      <w:proofErr w:type="spellStart"/>
      <w:r w:rsidR="00C96E04">
        <w:rPr>
          <w:b/>
          <w:bCs/>
        </w:rPr>
        <w:t>BrachySource</w:t>
      </w:r>
      <w:proofErr w:type="spellEnd"/>
      <w:r w:rsidR="00C96E04">
        <w:rPr>
          <w:b/>
          <w:bCs/>
        </w:rPr>
        <w:t xml:space="preserve"> Seed Implants - Loose</w:t>
      </w:r>
    </w:p>
    <w:p w14:paraId="6944D562" w14:textId="49CA734F" w:rsidR="00C96E04" w:rsidRPr="00A26343" w:rsidRDefault="00C96E04" w:rsidP="006B4D37">
      <w:pPr>
        <w:spacing w:before="0" w:after="0"/>
        <w:ind w:left="568"/>
        <w:rPr>
          <w:szCs w:val="20"/>
        </w:rPr>
      </w:pPr>
      <w:r w:rsidRPr="00A26343">
        <w:rPr>
          <w:szCs w:val="20"/>
        </w:rPr>
        <w:t>Type of therapeutic good</w:t>
      </w:r>
      <w:r>
        <w:rPr>
          <w:szCs w:val="20"/>
        </w:rPr>
        <w:t>: Medical Device</w:t>
      </w:r>
    </w:p>
    <w:p w14:paraId="10BB10F5" w14:textId="6D40AB2B" w:rsidR="00C96E04" w:rsidRPr="00A26343" w:rsidRDefault="00C96E04" w:rsidP="006B4D37">
      <w:pPr>
        <w:spacing w:before="0" w:after="0"/>
        <w:ind w:left="568"/>
        <w:rPr>
          <w:szCs w:val="20"/>
        </w:rPr>
      </w:pPr>
      <w:r w:rsidRPr="00A26343">
        <w:rPr>
          <w:szCs w:val="20"/>
        </w:rPr>
        <w:t>Manufacturer’s name</w:t>
      </w:r>
      <w:r>
        <w:rPr>
          <w:szCs w:val="20"/>
        </w:rPr>
        <w:t>: Bard Brachytherapy Inc</w:t>
      </w:r>
    </w:p>
    <w:p w14:paraId="7386403F" w14:textId="37B9369C" w:rsidR="00C96E04" w:rsidRDefault="00C96E04" w:rsidP="006B4D37">
      <w:pPr>
        <w:spacing w:before="0" w:after="0"/>
        <w:ind w:left="568"/>
        <w:rPr>
          <w:szCs w:val="20"/>
        </w:rPr>
      </w:pPr>
      <w:r w:rsidRPr="00A26343">
        <w:rPr>
          <w:szCs w:val="20"/>
        </w:rPr>
        <w:t>Sponsor’s name</w:t>
      </w:r>
      <w:r>
        <w:rPr>
          <w:szCs w:val="20"/>
        </w:rPr>
        <w:t>: Bard Australia Pty Ltd</w:t>
      </w:r>
    </w:p>
    <w:p w14:paraId="49E2C4DC" w14:textId="513DAB36" w:rsidR="00C96E04" w:rsidRDefault="00C96E04" w:rsidP="006B4D37">
      <w:pPr>
        <w:ind w:left="284"/>
        <w:rPr>
          <w:b/>
          <w:bCs/>
        </w:rPr>
      </w:pPr>
      <w:r>
        <w:rPr>
          <w:b/>
          <w:bCs/>
        </w:rPr>
        <w:t xml:space="preserve">      </w:t>
      </w:r>
      <w:proofErr w:type="spellStart"/>
      <w:r>
        <w:rPr>
          <w:b/>
          <w:bCs/>
        </w:rPr>
        <w:t>QuickLink</w:t>
      </w:r>
      <w:proofErr w:type="spellEnd"/>
      <w:r>
        <w:rPr>
          <w:b/>
          <w:bCs/>
        </w:rPr>
        <w:t xml:space="preserve"> Cartridge with Source Link Connectors</w:t>
      </w:r>
    </w:p>
    <w:p w14:paraId="1BA6FD26" w14:textId="77777777" w:rsidR="00C96E04" w:rsidRPr="00A26343" w:rsidRDefault="00C96E04" w:rsidP="006B4D37">
      <w:pPr>
        <w:spacing w:before="0" w:after="0"/>
        <w:ind w:left="568"/>
        <w:rPr>
          <w:szCs w:val="20"/>
        </w:rPr>
      </w:pPr>
      <w:r w:rsidRPr="00A26343">
        <w:rPr>
          <w:szCs w:val="20"/>
        </w:rPr>
        <w:t>Type of therapeutic good</w:t>
      </w:r>
      <w:r>
        <w:rPr>
          <w:szCs w:val="20"/>
        </w:rPr>
        <w:t>: Medical Device</w:t>
      </w:r>
    </w:p>
    <w:p w14:paraId="704A4A62" w14:textId="77777777" w:rsidR="00C96E04" w:rsidRPr="00A26343" w:rsidRDefault="00C96E04" w:rsidP="006B4D37">
      <w:pPr>
        <w:spacing w:before="0" w:after="0"/>
        <w:ind w:left="568"/>
        <w:rPr>
          <w:szCs w:val="20"/>
        </w:rPr>
      </w:pPr>
      <w:r w:rsidRPr="00A26343">
        <w:rPr>
          <w:szCs w:val="20"/>
        </w:rPr>
        <w:t>Manufacturer’s name</w:t>
      </w:r>
      <w:r>
        <w:rPr>
          <w:szCs w:val="20"/>
        </w:rPr>
        <w:t>: Bard Brachytherapy Inc</w:t>
      </w:r>
    </w:p>
    <w:p w14:paraId="5A06972F" w14:textId="6D14788D" w:rsidR="00C96E04" w:rsidRDefault="00C96E04" w:rsidP="006B4D37">
      <w:pPr>
        <w:spacing w:before="0" w:after="0"/>
        <w:ind w:left="568"/>
        <w:rPr>
          <w:szCs w:val="20"/>
        </w:rPr>
      </w:pPr>
      <w:r w:rsidRPr="00A26343">
        <w:rPr>
          <w:szCs w:val="20"/>
        </w:rPr>
        <w:t>Sponsor’s name</w:t>
      </w:r>
      <w:r>
        <w:rPr>
          <w:szCs w:val="20"/>
        </w:rPr>
        <w:t>: Bard Australia Pty Ltd</w:t>
      </w:r>
    </w:p>
    <w:p w14:paraId="740859D4" w14:textId="08A59007" w:rsidR="00C96E04" w:rsidRDefault="00C96E04" w:rsidP="006B4D37">
      <w:pPr>
        <w:ind w:left="284"/>
        <w:rPr>
          <w:b/>
          <w:bCs/>
        </w:rPr>
      </w:pPr>
      <w:r>
        <w:rPr>
          <w:b/>
          <w:bCs/>
        </w:rPr>
        <w:t xml:space="preserve">      </w:t>
      </w:r>
      <w:proofErr w:type="spellStart"/>
      <w:r>
        <w:rPr>
          <w:b/>
          <w:bCs/>
        </w:rPr>
        <w:t>SourceLink</w:t>
      </w:r>
      <w:proofErr w:type="spellEnd"/>
      <w:r>
        <w:rPr>
          <w:b/>
          <w:bCs/>
        </w:rPr>
        <w:t xml:space="preserve"> Synthetic Absorbable Seeding Spacer Link</w:t>
      </w:r>
    </w:p>
    <w:p w14:paraId="7F6B1592" w14:textId="77777777" w:rsidR="00C96E04" w:rsidRPr="00A26343" w:rsidRDefault="00C96E04" w:rsidP="006B4D37">
      <w:pPr>
        <w:spacing w:before="0" w:after="0"/>
        <w:ind w:left="568"/>
        <w:rPr>
          <w:szCs w:val="20"/>
        </w:rPr>
      </w:pPr>
      <w:r w:rsidRPr="00A26343">
        <w:rPr>
          <w:szCs w:val="20"/>
        </w:rPr>
        <w:t>Type of therapeutic good</w:t>
      </w:r>
      <w:r>
        <w:rPr>
          <w:szCs w:val="20"/>
        </w:rPr>
        <w:t>: Medical Device</w:t>
      </w:r>
    </w:p>
    <w:p w14:paraId="4A27701C" w14:textId="77777777" w:rsidR="00C96E04" w:rsidRPr="00A26343" w:rsidRDefault="00C96E04" w:rsidP="006B4D37">
      <w:pPr>
        <w:spacing w:before="0" w:after="0"/>
        <w:ind w:left="568"/>
        <w:rPr>
          <w:szCs w:val="20"/>
        </w:rPr>
      </w:pPr>
      <w:r w:rsidRPr="00A26343">
        <w:rPr>
          <w:szCs w:val="20"/>
        </w:rPr>
        <w:t>Manufacturer’s name</w:t>
      </w:r>
      <w:r>
        <w:rPr>
          <w:szCs w:val="20"/>
        </w:rPr>
        <w:t>: Bard Brachytherapy Inc</w:t>
      </w:r>
    </w:p>
    <w:p w14:paraId="6604B591" w14:textId="04FE6A54" w:rsidR="00C96E04" w:rsidRDefault="00C96E04" w:rsidP="006B4D37">
      <w:pPr>
        <w:spacing w:before="0" w:after="0"/>
        <w:ind w:left="568"/>
        <w:rPr>
          <w:szCs w:val="20"/>
        </w:rPr>
      </w:pPr>
      <w:r w:rsidRPr="00A26343">
        <w:rPr>
          <w:szCs w:val="20"/>
        </w:rPr>
        <w:t>Sponsor’s name</w:t>
      </w:r>
      <w:r>
        <w:rPr>
          <w:szCs w:val="20"/>
        </w:rPr>
        <w:t>: Bard Australia Pty Ltd</w:t>
      </w:r>
    </w:p>
    <w:p w14:paraId="2F76AEE1" w14:textId="3AD4C9A5" w:rsidR="009B6398" w:rsidRDefault="009B6398" w:rsidP="006B4D37">
      <w:pPr>
        <w:ind w:left="284"/>
        <w:rPr>
          <w:b/>
          <w:bCs/>
        </w:rPr>
      </w:pPr>
      <w:r>
        <w:rPr>
          <w:b/>
          <w:bCs/>
        </w:rPr>
        <w:t xml:space="preserve">      </w:t>
      </w:r>
      <w:proofErr w:type="spellStart"/>
      <w:r>
        <w:rPr>
          <w:b/>
          <w:bCs/>
        </w:rPr>
        <w:t>BrachySource</w:t>
      </w:r>
      <w:proofErr w:type="spellEnd"/>
      <w:r>
        <w:rPr>
          <w:b/>
          <w:bCs/>
        </w:rPr>
        <w:t xml:space="preserve"> Seed Implants - Preloaded</w:t>
      </w:r>
    </w:p>
    <w:p w14:paraId="771FCA7F" w14:textId="77777777" w:rsidR="009B6398" w:rsidRPr="00A26343" w:rsidRDefault="009B6398" w:rsidP="006B4D37">
      <w:pPr>
        <w:spacing w:before="0" w:after="0"/>
        <w:ind w:left="568"/>
        <w:rPr>
          <w:szCs w:val="20"/>
        </w:rPr>
      </w:pPr>
      <w:r w:rsidRPr="00A26343">
        <w:rPr>
          <w:szCs w:val="20"/>
        </w:rPr>
        <w:t>Type of therapeutic good</w:t>
      </w:r>
      <w:r>
        <w:rPr>
          <w:szCs w:val="20"/>
        </w:rPr>
        <w:t>: Medical Device</w:t>
      </w:r>
    </w:p>
    <w:p w14:paraId="19A86565" w14:textId="77777777" w:rsidR="009B6398" w:rsidRPr="00A26343" w:rsidRDefault="009B6398" w:rsidP="006B4D37">
      <w:pPr>
        <w:spacing w:before="0" w:after="0"/>
        <w:ind w:left="568"/>
        <w:rPr>
          <w:szCs w:val="20"/>
        </w:rPr>
      </w:pPr>
      <w:r w:rsidRPr="00A26343">
        <w:rPr>
          <w:szCs w:val="20"/>
        </w:rPr>
        <w:t>Manufacturer’s name</w:t>
      </w:r>
      <w:r>
        <w:rPr>
          <w:szCs w:val="20"/>
        </w:rPr>
        <w:t>: Bard Brachytherapy Inc</w:t>
      </w:r>
    </w:p>
    <w:p w14:paraId="6C46A5E3" w14:textId="10489BC8" w:rsidR="009B6398" w:rsidRDefault="009B6398" w:rsidP="006B4D37">
      <w:pPr>
        <w:spacing w:before="0" w:after="0"/>
        <w:ind w:left="568"/>
        <w:rPr>
          <w:szCs w:val="20"/>
        </w:rPr>
      </w:pPr>
      <w:r w:rsidRPr="00A26343">
        <w:rPr>
          <w:szCs w:val="20"/>
        </w:rPr>
        <w:t>Sponsor’s name</w:t>
      </w:r>
      <w:r>
        <w:rPr>
          <w:szCs w:val="20"/>
        </w:rPr>
        <w:t>: Bard Australia Pty Ltd</w:t>
      </w:r>
    </w:p>
    <w:p w14:paraId="7F60EA90" w14:textId="3F67BE2E" w:rsidR="009B6398" w:rsidRDefault="009B6398" w:rsidP="006B4D37">
      <w:pPr>
        <w:ind w:left="284"/>
        <w:rPr>
          <w:b/>
          <w:bCs/>
        </w:rPr>
      </w:pPr>
      <w:r>
        <w:rPr>
          <w:b/>
          <w:bCs/>
        </w:rPr>
        <w:t xml:space="preserve">      I-125 </w:t>
      </w:r>
      <w:proofErr w:type="spellStart"/>
      <w:r>
        <w:rPr>
          <w:b/>
          <w:bCs/>
        </w:rPr>
        <w:t>QuickLink</w:t>
      </w:r>
      <w:proofErr w:type="spellEnd"/>
      <w:r>
        <w:rPr>
          <w:b/>
          <w:bCs/>
        </w:rPr>
        <w:t xml:space="preserve"> Cartridge – Radionuclide source.</w:t>
      </w:r>
    </w:p>
    <w:p w14:paraId="44138BA6" w14:textId="77777777" w:rsidR="009B6398" w:rsidRPr="00A26343" w:rsidRDefault="009B6398" w:rsidP="006B4D37">
      <w:pPr>
        <w:spacing w:before="0" w:after="0"/>
        <w:ind w:left="568"/>
        <w:rPr>
          <w:szCs w:val="20"/>
        </w:rPr>
      </w:pPr>
      <w:r w:rsidRPr="00A26343">
        <w:rPr>
          <w:szCs w:val="20"/>
        </w:rPr>
        <w:t>Type of therapeutic good</w:t>
      </w:r>
      <w:r>
        <w:rPr>
          <w:szCs w:val="20"/>
        </w:rPr>
        <w:t>: Medical Device</w:t>
      </w:r>
    </w:p>
    <w:p w14:paraId="3CE14A87" w14:textId="77777777" w:rsidR="009B6398" w:rsidRPr="00A26343" w:rsidRDefault="009B6398" w:rsidP="006B4D37">
      <w:pPr>
        <w:spacing w:before="0" w:after="0"/>
        <w:ind w:left="568"/>
        <w:rPr>
          <w:szCs w:val="20"/>
        </w:rPr>
      </w:pPr>
      <w:r w:rsidRPr="00A26343">
        <w:rPr>
          <w:szCs w:val="20"/>
        </w:rPr>
        <w:t>Manufacturer’s name</w:t>
      </w:r>
      <w:r>
        <w:rPr>
          <w:szCs w:val="20"/>
        </w:rPr>
        <w:t>: Bard Brachytherapy Inc</w:t>
      </w:r>
    </w:p>
    <w:p w14:paraId="29F4F41C" w14:textId="77777777" w:rsidR="009B6398" w:rsidRDefault="009B6398" w:rsidP="006B4D37">
      <w:pPr>
        <w:spacing w:before="0" w:after="0"/>
        <w:ind w:left="568"/>
        <w:rPr>
          <w:szCs w:val="20"/>
        </w:rPr>
      </w:pPr>
      <w:r w:rsidRPr="00A26343">
        <w:rPr>
          <w:szCs w:val="20"/>
        </w:rPr>
        <w:t>Sponsor’s name</w:t>
      </w:r>
      <w:r>
        <w:rPr>
          <w:szCs w:val="20"/>
        </w:rPr>
        <w:t>: Bard Australia Pty Ltd</w:t>
      </w:r>
    </w:p>
    <w:p w14:paraId="6E80ADAA" w14:textId="32739BE9" w:rsidR="00D92E86" w:rsidRPr="00D92E86" w:rsidRDefault="009B6398" w:rsidP="006B4D37">
      <w:pPr>
        <w:ind w:left="284"/>
        <w:rPr>
          <w:b/>
        </w:rPr>
      </w:pPr>
      <w:r>
        <w:rPr>
          <w:b/>
        </w:rPr>
        <w:t xml:space="preserve">      </w:t>
      </w:r>
      <w:r w:rsidR="00D92E86">
        <w:rPr>
          <w:b/>
        </w:rPr>
        <w:t>Cartridge Loaded I-Seed AgX100 I125 implants</w:t>
      </w:r>
    </w:p>
    <w:p w14:paraId="5993579B" w14:textId="77777777" w:rsidR="00A26343" w:rsidRPr="00A26343" w:rsidRDefault="00A26343" w:rsidP="006B4D37">
      <w:pPr>
        <w:spacing w:before="0" w:after="0"/>
        <w:ind w:left="568"/>
        <w:rPr>
          <w:szCs w:val="20"/>
        </w:rPr>
      </w:pPr>
      <w:bookmarkStart w:id="1" w:name="_Hlk495827530"/>
      <w:r w:rsidRPr="00A26343">
        <w:rPr>
          <w:szCs w:val="20"/>
        </w:rPr>
        <w:t>Type of therapeutic good</w:t>
      </w:r>
      <w:r>
        <w:rPr>
          <w:szCs w:val="20"/>
        </w:rPr>
        <w:t xml:space="preserve">: </w:t>
      </w:r>
      <w:r w:rsidR="00305E77">
        <w:rPr>
          <w:szCs w:val="20"/>
        </w:rPr>
        <w:t>Medical Device</w:t>
      </w:r>
    </w:p>
    <w:p w14:paraId="0494B11A" w14:textId="77777777" w:rsidR="00A26343" w:rsidRPr="00A26343" w:rsidRDefault="00A26343" w:rsidP="006B4D37">
      <w:pPr>
        <w:spacing w:before="0" w:after="0"/>
        <w:ind w:left="568"/>
        <w:rPr>
          <w:szCs w:val="20"/>
        </w:rPr>
      </w:pPr>
      <w:r w:rsidRPr="00A26343">
        <w:rPr>
          <w:szCs w:val="20"/>
        </w:rPr>
        <w:t>Manufacturer’s name</w:t>
      </w:r>
      <w:r>
        <w:rPr>
          <w:szCs w:val="20"/>
        </w:rPr>
        <w:t xml:space="preserve">: </w:t>
      </w:r>
      <w:r w:rsidR="00305E77">
        <w:rPr>
          <w:szCs w:val="20"/>
        </w:rPr>
        <w:t>Theragenics Corporation</w:t>
      </w:r>
    </w:p>
    <w:p w14:paraId="575AD31D" w14:textId="77777777" w:rsidR="00A26343" w:rsidRDefault="00A26343" w:rsidP="006B4D37">
      <w:pPr>
        <w:spacing w:before="0" w:after="0"/>
        <w:ind w:left="568"/>
        <w:rPr>
          <w:szCs w:val="20"/>
        </w:rPr>
      </w:pPr>
      <w:r w:rsidRPr="00A26343">
        <w:rPr>
          <w:szCs w:val="20"/>
        </w:rPr>
        <w:t>Sponsor’s name</w:t>
      </w:r>
      <w:r>
        <w:rPr>
          <w:szCs w:val="20"/>
        </w:rPr>
        <w:t xml:space="preserve">: </w:t>
      </w:r>
      <w:r w:rsidR="00305E77">
        <w:rPr>
          <w:szCs w:val="20"/>
        </w:rPr>
        <w:t>RQSolutions Medical Devices Distribution Support</w:t>
      </w:r>
      <w:bookmarkEnd w:id="1"/>
    </w:p>
    <w:p w14:paraId="5261E0DE" w14:textId="77777777" w:rsidR="00D92E86" w:rsidRDefault="00D92E86" w:rsidP="006B4D37">
      <w:pPr>
        <w:spacing w:before="0" w:after="0"/>
        <w:ind w:left="568"/>
        <w:rPr>
          <w:szCs w:val="20"/>
        </w:rPr>
      </w:pPr>
    </w:p>
    <w:p w14:paraId="0FFC7C9E" w14:textId="77777777" w:rsidR="00D92E86" w:rsidRPr="00D92E86" w:rsidRDefault="00D92E86" w:rsidP="006B4D37">
      <w:pPr>
        <w:spacing w:before="0" w:after="0"/>
        <w:ind w:left="568"/>
        <w:rPr>
          <w:b/>
          <w:szCs w:val="20"/>
        </w:rPr>
      </w:pPr>
      <w:r>
        <w:rPr>
          <w:b/>
          <w:szCs w:val="20"/>
        </w:rPr>
        <w:t>VSM loaded I-Seed AgXI125 implants</w:t>
      </w:r>
    </w:p>
    <w:p w14:paraId="57D8CEC0" w14:textId="77777777" w:rsidR="00D92E86" w:rsidRPr="00A26343" w:rsidRDefault="00D92E86" w:rsidP="006B4D37">
      <w:pPr>
        <w:spacing w:before="0" w:after="0"/>
        <w:ind w:left="568"/>
        <w:rPr>
          <w:szCs w:val="20"/>
        </w:rPr>
      </w:pPr>
      <w:bookmarkStart w:id="2" w:name="_Hlk495827763"/>
      <w:r w:rsidRPr="00A26343">
        <w:rPr>
          <w:szCs w:val="20"/>
        </w:rPr>
        <w:t>Type of therapeutic good</w:t>
      </w:r>
      <w:r>
        <w:rPr>
          <w:szCs w:val="20"/>
        </w:rPr>
        <w:t>: Medical Device</w:t>
      </w:r>
    </w:p>
    <w:p w14:paraId="338086F9" w14:textId="77777777" w:rsidR="00D92E86" w:rsidRPr="00A26343" w:rsidRDefault="00D92E86" w:rsidP="006B4D37">
      <w:pPr>
        <w:spacing w:before="0" w:after="0"/>
        <w:ind w:left="568"/>
        <w:rPr>
          <w:szCs w:val="20"/>
        </w:rPr>
      </w:pPr>
      <w:r w:rsidRPr="00A26343">
        <w:rPr>
          <w:szCs w:val="20"/>
        </w:rPr>
        <w:t>Manufacturer’s name</w:t>
      </w:r>
      <w:r>
        <w:rPr>
          <w:szCs w:val="20"/>
        </w:rPr>
        <w:t>: Theragenics Corporation</w:t>
      </w:r>
    </w:p>
    <w:p w14:paraId="64C6D586" w14:textId="77777777" w:rsidR="00D92E86" w:rsidRDefault="00D92E86" w:rsidP="006B4D37">
      <w:pPr>
        <w:spacing w:before="0" w:after="0"/>
        <w:ind w:left="568"/>
        <w:rPr>
          <w:szCs w:val="20"/>
        </w:rPr>
      </w:pPr>
      <w:r w:rsidRPr="00A26343">
        <w:rPr>
          <w:szCs w:val="20"/>
        </w:rPr>
        <w:t>Sponsor’s name</w:t>
      </w:r>
      <w:r>
        <w:rPr>
          <w:szCs w:val="20"/>
        </w:rPr>
        <w:t>: RQSolutions Medical Devices Distribution Support</w:t>
      </w:r>
    </w:p>
    <w:bookmarkEnd w:id="2"/>
    <w:p w14:paraId="3AFA5211" w14:textId="77777777" w:rsidR="00D92E86" w:rsidRDefault="00D92E86" w:rsidP="006B4D37">
      <w:pPr>
        <w:spacing w:before="0" w:after="0"/>
        <w:ind w:left="568"/>
        <w:rPr>
          <w:szCs w:val="20"/>
        </w:rPr>
      </w:pPr>
    </w:p>
    <w:p w14:paraId="302B2E98" w14:textId="77777777" w:rsidR="00D92E86" w:rsidRDefault="00D92E86" w:rsidP="006B4D37">
      <w:pPr>
        <w:spacing w:before="0" w:after="0"/>
        <w:ind w:left="568"/>
        <w:rPr>
          <w:b/>
          <w:szCs w:val="20"/>
        </w:rPr>
      </w:pPr>
      <w:proofErr w:type="spellStart"/>
      <w:r>
        <w:rPr>
          <w:b/>
          <w:szCs w:val="20"/>
        </w:rPr>
        <w:t>TheraStrand</w:t>
      </w:r>
      <w:proofErr w:type="spellEnd"/>
      <w:r>
        <w:rPr>
          <w:b/>
          <w:szCs w:val="20"/>
        </w:rPr>
        <w:t xml:space="preserve"> RX with I-Seed AgX100 I125 implants</w:t>
      </w:r>
    </w:p>
    <w:p w14:paraId="41F25818" w14:textId="77777777" w:rsidR="00D92E86" w:rsidRPr="00A26343" w:rsidRDefault="00D92E86" w:rsidP="006B4D37">
      <w:pPr>
        <w:spacing w:before="0" w:after="0"/>
        <w:ind w:left="568"/>
        <w:rPr>
          <w:szCs w:val="20"/>
        </w:rPr>
      </w:pPr>
      <w:r w:rsidRPr="00A26343">
        <w:rPr>
          <w:szCs w:val="20"/>
        </w:rPr>
        <w:t>Type of therapeutic good</w:t>
      </w:r>
      <w:r>
        <w:rPr>
          <w:szCs w:val="20"/>
        </w:rPr>
        <w:t>: Medical Device</w:t>
      </w:r>
    </w:p>
    <w:p w14:paraId="092A57D4" w14:textId="77777777" w:rsidR="00D92E86" w:rsidRPr="00A26343" w:rsidRDefault="00D92E86" w:rsidP="006B4D37">
      <w:pPr>
        <w:spacing w:before="0" w:after="0"/>
        <w:ind w:left="568"/>
        <w:rPr>
          <w:szCs w:val="20"/>
        </w:rPr>
      </w:pPr>
      <w:r w:rsidRPr="00A26343">
        <w:rPr>
          <w:szCs w:val="20"/>
        </w:rPr>
        <w:t>Manufacturer’s name</w:t>
      </w:r>
      <w:r>
        <w:rPr>
          <w:szCs w:val="20"/>
        </w:rPr>
        <w:t>: Theragenics Corporation</w:t>
      </w:r>
    </w:p>
    <w:p w14:paraId="387821F4" w14:textId="77777777" w:rsidR="00D92E86" w:rsidRDefault="00D92E86" w:rsidP="006B4D37">
      <w:pPr>
        <w:spacing w:before="0" w:after="0"/>
        <w:ind w:left="568"/>
        <w:rPr>
          <w:szCs w:val="20"/>
        </w:rPr>
      </w:pPr>
      <w:r w:rsidRPr="00A26343">
        <w:rPr>
          <w:szCs w:val="20"/>
        </w:rPr>
        <w:t>Sponsor’s name</w:t>
      </w:r>
      <w:r>
        <w:rPr>
          <w:szCs w:val="20"/>
        </w:rPr>
        <w:t>: Emergo Asia pacific Pty Ltd T/z Emergo Australia</w:t>
      </w:r>
    </w:p>
    <w:p w14:paraId="73BB617C" w14:textId="77777777" w:rsidR="00D92E86" w:rsidRPr="00D92E86" w:rsidRDefault="00D92E86" w:rsidP="00D92E86">
      <w:pPr>
        <w:spacing w:before="0" w:after="0"/>
        <w:ind w:left="284"/>
        <w:rPr>
          <w:b/>
          <w:szCs w:val="20"/>
        </w:rPr>
      </w:pPr>
    </w:p>
    <w:p w14:paraId="0EF46979" w14:textId="77777777" w:rsidR="006B4D37" w:rsidRDefault="006B4D37">
      <w:pPr>
        <w:spacing w:before="0" w:after="200" w:line="276" w:lineRule="auto"/>
        <w:rPr>
          <w:b/>
          <w:szCs w:val="20"/>
        </w:rPr>
      </w:pPr>
      <w:r>
        <w:br w:type="page"/>
      </w:r>
    </w:p>
    <w:p w14:paraId="7697B5B3" w14:textId="4858BA6B" w:rsidR="005E2CE3" w:rsidRPr="00154B00" w:rsidRDefault="005E2CE3" w:rsidP="0011369B">
      <w:pPr>
        <w:pStyle w:val="Heading2"/>
        <w:numPr>
          <w:ilvl w:val="0"/>
          <w:numId w:val="27"/>
        </w:numPr>
      </w:pPr>
      <w:r>
        <w:lastRenderedPageBreak/>
        <w:t xml:space="preserve">Is the </w:t>
      </w:r>
      <w:r w:rsidRPr="0043654D">
        <w:t>medical</w:t>
      </w:r>
      <w:r>
        <w:t xml:space="preserve"> device classified by the TGA as either a Class III or Active Implantable Medical Device (AIMD) against the TGA regulatory scheme for devices?</w:t>
      </w:r>
    </w:p>
    <w:p w14:paraId="35228459" w14:textId="77777777" w:rsidR="00615F42" w:rsidRPr="00615F42" w:rsidRDefault="00615F42"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sidRPr="000A5B32">
        <w:rPr>
          <w:szCs w:val="20"/>
        </w:rPr>
        <w:t xml:space="preserve"> </w:t>
      </w:r>
      <w:r w:rsidRPr="00615F42">
        <w:rPr>
          <w:szCs w:val="20"/>
        </w:rPr>
        <w:t>Class III</w:t>
      </w:r>
    </w:p>
    <w:p w14:paraId="083C089A" w14:textId="77777777" w:rsidR="00615F42" w:rsidRPr="00615F42" w:rsidRDefault="00305E77"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0222AD41" w14:textId="77777777" w:rsidR="005E2CE3" w:rsidRPr="00154B00" w:rsidRDefault="00615F42"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sidRPr="000A5B32">
        <w:rPr>
          <w:szCs w:val="20"/>
        </w:rPr>
        <w:t xml:space="preserve"> </w:t>
      </w:r>
      <w:r w:rsidRPr="00615F42">
        <w:rPr>
          <w:szCs w:val="20"/>
        </w:rPr>
        <w:t>N/A</w:t>
      </w:r>
    </w:p>
    <w:p w14:paraId="075D37A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E2D05D9" w14:textId="77777777" w:rsidR="00615F42" w:rsidRDefault="00615F42"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04609D3" w14:textId="77777777" w:rsidR="003421AE" w:rsidRPr="00615F42" w:rsidRDefault="00FB11D1" w:rsidP="006B4D37">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15F42">
        <w:rPr>
          <w:szCs w:val="20"/>
        </w:rPr>
        <w:t xml:space="preserve"> No</w:t>
      </w:r>
    </w:p>
    <w:p w14:paraId="59F3B07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4C6A2D8" w14:textId="77777777" w:rsidR="0043654D" w:rsidRDefault="0043654D" w:rsidP="006B4D3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Yes (if yes, please provide details below)</w:t>
      </w:r>
    </w:p>
    <w:p w14:paraId="036226D8" w14:textId="77777777" w:rsidR="0043654D" w:rsidRDefault="00FB11D1" w:rsidP="006B4D3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43654D">
        <w:rPr>
          <w:szCs w:val="20"/>
        </w:rPr>
        <w:t xml:space="preserve"> No</w:t>
      </w:r>
    </w:p>
    <w:p w14:paraId="6778CF02" w14:textId="77777777" w:rsidR="0043654D" w:rsidRPr="00615F42" w:rsidRDefault="0043654D" w:rsidP="0043654D">
      <w:pPr>
        <w:spacing w:before="0" w:after="0"/>
        <w:ind w:left="284"/>
        <w:rPr>
          <w:b/>
          <w:szCs w:val="20"/>
        </w:rPr>
      </w:pPr>
    </w:p>
    <w:p w14:paraId="20AA75D1" w14:textId="77777777" w:rsidR="0043654D" w:rsidRPr="0043654D" w:rsidRDefault="0043654D" w:rsidP="006B4D37">
      <w:pPr>
        <w:spacing w:before="0" w:after="0"/>
        <w:ind w:left="360"/>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rsidR="00305E77">
        <w:rPr>
          <w:szCs w:val="20"/>
        </w:rPr>
        <w:t>271520</w:t>
      </w:r>
      <w:r w:rsidR="00D92E86">
        <w:rPr>
          <w:szCs w:val="20"/>
        </w:rPr>
        <w:t>, 205023, 205063</w:t>
      </w:r>
    </w:p>
    <w:p w14:paraId="46769097" w14:textId="77777777" w:rsidR="0043654D" w:rsidRPr="0043654D" w:rsidRDefault="0043654D" w:rsidP="006B4D37">
      <w:pPr>
        <w:spacing w:before="0" w:after="0"/>
        <w:ind w:left="360"/>
        <w:rPr>
          <w:szCs w:val="20"/>
        </w:rPr>
      </w:pPr>
      <w:r w:rsidRPr="0043654D">
        <w:rPr>
          <w:szCs w:val="20"/>
        </w:rPr>
        <w:t>TGA approved indication(s), if applicable:</w:t>
      </w:r>
      <w:r>
        <w:rPr>
          <w:szCs w:val="20"/>
        </w:rPr>
        <w:t xml:space="preserve">  </w:t>
      </w:r>
    </w:p>
    <w:p w14:paraId="4D95DD80" w14:textId="77777777" w:rsidR="00F301F1" w:rsidRPr="0043654D" w:rsidRDefault="0043654D" w:rsidP="006B4D37">
      <w:pPr>
        <w:spacing w:before="0" w:after="0"/>
        <w:ind w:left="360"/>
        <w:rPr>
          <w:szCs w:val="20"/>
        </w:rPr>
      </w:pPr>
      <w:r w:rsidRPr="0043654D">
        <w:rPr>
          <w:szCs w:val="20"/>
        </w:rPr>
        <w:t>TGA approved purpose(s), if applicable:</w:t>
      </w:r>
      <w:r>
        <w:rPr>
          <w:szCs w:val="20"/>
        </w:rPr>
        <w:t xml:space="preserve">  </w:t>
      </w:r>
      <w:r w:rsidR="00305E77">
        <w:rPr>
          <w:szCs w:val="20"/>
        </w:rPr>
        <w:t>Intended to treat localized, unresectable tumo</w:t>
      </w:r>
      <w:r w:rsidR="00D92E86">
        <w:rPr>
          <w:szCs w:val="20"/>
        </w:rPr>
        <w:t>u</w:t>
      </w:r>
      <w:r w:rsidR="00305E77">
        <w:rPr>
          <w:szCs w:val="20"/>
        </w:rPr>
        <w:t>rs with low to moderate radiosensitivity. Tumo</w:t>
      </w:r>
      <w:r w:rsidR="00D92E86">
        <w:rPr>
          <w:szCs w:val="20"/>
        </w:rPr>
        <w:t>u</w:t>
      </w:r>
      <w:r w:rsidR="00305E77">
        <w:rPr>
          <w:szCs w:val="20"/>
        </w:rPr>
        <w:t>rs may be recurrent or residual following external beam or excision of primary tum</w:t>
      </w:r>
      <w:r w:rsidR="00D92E86">
        <w:rPr>
          <w:szCs w:val="20"/>
        </w:rPr>
        <w:t xml:space="preserve">our. </w:t>
      </w:r>
    </w:p>
    <w:p w14:paraId="095F5FE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064378EC" w14:textId="741AD3E3" w:rsidR="003433D1" w:rsidRPr="0047581D" w:rsidRDefault="006B4D37" w:rsidP="006B4D37">
      <w:pPr>
        <w:spacing w:before="0" w:after="0"/>
        <w:ind w:firstLine="360"/>
        <w:rPr>
          <w:szCs w:val="20"/>
        </w:rPr>
      </w:pPr>
      <w:r>
        <w:rPr>
          <w:szCs w:val="20"/>
        </w:rPr>
        <w:t>Not applicable</w:t>
      </w:r>
    </w:p>
    <w:p w14:paraId="6582A86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07334AAF" w14:textId="6F371C55" w:rsidR="00F83A9D" w:rsidRPr="00154B00" w:rsidRDefault="006B4D37" w:rsidP="006B4D37">
      <w:pPr>
        <w:ind w:firstLine="360"/>
        <w:rPr>
          <w:szCs w:val="20"/>
        </w:rPr>
      </w:pPr>
      <w:r>
        <w:rPr>
          <w:szCs w:val="20"/>
        </w:rPr>
        <w:t>Not applicable</w:t>
      </w:r>
    </w:p>
    <w:p w14:paraId="55C4DF9C" w14:textId="77777777" w:rsidR="00DD308E" w:rsidRDefault="00DD308E">
      <w:pPr>
        <w:rPr>
          <w:b/>
          <w:sz w:val="32"/>
          <w:szCs w:val="32"/>
        </w:rPr>
        <w:sectPr w:rsidR="00DD308E" w:rsidSect="006B4D37">
          <w:footerReference w:type="default" r:id="rId10"/>
          <w:pgSz w:w="11906" w:h="16838"/>
          <w:pgMar w:top="1440" w:right="1440" w:bottom="1134" w:left="1440" w:header="708" w:footer="708" w:gutter="0"/>
          <w:pgNumType w:start="0"/>
          <w:cols w:space="708"/>
          <w:titlePg/>
          <w:docGrid w:linePitch="360"/>
        </w:sectPr>
      </w:pPr>
    </w:p>
    <w:p w14:paraId="7CC33ACF"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68B420EA"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80" w:type="pct"/>
        <w:tblLayout w:type="fixed"/>
        <w:tblLook w:val="04A0" w:firstRow="1" w:lastRow="0" w:firstColumn="1" w:lastColumn="0" w:noHBand="0" w:noVBand="1"/>
        <w:tblCaption w:val="Summary of Evidence - Published"/>
      </w:tblPr>
      <w:tblGrid>
        <w:gridCol w:w="369"/>
        <w:gridCol w:w="1363"/>
        <w:gridCol w:w="4359"/>
        <w:gridCol w:w="3690"/>
        <w:gridCol w:w="2936"/>
        <w:gridCol w:w="1454"/>
      </w:tblGrid>
      <w:tr w:rsidR="00DD308E" w14:paraId="695F2B65" w14:textId="77777777" w:rsidTr="006B4D37">
        <w:trPr>
          <w:cantSplit/>
          <w:tblHeader/>
        </w:trPr>
        <w:tc>
          <w:tcPr>
            <w:tcW w:w="130" w:type="pct"/>
          </w:tcPr>
          <w:p w14:paraId="615FABD0" w14:textId="77777777" w:rsidR="00DD308E" w:rsidRDefault="00DD308E" w:rsidP="00855944">
            <w:pPr>
              <w:pStyle w:val="TableHEADER"/>
            </w:pPr>
          </w:p>
        </w:tc>
        <w:tc>
          <w:tcPr>
            <w:tcW w:w="481" w:type="pct"/>
          </w:tcPr>
          <w:p w14:paraId="2E4F3F9A" w14:textId="22447ADD" w:rsidR="00DD308E" w:rsidRDefault="00DD308E" w:rsidP="00855944">
            <w:pPr>
              <w:pStyle w:val="TableHEADER"/>
            </w:pPr>
            <w:r>
              <w:t>Type of study design</w:t>
            </w:r>
          </w:p>
        </w:tc>
        <w:tc>
          <w:tcPr>
            <w:tcW w:w="1537" w:type="pct"/>
          </w:tcPr>
          <w:p w14:paraId="3147C625" w14:textId="4EB68C35" w:rsidR="00DD308E" w:rsidRDefault="00DD308E" w:rsidP="00855944">
            <w:pPr>
              <w:pStyle w:val="TableHEADER"/>
            </w:pPr>
            <w:r>
              <w:t xml:space="preserve">Title of journal article or research project </w:t>
            </w:r>
          </w:p>
        </w:tc>
        <w:tc>
          <w:tcPr>
            <w:tcW w:w="1301" w:type="pct"/>
          </w:tcPr>
          <w:p w14:paraId="2989530F" w14:textId="57AE2461" w:rsidR="00DD308E" w:rsidRDefault="00DD308E" w:rsidP="00855944">
            <w:pPr>
              <w:pStyle w:val="TableHEADER"/>
            </w:pPr>
            <w:r>
              <w:t>Short description of research</w:t>
            </w:r>
          </w:p>
        </w:tc>
        <w:tc>
          <w:tcPr>
            <w:tcW w:w="1036" w:type="pct"/>
          </w:tcPr>
          <w:p w14:paraId="14442338" w14:textId="77777777" w:rsidR="00DD308E" w:rsidRDefault="00DD308E" w:rsidP="00855944">
            <w:pPr>
              <w:pStyle w:val="TableHEADER"/>
            </w:pPr>
            <w:r w:rsidRPr="00E82F54">
              <w:t xml:space="preserve">Website link to </w:t>
            </w:r>
            <w:r>
              <w:t>journal article or research (if available)</w:t>
            </w:r>
          </w:p>
        </w:tc>
        <w:tc>
          <w:tcPr>
            <w:tcW w:w="513" w:type="pct"/>
          </w:tcPr>
          <w:p w14:paraId="1507DABC" w14:textId="2451882C" w:rsidR="00DD308E" w:rsidRDefault="00DD308E" w:rsidP="00855944">
            <w:pPr>
              <w:pStyle w:val="TableHEADER"/>
            </w:pPr>
            <w:r w:rsidRPr="00E82F54">
              <w:t>Date</w:t>
            </w:r>
            <w:r>
              <w:t xml:space="preserve"> of publication</w:t>
            </w:r>
          </w:p>
        </w:tc>
      </w:tr>
      <w:tr w:rsidR="00DD308E" w14:paraId="2B6B7A8E" w14:textId="77777777" w:rsidTr="006B4D37">
        <w:tc>
          <w:tcPr>
            <w:tcW w:w="130" w:type="pct"/>
          </w:tcPr>
          <w:p w14:paraId="0310BE60" w14:textId="77777777" w:rsidR="00DD308E" w:rsidRPr="00965B6B" w:rsidRDefault="00DD308E" w:rsidP="00DD308E">
            <w:pPr>
              <w:rPr>
                <w:szCs w:val="20"/>
              </w:rPr>
            </w:pPr>
            <w:r w:rsidRPr="00965B6B">
              <w:rPr>
                <w:szCs w:val="20"/>
              </w:rPr>
              <w:t>1</w:t>
            </w:r>
            <w:r>
              <w:rPr>
                <w:szCs w:val="20"/>
              </w:rPr>
              <w:t>.</w:t>
            </w:r>
          </w:p>
        </w:tc>
        <w:tc>
          <w:tcPr>
            <w:tcW w:w="481" w:type="pct"/>
          </w:tcPr>
          <w:p w14:paraId="346425F1" w14:textId="77777777" w:rsidR="00DD308E" w:rsidRPr="006B4D37" w:rsidRDefault="007A624C" w:rsidP="00DD308E">
            <w:pPr>
              <w:rPr>
                <w:bCs/>
                <w:szCs w:val="20"/>
              </w:rPr>
            </w:pPr>
            <w:r w:rsidRPr="006B4D37">
              <w:rPr>
                <w:bCs/>
                <w:szCs w:val="20"/>
              </w:rPr>
              <w:t xml:space="preserve">Multi-Centre </w:t>
            </w:r>
            <w:r w:rsidR="00073F1E" w:rsidRPr="006B4D37">
              <w:rPr>
                <w:bCs/>
                <w:szCs w:val="20"/>
              </w:rPr>
              <w:t>Randomised Trial</w:t>
            </w:r>
          </w:p>
        </w:tc>
        <w:tc>
          <w:tcPr>
            <w:tcW w:w="1537" w:type="pct"/>
          </w:tcPr>
          <w:p w14:paraId="011069D2" w14:textId="77777777" w:rsidR="00DD308E" w:rsidRPr="006B4D37" w:rsidRDefault="00073F1E" w:rsidP="00DD308E">
            <w:pPr>
              <w:rPr>
                <w:bCs/>
                <w:szCs w:val="20"/>
              </w:rPr>
            </w:pPr>
            <w:r w:rsidRPr="006B4D37">
              <w:rPr>
                <w:bCs/>
                <w:szCs w:val="20"/>
              </w:rPr>
              <w:t xml:space="preserve">Morris WJ et al </w:t>
            </w:r>
            <w:r w:rsidRPr="006B4D37">
              <w:rPr>
                <w:bCs/>
                <w:i/>
                <w:szCs w:val="20"/>
              </w:rPr>
              <w:t>‘</w:t>
            </w:r>
            <w:r w:rsidR="007A624C" w:rsidRPr="006B4D37">
              <w:rPr>
                <w:bCs/>
                <w:i/>
                <w:szCs w:val="20"/>
              </w:rPr>
              <w:t>Androgen Suppression Combined</w:t>
            </w:r>
            <w:r w:rsidRPr="006B4D37">
              <w:rPr>
                <w:bCs/>
                <w:i/>
                <w:szCs w:val="20"/>
              </w:rPr>
              <w:t xml:space="preserve"> w</w:t>
            </w:r>
            <w:r w:rsidR="007A624C" w:rsidRPr="006B4D37">
              <w:rPr>
                <w:bCs/>
                <w:i/>
                <w:szCs w:val="20"/>
              </w:rPr>
              <w:t>ith Elective Nodal and Dose Esca</w:t>
            </w:r>
            <w:r w:rsidRPr="006B4D37">
              <w:rPr>
                <w:bCs/>
                <w:i/>
                <w:szCs w:val="20"/>
              </w:rPr>
              <w:t xml:space="preserve">lated Radiation Therapy (the ASCENDE-RT Trial): An Analysis of Survival Endpoints for a Randomized Trial Comparing a Low-Dose-Rate Brachytherapy Boost to a Dose-Escalated External Beam Boost for High- and Intermediate -risk Prostate Cancer’ </w:t>
            </w:r>
            <w:r w:rsidRPr="006B4D37">
              <w:rPr>
                <w:bCs/>
                <w:szCs w:val="20"/>
              </w:rPr>
              <w:t>Int J Radiation Oncol Biol Phys. Vol 98, No. 2 pp. 275-285, 2017</w:t>
            </w:r>
          </w:p>
        </w:tc>
        <w:tc>
          <w:tcPr>
            <w:tcW w:w="1301" w:type="pct"/>
          </w:tcPr>
          <w:p w14:paraId="141EC655" w14:textId="77777777" w:rsidR="00DD308E" w:rsidRPr="006B4D37" w:rsidRDefault="00364A29" w:rsidP="00DD308E">
            <w:pPr>
              <w:rPr>
                <w:bCs/>
                <w:szCs w:val="20"/>
              </w:rPr>
            </w:pPr>
            <w:r w:rsidRPr="006B4D37">
              <w:rPr>
                <w:bCs/>
                <w:szCs w:val="20"/>
              </w:rPr>
              <w:t>Comparison between a dose-escalat</w:t>
            </w:r>
            <w:r w:rsidR="00F2417C" w:rsidRPr="006B4D37">
              <w:rPr>
                <w:bCs/>
                <w:szCs w:val="20"/>
              </w:rPr>
              <w:t>ed</w:t>
            </w:r>
            <w:r w:rsidRPr="006B4D37">
              <w:rPr>
                <w:bCs/>
                <w:szCs w:val="20"/>
              </w:rPr>
              <w:t xml:space="preserve"> external beam radiotherapy boost and LDR Brachytherapy boost in intermediate to </w:t>
            </w:r>
            <w:proofErr w:type="gramStart"/>
            <w:r w:rsidRPr="006B4D37">
              <w:rPr>
                <w:bCs/>
                <w:szCs w:val="20"/>
              </w:rPr>
              <w:t>high risk</w:t>
            </w:r>
            <w:proofErr w:type="gramEnd"/>
            <w:r w:rsidRPr="006B4D37">
              <w:rPr>
                <w:bCs/>
                <w:szCs w:val="20"/>
              </w:rPr>
              <w:t xml:space="preserve"> prostate cancer.  Primary endpoint was biochemical progression free survival. Secondary endpoints included overall survival, metastasis free survival and prostate cancer specific survival</w:t>
            </w:r>
          </w:p>
          <w:p w14:paraId="6DB84A8B" w14:textId="53000FA9" w:rsidR="00A4670B" w:rsidRPr="006B4D37" w:rsidRDefault="00A4670B" w:rsidP="00DD308E">
            <w:pPr>
              <w:rPr>
                <w:bCs/>
                <w:szCs w:val="20"/>
              </w:rPr>
            </w:pPr>
            <w:r w:rsidRPr="006B4D37">
              <w:rPr>
                <w:bCs/>
                <w:szCs w:val="20"/>
              </w:rPr>
              <w:t>(n=398)</w:t>
            </w:r>
          </w:p>
        </w:tc>
        <w:tc>
          <w:tcPr>
            <w:tcW w:w="1036" w:type="pct"/>
          </w:tcPr>
          <w:p w14:paraId="5210AB9C" w14:textId="77777777" w:rsidR="00DD308E" w:rsidRPr="006B4D37" w:rsidRDefault="00364A29" w:rsidP="00DD308E">
            <w:pPr>
              <w:rPr>
                <w:bCs/>
                <w:szCs w:val="20"/>
              </w:rPr>
            </w:pPr>
            <w:r w:rsidRPr="006B4D37">
              <w:rPr>
                <w:bCs/>
                <w:szCs w:val="20"/>
              </w:rPr>
              <w:t>http://www.redjournal.org/article/S0360-3016(16)33484-8/fulltext</w:t>
            </w:r>
          </w:p>
        </w:tc>
        <w:tc>
          <w:tcPr>
            <w:tcW w:w="513" w:type="pct"/>
          </w:tcPr>
          <w:p w14:paraId="64946174" w14:textId="77777777" w:rsidR="00DD308E" w:rsidRPr="006B4D37" w:rsidRDefault="00364A29" w:rsidP="00DD308E">
            <w:pPr>
              <w:rPr>
                <w:bCs/>
                <w:szCs w:val="20"/>
              </w:rPr>
            </w:pPr>
            <w:r w:rsidRPr="006B4D37">
              <w:rPr>
                <w:bCs/>
                <w:szCs w:val="20"/>
              </w:rPr>
              <w:t>June 1 2017</w:t>
            </w:r>
          </w:p>
        </w:tc>
      </w:tr>
      <w:tr w:rsidR="00DD308E" w14:paraId="702C1A0C" w14:textId="77777777" w:rsidTr="006B4D37">
        <w:trPr>
          <w:cantSplit/>
        </w:trPr>
        <w:tc>
          <w:tcPr>
            <w:tcW w:w="130" w:type="pct"/>
          </w:tcPr>
          <w:p w14:paraId="55496423" w14:textId="77777777" w:rsidR="00DD308E" w:rsidRPr="00965B6B" w:rsidRDefault="00DD308E" w:rsidP="00DD308E">
            <w:pPr>
              <w:rPr>
                <w:szCs w:val="20"/>
              </w:rPr>
            </w:pPr>
            <w:r>
              <w:rPr>
                <w:szCs w:val="20"/>
              </w:rPr>
              <w:t>2.</w:t>
            </w:r>
          </w:p>
        </w:tc>
        <w:tc>
          <w:tcPr>
            <w:tcW w:w="481" w:type="pct"/>
          </w:tcPr>
          <w:p w14:paraId="7B9388A6" w14:textId="77777777" w:rsidR="00DD308E" w:rsidRPr="006B4D37" w:rsidRDefault="007A624C" w:rsidP="00DD308E">
            <w:pPr>
              <w:rPr>
                <w:bCs/>
                <w:szCs w:val="20"/>
              </w:rPr>
            </w:pPr>
            <w:r w:rsidRPr="006B4D37">
              <w:rPr>
                <w:bCs/>
              </w:rPr>
              <w:t>Multi-Centre Randomised Trial</w:t>
            </w:r>
          </w:p>
        </w:tc>
        <w:tc>
          <w:tcPr>
            <w:tcW w:w="1537" w:type="pct"/>
          </w:tcPr>
          <w:p w14:paraId="65EE44C2" w14:textId="77777777" w:rsidR="00DD308E" w:rsidRPr="006B4D37" w:rsidRDefault="007A624C" w:rsidP="00DD308E">
            <w:pPr>
              <w:rPr>
                <w:bCs/>
                <w:szCs w:val="20"/>
              </w:rPr>
            </w:pPr>
            <w:r w:rsidRPr="006B4D37">
              <w:rPr>
                <w:bCs/>
                <w:szCs w:val="20"/>
              </w:rPr>
              <w:t xml:space="preserve">Rodda S et al </w:t>
            </w:r>
            <w:r w:rsidRPr="006B4D37">
              <w:rPr>
                <w:bCs/>
                <w:i/>
                <w:szCs w:val="20"/>
              </w:rPr>
              <w:t>‘ASCENDE-RT: An Analysis of Treatment-Related Morbidity for a Randomized Trial Comparing a Low-Dose-Rate Brachytherapy Boost with a Dose-Escalated External Beam Boost for High- and Intermediate-Risk Prostate Cancer’</w:t>
            </w:r>
            <w:r w:rsidR="00243CB4" w:rsidRPr="006B4D37">
              <w:rPr>
                <w:bCs/>
                <w:i/>
                <w:szCs w:val="20"/>
              </w:rPr>
              <w:t xml:space="preserve"> </w:t>
            </w:r>
            <w:r w:rsidR="00243CB4" w:rsidRPr="006B4D37">
              <w:rPr>
                <w:bCs/>
                <w:szCs w:val="20"/>
              </w:rPr>
              <w:t>Int J Radiation Oncol Biol Phys. Vol 98, No. 2 pp. 286-295, 2017</w:t>
            </w:r>
          </w:p>
        </w:tc>
        <w:tc>
          <w:tcPr>
            <w:tcW w:w="1301" w:type="pct"/>
          </w:tcPr>
          <w:p w14:paraId="40E136B7" w14:textId="77777777" w:rsidR="00DD308E" w:rsidRPr="006B4D37" w:rsidRDefault="00243CB4" w:rsidP="00DD308E">
            <w:pPr>
              <w:rPr>
                <w:bCs/>
                <w:szCs w:val="20"/>
              </w:rPr>
            </w:pPr>
            <w:r w:rsidRPr="006B4D37">
              <w:rPr>
                <w:bCs/>
                <w:szCs w:val="20"/>
              </w:rPr>
              <w:t>Comparison between a dose-escalat</w:t>
            </w:r>
            <w:r w:rsidR="00F2417C" w:rsidRPr="006B4D37">
              <w:rPr>
                <w:bCs/>
                <w:szCs w:val="20"/>
              </w:rPr>
              <w:t>ed</w:t>
            </w:r>
            <w:r w:rsidRPr="006B4D37">
              <w:rPr>
                <w:bCs/>
                <w:szCs w:val="20"/>
              </w:rPr>
              <w:t xml:space="preserve"> external beam radiotherapy boost and LDR Brachytherapy boost in intermediate to </w:t>
            </w:r>
            <w:proofErr w:type="gramStart"/>
            <w:r w:rsidRPr="006B4D37">
              <w:rPr>
                <w:bCs/>
                <w:szCs w:val="20"/>
              </w:rPr>
              <w:t>high risk</w:t>
            </w:r>
            <w:proofErr w:type="gramEnd"/>
            <w:r w:rsidRPr="006B4D37">
              <w:rPr>
                <w:bCs/>
                <w:szCs w:val="20"/>
              </w:rPr>
              <w:t xml:space="preserve"> prostate cancer.  An analysis of genitourinary and gastrointestinal morbidity and erectile dysfunction.</w:t>
            </w:r>
          </w:p>
          <w:p w14:paraId="00D0BB72" w14:textId="41430A75" w:rsidR="00A4670B" w:rsidRPr="006B4D37" w:rsidRDefault="00A4670B" w:rsidP="00DD308E">
            <w:pPr>
              <w:rPr>
                <w:bCs/>
                <w:szCs w:val="20"/>
              </w:rPr>
            </w:pPr>
            <w:r w:rsidRPr="006B4D37">
              <w:rPr>
                <w:bCs/>
                <w:szCs w:val="20"/>
              </w:rPr>
              <w:t>(N=398)</w:t>
            </w:r>
          </w:p>
        </w:tc>
        <w:tc>
          <w:tcPr>
            <w:tcW w:w="1036" w:type="pct"/>
          </w:tcPr>
          <w:p w14:paraId="62B3A648" w14:textId="77777777" w:rsidR="00DD308E" w:rsidRPr="006B4D37" w:rsidRDefault="00243CB4" w:rsidP="00DD308E">
            <w:pPr>
              <w:rPr>
                <w:bCs/>
                <w:szCs w:val="20"/>
              </w:rPr>
            </w:pPr>
            <w:r w:rsidRPr="006B4D37">
              <w:rPr>
                <w:bCs/>
                <w:szCs w:val="20"/>
              </w:rPr>
              <w:t>http://www.redjournal.org/article/S0360-3016(17)30008-1/pdf</w:t>
            </w:r>
          </w:p>
        </w:tc>
        <w:tc>
          <w:tcPr>
            <w:tcW w:w="513" w:type="pct"/>
          </w:tcPr>
          <w:p w14:paraId="20FEF5E5" w14:textId="77777777" w:rsidR="00DD308E" w:rsidRPr="006B4D37" w:rsidRDefault="00243CB4" w:rsidP="00DD308E">
            <w:pPr>
              <w:rPr>
                <w:bCs/>
                <w:szCs w:val="20"/>
              </w:rPr>
            </w:pPr>
            <w:r w:rsidRPr="006B4D37">
              <w:rPr>
                <w:bCs/>
                <w:szCs w:val="20"/>
              </w:rPr>
              <w:t>June 2017</w:t>
            </w:r>
          </w:p>
        </w:tc>
      </w:tr>
      <w:tr w:rsidR="00DD308E" w14:paraId="2D40AA55" w14:textId="77777777" w:rsidTr="006B4D37">
        <w:trPr>
          <w:cantSplit/>
        </w:trPr>
        <w:tc>
          <w:tcPr>
            <w:tcW w:w="130" w:type="pct"/>
          </w:tcPr>
          <w:p w14:paraId="66F01F9D" w14:textId="77777777" w:rsidR="00DD308E" w:rsidRPr="00965B6B" w:rsidRDefault="00DD308E" w:rsidP="00DD308E">
            <w:pPr>
              <w:rPr>
                <w:szCs w:val="20"/>
              </w:rPr>
            </w:pPr>
            <w:r>
              <w:rPr>
                <w:szCs w:val="20"/>
              </w:rPr>
              <w:lastRenderedPageBreak/>
              <w:t>3.</w:t>
            </w:r>
          </w:p>
        </w:tc>
        <w:tc>
          <w:tcPr>
            <w:tcW w:w="481" w:type="pct"/>
          </w:tcPr>
          <w:p w14:paraId="24F9C18C" w14:textId="77777777" w:rsidR="00DD308E" w:rsidRPr="006B4D37" w:rsidRDefault="00253CEA" w:rsidP="00DD308E">
            <w:pPr>
              <w:rPr>
                <w:bCs/>
                <w:szCs w:val="20"/>
              </w:rPr>
            </w:pPr>
            <w:r w:rsidRPr="006B4D37">
              <w:rPr>
                <w:bCs/>
              </w:rPr>
              <w:t>Multi-Centre Randomised Trial</w:t>
            </w:r>
          </w:p>
        </w:tc>
        <w:tc>
          <w:tcPr>
            <w:tcW w:w="1537" w:type="pct"/>
          </w:tcPr>
          <w:p w14:paraId="1C82E6D6" w14:textId="77777777" w:rsidR="00DD308E" w:rsidRPr="006B4D37" w:rsidRDefault="00253CEA" w:rsidP="00DD308E">
            <w:pPr>
              <w:rPr>
                <w:bCs/>
                <w:szCs w:val="20"/>
              </w:rPr>
            </w:pPr>
            <w:r w:rsidRPr="006B4D37">
              <w:rPr>
                <w:bCs/>
              </w:rPr>
              <w:t xml:space="preserve">Rodda S et al </w:t>
            </w:r>
            <w:r w:rsidRPr="006B4D37">
              <w:rPr>
                <w:bCs/>
                <w:i/>
              </w:rPr>
              <w:t>‘An Analysis of Health-Related Quality of Life for a Randomized Trial Comparing Low-Dose-Rate Brachytherapy Boost With Dose-Escalated External Beam Boost for High- and Intermediate-Risk Prostate Cancer</w:t>
            </w:r>
            <w:proofErr w:type="gramStart"/>
            <w:r w:rsidRPr="006B4D37">
              <w:rPr>
                <w:bCs/>
                <w:i/>
              </w:rPr>
              <w:t xml:space="preserve">’ </w:t>
            </w:r>
            <w:r w:rsidRPr="006B4D37">
              <w:rPr>
                <w:bCs/>
              </w:rPr>
              <w:t xml:space="preserve"> In</w:t>
            </w:r>
            <w:proofErr w:type="gramEnd"/>
            <w:r w:rsidRPr="006B4D37">
              <w:rPr>
                <w:bCs/>
              </w:rPr>
              <w:t xml:space="preserve"> J Radiation Oncol Biol Phys, Vol. 98, No.3 581-589, 2017</w:t>
            </w:r>
          </w:p>
        </w:tc>
        <w:tc>
          <w:tcPr>
            <w:tcW w:w="1301" w:type="pct"/>
          </w:tcPr>
          <w:p w14:paraId="5F87816F" w14:textId="77777777" w:rsidR="00DD308E" w:rsidRPr="006B4D37" w:rsidRDefault="00253CEA" w:rsidP="00DD308E">
            <w:pPr>
              <w:rPr>
                <w:bCs/>
              </w:rPr>
            </w:pPr>
            <w:r w:rsidRPr="006B4D37">
              <w:rPr>
                <w:bCs/>
              </w:rPr>
              <w:t>Comparison between dose-escalat</w:t>
            </w:r>
            <w:r w:rsidR="00F2417C" w:rsidRPr="006B4D37">
              <w:rPr>
                <w:bCs/>
              </w:rPr>
              <w:t>ed</w:t>
            </w:r>
            <w:r w:rsidRPr="006B4D37">
              <w:rPr>
                <w:bCs/>
              </w:rPr>
              <w:t xml:space="preserve"> external beam radiotherapy boost and LDR Brachytherapy boost in intermediate to </w:t>
            </w:r>
            <w:proofErr w:type="gramStart"/>
            <w:r w:rsidRPr="006B4D37">
              <w:rPr>
                <w:bCs/>
              </w:rPr>
              <w:t>high risk</w:t>
            </w:r>
            <w:proofErr w:type="gramEnd"/>
            <w:r w:rsidRPr="006B4D37">
              <w:rPr>
                <w:bCs/>
              </w:rPr>
              <w:t xml:space="preserve"> prostate cancer.  An analysis of health related QOL as measured by the SF36 v 2 questionnaire with additional scales for urinary, bowel and sexual function</w:t>
            </w:r>
          </w:p>
          <w:p w14:paraId="64DE6473" w14:textId="5B7D3EB5" w:rsidR="00A4670B" w:rsidRPr="006B4D37" w:rsidRDefault="00A4670B" w:rsidP="00DD308E">
            <w:pPr>
              <w:rPr>
                <w:bCs/>
                <w:szCs w:val="20"/>
              </w:rPr>
            </w:pPr>
            <w:r w:rsidRPr="006B4D37">
              <w:rPr>
                <w:bCs/>
                <w:szCs w:val="20"/>
              </w:rPr>
              <w:t>(n=398)</w:t>
            </w:r>
          </w:p>
        </w:tc>
        <w:tc>
          <w:tcPr>
            <w:tcW w:w="1036" w:type="pct"/>
          </w:tcPr>
          <w:p w14:paraId="42C07F45" w14:textId="77777777" w:rsidR="00DD308E" w:rsidRPr="006B4D37" w:rsidRDefault="00253CEA" w:rsidP="00DD308E">
            <w:pPr>
              <w:rPr>
                <w:bCs/>
                <w:szCs w:val="20"/>
              </w:rPr>
            </w:pPr>
            <w:r w:rsidRPr="006B4D37">
              <w:rPr>
                <w:bCs/>
                <w:szCs w:val="20"/>
              </w:rPr>
              <w:t>http://www.redjournal.org/article/S0360-3016(17)30405-4/fulltext</w:t>
            </w:r>
          </w:p>
        </w:tc>
        <w:tc>
          <w:tcPr>
            <w:tcW w:w="513" w:type="pct"/>
          </w:tcPr>
          <w:p w14:paraId="6DDF5EB1" w14:textId="77777777" w:rsidR="00DD308E" w:rsidRPr="006B4D37" w:rsidRDefault="00253CEA" w:rsidP="00DD308E">
            <w:pPr>
              <w:rPr>
                <w:bCs/>
                <w:szCs w:val="20"/>
              </w:rPr>
            </w:pPr>
            <w:r w:rsidRPr="006B4D37">
              <w:rPr>
                <w:bCs/>
              </w:rPr>
              <w:t xml:space="preserve"> July 1, 2017</w:t>
            </w:r>
          </w:p>
        </w:tc>
      </w:tr>
      <w:tr w:rsidR="00DD308E" w14:paraId="645D0C86" w14:textId="77777777" w:rsidTr="006B4D37">
        <w:trPr>
          <w:cantSplit/>
        </w:trPr>
        <w:tc>
          <w:tcPr>
            <w:tcW w:w="130" w:type="pct"/>
          </w:tcPr>
          <w:p w14:paraId="24D34670" w14:textId="77777777" w:rsidR="00DD308E" w:rsidRPr="00965B6B" w:rsidRDefault="00DD308E" w:rsidP="00DD308E">
            <w:pPr>
              <w:rPr>
                <w:szCs w:val="20"/>
              </w:rPr>
            </w:pPr>
            <w:r>
              <w:rPr>
                <w:szCs w:val="20"/>
              </w:rPr>
              <w:t>4.</w:t>
            </w:r>
          </w:p>
        </w:tc>
        <w:tc>
          <w:tcPr>
            <w:tcW w:w="481" w:type="pct"/>
          </w:tcPr>
          <w:p w14:paraId="5841FC12" w14:textId="77777777" w:rsidR="00DD308E" w:rsidRPr="006B4D37" w:rsidRDefault="00E20994" w:rsidP="00DD308E">
            <w:pPr>
              <w:rPr>
                <w:bCs/>
                <w:szCs w:val="20"/>
              </w:rPr>
            </w:pPr>
            <w:r w:rsidRPr="006B4D37">
              <w:rPr>
                <w:bCs/>
              </w:rPr>
              <w:t>Population Database Analysis</w:t>
            </w:r>
          </w:p>
        </w:tc>
        <w:tc>
          <w:tcPr>
            <w:tcW w:w="1537" w:type="pct"/>
          </w:tcPr>
          <w:p w14:paraId="76702005" w14:textId="77777777" w:rsidR="00DD308E" w:rsidRPr="006B4D37" w:rsidRDefault="00BC155C" w:rsidP="00DD308E">
            <w:pPr>
              <w:rPr>
                <w:bCs/>
                <w:szCs w:val="20"/>
              </w:rPr>
            </w:pPr>
            <w:r w:rsidRPr="006B4D37">
              <w:rPr>
                <w:bCs/>
                <w:szCs w:val="20"/>
              </w:rPr>
              <w:t xml:space="preserve">Johnson SB et al </w:t>
            </w:r>
            <w:r w:rsidRPr="006B4D37">
              <w:rPr>
                <w:bCs/>
                <w:i/>
                <w:szCs w:val="20"/>
              </w:rPr>
              <w:t xml:space="preserve">‘Brachytherapy Boost Utilization and Survival in Unfavourable -risk Prostate Cancer’ </w:t>
            </w:r>
            <w:r w:rsidRPr="006B4D37">
              <w:rPr>
                <w:bCs/>
                <w:szCs w:val="20"/>
              </w:rPr>
              <w:t>EURURO -7442, 2017</w:t>
            </w:r>
          </w:p>
        </w:tc>
        <w:tc>
          <w:tcPr>
            <w:tcW w:w="1301" w:type="pct"/>
          </w:tcPr>
          <w:p w14:paraId="09A489DE" w14:textId="77777777" w:rsidR="00DD308E" w:rsidRPr="006B4D37" w:rsidRDefault="00B52FF6" w:rsidP="00DD308E">
            <w:pPr>
              <w:rPr>
                <w:bCs/>
                <w:szCs w:val="20"/>
              </w:rPr>
            </w:pPr>
            <w:r w:rsidRPr="006B4D37">
              <w:rPr>
                <w:bCs/>
                <w:szCs w:val="20"/>
              </w:rPr>
              <w:t xml:space="preserve">Patients were identified from the National Cancer Data Base with unfavourable risk prostate cancer who were treated with EBRT followed by LDR Brachytherapy or DE-EBRT were </w:t>
            </w:r>
            <w:proofErr w:type="gramStart"/>
            <w:r w:rsidRPr="006B4D37">
              <w:rPr>
                <w:bCs/>
                <w:szCs w:val="20"/>
              </w:rPr>
              <w:t>identified</w:t>
            </w:r>
            <w:proofErr w:type="gramEnd"/>
            <w:r w:rsidRPr="006B4D37">
              <w:rPr>
                <w:bCs/>
                <w:szCs w:val="20"/>
              </w:rPr>
              <w:t xml:space="preserve"> and overall survival measured </w:t>
            </w:r>
          </w:p>
          <w:p w14:paraId="468945B8" w14:textId="57E6E2A1" w:rsidR="00F108AB" w:rsidRPr="006B4D37" w:rsidRDefault="00F108AB" w:rsidP="00DD308E">
            <w:pPr>
              <w:rPr>
                <w:bCs/>
                <w:szCs w:val="20"/>
              </w:rPr>
            </w:pPr>
            <w:r w:rsidRPr="006B4D37">
              <w:rPr>
                <w:bCs/>
                <w:szCs w:val="20"/>
              </w:rPr>
              <w:t>(n=25,038)</w:t>
            </w:r>
          </w:p>
        </w:tc>
        <w:tc>
          <w:tcPr>
            <w:tcW w:w="1036" w:type="pct"/>
          </w:tcPr>
          <w:p w14:paraId="1B447EE2" w14:textId="77777777" w:rsidR="00DD308E" w:rsidRPr="006B4D37" w:rsidRDefault="00B52FF6" w:rsidP="00DD308E">
            <w:pPr>
              <w:rPr>
                <w:bCs/>
                <w:szCs w:val="20"/>
              </w:rPr>
            </w:pPr>
            <w:r w:rsidRPr="006B4D37">
              <w:rPr>
                <w:bCs/>
                <w:szCs w:val="20"/>
              </w:rPr>
              <w:t>http://www.europeanurology.com/article/S0302-2838(17)30515-8/pdf</w:t>
            </w:r>
          </w:p>
        </w:tc>
        <w:tc>
          <w:tcPr>
            <w:tcW w:w="513" w:type="pct"/>
          </w:tcPr>
          <w:p w14:paraId="2DC4722E" w14:textId="77777777" w:rsidR="00DD308E" w:rsidRPr="006B4D37" w:rsidRDefault="00B52FF6" w:rsidP="00DD308E">
            <w:pPr>
              <w:rPr>
                <w:bCs/>
                <w:szCs w:val="20"/>
              </w:rPr>
            </w:pPr>
            <w:r w:rsidRPr="006B4D37">
              <w:rPr>
                <w:bCs/>
              </w:rPr>
              <w:t>June 2017</w:t>
            </w:r>
          </w:p>
        </w:tc>
      </w:tr>
      <w:tr w:rsidR="00DD308E" w14:paraId="07B162BC" w14:textId="77777777" w:rsidTr="006B4D37">
        <w:trPr>
          <w:cantSplit/>
        </w:trPr>
        <w:tc>
          <w:tcPr>
            <w:tcW w:w="130" w:type="pct"/>
          </w:tcPr>
          <w:p w14:paraId="60B66B43" w14:textId="77777777" w:rsidR="00DD308E" w:rsidRPr="00965B6B" w:rsidRDefault="00DD308E" w:rsidP="00DD308E">
            <w:pPr>
              <w:rPr>
                <w:szCs w:val="20"/>
              </w:rPr>
            </w:pPr>
            <w:r>
              <w:rPr>
                <w:szCs w:val="20"/>
              </w:rPr>
              <w:t>5.</w:t>
            </w:r>
          </w:p>
        </w:tc>
        <w:tc>
          <w:tcPr>
            <w:tcW w:w="481" w:type="pct"/>
          </w:tcPr>
          <w:p w14:paraId="513DC979" w14:textId="77777777" w:rsidR="00DD308E" w:rsidRPr="006B4D37" w:rsidRDefault="00563AC5" w:rsidP="00DD308E">
            <w:pPr>
              <w:rPr>
                <w:bCs/>
                <w:szCs w:val="20"/>
              </w:rPr>
            </w:pPr>
            <w:r w:rsidRPr="006B4D37">
              <w:rPr>
                <w:bCs/>
                <w:szCs w:val="20"/>
              </w:rPr>
              <w:t>Registry</w:t>
            </w:r>
          </w:p>
        </w:tc>
        <w:tc>
          <w:tcPr>
            <w:tcW w:w="1537" w:type="pct"/>
          </w:tcPr>
          <w:p w14:paraId="4A670285" w14:textId="77777777" w:rsidR="00DD308E" w:rsidRPr="006B4D37" w:rsidRDefault="00563AC5" w:rsidP="00DD308E">
            <w:pPr>
              <w:rPr>
                <w:bCs/>
                <w:szCs w:val="20"/>
              </w:rPr>
            </w:pPr>
            <w:r w:rsidRPr="006B4D37">
              <w:rPr>
                <w:bCs/>
              </w:rPr>
              <w:t xml:space="preserve">Kittel JA et al </w:t>
            </w:r>
            <w:r w:rsidRPr="006B4D37">
              <w:rPr>
                <w:bCs/>
                <w:i/>
              </w:rPr>
              <w:t>‘Long-Term Effica</w:t>
            </w:r>
            <w:r w:rsidR="00BE2819" w:rsidRPr="006B4D37">
              <w:rPr>
                <w:bCs/>
                <w:i/>
              </w:rPr>
              <w:t>c</w:t>
            </w:r>
            <w:r w:rsidRPr="006B4D37">
              <w:rPr>
                <w:bCs/>
                <w:i/>
              </w:rPr>
              <w:t xml:space="preserve">y and Toxicity of Low-Dose-Rate </w:t>
            </w:r>
            <w:r w:rsidRPr="006B4D37">
              <w:rPr>
                <w:rFonts w:cstheme="minorHAnsi"/>
                <w:bCs/>
                <w:i/>
              </w:rPr>
              <w:t>¹</w:t>
            </w:r>
            <w:r w:rsidRPr="006B4D37">
              <w:rPr>
                <w:rFonts w:ascii="Calibri" w:hAnsi="Calibri" w:cs="Calibri"/>
                <w:bCs/>
                <w:i/>
              </w:rPr>
              <w:t>²</w:t>
            </w:r>
            <w:r w:rsidRPr="006B4D37">
              <w:rPr>
                <w:bCs/>
                <w:i/>
                <w:vertAlign w:val="superscript"/>
              </w:rPr>
              <w:t>5</w:t>
            </w:r>
            <w:r w:rsidR="00BE2819" w:rsidRPr="006B4D37">
              <w:rPr>
                <w:bCs/>
                <w:i/>
              </w:rPr>
              <w:t>I Prostate Brachytherapy as Monotherapy in Low-, Intermediate-, and High-Risk Prostate Cancer</w:t>
            </w:r>
            <w:proofErr w:type="gramStart"/>
            <w:r w:rsidR="00BE2819" w:rsidRPr="006B4D37">
              <w:rPr>
                <w:bCs/>
                <w:i/>
              </w:rPr>
              <w:t xml:space="preserve">’ </w:t>
            </w:r>
            <w:r w:rsidR="00BE2819" w:rsidRPr="006B4D37">
              <w:rPr>
                <w:bCs/>
              </w:rPr>
              <w:t xml:space="preserve"> Int</w:t>
            </w:r>
            <w:proofErr w:type="gramEnd"/>
            <w:r w:rsidR="00BE2819" w:rsidRPr="006B4D37">
              <w:rPr>
                <w:bCs/>
              </w:rPr>
              <w:t xml:space="preserve"> J Radiation Oncol Biol Phys, Vol. 92, no4, pp.884-893, 2015</w:t>
            </w:r>
          </w:p>
        </w:tc>
        <w:tc>
          <w:tcPr>
            <w:tcW w:w="1301" w:type="pct"/>
          </w:tcPr>
          <w:p w14:paraId="35489CAC" w14:textId="77777777" w:rsidR="00DD308E" w:rsidRPr="006B4D37" w:rsidRDefault="00BE2819" w:rsidP="00DD308E">
            <w:pPr>
              <w:rPr>
                <w:bCs/>
                <w:szCs w:val="20"/>
              </w:rPr>
            </w:pPr>
            <w:r w:rsidRPr="006B4D37">
              <w:rPr>
                <w:bCs/>
                <w:szCs w:val="20"/>
              </w:rPr>
              <w:t>Patients of variable risk profiles were treated with LDR Brachytherapy and followed prospectively in a registry. Biochemical relapse free survival, distant metastasis-free survival and prostate cancer specific mortality were calculated</w:t>
            </w:r>
          </w:p>
          <w:p w14:paraId="6CD880CE" w14:textId="4015C5EB" w:rsidR="00F108AB" w:rsidRPr="006B4D37" w:rsidRDefault="00F108AB" w:rsidP="00DD308E">
            <w:pPr>
              <w:rPr>
                <w:bCs/>
                <w:szCs w:val="20"/>
              </w:rPr>
            </w:pPr>
            <w:r w:rsidRPr="006B4D37">
              <w:rPr>
                <w:bCs/>
                <w:szCs w:val="20"/>
              </w:rPr>
              <w:t>(n=1,989)</w:t>
            </w:r>
          </w:p>
        </w:tc>
        <w:tc>
          <w:tcPr>
            <w:tcW w:w="1036" w:type="pct"/>
          </w:tcPr>
          <w:p w14:paraId="48D24C88" w14:textId="77777777" w:rsidR="00DD308E" w:rsidRPr="006B4D37" w:rsidRDefault="00BE2819" w:rsidP="00DD308E">
            <w:pPr>
              <w:rPr>
                <w:bCs/>
                <w:szCs w:val="20"/>
              </w:rPr>
            </w:pPr>
            <w:r w:rsidRPr="006B4D37">
              <w:rPr>
                <w:bCs/>
                <w:szCs w:val="20"/>
              </w:rPr>
              <w:t>http://www.redjournal.org/article/S0360-3016(15)00253-9/fulltext</w:t>
            </w:r>
          </w:p>
        </w:tc>
        <w:tc>
          <w:tcPr>
            <w:tcW w:w="513" w:type="pct"/>
          </w:tcPr>
          <w:p w14:paraId="46CED440" w14:textId="77777777" w:rsidR="00DD308E" w:rsidRPr="006B4D37" w:rsidRDefault="00BE2819" w:rsidP="00DD308E">
            <w:pPr>
              <w:rPr>
                <w:bCs/>
                <w:szCs w:val="20"/>
              </w:rPr>
            </w:pPr>
            <w:r w:rsidRPr="006B4D37">
              <w:rPr>
                <w:bCs/>
              </w:rPr>
              <w:t>July 15, 2015</w:t>
            </w:r>
          </w:p>
        </w:tc>
      </w:tr>
      <w:tr w:rsidR="00DD308E" w14:paraId="23206322" w14:textId="77777777" w:rsidTr="006B4D37">
        <w:trPr>
          <w:cantSplit/>
        </w:trPr>
        <w:tc>
          <w:tcPr>
            <w:tcW w:w="130" w:type="pct"/>
          </w:tcPr>
          <w:p w14:paraId="3B2584B6" w14:textId="77777777" w:rsidR="00DD308E" w:rsidRDefault="00DD308E" w:rsidP="00DD308E">
            <w:pPr>
              <w:rPr>
                <w:szCs w:val="20"/>
              </w:rPr>
            </w:pPr>
            <w:r>
              <w:rPr>
                <w:szCs w:val="20"/>
              </w:rPr>
              <w:lastRenderedPageBreak/>
              <w:t>6.</w:t>
            </w:r>
          </w:p>
        </w:tc>
        <w:tc>
          <w:tcPr>
            <w:tcW w:w="481" w:type="pct"/>
          </w:tcPr>
          <w:p w14:paraId="29611FB9" w14:textId="77777777" w:rsidR="00DD308E" w:rsidRPr="006B4D37" w:rsidRDefault="00BE2819" w:rsidP="00DD308E">
            <w:pPr>
              <w:rPr>
                <w:bCs/>
                <w:szCs w:val="20"/>
              </w:rPr>
            </w:pPr>
            <w:r w:rsidRPr="006B4D37">
              <w:rPr>
                <w:bCs/>
                <w:szCs w:val="20"/>
              </w:rPr>
              <w:t>Population Database Analysis</w:t>
            </w:r>
          </w:p>
        </w:tc>
        <w:tc>
          <w:tcPr>
            <w:tcW w:w="1537" w:type="pct"/>
          </w:tcPr>
          <w:p w14:paraId="0E0ABB60" w14:textId="77777777" w:rsidR="00DD308E" w:rsidRPr="006B4D37" w:rsidRDefault="00BE2819" w:rsidP="00DD308E">
            <w:pPr>
              <w:rPr>
                <w:bCs/>
                <w:szCs w:val="20"/>
              </w:rPr>
            </w:pPr>
            <w:r w:rsidRPr="006B4D37">
              <w:rPr>
                <w:bCs/>
              </w:rPr>
              <w:t xml:space="preserve">Xiang M et al </w:t>
            </w:r>
            <w:r w:rsidRPr="006B4D37">
              <w:rPr>
                <w:bCs/>
                <w:i/>
              </w:rPr>
              <w:t>‘Significant association of brachytherapy boost with reduced prostate cancer-specific mortality in contemporary patients with localized, unfavourable-risk prostate cancer</w:t>
            </w:r>
            <w:proofErr w:type="gramStart"/>
            <w:r w:rsidRPr="006B4D37">
              <w:rPr>
                <w:bCs/>
                <w:i/>
              </w:rPr>
              <w:t xml:space="preserve">’ </w:t>
            </w:r>
            <w:r w:rsidR="008F771F" w:rsidRPr="006B4D37">
              <w:rPr>
                <w:bCs/>
              </w:rPr>
              <w:t xml:space="preserve"> Brachytherapy</w:t>
            </w:r>
            <w:proofErr w:type="gramEnd"/>
            <w:r w:rsidR="008F771F" w:rsidRPr="006B4D37">
              <w:rPr>
                <w:bCs/>
              </w:rPr>
              <w:t xml:space="preserve"> 14 (2015) 773-780</w:t>
            </w:r>
          </w:p>
        </w:tc>
        <w:tc>
          <w:tcPr>
            <w:tcW w:w="1301" w:type="pct"/>
          </w:tcPr>
          <w:p w14:paraId="399DE497" w14:textId="77777777" w:rsidR="00DD308E" w:rsidRPr="006B4D37" w:rsidRDefault="00653A89" w:rsidP="00DD308E">
            <w:pPr>
              <w:rPr>
                <w:bCs/>
              </w:rPr>
            </w:pPr>
            <w:r w:rsidRPr="006B4D37">
              <w:rPr>
                <w:bCs/>
              </w:rPr>
              <w:t>Analysis of pati</w:t>
            </w:r>
            <w:r w:rsidR="008F771F" w:rsidRPr="006B4D37">
              <w:rPr>
                <w:bCs/>
              </w:rPr>
              <w:t>ents in Surveillance, Epidemiology and End Results (SEER) database diagnosed with intermediate- or high-risk prostate cancer treated with EBRT only or EBRT + BT.</w:t>
            </w:r>
            <w:r w:rsidR="007916A2" w:rsidRPr="006B4D37">
              <w:rPr>
                <w:bCs/>
              </w:rPr>
              <w:t xml:space="preserve"> Brachytherapy 2018</w:t>
            </w:r>
          </w:p>
          <w:p w14:paraId="4CC30A12" w14:textId="6F5503C8" w:rsidR="00F108AB" w:rsidRPr="006B4D37" w:rsidRDefault="00F108AB" w:rsidP="00DD308E">
            <w:pPr>
              <w:rPr>
                <w:bCs/>
                <w:szCs w:val="20"/>
              </w:rPr>
            </w:pPr>
            <w:r w:rsidRPr="006B4D37">
              <w:rPr>
                <w:bCs/>
                <w:szCs w:val="20"/>
              </w:rPr>
              <w:t>(n=52,535)</w:t>
            </w:r>
          </w:p>
        </w:tc>
        <w:tc>
          <w:tcPr>
            <w:tcW w:w="1036" w:type="pct"/>
          </w:tcPr>
          <w:p w14:paraId="71663738" w14:textId="77777777" w:rsidR="00DD308E" w:rsidRPr="006B4D37" w:rsidRDefault="008F771F" w:rsidP="00DD308E">
            <w:pPr>
              <w:rPr>
                <w:bCs/>
                <w:szCs w:val="20"/>
              </w:rPr>
            </w:pPr>
            <w:r w:rsidRPr="006B4D37">
              <w:rPr>
                <w:bCs/>
                <w:szCs w:val="20"/>
              </w:rPr>
              <w:t>https://www.ncbi.nlm.nih.gov/pmc/articles/PMC4833213/</w:t>
            </w:r>
          </w:p>
        </w:tc>
        <w:tc>
          <w:tcPr>
            <w:tcW w:w="513" w:type="pct"/>
          </w:tcPr>
          <w:p w14:paraId="796141A6" w14:textId="77777777" w:rsidR="00DD308E" w:rsidRPr="006B4D37" w:rsidRDefault="008F771F" w:rsidP="00DD308E">
            <w:pPr>
              <w:rPr>
                <w:bCs/>
                <w:szCs w:val="20"/>
              </w:rPr>
            </w:pPr>
            <w:r w:rsidRPr="006B4D37">
              <w:rPr>
                <w:bCs/>
              </w:rPr>
              <w:t>November 2015</w:t>
            </w:r>
          </w:p>
        </w:tc>
      </w:tr>
      <w:tr w:rsidR="00941F83" w14:paraId="3AD26F8F" w14:textId="77777777" w:rsidTr="006B4D37">
        <w:trPr>
          <w:cantSplit/>
        </w:trPr>
        <w:tc>
          <w:tcPr>
            <w:tcW w:w="130" w:type="pct"/>
          </w:tcPr>
          <w:p w14:paraId="39B2137C" w14:textId="6F1216F6" w:rsidR="00941F83" w:rsidRDefault="00941F83" w:rsidP="00DD308E">
            <w:pPr>
              <w:rPr>
                <w:szCs w:val="20"/>
              </w:rPr>
            </w:pPr>
            <w:r>
              <w:rPr>
                <w:szCs w:val="20"/>
              </w:rPr>
              <w:t xml:space="preserve">7 </w:t>
            </w:r>
          </w:p>
        </w:tc>
        <w:tc>
          <w:tcPr>
            <w:tcW w:w="481" w:type="pct"/>
          </w:tcPr>
          <w:p w14:paraId="7FA2537C" w14:textId="1B3FC936" w:rsidR="00941F83" w:rsidRPr="006B4D37" w:rsidRDefault="00941F83" w:rsidP="00DD308E">
            <w:pPr>
              <w:rPr>
                <w:bCs/>
                <w:szCs w:val="20"/>
              </w:rPr>
            </w:pPr>
            <w:r w:rsidRPr="006B4D37">
              <w:rPr>
                <w:bCs/>
                <w:szCs w:val="20"/>
              </w:rPr>
              <w:t>Retrospective analysis</w:t>
            </w:r>
          </w:p>
        </w:tc>
        <w:tc>
          <w:tcPr>
            <w:tcW w:w="1537" w:type="pct"/>
          </w:tcPr>
          <w:p w14:paraId="1169BB47" w14:textId="64934893" w:rsidR="00941F83" w:rsidRPr="006B4D37" w:rsidRDefault="007916A2" w:rsidP="00DD308E">
            <w:pPr>
              <w:rPr>
                <w:bCs/>
                <w:i/>
                <w:iCs/>
              </w:rPr>
            </w:pPr>
            <w:r w:rsidRPr="006B4D37">
              <w:rPr>
                <w:bCs/>
              </w:rPr>
              <w:t xml:space="preserve">Morris WJ et al </w:t>
            </w:r>
            <w:r w:rsidRPr="006B4D37">
              <w:rPr>
                <w:bCs/>
                <w:i/>
                <w:iCs/>
              </w:rPr>
              <w:t>‘Using a surgical prostate-specific antigen threshold 0f &gt; 0.2 ng/ml to define biochemical failure for intermediate and high-risk prostate cancer patients treated with definitive radiation therapy in the ASCNEDE-RT randomized control tr</w:t>
            </w:r>
            <w:r w:rsidR="002F0D2F" w:rsidRPr="006B4D37">
              <w:rPr>
                <w:bCs/>
                <w:i/>
                <w:iCs/>
              </w:rPr>
              <w:t>i</w:t>
            </w:r>
            <w:r w:rsidRPr="006B4D37">
              <w:rPr>
                <w:bCs/>
                <w:i/>
                <w:iCs/>
              </w:rPr>
              <w:t xml:space="preserve">al' </w:t>
            </w:r>
          </w:p>
        </w:tc>
        <w:tc>
          <w:tcPr>
            <w:tcW w:w="1301" w:type="pct"/>
          </w:tcPr>
          <w:p w14:paraId="4A8366D3" w14:textId="77777777" w:rsidR="00941F83" w:rsidRPr="006B4D37" w:rsidRDefault="007916A2" w:rsidP="00DD308E">
            <w:pPr>
              <w:rPr>
                <w:bCs/>
              </w:rPr>
            </w:pPr>
            <w:r w:rsidRPr="006B4D37">
              <w:rPr>
                <w:bCs/>
              </w:rPr>
              <w:t xml:space="preserve">Retrospective </w:t>
            </w:r>
            <w:r w:rsidR="007524C5" w:rsidRPr="006B4D37">
              <w:rPr>
                <w:bCs/>
              </w:rPr>
              <w:t>re-</w:t>
            </w:r>
            <w:r w:rsidRPr="006B4D37">
              <w:rPr>
                <w:bCs/>
              </w:rPr>
              <w:t>analysis of ASCENDE-RT trial</w:t>
            </w:r>
            <w:r w:rsidR="007524C5" w:rsidRPr="006B4D37">
              <w:rPr>
                <w:bCs/>
              </w:rPr>
              <w:t xml:space="preserve"> compared the b-PFS using Phoenix threshold is compared to the surgical PSA threshold of &gt; 0.2ng/ml</w:t>
            </w:r>
          </w:p>
          <w:p w14:paraId="204256C1" w14:textId="7407ADCC" w:rsidR="00F108AB" w:rsidRPr="006B4D37" w:rsidRDefault="00F108AB" w:rsidP="00DD308E">
            <w:pPr>
              <w:rPr>
                <w:bCs/>
              </w:rPr>
            </w:pPr>
            <w:r w:rsidRPr="006B4D37">
              <w:rPr>
                <w:bCs/>
              </w:rPr>
              <w:t>(n=398)</w:t>
            </w:r>
          </w:p>
        </w:tc>
        <w:tc>
          <w:tcPr>
            <w:tcW w:w="1036" w:type="pct"/>
          </w:tcPr>
          <w:p w14:paraId="2C06FA4A" w14:textId="07585621" w:rsidR="00941F83" w:rsidRPr="006B4D37" w:rsidRDefault="007916A2" w:rsidP="00DD308E">
            <w:pPr>
              <w:rPr>
                <w:bCs/>
                <w:szCs w:val="20"/>
              </w:rPr>
            </w:pPr>
            <w:r w:rsidRPr="006B4D37">
              <w:rPr>
                <w:bCs/>
                <w:szCs w:val="20"/>
              </w:rPr>
              <w:t>https://pubmed.ncbi.nlm.nih.gov/30245169/</w:t>
            </w:r>
          </w:p>
        </w:tc>
        <w:tc>
          <w:tcPr>
            <w:tcW w:w="513" w:type="pct"/>
          </w:tcPr>
          <w:p w14:paraId="22BCA9FF" w14:textId="78B445B5" w:rsidR="00941F83" w:rsidRPr="006B4D37" w:rsidRDefault="007524C5" w:rsidP="00DD308E">
            <w:pPr>
              <w:rPr>
                <w:bCs/>
              </w:rPr>
            </w:pPr>
            <w:r w:rsidRPr="006B4D37">
              <w:rPr>
                <w:bCs/>
              </w:rPr>
              <w:t>September 2018</w:t>
            </w:r>
          </w:p>
        </w:tc>
      </w:tr>
      <w:tr w:rsidR="002F0D2F" w14:paraId="6C1588EB" w14:textId="77777777" w:rsidTr="006B4D37">
        <w:trPr>
          <w:cantSplit/>
        </w:trPr>
        <w:tc>
          <w:tcPr>
            <w:tcW w:w="130" w:type="pct"/>
          </w:tcPr>
          <w:p w14:paraId="0C1886CA" w14:textId="1132A353" w:rsidR="002F0D2F" w:rsidRDefault="002F0D2F" w:rsidP="00DD308E">
            <w:pPr>
              <w:rPr>
                <w:szCs w:val="20"/>
              </w:rPr>
            </w:pPr>
            <w:r>
              <w:rPr>
                <w:szCs w:val="20"/>
              </w:rPr>
              <w:t>8</w:t>
            </w:r>
          </w:p>
        </w:tc>
        <w:tc>
          <w:tcPr>
            <w:tcW w:w="481" w:type="pct"/>
          </w:tcPr>
          <w:p w14:paraId="23F7BDB7" w14:textId="5B875EED" w:rsidR="002F0D2F" w:rsidRPr="006B4D37" w:rsidRDefault="002F0D2F" w:rsidP="00DD308E">
            <w:pPr>
              <w:rPr>
                <w:bCs/>
                <w:szCs w:val="20"/>
              </w:rPr>
            </w:pPr>
            <w:r w:rsidRPr="006B4D37">
              <w:rPr>
                <w:bCs/>
                <w:szCs w:val="20"/>
              </w:rPr>
              <w:t>Retrospective data base analysis</w:t>
            </w:r>
          </w:p>
        </w:tc>
        <w:tc>
          <w:tcPr>
            <w:tcW w:w="1537" w:type="pct"/>
          </w:tcPr>
          <w:p w14:paraId="7235D026" w14:textId="2F850373" w:rsidR="002F0D2F" w:rsidRPr="006B4D37" w:rsidRDefault="002F0D2F" w:rsidP="00DD308E">
            <w:pPr>
              <w:rPr>
                <w:bCs/>
              </w:rPr>
            </w:pPr>
            <w:r w:rsidRPr="006B4D37">
              <w:rPr>
                <w:bCs/>
              </w:rPr>
              <w:t xml:space="preserve">King MT et al </w:t>
            </w:r>
            <w:r w:rsidRPr="006B4D37">
              <w:rPr>
                <w:bCs/>
                <w:i/>
                <w:iCs/>
              </w:rPr>
              <w:t xml:space="preserve">‘A comparative analysis of overall survival between high dose-rate and low-dose-rate brachytherapy boosts for </w:t>
            </w:r>
            <w:r w:rsidR="00A55C68" w:rsidRPr="006B4D37">
              <w:rPr>
                <w:bCs/>
                <w:i/>
                <w:iCs/>
              </w:rPr>
              <w:t>unfavourable</w:t>
            </w:r>
            <w:r w:rsidRPr="006B4D37">
              <w:rPr>
                <w:bCs/>
                <w:i/>
                <w:iCs/>
              </w:rPr>
              <w:t>-risk prostate cancer’</w:t>
            </w:r>
            <w:r w:rsidRPr="006B4D37">
              <w:rPr>
                <w:bCs/>
              </w:rPr>
              <w:t xml:space="preserve"> Brachytherapy, 2019</w:t>
            </w:r>
          </w:p>
        </w:tc>
        <w:tc>
          <w:tcPr>
            <w:tcW w:w="1301" w:type="pct"/>
          </w:tcPr>
          <w:p w14:paraId="1AE55A20" w14:textId="77777777" w:rsidR="002F0D2F" w:rsidRPr="006B4D37" w:rsidRDefault="002F0D2F" w:rsidP="00DD308E">
            <w:pPr>
              <w:rPr>
                <w:bCs/>
              </w:rPr>
            </w:pPr>
            <w:r w:rsidRPr="006B4D37">
              <w:rPr>
                <w:bCs/>
              </w:rPr>
              <w:t>Retrospective analysis of national database comparing HDR and LDR boost to EBRT in intermediate to high-risk prostate cancer</w:t>
            </w:r>
          </w:p>
          <w:p w14:paraId="157F2443" w14:textId="5369D010" w:rsidR="00F108AB" w:rsidRPr="006B4D37" w:rsidRDefault="00F108AB" w:rsidP="00DD308E">
            <w:pPr>
              <w:rPr>
                <w:bCs/>
              </w:rPr>
            </w:pPr>
            <w:r w:rsidRPr="006B4D37">
              <w:rPr>
                <w:bCs/>
              </w:rPr>
              <w:t>(n=</w:t>
            </w:r>
            <w:r w:rsidR="00585331" w:rsidRPr="006B4D37">
              <w:rPr>
                <w:bCs/>
              </w:rPr>
              <w:t>122,896)</w:t>
            </w:r>
          </w:p>
        </w:tc>
        <w:tc>
          <w:tcPr>
            <w:tcW w:w="1036" w:type="pct"/>
          </w:tcPr>
          <w:p w14:paraId="499EEBE4" w14:textId="523A531A" w:rsidR="002F0D2F" w:rsidRPr="006B4D37" w:rsidRDefault="002F0D2F" w:rsidP="00DD308E">
            <w:pPr>
              <w:rPr>
                <w:bCs/>
                <w:szCs w:val="20"/>
              </w:rPr>
            </w:pPr>
            <w:r w:rsidRPr="006B4D37">
              <w:rPr>
                <w:bCs/>
                <w:szCs w:val="20"/>
              </w:rPr>
              <w:t>https://pubmed.ncbi.nlm.nih.gov/30638912/</w:t>
            </w:r>
          </w:p>
        </w:tc>
        <w:tc>
          <w:tcPr>
            <w:tcW w:w="513" w:type="pct"/>
          </w:tcPr>
          <w:p w14:paraId="70CC6397" w14:textId="222F4F3D" w:rsidR="002F0D2F" w:rsidRPr="006B4D37" w:rsidRDefault="002F0D2F" w:rsidP="00DD308E">
            <w:pPr>
              <w:rPr>
                <w:bCs/>
              </w:rPr>
            </w:pPr>
            <w:r w:rsidRPr="006B4D37">
              <w:rPr>
                <w:bCs/>
              </w:rPr>
              <w:t>March 2019</w:t>
            </w:r>
          </w:p>
        </w:tc>
      </w:tr>
      <w:tr w:rsidR="002F0D2F" w14:paraId="37254485" w14:textId="77777777" w:rsidTr="006B4D37">
        <w:trPr>
          <w:cantSplit/>
        </w:trPr>
        <w:tc>
          <w:tcPr>
            <w:tcW w:w="130" w:type="pct"/>
          </w:tcPr>
          <w:p w14:paraId="4722E500" w14:textId="183C1935" w:rsidR="002F0D2F" w:rsidRDefault="009C6C93" w:rsidP="00DD308E">
            <w:pPr>
              <w:rPr>
                <w:szCs w:val="20"/>
              </w:rPr>
            </w:pPr>
            <w:r>
              <w:rPr>
                <w:szCs w:val="20"/>
              </w:rPr>
              <w:t>9</w:t>
            </w:r>
          </w:p>
        </w:tc>
        <w:tc>
          <w:tcPr>
            <w:tcW w:w="481" w:type="pct"/>
          </w:tcPr>
          <w:p w14:paraId="20B81748" w14:textId="55808A7C" w:rsidR="002F0D2F" w:rsidRPr="006B4D37" w:rsidRDefault="009C6C93" w:rsidP="00DD308E">
            <w:pPr>
              <w:rPr>
                <w:bCs/>
                <w:szCs w:val="20"/>
              </w:rPr>
            </w:pPr>
            <w:r w:rsidRPr="006B4D37">
              <w:rPr>
                <w:bCs/>
                <w:szCs w:val="20"/>
              </w:rPr>
              <w:t>Retrospective data base analysis</w:t>
            </w:r>
          </w:p>
        </w:tc>
        <w:tc>
          <w:tcPr>
            <w:tcW w:w="1537" w:type="pct"/>
          </w:tcPr>
          <w:p w14:paraId="5161D64F" w14:textId="778CAF80" w:rsidR="002F0D2F" w:rsidRPr="006B4D37" w:rsidRDefault="009C6C93" w:rsidP="00DD308E">
            <w:pPr>
              <w:rPr>
                <w:bCs/>
              </w:rPr>
            </w:pPr>
            <w:proofErr w:type="spellStart"/>
            <w:r w:rsidRPr="006B4D37">
              <w:rPr>
                <w:bCs/>
              </w:rPr>
              <w:t>Slevin</w:t>
            </w:r>
            <w:proofErr w:type="spellEnd"/>
            <w:r w:rsidRPr="006B4D37">
              <w:rPr>
                <w:bCs/>
              </w:rPr>
              <w:t xml:space="preserve"> F et al </w:t>
            </w:r>
            <w:r w:rsidRPr="006B4D37">
              <w:rPr>
                <w:bCs/>
                <w:i/>
                <w:iCs/>
              </w:rPr>
              <w:t xml:space="preserve">‘A comparison of outcomes for patients with intermediate and </w:t>
            </w:r>
            <w:proofErr w:type="gramStart"/>
            <w:r w:rsidRPr="006B4D37">
              <w:rPr>
                <w:bCs/>
                <w:i/>
                <w:iCs/>
              </w:rPr>
              <w:t>high</w:t>
            </w:r>
            <w:r w:rsidR="0037170D" w:rsidRPr="006B4D37">
              <w:rPr>
                <w:bCs/>
                <w:i/>
                <w:iCs/>
              </w:rPr>
              <w:t xml:space="preserve"> </w:t>
            </w:r>
            <w:r w:rsidRPr="006B4D37">
              <w:rPr>
                <w:bCs/>
                <w:i/>
                <w:iCs/>
              </w:rPr>
              <w:t>risk</w:t>
            </w:r>
            <w:proofErr w:type="gramEnd"/>
            <w:r w:rsidRPr="006B4D37">
              <w:rPr>
                <w:bCs/>
                <w:i/>
                <w:iCs/>
              </w:rPr>
              <w:t xml:space="preserve"> prostate cancer treated with low dose rate and high dose rate brachytherapy in combination with external beam radiotherapy</w:t>
            </w:r>
            <w:r w:rsidR="006A5303" w:rsidRPr="006B4D37">
              <w:rPr>
                <w:bCs/>
                <w:i/>
                <w:iCs/>
              </w:rPr>
              <w:t xml:space="preserve">’ </w:t>
            </w:r>
            <w:r w:rsidR="006A5303" w:rsidRPr="006B4D37">
              <w:rPr>
                <w:bCs/>
              </w:rPr>
              <w:t xml:space="preserve">Clin and </w:t>
            </w:r>
            <w:proofErr w:type="spellStart"/>
            <w:r w:rsidR="006A5303" w:rsidRPr="006B4D37">
              <w:rPr>
                <w:bCs/>
              </w:rPr>
              <w:t>Translat</w:t>
            </w:r>
            <w:proofErr w:type="spellEnd"/>
            <w:r w:rsidR="006A5303" w:rsidRPr="006B4D37">
              <w:rPr>
                <w:bCs/>
              </w:rPr>
              <w:t xml:space="preserve">. Rad. </w:t>
            </w:r>
            <w:proofErr w:type="spellStart"/>
            <w:r w:rsidR="006A5303" w:rsidRPr="006B4D37">
              <w:rPr>
                <w:bCs/>
              </w:rPr>
              <w:t>Onc</w:t>
            </w:r>
            <w:proofErr w:type="spellEnd"/>
            <w:r w:rsidR="006A5303" w:rsidRPr="006B4D37">
              <w:rPr>
                <w:bCs/>
              </w:rPr>
              <w:t>. 20(2020) 1-8</w:t>
            </w:r>
          </w:p>
        </w:tc>
        <w:tc>
          <w:tcPr>
            <w:tcW w:w="1301" w:type="pct"/>
          </w:tcPr>
          <w:p w14:paraId="11D8AF84" w14:textId="77777777" w:rsidR="002F0D2F" w:rsidRPr="006B4D37" w:rsidRDefault="006A5303" w:rsidP="00DD308E">
            <w:pPr>
              <w:rPr>
                <w:bCs/>
              </w:rPr>
            </w:pPr>
            <w:r w:rsidRPr="006B4D37">
              <w:rPr>
                <w:bCs/>
              </w:rPr>
              <w:t>Retrospective analysis of institutional database comparing HDR and LDR boost to DE-EBRT in intermediate to high-risk prostate cancer</w:t>
            </w:r>
          </w:p>
          <w:p w14:paraId="31677489" w14:textId="514F543F" w:rsidR="00585331" w:rsidRPr="006B4D37" w:rsidRDefault="00585331" w:rsidP="00DD308E">
            <w:pPr>
              <w:rPr>
                <w:bCs/>
              </w:rPr>
            </w:pPr>
            <w:r w:rsidRPr="006B4D37">
              <w:rPr>
                <w:bCs/>
              </w:rPr>
              <w:t>(n=287)</w:t>
            </w:r>
          </w:p>
        </w:tc>
        <w:tc>
          <w:tcPr>
            <w:tcW w:w="1036" w:type="pct"/>
          </w:tcPr>
          <w:p w14:paraId="68EE6B75" w14:textId="6DD548C9" w:rsidR="002F0D2F" w:rsidRPr="006B4D37" w:rsidRDefault="006A5303" w:rsidP="00DD308E">
            <w:pPr>
              <w:rPr>
                <w:bCs/>
                <w:szCs w:val="20"/>
              </w:rPr>
            </w:pPr>
            <w:r w:rsidRPr="006B4D37">
              <w:rPr>
                <w:bCs/>
                <w:szCs w:val="20"/>
              </w:rPr>
              <w:t>https://www.ncbi.nlm.nih.gov/pmc/articles/PMC6831705/pdf/main.pdf</w:t>
            </w:r>
          </w:p>
        </w:tc>
        <w:tc>
          <w:tcPr>
            <w:tcW w:w="513" w:type="pct"/>
          </w:tcPr>
          <w:p w14:paraId="1D9D507B" w14:textId="45F71E7F" w:rsidR="002F0D2F" w:rsidRPr="006B4D37" w:rsidRDefault="006A5303" w:rsidP="00DD308E">
            <w:pPr>
              <w:rPr>
                <w:bCs/>
              </w:rPr>
            </w:pPr>
            <w:r w:rsidRPr="006B4D37">
              <w:rPr>
                <w:bCs/>
              </w:rPr>
              <w:t>October 2019</w:t>
            </w:r>
          </w:p>
        </w:tc>
      </w:tr>
      <w:tr w:rsidR="000502A2" w14:paraId="4799B5B4" w14:textId="77777777" w:rsidTr="006B4D37">
        <w:trPr>
          <w:cantSplit/>
        </w:trPr>
        <w:tc>
          <w:tcPr>
            <w:tcW w:w="130" w:type="pct"/>
          </w:tcPr>
          <w:p w14:paraId="5E0687DD" w14:textId="77777777" w:rsidR="000502A2" w:rsidRDefault="000502A2" w:rsidP="00DD308E">
            <w:pPr>
              <w:rPr>
                <w:szCs w:val="20"/>
              </w:rPr>
            </w:pPr>
          </w:p>
        </w:tc>
        <w:tc>
          <w:tcPr>
            <w:tcW w:w="481" w:type="pct"/>
          </w:tcPr>
          <w:p w14:paraId="3B971FE6" w14:textId="53544C49" w:rsidR="000502A2" w:rsidRPr="006B4D37" w:rsidRDefault="0037170D" w:rsidP="00DD308E">
            <w:pPr>
              <w:rPr>
                <w:bCs/>
                <w:szCs w:val="20"/>
              </w:rPr>
            </w:pPr>
            <w:r w:rsidRPr="006B4D37">
              <w:rPr>
                <w:bCs/>
                <w:szCs w:val="20"/>
              </w:rPr>
              <w:t>Registry Analysis</w:t>
            </w:r>
          </w:p>
        </w:tc>
        <w:tc>
          <w:tcPr>
            <w:tcW w:w="1537" w:type="pct"/>
          </w:tcPr>
          <w:p w14:paraId="2FAF82A3" w14:textId="3E525C3A" w:rsidR="000502A2" w:rsidRPr="006B4D37" w:rsidRDefault="0037170D" w:rsidP="00DD308E">
            <w:pPr>
              <w:rPr>
                <w:bCs/>
              </w:rPr>
            </w:pPr>
            <w:proofErr w:type="spellStart"/>
            <w:r w:rsidRPr="006B4D37">
              <w:rPr>
                <w:bCs/>
              </w:rPr>
              <w:t>Dhere</w:t>
            </w:r>
            <w:proofErr w:type="spellEnd"/>
            <w:r w:rsidRPr="006B4D37">
              <w:rPr>
                <w:bCs/>
              </w:rPr>
              <w:t xml:space="preserve"> VR </w:t>
            </w:r>
            <w:r w:rsidRPr="006B4D37">
              <w:rPr>
                <w:bCs/>
                <w:i/>
                <w:iCs/>
              </w:rPr>
              <w:t xml:space="preserve">‘Patient-reported outcomes after Low-dose-rate versus High-dose-rate brachytherapy boost in combination with external beam radiation for intermediate and </w:t>
            </w:r>
            <w:proofErr w:type="gramStart"/>
            <w:r w:rsidRPr="006B4D37">
              <w:rPr>
                <w:bCs/>
                <w:i/>
                <w:iCs/>
              </w:rPr>
              <w:t>high risk</w:t>
            </w:r>
            <w:proofErr w:type="gramEnd"/>
            <w:r w:rsidRPr="006B4D37">
              <w:rPr>
                <w:bCs/>
                <w:i/>
                <w:iCs/>
              </w:rPr>
              <w:t xml:space="preserve"> prostate cancer’ </w:t>
            </w:r>
            <w:r w:rsidRPr="006B4D37">
              <w:rPr>
                <w:bCs/>
              </w:rPr>
              <w:t>Brachytherapy 20 (2021) 1130-1138</w:t>
            </w:r>
          </w:p>
        </w:tc>
        <w:tc>
          <w:tcPr>
            <w:tcW w:w="1301" w:type="pct"/>
          </w:tcPr>
          <w:p w14:paraId="49E30FEF" w14:textId="77777777" w:rsidR="000502A2" w:rsidRPr="006B4D37" w:rsidRDefault="0037170D" w:rsidP="00DD308E">
            <w:pPr>
              <w:rPr>
                <w:bCs/>
              </w:rPr>
            </w:pPr>
            <w:r w:rsidRPr="006B4D37">
              <w:rPr>
                <w:bCs/>
              </w:rPr>
              <w:t>Secondary ana</w:t>
            </w:r>
            <w:r w:rsidR="008A1AD0" w:rsidRPr="006B4D37">
              <w:rPr>
                <w:bCs/>
              </w:rPr>
              <w:t>lysis or a prospective registry comparing LDR boost to HDR boost</w:t>
            </w:r>
          </w:p>
          <w:p w14:paraId="7B337703" w14:textId="22B74649" w:rsidR="00585331" w:rsidRPr="006B4D37" w:rsidRDefault="00585331" w:rsidP="00DD308E">
            <w:pPr>
              <w:rPr>
                <w:bCs/>
              </w:rPr>
            </w:pPr>
            <w:r w:rsidRPr="006B4D37">
              <w:rPr>
                <w:bCs/>
              </w:rPr>
              <w:t>(n=106)</w:t>
            </w:r>
          </w:p>
        </w:tc>
        <w:tc>
          <w:tcPr>
            <w:tcW w:w="1036" w:type="pct"/>
          </w:tcPr>
          <w:p w14:paraId="00699917" w14:textId="20502929" w:rsidR="000502A2" w:rsidRPr="006B4D37" w:rsidRDefault="008A1AD0" w:rsidP="00DD308E">
            <w:pPr>
              <w:rPr>
                <w:bCs/>
                <w:szCs w:val="20"/>
              </w:rPr>
            </w:pPr>
            <w:r w:rsidRPr="006B4D37">
              <w:rPr>
                <w:bCs/>
                <w:szCs w:val="20"/>
              </w:rPr>
              <w:t>https://pubmed.ncbi.nlm.nih.gov/34417136/</w:t>
            </w:r>
          </w:p>
        </w:tc>
        <w:tc>
          <w:tcPr>
            <w:tcW w:w="513" w:type="pct"/>
          </w:tcPr>
          <w:p w14:paraId="6E22C984" w14:textId="1B1DDF59" w:rsidR="000502A2" w:rsidRPr="006B4D37" w:rsidRDefault="008A1AD0" w:rsidP="00DD308E">
            <w:pPr>
              <w:rPr>
                <w:bCs/>
              </w:rPr>
            </w:pPr>
            <w:r w:rsidRPr="006B4D37">
              <w:rPr>
                <w:bCs/>
              </w:rPr>
              <w:t>August 2018</w:t>
            </w:r>
          </w:p>
        </w:tc>
      </w:tr>
    </w:tbl>
    <w:p w14:paraId="46A7605E" w14:textId="77777777" w:rsidR="004C49EF" w:rsidRDefault="004C49EF" w:rsidP="00530204">
      <w:pPr>
        <w:pStyle w:val="Heading2"/>
        <w:rPr>
          <w:i/>
        </w:rPr>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29" w:type="pct"/>
        <w:tblLayout w:type="fixed"/>
        <w:tblLook w:val="04A0" w:firstRow="1" w:lastRow="0" w:firstColumn="1" w:lastColumn="0" w:noHBand="0" w:noVBand="1"/>
      </w:tblPr>
      <w:tblGrid>
        <w:gridCol w:w="423"/>
        <w:gridCol w:w="1274"/>
        <w:gridCol w:w="4397"/>
        <w:gridCol w:w="3684"/>
        <w:gridCol w:w="2977"/>
        <w:gridCol w:w="1274"/>
      </w:tblGrid>
      <w:tr w:rsidR="000C7277" w14:paraId="75BD7EAD" w14:textId="77777777" w:rsidTr="000C7277">
        <w:tc>
          <w:tcPr>
            <w:tcW w:w="151" w:type="pct"/>
          </w:tcPr>
          <w:p w14:paraId="2B682F95" w14:textId="77777777" w:rsidR="000C7277" w:rsidRDefault="000C7277" w:rsidP="007521EE">
            <w:pPr>
              <w:rPr>
                <w:b/>
                <w:szCs w:val="20"/>
              </w:rPr>
            </w:pPr>
          </w:p>
        </w:tc>
        <w:tc>
          <w:tcPr>
            <w:tcW w:w="454" w:type="pct"/>
          </w:tcPr>
          <w:p w14:paraId="605183BB" w14:textId="42B81771" w:rsidR="000C7277" w:rsidRDefault="000C7277" w:rsidP="007521EE">
            <w:pPr>
              <w:rPr>
                <w:b/>
                <w:szCs w:val="20"/>
              </w:rPr>
            </w:pPr>
            <w:r>
              <w:rPr>
                <w:b/>
                <w:szCs w:val="20"/>
              </w:rPr>
              <w:t>Type of study design</w:t>
            </w:r>
          </w:p>
        </w:tc>
        <w:tc>
          <w:tcPr>
            <w:tcW w:w="1567" w:type="pct"/>
          </w:tcPr>
          <w:p w14:paraId="323778DF" w14:textId="082CF4F1" w:rsidR="000C7277" w:rsidRDefault="000C7277" w:rsidP="007521EE">
            <w:pPr>
              <w:rPr>
                <w:b/>
              </w:rPr>
            </w:pPr>
            <w:r>
              <w:rPr>
                <w:b/>
              </w:rPr>
              <w:t xml:space="preserve">Title or journal article or research project </w:t>
            </w:r>
          </w:p>
        </w:tc>
        <w:tc>
          <w:tcPr>
            <w:tcW w:w="1313" w:type="pct"/>
          </w:tcPr>
          <w:p w14:paraId="1524D7FC" w14:textId="159ECD0C" w:rsidR="000C7277" w:rsidRDefault="000C7277" w:rsidP="007521EE">
            <w:pPr>
              <w:rPr>
                <w:b/>
              </w:rPr>
            </w:pPr>
            <w:r>
              <w:rPr>
                <w:b/>
              </w:rPr>
              <w:t>Short description of research</w:t>
            </w:r>
          </w:p>
        </w:tc>
        <w:tc>
          <w:tcPr>
            <w:tcW w:w="1061" w:type="pct"/>
          </w:tcPr>
          <w:p w14:paraId="417E9146" w14:textId="59D7EFBD" w:rsidR="000C7277" w:rsidRPr="008A1AD0" w:rsidRDefault="000C7277" w:rsidP="007521EE">
            <w:pPr>
              <w:rPr>
                <w:b/>
                <w:szCs w:val="20"/>
              </w:rPr>
            </w:pPr>
            <w:r>
              <w:rPr>
                <w:b/>
                <w:szCs w:val="20"/>
              </w:rPr>
              <w:t>Website link to journal article or research (if available)</w:t>
            </w:r>
          </w:p>
        </w:tc>
        <w:tc>
          <w:tcPr>
            <w:tcW w:w="454" w:type="pct"/>
          </w:tcPr>
          <w:p w14:paraId="2F980325" w14:textId="3FBD8224" w:rsidR="000C7277" w:rsidRDefault="000C7277" w:rsidP="007521EE">
            <w:pPr>
              <w:rPr>
                <w:b/>
              </w:rPr>
            </w:pPr>
            <w:r>
              <w:rPr>
                <w:b/>
              </w:rPr>
              <w:t>Date of publication</w:t>
            </w:r>
          </w:p>
        </w:tc>
      </w:tr>
      <w:tr w:rsidR="000C7277" w14:paraId="43EB87F6" w14:textId="77777777" w:rsidTr="000C7277">
        <w:trPr>
          <w:cantSplit/>
        </w:trPr>
        <w:tc>
          <w:tcPr>
            <w:tcW w:w="151" w:type="pct"/>
          </w:tcPr>
          <w:p w14:paraId="3B1C95D5" w14:textId="48FBC011" w:rsidR="000C7277" w:rsidRPr="000C7277" w:rsidRDefault="000C7277" w:rsidP="007521EE">
            <w:pPr>
              <w:rPr>
                <w:bCs/>
                <w:szCs w:val="20"/>
              </w:rPr>
            </w:pPr>
            <w:r w:rsidRPr="000C7277">
              <w:rPr>
                <w:bCs/>
                <w:szCs w:val="20"/>
              </w:rPr>
              <w:t>1</w:t>
            </w:r>
          </w:p>
        </w:tc>
        <w:tc>
          <w:tcPr>
            <w:tcW w:w="454" w:type="pct"/>
          </w:tcPr>
          <w:p w14:paraId="2C3F9CBE" w14:textId="56F61F53" w:rsidR="000C7277" w:rsidRPr="000C7277" w:rsidRDefault="000C7277" w:rsidP="007521EE">
            <w:pPr>
              <w:rPr>
                <w:bCs/>
                <w:szCs w:val="20"/>
              </w:rPr>
            </w:pPr>
            <w:r w:rsidRPr="000C7277">
              <w:rPr>
                <w:bCs/>
                <w:szCs w:val="20"/>
              </w:rPr>
              <w:t>Registry Analysis</w:t>
            </w:r>
          </w:p>
        </w:tc>
        <w:tc>
          <w:tcPr>
            <w:tcW w:w="1567" w:type="pct"/>
          </w:tcPr>
          <w:p w14:paraId="1F6CE983" w14:textId="6D382576" w:rsidR="000C7277" w:rsidRPr="0037170D" w:rsidRDefault="000C7277" w:rsidP="007521EE">
            <w:pPr>
              <w:rPr>
                <w:b/>
              </w:rPr>
            </w:pPr>
            <w:r>
              <w:t>NCT01936883</w:t>
            </w:r>
          </w:p>
        </w:tc>
        <w:tc>
          <w:tcPr>
            <w:tcW w:w="1313" w:type="pct"/>
          </w:tcPr>
          <w:p w14:paraId="01392356" w14:textId="77777777" w:rsidR="000C7277" w:rsidRDefault="000C7277" w:rsidP="007521EE">
            <w:r w:rsidRPr="00984CE0">
              <w:t>The hypothesis in this randomized study is that a High Dose Rate (HDR) brachytherapy boost leads to equivalent or better Prostate Specific Antigen (PSA) recurrence-free survival when compared to a Low Dose Rate (LDR) brachytherapy boost and that it is associated with a more favourable toxicity profile and improved quality of life</w:t>
            </w:r>
          </w:p>
          <w:p w14:paraId="3046FAD1" w14:textId="2EA7A48C" w:rsidR="000C7277" w:rsidRPr="006B4D37" w:rsidRDefault="000C7277" w:rsidP="007521EE">
            <w:pPr>
              <w:rPr>
                <w:bCs/>
              </w:rPr>
            </w:pPr>
          </w:p>
        </w:tc>
        <w:tc>
          <w:tcPr>
            <w:tcW w:w="1061" w:type="pct"/>
          </w:tcPr>
          <w:p w14:paraId="2E10EE8E" w14:textId="2A18FEF8" w:rsidR="000C7277" w:rsidRPr="000C7277" w:rsidRDefault="000C7277" w:rsidP="007521EE">
            <w:pPr>
              <w:rPr>
                <w:bCs/>
                <w:szCs w:val="20"/>
              </w:rPr>
            </w:pPr>
            <w:r w:rsidRPr="000C7277">
              <w:rPr>
                <w:bCs/>
                <w:szCs w:val="20"/>
              </w:rPr>
              <w:t>https://www.clinicaltrials.gov/</w:t>
            </w:r>
            <w:r w:rsidRPr="000C7277">
              <w:rPr>
                <w:bCs/>
                <w:szCs w:val="20"/>
              </w:rPr>
              <w:br/>
            </w:r>
            <w:r w:rsidRPr="000C7277">
              <w:rPr>
                <w:bCs/>
                <w:szCs w:val="20"/>
              </w:rPr>
              <w:t>ct2/show/NCT01936883?term=</w:t>
            </w:r>
            <w:r w:rsidRPr="000C7277">
              <w:rPr>
                <w:bCs/>
                <w:szCs w:val="20"/>
              </w:rPr>
              <w:br/>
            </w:r>
            <w:r w:rsidRPr="000C7277">
              <w:rPr>
                <w:bCs/>
                <w:szCs w:val="20"/>
              </w:rPr>
              <w:t>NCT01936883&amp;draw=2&amp;rank=1</w:t>
            </w:r>
          </w:p>
        </w:tc>
        <w:tc>
          <w:tcPr>
            <w:tcW w:w="454" w:type="pct"/>
          </w:tcPr>
          <w:p w14:paraId="6CF74301" w14:textId="0FBDB58F" w:rsidR="000C7277" w:rsidRPr="000C7277" w:rsidRDefault="000C7277" w:rsidP="007521EE">
            <w:pPr>
              <w:rPr>
                <w:bCs/>
              </w:rPr>
            </w:pPr>
          </w:p>
          <w:p w14:paraId="229B6C13" w14:textId="77777777" w:rsidR="000C7277" w:rsidRPr="000C7277" w:rsidRDefault="000C7277" w:rsidP="007521EE">
            <w:pPr>
              <w:rPr>
                <w:bCs/>
              </w:rPr>
            </w:pPr>
            <w:r w:rsidRPr="000C7277">
              <w:rPr>
                <w:bCs/>
              </w:rPr>
              <w:t>Estimated completion December 2021</w:t>
            </w:r>
          </w:p>
          <w:p w14:paraId="45316C5F" w14:textId="77777777" w:rsidR="000C7277" w:rsidRPr="000C7277" w:rsidRDefault="000C7277" w:rsidP="007521EE">
            <w:pPr>
              <w:rPr>
                <w:bCs/>
              </w:rPr>
            </w:pPr>
          </w:p>
          <w:p w14:paraId="5A9C9420" w14:textId="2D83654B" w:rsidR="000C7277" w:rsidRPr="000C7277" w:rsidRDefault="000C7277" w:rsidP="007521EE">
            <w:pPr>
              <w:rPr>
                <w:bCs/>
              </w:rPr>
            </w:pPr>
            <w:r w:rsidRPr="000C7277">
              <w:rPr>
                <w:bCs/>
              </w:rPr>
              <w:t>No data published as of Sept 2022</w:t>
            </w:r>
          </w:p>
        </w:tc>
      </w:tr>
    </w:tbl>
    <w:p w14:paraId="46A4B364" w14:textId="66D9E78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782DC1E"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32434E1B"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B18282A" w14:textId="77777777" w:rsidR="00A727B6" w:rsidRDefault="00866255" w:rsidP="00A727B6">
      <w:pPr>
        <w:ind w:left="426"/>
      </w:pPr>
      <w:r>
        <w:t>Urological Society of Australia and New Zealand</w:t>
      </w:r>
    </w:p>
    <w:p w14:paraId="48C9C29A" w14:textId="77777777" w:rsidR="00866255" w:rsidRDefault="00866255" w:rsidP="00A727B6">
      <w:pPr>
        <w:ind w:left="426"/>
      </w:pPr>
      <w:r>
        <w:t>Royal Australian and New Zealand College of Radiologists</w:t>
      </w:r>
    </w:p>
    <w:p w14:paraId="7F3B64A2" w14:textId="33FB19A8" w:rsidR="00F63E37" w:rsidRPr="00A727B6" w:rsidRDefault="008056B4" w:rsidP="00A727B6">
      <w:pPr>
        <w:ind w:left="426"/>
      </w:pPr>
      <w:r>
        <w:t>Australasian</w:t>
      </w:r>
      <w:r w:rsidR="00F63E37">
        <w:t xml:space="preserve"> Brachytherapy Group</w:t>
      </w:r>
    </w:p>
    <w:p w14:paraId="2490A120"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B820F48" w14:textId="77777777" w:rsidR="00EA173C" w:rsidRDefault="00866255" w:rsidP="00A727B6">
      <w:pPr>
        <w:ind w:left="426"/>
      </w:pPr>
      <w:r>
        <w:t>Not applicable</w:t>
      </w:r>
    </w:p>
    <w:p w14:paraId="27912203"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5D2934D" w14:textId="5E72E651" w:rsidR="001B6F7A" w:rsidRPr="00E02C91" w:rsidRDefault="00866255" w:rsidP="001B6F7A">
      <w:pPr>
        <w:ind w:left="426"/>
        <w:rPr>
          <w:szCs w:val="20"/>
        </w:rPr>
      </w:pPr>
      <w:r>
        <w:t xml:space="preserve">Prostate Cancer Foundation of </w:t>
      </w:r>
      <w:r w:rsidRPr="00E02C91">
        <w:t>Australia</w:t>
      </w:r>
      <w:r w:rsidR="001B6F7A" w:rsidRPr="00E02C91">
        <w:t xml:space="preserve"> </w:t>
      </w:r>
      <w:r w:rsidR="00E02C91" w:rsidRPr="00E02C91">
        <w:t>is the only group that was identified.  They are a charitable organisation and are not representative of consumers</w:t>
      </w:r>
    </w:p>
    <w:p w14:paraId="42F8F463"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3C45932" w14:textId="77777777" w:rsidR="0088416E" w:rsidRPr="0088416E" w:rsidRDefault="0088416E" w:rsidP="0088416E">
      <w:pPr>
        <w:ind w:left="426"/>
        <w:rPr>
          <w:szCs w:val="20"/>
        </w:rPr>
      </w:pPr>
      <w:r w:rsidRPr="0088416E">
        <w:rPr>
          <w:szCs w:val="20"/>
        </w:rPr>
        <w:t>AlphaXRT Pty Ltd</w:t>
      </w:r>
    </w:p>
    <w:p w14:paraId="7E9ECE31" w14:textId="77777777" w:rsidR="0088416E" w:rsidRPr="0088416E" w:rsidRDefault="0088416E" w:rsidP="0088416E">
      <w:pPr>
        <w:ind w:left="426"/>
        <w:rPr>
          <w:szCs w:val="20"/>
        </w:rPr>
      </w:pPr>
      <w:r w:rsidRPr="0088416E">
        <w:rPr>
          <w:szCs w:val="20"/>
        </w:rPr>
        <w:t>Bard Australia Pty Ltd</w:t>
      </w:r>
    </w:p>
    <w:p w14:paraId="52BC5D4C" w14:textId="77777777" w:rsidR="00E82F54" w:rsidRDefault="00E82F54" w:rsidP="00530204">
      <w:pPr>
        <w:pStyle w:val="Heading2"/>
      </w:pPr>
      <w:r w:rsidRPr="00154B00">
        <w:t>Nominate two experts who could be approached about the proposed medical service and the current clinical management of the service(s):</w:t>
      </w:r>
    </w:p>
    <w:p w14:paraId="1F540E51" w14:textId="77777777" w:rsidR="00A96329" w:rsidRPr="00A96329" w:rsidRDefault="00A96329" w:rsidP="00A96329"/>
    <w:p w14:paraId="76B60DDE" w14:textId="7D042DF4" w:rsidR="00987ABE" w:rsidRPr="000C7277" w:rsidRDefault="00987ABE" w:rsidP="00987ABE">
      <w:pPr>
        <w:ind w:left="426"/>
        <w:rPr>
          <w:b/>
          <w:bCs/>
          <w:color w:val="000000" w:themeColor="text1"/>
          <w:szCs w:val="20"/>
        </w:rPr>
      </w:pPr>
      <w:r>
        <w:rPr>
          <w:szCs w:val="20"/>
        </w:rPr>
        <w:t>Name of expert 1</w:t>
      </w:r>
      <w:r w:rsidRPr="000B7503">
        <w:rPr>
          <w:color w:val="000000" w:themeColor="text1"/>
          <w:szCs w:val="20"/>
        </w:rPr>
        <w:t xml:space="preserve">: </w:t>
      </w:r>
      <w:r w:rsidR="00885A2C" w:rsidRPr="000C7277">
        <w:rPr>
          <w:b/>
          <w:bCs/>
        </w:rPr>
        <w:t>REDACTED</w:t>
      </w:r>
    </w:p>
    <w:p w14:paraId="72B91491" w14:textId="2463EB6B" w:rsidR="00885A2C" w:rsidRDefault="00987ABE" w:rsidP="00987ABE">
      <w:pPr>
        <w:ind w:left="426"/>
      </w:pPr>
      <w:r>
        <w:rPr>
          <w:szCs w:val="20"/>
        </w:rPr>
        <w:t xml:space="preserve">Telephone number(s): </w:t>
      </w:r>
      <w:r w:rsidR="00885A2C" w:rsidRPr="000C7277">
        <w:rPr>
          <w:b/>
          <w:bCs/>
        </w:rPr>
        <w:t xml:space="preserve">REDACTED </w:t>
      </w:r>
    </w:p>
    <w:p w14:paraId="6E34D474" w14:textId="284B326D" w:rsidR="00885A2C" w:rsidRDefault="00987ABE" w:rsidP="00987ABE">
      <w:pPr>
        <w:ind w:left="426"/>
      </w:pPr>
      <w:r>
        <w:rPr>
          <w:szCs w:val="20"/>
        </w:rPr>
        <w:t xml:space="preserve">Email address: </w:t>
      </w:r>
      <w:r w:rsidR="00885A2C" w:rsidRPr="000C7277">
        <w:rPr>
          <w:b/>
          <w:bCs/>
        </w:rPr>
        <w:t>REDACTED</w:t>
      </w:r>
      <w:r w:rsidR="00885A2C">
        <w:t xml:space="preserve"> </w:t>
      </w:r>
    </w:p>
    <w:p w14:paraId="311E061F" w14:textId="2E426414" w:rsidR="00885A2C" w:rsidRDefault="00987ABE" w:rsidP="00987ABE">
      <w:pPr>
        <w:ind w:left="426"/>
      </w:pPr>
      <w:r>
        <w:rPr>
          <w:szCs w:val="20"/>
        </w:rPr>
        <w:t>Justification of expertise:</w:t>
      </w:r>
      <w:r w:rsidR="00945A21">
        <w:rPr>
          <w:szCs w:val="20"/>
        </w:rPr>
        <w:t xml:space="preserve"> </w:t>
      </w:r>
      <w:r w:rsidR="000C7277">
        <w:rPr>
          <w:b/>
          <w:bCs/>
          <w:szCs w:val="20"/>
        </w:rPr>
        <w:t>R</w:t>
      </w:r>
      <w:r w:rsidR="00885A2C" w:rsidRPr="000C7277">
        <w:rPr>
          <w:b/>
          <w:bCs/>
        </w:rPr>
        <w:t>EDACTED</w:t>
      </w:r>
      <w:r w:rsidR="00885A2C">
        <w:t xml:space="preserve"> </w:t>
      </w:r>
    </w:p>
    <w:p w14:paraId="1EAD60EF" w14:textId="77777777" w:rsidR="000C7277" w:rsidRDefault="000C7277" w:rsidP="00987ABE">
      <w:pPr>
        <w:ind w:left="426"/>
        <w:rPr>
          <w:szCs w:val="20"/>
        </w:rPr>
      </w:pPr>
    </w:p>
    <w:p w14:paraId="001F8A1B" w14:textId="405BD955" w:rsidR="00987ABE" w:rsidRPr="00987ABE" w:rsidRDefault="00987ABE" w:rsidP="00987ABE">
      <w:pPr>
        <w:ind w:left="426"/>
        <w:rPr>
          <w:szCs w:val="20"/>
        </w:rPr>
      </w:pPr>
      <w:r>
        <w:rPr>
          <w:szCs w:val="20"/>
        </w:rPr>
        <w:t xml:space="preserve">Name of expert 2: </w:t>
      </w:r>
      <w:r w:rsidR="00885A2C" w:rsidRPr="000C7277">
        <w:rPr>
          <w:b/>
          <w:bCs/>
        </w:rPr>
        <w:t>REDACTED</w:t>
      </w:r>
    </w:p>
    <w:p w14:paraId="5501CD81" w14:textId="002C58EB" w:rsidR="00987ABE" w:rsidRPr="00987ABE" w:rsidRDefault="00987ABE" w:rsidP="00987ABE">
      <w:pPr>
        <w:ind w:left="426"/>
        <w:rPr>
          <w:szCs w:val="20"/>
        </w:rPr>
      </w:pPr>
      <w:r>
        <w:rPr>
          <w:szCs w:val="20"/>
        </w:rPr>
        <w:t>Telephone number(s</w:t>
      </w:r>
      <w:r w:rsidR="000C7277">
        <w:rPr>
          <w:szCs w:val="20"/>
        </w:rPr>
        <w:t xml:space="preserve">): </w:t>
      </w:r>
      <w:r w:rsidR="00885A2C" w:rsidRPr="000C7277">
        <w:rPr>
          <w:b/>
          <w:bCs/>
        </w:rPr>
        <w:t>REDACTED</w:t>
      </w:r>
    </w:p>
    <w:p w14:paraId="5D29FC60" w14:textId="26C98F03" w:rsidR="00885A2C" w:rsidRPr="005A794E" w:rsidRDefault="00987ABE" w:rsidP="005A794E">
      <w:pPr>
        <w:ind w:left="426"/>
        <w:rPr>
          <w:szCs w:val="20"/>
        </w:rPr>
      </w:pPr>
      <w:r>
        <w:rPr>
          <w:szCs w:val="20"/>
        </w:rPr>
        <w:t>Email address:</w:t>
      </w:r>
      <w:r w:rsidR="00945A21">
        <w:rPr>
          <w:szCs w:val="20"/>
        </w:rPr>
        <w:t xml:space="preserve"> </w:t>
      </w:r>
      <w:r w:rsidR="00885A2C" w:rsidRPr="000C7277">
        <w:rPr>
          <w:b/>
          <w:bCs/>
        </w:rPr>
        <w:t xml:space="preserve">REDACTED </w:t>
      </w:r>
    </w:p>
    <w:p w14:paraId="3C30DF32" w14:textId="77777777" w:rsidR="00885A2C" w:rsidRDefault="00987ABE" w:rsidP="00E82F54">
      <w:pPr>
        <w:ind w:left="426"/>
      </w:pPr>
      <w:r>
        <w:rPr>
          <w:szCs w:val="20"/>
        </w:rPr>
        <w:t xml:space="preserve">Justification of expertise: </w:t>
      </w:r>
      <w:r w:rsidR="00885A2C" w:rsidRPr="000C7277">
        <w:rPr>
          <w:b/>
          <w:bCs/>
        </w:rPr>
        <w:t xml:space="preserve">REDACTED </w:t>
      </w:r>
    </w:p>
    <w:p w14:paraId="6B4F749E" w14:textId="77777777" w:rsidR="001D3A34" w:rsidRPr="00945A21" w:rsidRDefault="001D3A34" w:rsidP="00E82F54">
      <w:pPr>
        <w:ind w:left="426"/>
        <w:rPr>
          <w:iCs/>
          <w:szCs w:val="20"/>
        </w:rPr>
      </w:pPr>
    </w:p>
    <w:p w14:paraId="69F04937" w14:textId="77777777" w:rsidR="003433D1" w:rsidRDefault="003433D1">
      <w:pPr>
        <w:rPr>
          <w:b/>
          <w:sz w:val="32"/>
          <w:szCs w:val="32"/>
        </w:rPr>
      </w:pPr>
      <w:r>
        <w:rPr>
          <w:b/>
          <w:sz w:val="32"/>
          <w:szCs w:val="32"/>
        </w:rPr>
        <w:br w:type="page"/>
      </w:r>
    </w:p>
    <w:p w14:paraId="4235B672"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1A509BC" w14:textId="77777777" w:rsidR="0021185D" w:rsidRPr="005C3AE7" w:rsidRDefault="005C3AE7" w:rsidP="005C3AE7">
      <w:pPr>
        <w:pStyle w:val="Subtitle"/>
      </w:pPr>
      <w:r w:rsidRPr="005C3AE7">
        <w:t xml:space="preserve">PART 6a – </w:t>
      </w:r>
      <w:r w:rsidR="0021185D" w:rsidRPr="005C3AE7">
        <w:t>INFORMATION ABOUT THE PROPOSED POPULATION</w:t>
      </w:r>
    </w:p>
    <w:p w14:paraId="53732E5D"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4C6810D" w14:textId="1F883618" w:rsidR="008168B1" w:rsidRDefault="00C410E7" w:rsidP="00E357B9">
      <w:pPr>
        <w:ind w:left="426"/>
        <w:rPr>
          <w:szCs w:val="20"/>
        </w:rPr>
      </w:pPr>
      <w:r>
        <w:rPr>
          <w:szCs w:val="20"/>
        </w:rPr>
        <w:t>Cancer of the prostate gland</w:t>
      </w:r>
      <w:r w:rsidR="007E5E2D">
        <w:rPr>
          <w:szCs w:val="20"/>
        </w:rPr>
        <w:t xml:space="preserve"> is the most frequently diagnosed cancer among men in developed countries.  In Australia it is estimated that between 185,000-200,000 men will be living with the disease in 2017</w:t>
      </w:r>
      <w:r w:rsidR="007E5E2D">
        <w:rPr>
          <w:rStyle w:val="FootnoteReference"/>
          <w:szCs w:val="20"/>
        </w:rPr>
        <w:footnoteReference w:id="1"/>
      </w:r>
      <w:r w:rsidR="001A0812">
        <w:rPr>
          <w:szCs w:val="20"/>
        </w:rPr>
        <w:t>.  The Australian Institute of Health and Welfare</w:t>
      </w:r>
      <w:r w:rsidR="00D92E86">
        <w:rPr>
          <w:szCs w:val="20"/>
        </w:rPr>
        <w:t xml:space="preserve"> (AIHW)</w:t>
      </w:r>
      <w:r w:rsidR="001A0812">
        <w:rPr>
          <w:szCs w:val="20"/>
        </w:rPr>
        <w:t xml:space="preserve"> estimates that approximately </w:t>
      </w:r>
      <w:r w:rsidR="00133168">
        <w:rPr>
          <w:szCs w:val="20"/>
        </w:rPr>
        <w:t>24,217</w:t>
      </w:r>
      <w:r w:rsidR="001A0812">
        <w:rPr>
          <w:szCs w:val="20"/>
        </w:rPr>
        <w:t xml:space="preserve"> new cases will be diagnosed </w:t>
      </w:r>
      <w:r w:rsidR="00133168">
        <w:rPr>
          <w:szCs w:val="20"/>
        </w:rPr>
        <w:t>in 2022</w:t>
      </w:r>
      <w:r w:rsidR="00FB27AA">
        <w:rPr>
          <w:szCs w:val="20"/>
        </w:rPr>
        <w:t xml:space="preserve"> </w:t>
      </w:r>
      <w:r w:rsidR="00073E26">
        <w:rPr>
          <w:szCs w:val="20"/>
        </w:rPr>
        <w:t>and is the most commonly diagnosed cancer in Australia</w:t>
      </w:r>
      <w:r w:rsidR="00073E26">
        <w:rPr>
          <w:rStyle w:val="FootnoteReference"/>
          <w:szCs w:val="20"/>
        </w:rPr>
        <w:footnoteReference w:id="2"/>
      </w:r>
      <w:r w:rsidR="001A0812">
        <w:rPr>
          <w:szCs w:val="20"/>
        </w:rPr>
        <w:t>.</w:t>
      </w:r>
      <w:r w:rsidR="008168B1">
        <w:rPr>
          <w:szCs w:val="20"/>
        </w:rPr>
        <w:t xml:space="preserve"> Prostate cancer is the fourth most common cause of death among males in Australia and is strongly age related.  There is a 90% survival rate at 5 years for men diagno</w:t>
      </w:r>
      <w:r>
        <w:rPr>
          <w:szCs w:val="20"/>
        </w:rPr>
        <w:t>sed with prostate cancer and 10-</w:t>
      </w:r>
      <w:r w:rsidR="008168B1">
        <w:rPr>
          <w:szCs w:val="20"/>
        </w:rPr>
        <w:t>year survival is calculated at 84%.</w:t>
      </w:r>
      <w:r w:rsidR="00A809BC">
        <w:rPr>
          <w:szCs w:val="20"/>
        </w:rPr>
        <w:t xml:space="preserve"> </w:t>
      </w:r>
    </w:p>
    <w:p w14:paraId="4E518C57" w14:textId="77777777" w:rsidR="00A809BC" w:rsidRDefault="00A809BC" w:rsidP="00E357B9">
      <w:pPr>
        <w:ind w:left="426"/>
        <w:rPr>
          <w:szCs w:val="20"/>
        </w:rPr>
      </w:pPr>
      <w:r>
        <w:rPr>
          <w:szCs w:val="20"/>
        </w:rPr>
        <w:t xml:space="preserve">While the survival rate is high compared to other common cancers in men, the various interventions for the treatment of prostate cancer give rise to </w:t>
      </w:r>
      <w:r w:rsidR="00496964">
        <w:rPr>
          <w:szCs w:val="20"/>
        </w:rPr>
        <w:t xml:space="preserve">a variety of morbidities including stress urinary incontinence or leakage, erectile dysfunction, loss of libido or bowel dysfunction. The patterns of morbidity vary depending on the type of intervention. </w:t>
      </w:r>
    </w:p>
    <w:p w14:paraId="2981BD6C" w14:textId="48929D11" w:rsidR="00496964" w:rsidRDefault="0007142D" w:rsidP="00E357B9">
      <w:pPr>
        <w:ind w:left="426"/>
        <w:rPr>
          <w:szCs w:val="20"/>
        </w:rPr>
      </w:pPr>
      <w:r>
        <w:rPr>
          <w:szCs w:val="20"/>
        </w:rPr>
        <w:t>Prostate cancer may be as</w:t>
      </w:r>
      <w:r w:rsidR="00CD2BC4">
        <w:rPr>
          <w:szCs w:val="20"/>
        </w:rPr>
        <w:t xml:space="preserve">ymptomatic for long periods and </w:t>
      </w:r>
      <w:r w:rsidR="008168B1">
        <w:rPr>
          <w:szCs w:val="20"/>
        </w:rPr>
        <w:t>initial</w:t>
      </w:r>
      <w:r>
        <w:rPr>
          <w:szCs w:val="20"/>
        </w:rPr>
        <w:t xml:space="preserve"> symptoms</w:t>
      </w:r>
      <w:r w:rsidR="00CD2BC4">
        <w:rPr>
          <w:szCs w:val="20"/>
        </w:rPr>
        <w:t xml:space="preserve"> may</w:t>
      </w:r>
      <w:r>
        <w:rPr>
          <w:szCs w:val="20"/>
        </w:rPr>
        <w:t xml:space="preserve"> include urinary dysfunction, frequency and</w:t>
      </w:r>
      <w:r w:rsidR="00FE1150">
        <w:rPr>
          <w:szCs w:val="20"/>
        </w:rPr>
        <w:t>/</w:t>
      </w:r>
      <w:r>
        <w:rPr>
          <w:szCs w:val="20"/>
        </w:rPr>
        <w:t xml:space="preserve">or incontinence. Initial screening may be conducted by a </w:t>
      </w:r>
      <w:r w:rsidR="00C410E7">
        <w:rPr>
          <w:szCs w:val="20"/>
        </w:rPr>
        <w:t>Prostate Specific Antigen (PSA) test or a digital rectal examination (</w:t>
      </w:r>
      <w:r w:rsidR="008056B4">
        <w:rPr>
          <w:szCs w:val="20"/>
        </w:rPr>
        <w:t>D</w:t>
      </w:r>
      <w:r w:rsidR="00C410E7">
        <w:rPr>
          <w:szCs w:val="20"/>
        </w:rPr>
        <w:t>RE)</w:t>
      </w:r>
      <w:r w:rsidR="008168B1">
        <w:rPr>
          <w:szCs w:val="20"/>
        </w:rPr>
        <w:t xml:space="preserve"> </w:t>
      </w:r>
      <w:r w:rsidR="00C410E7">
        <w:rPr>
          <w:szCs w:val="20"/>
        </w:rPr>
        <w:t xml:space="preserve">however a </w:t>
      </w:r>
      <w:r w:rsidR="008168B1">
        <w:rPr>
          <w:szCs w:val="20"/>
        </w:rPr>
        <w:t>definitive diagnosis</w:t>
      </w:r>
      <w:r w:rsidR="00C410E7">
        <w:rPr>
          <w:szCs w:val="20"/>
        </w:rPr>
        <w:t xml:space="preserve"> can only be confirmed by biopsy. </w:t>
      </w:r>
      <w:r w:rsidR="00496964">
        <w:rPr>
          <w:szCs w:val="20"/>
        </w:rPr>
        <w:t>Once a biopsy is completed the tumour can be categorised and staged.</w:t>
      </w:r>
    </w:p>
    <w:p w14:paraId="714CAD93" w14:textId="14423ABF" w:rsidR="00C410E7" w:rsidRDefault="00C410E7" w:rsidP="00E357B9">
      <w:pPr>
        <w:ind w:left="426"/>
        <w:rPr>
          <w:szCs w:val="20"/>
        </w:rPr>
      </w:pPr>
      <w:r>
        <w:rPr>
          <w:szCs w:val="20"/>
        </w:rPr>
        <w:t>Prostate cancer can be categor</w:t>
      </w:r>
      <w:r w:rsidR="00653A89">
        <w:rPr>
          <w:szCs w:val="20"/>
        </w:rPr>
        <w:t>ised by risk.  This is</w:t>
      </w:r>
      <w:r>
        <w:rPr>
          <w:szCs w:val="20"/>
        </w:rPr>
        <w:t xml:space="preserve"> a combination of </w:t>
      </w:r>
      <w:r w:rsidR="008056B4">
        <w:rPr>
          <w:szCs w:val="20"/>
        </w:rPr>
        <w:t>tumour grade (</w:t>
      </w:r>
      <w:r>
        <w:rPr>
          <w:szCs w:val="20"/>
        </w:rPr>
        <w:t>‘Gleason Score’</w:t>
      </w:r>
      <w:r w:rsidR="008056B4">
        <w:rPr>
          <w:szCs w:val="20"/>
        </w:rPr>
        <w:t>),</w:t>
      </w:r>
      <w:r>
        <w:rPr>
          <w:szCs w:val="20"/>
        </w:rPr>
        <w:t xml:space="preserve"> the PSA score</w:t>
      </w:r>
      <w:r w:rsidR="009E6231">
        <w:rPr>
          <w:szCs w:val="20"/>
        </w:rPr>
        <w:t xml:space="preserve"> and a tumour </w:t>
      </w:r>
      <w:r w:rsidR="008056B4">
        <w:rPr>
          <w:szCs w:val="20"/>
        </w:rPr>
        <w:t>stage</w:t>
      </w:r>
      <w:r w:rsidR="009E6231">
        <w:rPr>
          <w:szCs w:val="20"/>
        </w:rPr>
        <w:t>.</w:t>
      </w:r>
    </w:p>
    <w:p w14:paraId="25ABDC56" w14:textId="77777777" w:rsidR="008168B1" w:rsidRDefault="00C410E7" w:rsidP="00E357B9">
      <w:pPr>
        <w:ind w:left="426"/>
        <w:rPr>
          <w:szCs w:val="20"/>
        </w:rPr>
      </w:pPr>
      <w:r>
        <w:rPr>
          <w:szCs w:val="20"/>
        </w:rPr>
        <w:t xml:space="preserve">A Gleason score is the sum of two </w:t>
      </w:r>
      <w:r w:rsidR="009E6231">
        <w:rPr>
          <w:szCs w:val="20"/>
        </w:rPr>
        <w:t>scores ranged 1-5.  Grade 1 denotes cancer cells that are very similar to normal cells whereas as Grade 5 denotes cells that are very abnormal. The Gleason Score is the sum of the grade of the most predominant tumour cells and the secondary tumour grade.  Gleason Scores range from 2-10, with higher scores indicating a more aggressive cancer.</w:t>
      </w:r>
    </w:p>
    <w:p w14:paraId="4D309380" w14:textId="75D3E795" w:rsidR="009E6231" w:rsidRDefault="009E6231" w:rsidP="00E357B9">
      <w:pPr>
        <w:ind w:left="426"/>
        <w:rPr>
          <w:szCs w:val="20"/>
        </w:rPr>
      </w:pPr>
      <w:r>
        <w:rPr>
          <w:szCs w:val="20"/>
        </w:rPr>
        <w:t>This application is concerned with intermediate and high-risk prostate cancer and uses the National Comprehensive Cancer Network (NCCN) Prostate Cancer Risk Group definitions</w:t>
      </w:r>
      <w:r w:rsidR="00073E26">
        <w:rPr>
          <w:szCs w:val="20"/>
        </w:rPr>
        <w:t xml:space="preserve"> (2017)</w:t>
      </w:r>
      <w:r>
        <w:rPr>
          <w:szCs w:val="20"/>
        </w:rPr>
        <w:t>.</w:t>
      </w:r>
      <w:r w:rsidR="00073E26">
        <w:rPr>
          <w:szCs w:val="20"/>
        </w:rPr>
        <w:t xml:space="preserve">  It should be note that new guidelines were published in </w:t>
      </w:r>
      <w:proofErr w:type="gramStart"/>
      <w:r w:rsidR="00073E26">
        <w:rPr>
          <w:szCs w:val="20"/>
        </w:rPr>
        <w:t>May,</w:t>
      </w:r>
      <w:proofErr w:type="gramEnd"/>
      <w:r w:rsidR="00073E26">
        <w:rPr>
          <w:szCs w:val="20"/>
        </w:rPr>
        <w:t xml:space="preserve"> 2022 but this is too recent to be reflected in published studies of prostate cancer</w:t>
      </w:r>
    </w:p>
    <w:p w14:paraId="5B97818C" w14:textId="77777777" w:rsidR="00165326" w:rsidRDefault="00165326" w:rsidP="00165326">
      <w:pPr>
        <w:ind w:left="426"/>
        <w:rPr>
          <w:b/>
          <w:szCs w:val="20"/>
          <w:lang w:val="en-GB"/>
        </w:rPr>
      </w:pPr>
      <w:r w:rsidRPr="00165326">
        <w:rPr>
          <w:b/>
          <w:szCs w:val="20"/>
          <w:lang w:val="en-GB"/>
        </w:rPr>
        <w:t>Intermediate Risk: PSA &gt; 10.0 &lt; 20.0 and/or Gleason = 7 and/or T2b-c</w:t>
      </w:r>
    </w:p>
    <w:p w14:paraId="5E51AED9" w14:textId="77777777" w:rsidR="007708AC" w:rsidRPr="007708AC" w:rsidRDefault="007708AC" w:rsidP="00165326">
      <w:pPr>
        <w:ind w:left="426"/>
        <w:rPr>
          <w:szCs w:val="20"/>
          <w:lang w:val="en-GB"/>
        </w:rPr>
      </w:pPr>
      <w:r w:rsidRPr="007708AC">
        <w:rPr>
          <w:szCs w:val="20"/>
          <w:lang w:val="en-GB"/>
        </w:rPr>
        <w:t>T2b is a tumour confined to more than one half of one lobe of the prostate gland but not both</w:t>
      </w:r>
      <w:r>
        <w:rPr>
          <w:szCs w:val="20"/>
          <w:lang w:val="en-GB"/>
        </w:rPr>
        <w:t>.</w:t>
      </w:r>
    </w:p>
    <w:p w14:paraId="7EADB69C" w14:textId="77777777" w:rsidR="007708AC" w:rsidRPr="007708AC" w:rsidRDefault="007708AC" w:rsidP="00165326">
      <w:pPr>
        <w:ind w:left="426"/>
        <w:rPr>
          <w:szCs w:val="20"/>
          <w:lang w:val="en-GB"/>
        </w:rPr>
      </w:pPr>
      <w:r w:rsidRPr="007708AC">
        <w:rPr>
          <w:szCs w:val="20"/>
          <w:lang w:val="en-GB"/>
        </w:rPr>
        <w:t>T2c is a tumour that is in both lobes but within the prostatic capsule</w:t>
      </w:r>
    </w:p>
    <w:p w14:paraId="69438192" w14:textId="77777777" w:rsidR="009E6231" w:rsidRDefault="00165326" w:rsidP="00165326">
      <w:pPr>
        <w:ind w:left="426"/>
        <w:rPr>
          <w:szCs w:val="20"/>
        </w:rPr>
      </w:pPr>
      <w:r w:rsidRPr="00165326">
        <w:rPr>
          <w:b/>
          <w:szCs w:val="20"/>
          <w:lang w:val="en-GB"/>
        </w:rPr>
        <w:t>High Risk: PSA&gt; 20.0 and/or Gleason 8-10 and/or T3</w:t>
      </w:r>
      <w:r w:rsidR="00653A89">
        <w:rPr>
          <w:b/>
          <w:szCs w:val="20"/>
          <w:lang w:val="en-GB"/>
        </w:rPr>
        <w:t>a</w:t>
      </w:r>
      <w:r w:rsidRPr="00165326">
        <w:rPr>
          <w:b/>
          <w:szCs w:val="20"/>
          <w:lang w:val="en-GB"/>
        </w:rPr>
        <w:t xml:space="preserve"> OR 2 or more intermediate risk features</w:t>
      </w:r>
    </w:p>
    <w:p w14:paraId="5DCEA477" w14:textId="77777777" w:rsidR="00F27039" w:rsidRDefault="00131D15" w:rsidP="00E357B9">
      <w:pPr>
        <w:ind w:left="426"/>
        <w:rPr>
          <w:szCs w:val="20"/>
        </w:rPr>
      </w:pPr>
      <w:r>
        <w:rPr>
          <w:szCs w:val="20"/>
        </w:rPr>
        <w:t>T3a is a tumour that extends outside of the prostate but not into the seminal vessels.</w:t>
      </w:r>
    </w:p>
    <w:p w14:paraId="5B884EA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r w:rsidR="00AF243E">
        <w:rPr>
          <w:rStyle w:val="FootnoteReference"/>
        </w:rPr>
        <w:footnoteReference w:id="3"/>
      </w:r>
    </w:p>
    <w:p w14:paraId="173F672B" w14:textId="77777777" w:rsidR="00AA5FDA" w:rsidRDefault="00136F68" w:rsidP="000C7277">
      <w:pPr>
        <w:ind w:left="360"/>
      </w:pPr>
      <w:r>
        <w:t xml:space="preserve">As noted above </w:t>
      </w:r>
      <w:r w:rsidR="00776BB6">
        <w:t>the patients who would be considered eligibl</w:t>
      </w:r>
      <w:r w:rsidR="00131D15">
        <w:t>e for LDR Brachytherapy are</w:t>
      </w:r>
      <w:r w:rsidR="00776BB6">
        <w:t xml:space="preserve"> classified as having </w:t>
      </w:r>
      <w:r w:rsidR="008E478C">
        <w:t xml:space="preserve">low risk, </w:t>
      </w:r>
      <w:r w:rsidR="00776BB6">
        <w:t>intermediate o</w:t>
      </w:r>
      <w:r w:rsidR="00BE6237">
        <w:t>r</w:t>
      </w:r>
      <w:r w:rsidR="00776BB6">
        <w:t xml:space="preserve"> high</w:t>
      </w:r>
      <w:r w:rsidR="00BE6237">
        <w:t>-</w:t>
      </w:r>
      <w:r w:rsidR="00776BB6">
        <w:t>risk prostate cancer.</w:t>
      </w:r>
      <w:r w:rsidR="007708AC">
        <w:t xml:space="preserve"> P</w:t>
      </w:r>
      <w:r w:rsidR="009415A3">
        <w:t xml:space="preserve">rostate cancer </w:t>
      </w:r>
      <w:r w:rsidR="00F8775A">
        <w:t>incidence increases with age.</w:t>
      </w:r>
      <w:r w:rsidR="009415A3">
        <w:t xml:space="preserve">  </w:t>
      </w:r>
      <w:r w:rsidR="009415A3">
        <w:lastRenderedPageBreak/>
        <w:t>The 2013 Australian Institute of Health and Welfare (AIHW) reports that risk is less than 0.1% before the age of 45 but increases to 27% before age 85. The diagnosis of new cases peaks in the 60-69 age group</w:t>
      </w:r>
      <w:r w:rsidR="00131D15">
        <w:t xml:space="preserve"> </w:t>
      </w:r>
      <w:r w:rsidR="009415A3">
        <w:t>and declines thereafter.</w:t>
      </w:r>
      <w:r w:rsidR="003134C8">
        <w:t xml:space="preserve">  Therefore, men seeking treatment for prostate cancer will most commonly be in this age group.</w:t>
      </w:r>
      <w:r w:rsidR="006946D4">
        <w:t xml:space="preserve"> </w:t>
      </w:r>
    </w:p>
    <w:p w14:paraId="76659D0E" w14:textId="77777777" w:rsidR="00BE6237" w:rsidRDefault="00BE6237" w:rsidP="000C7277">
      <w:pPr>
        <w:ind w:left="360"/>
      </w:pPr>
      <w:r>
        <w:t xml:space="preserve">Population screening for prostate cancer is controversial due to the risk of over diagnosis and over treatment.  The European </w:t>
      </w:r>
      <w:r w:rsidR="00722860">
        <w:t>Association of Urology (EAU), European Society for Radiotherapy and Oncology (ESTRO) and the International Society of Geriatric Oncology (SIOG) Guidelines</w:t>
      </w:r>
      <w:r w:rsidR="00722860">
        <w:rPr>
          <w:rStyle w:val="FootnoteReference"/>
        </w:rPr>
        <w:footnoteReference w:id="4"/>
      </w:r>
      <w:r w:rsidR="00722860">
        <w:t xml:space="preserve"> recommend that PSA testing should be offered to men with an elevated risk of having prostate cancer.  </w:t>
      </w:r>
      <w:r w:rsidR="00AF243E">
        <w:t>These include the following</w:t>
      </w:r>
    </w:p>
    <w:p w14:paraId="33472A62" w14:textId="77777777" w:rsidR="00AF243E" w:rsidRDefault="00AF243E" w:rsidP="00AF243E">
      <w:pPr>
        <w:pStyle w:val="ListParagraph"/>
        <w:numPr>
          <w:ilvl w:val="0"/>
          <w:numId w:val="37"/>
        </w:numPr>
      </w:pPr>
      <w:bookmarkStart w:id="3" w:name="_Hlk496084405"/>
      <w:r>
        <w:t>Men aged &gt; 50 years</w:t>
      </w:r>
    </w:p>
    <w:p w14:paraId="4C31B4A9" w14:textId="77777777" w:rsidR="00AF243E" w:rsidRDefault="00AF243E" w:rsidP="00AF243E">
      <w:pPr>
        <w:pStyle w:val="ListParagraph"/>
        <w:numPr>
          <w:ilvl w:val="0"/>
          <w:numId w:val="37"/>
        </w:numPr>
      </w:pPr>
      <w:r>
        <w:t>Men aged &gt; 45 years and a family history of Prostate Cancer</w:t>
      </w:r>
    </w:p>
    <w:p w14:paraId="4BA181A8" w14:textId="77777777" w:rsidR="002E01B0" w:rsidRDefault="00AF243E" w:rsidP="00AF243E">
      <w:pPr>
        <w:pStyle w:val="ListParagraph"/>
        <w:numPr>
          <w:ilvl w:val="0"/>
          <w:numId w:val="37"/>
        </w:numPr>
      </w:pPr>
      <w:r>
        <w:t>African American men aged &gt; 45 years</w:t>
      </w:r>
      <w:r w:rsidR="002E01B0">
        <w:t xml:space="preserve"> </w:t>
      </w:r>
    </w:p>
    <w:p w14:paraId="29ECA70A" w14:textId="23CE87E6" w:rsidR="00AF243E" w:rsidRDefault="002E01B0" w:rsidP="00AF243E">
      <w:pPr>
        <w:pStyle w:val="ListParagraph"/>
        <w:numPr>
          <w:ilvl w:val="0"/>
          <w:numId w:val="37"/>
        </w:numPr>
      </w:pPr>
      <w:r>
        <w:t>Men carrying BRCA2 mutation &gt; 40 years</w:t>
      </w:r>
    </w:p>
    <w:p w14:paraId="45404EFB" w14:textId="2DA666C8" w:rsidR="002E01B0" w:rsidRDefault="002E01B0" w:rsidP="002E01B0">
      <w:pPr>
        <w:ind w:left="786"/>
      </w:pPr>
      <w:r>
        <w:t>Offer a risked-adapted strategy (based on initial PSA level), with follow-up intervals of 2 years for those initially at risk:</w:t>
      </w:r>
    </w:p>
    <w:p w14:paraId="76D0F6D5" w14:textId="77777777" w:rsidR="00AF243E" w:rsidRDefault="00AF243E" w:rsidP="00AF243E">
      <w:pPr>
        <w:pStyle w:val="ListParagraph"/>
        <w:numPr>
          <w:ilvl w:val="0"/>
          <w:numId w:val="37"/>
        </w:numPr>
      </w:pPr>
      <w:r>
        <w:t>Men with a PSA level &gt; 1 ng/ml at age 40 years</w:t>
      </w:r>
    </w:p>
    <w:p w14:paraId="499A3F2A" w14:textId="77777777" w:rsidR="00AF243E" w:rsidRDefault="00AF243E" w:rsidP="00AF243E">
      <w:pPr>
        <w:pStyle w:val="ListParagraph"/>
        <w:numPr>
          <w:ilvl w:val="0"/>
          <w:numId w:val="37"/>
        </w:numPr>
      </w:pPr>
      <w:r>
        <w:t>Men with a PSA level &gt; 2 ng/ml at age 60 years</w:t>
      </w:r>
    </w:p>
    <w:bookmarkEnd w:id="3"/>
    <w:p w14:paraId="3D761CC7" w14:textId="77777777" w:rsidR="00163646" w:rsidRDefault="00163646" w:rsidP="000C7277">
      <w:pPr>
        <w:ind w:left="284"/>
      </w:pPr>
      <w:r>
        <w:t>Men who have less than 15 years of life expectancy are unlikely to benefit from early detection.</w:t>
      </w:r>
    </w:p>
    <w:p w14:paraId="773AD50F" w14:textId="7B97C5D5" w:rsidR="00AE6A4E" w:rsidRDefault="00AF243E" w:rsidP="000C7277">
      <w:pPr>
        <w:ind w:left="284"/>
      </w:pPr>
      <w:r>
        <w:t>Early screening and detection of prostate cancer in Australia is generally carried out by general practitioners</w:t>
      </w:r>
      <w:r w:rsidR="00163646">
        <w:t>.  Early screening and detection is either by a PSA test or a digital rectal exam (DRE).  A high PSA or an abnormal DRE is likely to pr</w:t>
      </w:r>
      <w:r w:rsidR="00AE6A4E">
        <w:t>ompt a biopsy.</w:t>
      </w:r>
      <w:r w:rsidR="000E08D8">
        <w:t xml:space="preserve"> An MRI is performed pre-biopsy to help identify any suspicious lesions in the prostate to help guide the biopsy.</w:t>
      </w:r>
      <w:r w:rsidR="00AE6A4E">
        <w:t xml:space="preserve">  Some men may be offered a Free/Total PSA Ratio or a Prostate Health Index test, or a PCA3 test</w:t>
      </w:r>
      <w:r w:rsidR="00B53913">
        <w:t xml:space="preserve"> before proceeding to biopsy</w:t>
      </w:r>
      <w:r w:rsidR="00AE6A4E">
        <w:t>, particularly if the PSA is only mildly elevated.</w:t>
      </w:r>
      <w:r w:rsidR="00B53913">
        <w:t xml:space="preserve">  </w:t>
      </w:r>
      <w:r w:rsidR="005F3C0C">
        <w:t>These tests are not currently included on the MBS.</w:t>
      </w:r>
    </w:p>
    <w:p w14:paraId="270C8754" w14:textId="77777777" w:rsidR="00AE6A4E" w:rsidRDefault="00163646" w:rsidP="000C7277">
      <w:pPr>
        <w:ind w:left="284"/>
      </w:pPr>
      <w:r>
        <w:t>A needle biopsy guided by ultrasound is the most common method of biopsy.</w:t>
      </w:r>
      <w:r w:rsidR="00AE6A4E">
        <w:t xml:space="preserve"> If prostate cancer is identified the tumour </w:t>
      </w:r>
      <w:r w:rsidR="006946D4">
        <w:t>will be staged and graded and the risk stratification assigned.  Men will be referred to either a urologist or multidisciplinary team to manage treatment.</w:t>
      </w:r>
      <w:r w:rsidR="00F27D9A">
        <w:t xml:space="preserve">  </w:t>
      </w:r>
    </w:p>
    <w:p w14:paraId="26B06421" w14:textId="3540FF53" w:rsidR="00BE6237" w:rsidRDefault="00F27D9A" w:rsidP="000C7277">
      <w:pPr>
        <w:ind w:left="284"/>
      </w:pPr>
      <w:r>
        <w:t>There are a variety of treatment modalities available to treat</w:t>
      </w:r>
      <w:r w:rsidR="00140C63">
        <w:t xml:space="preserve"> prostate cancer. These include</w:t>
      </w:r>
      <w:r w:rsidR="004D3BCC">
        <w:t xml:space="preserve"> Androgen Deprivation Therapy (ADT)</w:t>
      </w:r>
      <w:r w:rsidR="00CB4CFD">
        <w:t>,</w:t>
      </w:r>
      <w:r w:rsidR="00140C63">
        <w:t xml:space="preserve"> </w:t>
      </w:r>
      <w:r w:rsidR="00131D15">
        <w:t>Radical P</w:t>
      </w:r>
      <w:r w:rsidR="00140C63">
        <w:t>rostatectomy (RP), External Beam Radiotherapy (EBRT), Lo</w:t>
      </w:r>
      <w:r w:rsidR="00646EEC">
        <w:t>w Dose Rate (LDR) Brachytherapy</w:t>
      </w:r>
      <w:r w:rsidR="007708AC">
        <w:t xml:space="preserve"> and</w:t>
      </w:r>
      <w:r w:rsidR="00140C63">
        <w:t xml:space="preserve"> High Dose Rate (HDR) Brachytherapy</w:t>
      </w:r>
      <w:r w:rsidR="007708AC">
        <w:t>.</w:t>
      </w:r>
      <w:r w:rsidR="00140C63">
        <w:t xml:space="preserve"> </w:t>
      </w:r>
      <w:r w:rsidR="00646EEC">
        <w:t>Two or more of these modalities may be combined in higher risk disease.</w:t>
      </w:r>
      <w:r w:rsidR="00F51F99">
        <w:t xml:space="preserve">  Men are likely</w:t>
      </w:r>
      <w:r w:rsidR="000E08D8">
        <w:t xml:space="preserve"> to</w:t>
      </w:r>
      <w:r w:rsidR="00F51F99">
        <w:t xml:space="preserve"> choose either a surgical path or radiotherapy path depending on individual circumstances, suitability for surgery, logistics and preference.</w:t>
      </w:r>
    </w:p>
    <w:p w14:paraId="48185C38"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w:t>
      </w:r>
      <w:proofErr w:type="gramStart"/>
      <w:r w:rsidR="00F33F1A" w:rsidRPr="00154B00">
        <w:t>easy to follow</w:t>
      </w:r>
      <w:proofErr w:type="gramEnd"/>
      <w:r w:rsidR="00F33F1A" w:rsidRPr="00154B00">
        <w:t xml:space="preserve">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9969D85" w14:textId="234389D4" w:rsidR="008E478C" w:rsidRDefault="008E478C" w:rsidP="000C7277">
      <w:pPr>
        <w:ind w:left="360"/>
      </w:pPr>
      <w:r>
        <w:t>Please see the  Clinical Pathway Flowchart</w:t>
      </w:r>
      <w:r w:rsidR="00FE621E">
        <w:t xml:space="preserve"> for an explanation of the usual treatment choice pathway for men with prostate cancer </w:t>
      </w:r>
    </w:p>
    <w:p w14:paraId="2734CBD1" w14:textId="6E20941E" w:rsidR="00FE621E" w:rsidRDefault="00FE621E" w:rsidP="008E478C">
      <w:r>
        <w:rPr>
          <w:noProof/>
        </w:rPr>
        <w:lastRenderedPageBreak/>
        <w:drawing>
          <wp:inline distT="0" distB="0" distL="0" distR="0" wp14:anchorId="72DF317D" wp14:editId="682B2DA3">
            <wp:extent cx="5487035" cy="5730875"/>
            <wp:effectExtent l="0" t="0" r="0" b="3175"/>
            <wp:docPr id="4" name="Picture 4" descr="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w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5730875"/>
                    </a:xfrm>
                    <a:prstGeom prst="rect">
                      <a:avLst/>
                    </a:prstGeom>
                    <a:noFill/>
                  </pic:spPr>
                </pic:pic>
              </a:graphicData>
            </a:graphic>
          </wp:inline>
        </w:drawing>
      </w:r>
    </w:p>
    <w:p w14:paraId="068AE6B7" w14:textId="77777777" w:rsidR="00FE621E" w:rsidRDefault="00FE621E" w:rsidP="008E478C"/>
    <w:p w14:paraId="5225D49A" w14:textId="12B6B6AE" w:rsidR="008E478C" w:rsidRDefault="007708AC" w:rsidP="008E478C">
      <w:r>
        <w:t xml:space="preserve">In </w:t>
      </w:r>
      <w:r w:rsidR="008E478C">
        <w:t xml:space="preserve">Australia </w:t>
      </w:r>
      <w:r>
        <w:t>men are most likely to</w:t>
      </w:r>
      <w:r w:rsidR="008E478C">
        <w:t xml:space="preserve"> receive an initial screening for prostate cancer from a general practitioner</w:t>
      </w:r>
      <w:r w:rsidR="005F1427">
        <w:t xml:space="preserve"> (GP)</w:t>
      </w:r>
      <w:r w:rsidR="008E478C">
        <w:t>.  This may occur because they are included in a higher risk group or they present with the symptoms noted in Question 24.</w:t>
      </w:r>
      <w:r w:rsidR="005F1427">
        <w:t xml:space="preserve"> As noted above some men may be offered other tests including Free/Total PSA, Prostate Health Index</w:t>
      </w:r>
      <w:r w:rsidR="00CA169F">
        <w:t xml:space="preserve"> or a PCA3</w:t>
      </w:r>
      <w:r w:rsidR="005F1427">
        <w:t xml:space="preserve"> if the PSA is only mildly elevated as this may assist the GP in determining whether a biopsy is necessary</w:t>
      </w:r>
    </w:p>
    <w:p w14:paraId="1059F742" w14:textId="03D4B83A" w:rsidR="005F1427" w:rsidRDefault="000E08D8" w:rsidP="008E478C">
      <w:r>
        <w:t xml:space="preserve">A pre-biopsy MRI is performed and reported by a radiologist. This </w:t>
      </w:r>
      <w:r w:rsidR="007523A5">
        <w:t xml:space="preserve">MRI highlights any suspicious lesions and helps to guide the biopsy. </w:t>
      </w:r>
      <w:r w:rsidR="005F1427">
        <w:t>A biopsy is the definitive diagnos</w:t>
      </w:r>
      <w:r w:rsidR="00CA169F">
        <w:t xml:space="preserve">tic test for prostate cancer. Tissue samples are removed via an ultrasound guided needle and the cancer is staged and graded by a pathologist. </w:t>
      </w:r>
      <w:r w:rsidR="009F261B">
        <w:t xml:space="preserve">It is possible that other tests may be conducted to rule out metastatic disease. These may include </w:t>
      </w:r>
      <w:r w:rsidR="007523A5">
        <w:t>PET-</w:t>
      </w:r>
      <w:r w:rsidR="009F261B">
        <w:t>CT scans or whole</w:t>
      </w:r>
      <w:r w:rsidR="006E0531">
        <w:t>-</w:t>
      </w:r>
      <w:r w:rsidR="009F261B">
        <w:t xml:space="preserve">body bone scans. </w:t>
      </w:r>
      <w:r w:rsidR="00F8775A">
        <w:t>Risk category is assigned based on PSA level, Gleason Score</w:t>
      </w:r>
      <w:r w:rsidR="004D3BCC">
        <w:t xml:space="preserve"> </w:t>
      </w:r>
      <w:r w:rsidR="00F8775A">
        <w:t xml:space="preserve">and tumour stage and grade. This application concerns Intermediate and high-risk patients. LDR Brachytherapy for </w:t>
      </w:r>
      <w:r w:rsidR="0011336C">
        <w:t xml:space="preserve">patients with a Gleason Score of </w:t>
      </w:r>
      <w:r w:rsidR="0011336C">
        <w:rPr>
          <w:rFonts w:cstheme="minorHAnsi"/>
        </w:rPr>
        <w:t>≤</w:t>
      </w:r>
      <w:r w:rsidR="0011336C">
        <w:t xml:space="preserve"> 7 and a PSA of </w:t>
      </w:r>
      <w:r w:rsidR="0011336C">
        <w:rPr>
          <w:rFonts w:cstheme="minorHAnsi"/>
        </w:rPr>
        <w:t>≤</w:t>
      </w:r>
      <w:r w:rsidR="0011336C">
        <w:t xml:space="preserve"> 10 is currently included on the MBS.</w:t>
      </w:r>
    </w:p>
    <w:p w14:paraId="666F5440" w14:textId="77777777" w:rsidR="00911AF3" w:rsidRDefault="006E0531" w:rsidP="000C7277">
      <w:pPr>
        <w:ind w:left="426"/>
      </w:pPr>
      <w:r>
        <w:lastRenderedPageBreak/>
        <w:t>ADT is a</w:t>
      </w:r>
      <w:r w:rsidR="00911AF3">
        <w:t xml:space="preserve"> standard treatment for high-risk prostate cancer</w:t>
      </w:r>
      <w:r>
        <w:rPr>
          <w:rStyle w:val="FootnoteReference"/>
        </w:rPr>
        <w:footnoteReference w:id="5"/>
      </w:r>
      <w:r w:rsidR="00911AF3">
        <w:t xml:space="preserve"> and w</w:t>
      </w:r>
      <w:r>
        <w:t xml:space="preserve">ill be offered to most men.  ADT is delivered before beginning radiotherapy as it </w:t>
      </w:r>
      <w:r w:rsidR="00E536CA">
        <w:t>may</w:t>
      </w:r>
      <w:r>
        <w:t xml:space="preserve"> assist in either shrinking the tumour or prevent</w:t>
      </w:r>
      <w:r w:rsidR="008056B4">
        <w:t>ing</w:t>
      </w:r>
      <w:r>
        <w:t xml:space="preserve"> the tumour from growing further</w:t>
      </w:r>
      <w:r w:rsidR="008616FA">
        <w:t xml:space="preserve">.  </w:t>
      </w:r>
    </w:p>
    <w:p w14:paraId="57FFFAB5" w14:textId="77777777" w:rsidR="00E536CA" w:rsidRDefault="00E536CA" w:rsidP="000C7277">
      <w:pPr>
        <w:ind w:left="426"/>
      </w:pPr>
      <w:r>
        <w:t xml:space="preserve">Men may be offered RP with or without EBRT or EBRT.  This decision may be very dependent upon individual preference and the patient’s tolerance for the impact of the treatment related side-effects on </w:t>
      </w:r>
      <w:r w:rsidR="0067548A">
        <w:t xml:space="preserve">their </w:t>
      </w:r>
      <w:r>
        <w:t xml:space="preserve">quality of life.  Treatment decisions will also relate to the age and general health of the patient. </w:t>
      </w:r>
      <w:r w:rsidR="0067548A">
        <w:t xml:space="preserve"> As RP is a major surgical procedure with an operating time</w:t>
      </w:r>
      <w:r w:rsidR="007708AC">
        <w:t xml:space="preserve"> of 2 to 5 hours</w:t>
      </w:r>
      <w:r w:rsidR="0067548A">
        <w:t xml:space="preserve"> it may not be an appropriate choice for older men or men with comorbidities.</w:t>
      </w:r>
    </w:p>
    <w:p w14:paraId="1A534691" w14:textId="2904DFD3" w:rsidR="00F51F99" w:rsidRDefault="00F27039" w:rsidP="000C7277">
      <w:pPr>
        <w:ind w:left="426"/>
      </w:pPr>
      <w:r>
        <w:t>EBRT may be delivered in addition to RP or a</w:t>
      </w:r>
      <w:r w:rsidR="00E17412">
        <w:t>s the primary therapy.  EBRT may be delivered via</w:t>
      </w:r>
      <w:r w:rsidR="00F50C78">
        <w:t xml:space="preserve"> conventional radiotherapy,</w:t>
      </w:r>
      <w:r w:rsidR="00E17412">
        <w:t xml:space="preserve"> </w:t>
      </w:r>
      <w:r w:rsidR="00F50C78">
        <w:t>i</w:t>
      </w:r>
      <w:r w:rsidR="00E17412">
        <w:t>ntensity</w:t>
      </w:r>
      <w:r w:rsidR="003834D7">
        <w:t>-modulated radiation therapy (IMRT) or three</w:t>
      </w:r>
      <w:r w:rsidR="00F50C78">
        <w:t>-</w:t>
      </w:r>
      <w:r w:rsidR="003834D7">
        <w:t>dimensional conformal radiotherapy</w:t>
      </w:r>
      <w:r w:rsidR="00F50C78">
        <w:t xml:space="preserve"> (3D-CRT).  EBRT may be given as a stand-alone therapy or an additional dose or ‘boost’ of radiation may be delivered by</w:t>
      </w:r>
      <w:r w:rsidR="00B32589">
        <w:t xml:space="preserve"> a dose escalation of EBRT (DE-EBRT), HDR brachytherapy or LDR brachytherapy.</w:t>
      </w:r>
      <w:r w:rsidR="00B954DF" w:rsidDel="00B954DF">
        <w:t xml:space="preserve"> </w:t>
      </w:r>
    </w:p>
    <w:p w14:paraId="12F77C43" w14:textId="62DB8391" w:rsidR="002A50FD" w:rsidRPr="00881F93" w:rsidRDefault="002A50FD" w:rsidP="000C7277">
      <w:pPr>
        <w:ind w:left="426"/>
      </w:pPr>
      <w:r w:rsidRPr="00881F93">
        <w:t>INFORMATION ABOUT THE INTERVENTION</w:t>
      </w:r>
    </w:p>
    <w:p w14:paraId="3B66C027" w14:textId="77777777" w:rsidR="002A50FD" w:rsidRPr="00154B00" w:rsidRDefault="002A6753" w:rsidP="000C7277">
      <w:pPr>
        <w:pStyle w:val="Heading2"/>
        <w:ind w:left="426" w:firstLine="0"/>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FE65947" w14:textId="77777777" w:rsidR="001B6F7A" w:rsidRDefault="001B6F7A" w:rsidP="000C7277">
      <w:pPr>
        <w:ind w:left="426"/>
        <w:rPr>
          <w:szCs w:val="20"/>
          <w:u w:val="single"/>
        </w:rPr>
      </w:pPr>
      <w:r>
        <w:rPr>
          <w:szCs w:val="20"/>
          <w:u w:val="single"/>
        </w:rPr>
        <w:t>Pre-treatment</w:t>
      </w:r>
    </w:p>
    <w:p w14:paraId="72FBF313" w14:textId="13535759" w:rsidR="001B6F7A" w:rsidRDefault="001B6F7A" w:rsidP="000C7277">
      <w:pPr>
        <w:pStyle w:val="ListParagraph"/>
        <w:numPr>
          <w:ilvl w:val="0"/>
          <w:numId w:val="41"/>
        </w:numPr>
        <w:ind w:left="426" w:firstLine="0"/>
        <w:rPr>
          <w:szCs w:val="20"/>
        </w:rPr>
      </w:pPr>
      <w:r>
        <w:rPr>
          <w:szCs w:val="20"/>
        </w:rPr>
        <w:t xml:space="preserve">A patient will have a consultation with both a urologist and </w:t>
      </w:r>
      <w:r w:rsidR="008056B4">
        <w:rPr>
          <w:szCs w:val="20"/>
        </w:rPr>
        <w:t>radiation oncologist</w:t>
      </w:r>
    </w:p>
    <w:p w14:paraId="46A90A86" w14:textId="77777777" w:rsidR="001B6F7A" w:rsidRDefault="001B6F7A" w:rsidP="000C7277">
      <w:pPr>
        <w:pStyle w:val="ListParagraph"/>
        <w:numPr>
          <w:ilvl w:val="0"/>
          <w:numId w:val="41"/>
        </w:numPr>
        <w:ind w:left="426" w:firstLine="0"/>
        <w:rPr>
          <w:szCs w:val="20"/>
        </w:rPr>
      </w:pPr>
      <w:r>
        <w:rPr>
          <w:szCs w:val="20"/>
        </w:rPr>
        <w:t xml:space="preserve">A volume study of the prostate and a urine flow study will be carried out to determine suitability for LDR Brachytherapy.  </w:t>
      </w:r>
    </w:p>
    <w:p w14:paraId="1943706F" w14:textId="77777777" w:rsidR="001B6F7A" w:rsidRPr="00217A4E" w:rsidRDefault="001B6F7A" w:rsidP="000C7277">
      <w:pPr>
        <w:pStyle w:val="ListParagraph"/>
        <w:numPr>
          <w:ilvl w:val="0"/>
          <w:numId w:val="41"/>
        </w:numPr>
        <w:ind w:left="426" w:firstLine="0"/>
        <w:rPr>
          <w:szCs w:val="20"/>
        </w:rPr>
      </w:pPr>
      <w:r>
        <w:rPr>
          <w:color w:val="000000" w:themeColor="text1"/>
          <w:szCs w:val="20"/>
        </w:rPr>
        <w:t xml:space="preserve">A radiation physicist will then plan the treatment allowing the seeds to be ordered. </w:t>
      </w:r>
    </w:p>
    <w:p w14:paraId="4B3D239F" w14:textId="77777777" w:rsidR="001B6F7A" w:rsidRPr="00217A4E" w:rsidRDefault="001B6F7A" w:rsidP="000C7277">
      <w:pPr>
        <w:ind w:left="426"/>
        <w:rPr>
          <w:szCs w:val="20"/>
          <w:u w:val="single"/>
        </w:rPr>
      </w:pPr>
      <w:r>
        <w:rPr>
          <w:szCs w:val="20"/>
          <w:u w:val="single"/>
        </w:rPr>
        <w:t>Treatment</w:t>
      </w:r>
    </w:p>
    <w:p w14:paraId="038C67AD" w14:textId="77777777" w:rsidR="001B6F7A" w:rsidRDefault="001B6F7A" w:rsidP="000C7277">
      <w:pPr>
        <w:pStyle w:val="ListParagraph"/>
        <w:numPr>
          <w:ilvl w:val="0"/>
          <w:numId w:val="42"/>
        </w:numPr>
        <w:ind w:left="426" w:firstLine="0"/>
        <w:rPr>
          <w:color w:val="000000" w:themeColor="text1"/>
          <w:szCs w:val="20"/>
        </w:rPr>
      </w:pPr>
      <w:r w:rsidRPr="00217A4E">
        <w:rPr>
          <w:color w:val="000000" w:themeColor="text1"/>
          <w:szCs w:val="20"/>
        </w:rPr>
        <w:t>Patient is admitted as a day only or overnight patient at a hospital that has a radiation license.</w:t>
      </w:r>
    </w:p>
    <w:p w14:paraId="3C721451" w14:textId="77777777" w:rsidR="001B6F7A" w:rsidRDefault="001B6F7A" w:rsidP="000C7277">
      <w:pPr>
        <w:pStyle w:val="ListParagraph"/>
        <w:numPr>
          <w:ilvl w:val="0"/>
          <w:numId w:val="42"/>
        </w:numPr>
        <w:ind w:left="426" w:firstLine="0"/>
        <w:rPr>
          <w:color w:val="000000" w:themeColor="text1"/>
          <w:szCs w:val="20"/>
        </w:rPr>
      </w:pPr>
      <w:r>
        <w:rPr>
          <w:color w:val="000000" w:themeColor="text1"/>
          <w:szCs w:val="20"/>
        </w:rPr>
        <w:t>The patient is placed under general anaesthetic and the seeds are inserted via a series of fine needles that contain the brachytherapy seeds</w:t>
      </w:r>
    </w:p>
    <w:p w14:paraId="7F82314D" w14:textId="77777777" w:rsidR="001B6F7A" w:rsidRDefault="001B6F7A" w:rsidP="000C7277">
      <w:pPr>
        <w:ind w:left="426"/>
        <w:rPr>
          <w:color w:val="000000" w:themeColor="text1"/>
          <w:szCs w:val="20"/>
          <w:u w:val="single"/>
        </w:rPr>
      </w:pPr>
      <w:r>
        <w:rPr>
          <w:color w:val="000000" w:themeColor="text1"/>
          <w:szCs w:val="20"/>
          <w:u w:val="single"/>
        </w:rPr>
        <w:t>Post-Treatment</w:t>
      </w:r>
    </w:p>
    <w:p w14:paraId="40AA5AEC" w14:textId="77777777" w:rsidR="002A50FD" w:rsidRPr="00154B00" w:rsidRDefault="001B6F7A" w:rsidP="000C7277">
      <w:pPr>
        <w:ind w:left="426"/>
        <w:rPr>
          <w:szCs w:val="20"/>
        </w:rPr>
      </w:pPr>
      <w:r>
        <w:rPr>
          <w:color w:val="000000" w:themeColor="text1"/>
          <w:szCs w:val="20"/>
        </w:rPr>
        <w:t>The patient will have a CT scan to ensure that the seeds are implanted correctly</w:t>
      </w:r>
    </w:p>
    <w:p w14:paraId="626EE4A0"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345C69C" w14:textId="77777777" w:rsidR="002A6753" w:rsidRPr="00154B00" w:rsidRDefault="00DD515F" w:rsidP="000C7277">
      <w:pPr>
        <w:ind w:firstLine="360"/>
        <w:rPr>
          <w:szCs w:val="20"/>
        </w:rPr>
      </w:pPr>
      <w:r>
        <w:t>No</w:t>
      </w:r>
    </w:p>
    <w:p w14:paraId="36E12B82"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74EF616" w14:textId="796EFFBD" w:rsidR="00DF0C51" w:rsidRDefault="00DB75CC" w:rsidP="000C7277">
      <w:pPr>
        <w:ind w:left="360"/>
        <w:rPr>
          <w:b/>
          <w:szCs w:val="20"/>
        </w:rPr>
      </w:pPr>
      <w:r>
        <w:t xml:space="preserve">LDR Brachytherapy has been </w:t>
      </w:r>
      <w:r w:rsidR="0036363D">
        <w:t>included on the MBS</w:t>
      </w:r>
      <w:r>
        <w:t xml:space="preserve"> for the treatment of lower risk profile prostate cancer since 2001.  Since that time LDR i</w:t>
      </w:r>
      <w:r w:rsidR="008C0A16">
        <w:t>s</w:t>
      </w:r>
      <w:r w:rsidR="00471AA9">
        <w:t xml:space="preserve"> now</w:t>
      </w:r>
      <w:r w:rsidR="008C0A16">
        <w:t xml:space="preserve"> recommended in combination with EBRT in</w:t>
      </w:r>
      <w:r>
        <w:t xml:space="preserve"> intermediate and high</w:t>
      </w:r>
      <w:r w:rsidR="00DB0498">
        <w:t>-</w:t>
      </w:r>
      <w:r>
        <w:t xml:space="preserve">risk groups </w:t>
      </w:r>
      <w:r w:rsidR="0036363D">
        <w:t xml:space="preserve">in several international clinical guideline documents </w:t>
      </w:r>
      <w:r w:rsidR="0036363D">
        <w:rPr>
          <w:rStyle w:val="FootnoteReference"/>
        </w:rPr>
        <w:footnoteReference w:id="6"/>
      </w:r>
      <w:r w:rsidR="0036363D">
        <w:t>,</w:t>
      </w:r>
      <w:r w:rsidR="0036363D">
        <w:rPr>
          <w:rStyle w:val="FootnoteReference"/>
        </w:rPr>
        <w:footnoteReference w:id="7"/>
      </w:r>
      <w:r w:rsidR="0036363D">
        <w:t>,</w:t>
      </w:r>
      <w:r w:rsidR="0036363D">
        <w:rPr>
          <w:rStyle w:val="FootnoteReference"/>
        </w:rPr>
        <w:footnoteReference w:id="8"/>
      </w:r>
      <w:r w:rsidR="00FA4CAE">
        <w:t>,</w:t>
      </w:r>
      <w:r w:rsidR="00FA4CAE">
        <w:rPr>
          <w:rStyle w:val="FootnoteReference"/>
        </w:rPr>
        <w:footnoteReference w:id="9"/>
      </w:r>
      <w:r w:rsidR="0036363D">
        <w:t xml:space="preserve">  This application is requesting an MBS item number for LDR Brachytherapy in intermediate and high-risk prostate cancer</w:t>
      </w:r>
      <w:r w:rsidR="004E44E9">
        <w:t>.  This indication is new to the MBS.</w:t>
      </w:r>
    </w:p>
    <w:p w14:paraId="2B439E5B" w14:textId="77777777"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C1EE658" w14:textId="77777777" w:rsidR="00CC09D7" w:rsidRDefault="004E44E9" w:rsidP="00131D15">
      <w:r>
        <w:t>Yes</w:t>
      </w:r>
    </w:p>
    <w:p w14:paraId="28779D48" w14:textId="77777777" w:rsidR="004E44E9" w:rsidRDefault="004E44E9" w:rsidP="00131D15">
      <w:r>
        <w:t>Accessibility – there may be limitations in access to LDR Brachytherapy.  This may be limited by the number of approved facilities and qualified specialists.  It is also more common for LDR Brachytherapy to be offered in private hospitals rather than public hospitals.</w:t>
      </w:r>
    </w:p>
    <w:p w14:paraId="0FD9886F" w14:textId="77777777" w:rsidR="004E44E9" w:rsidRDefault="004E44E9" w:rsidP="00131D15">
      <w:r>
        <w:t>Dosage</w:t>
      </w:r>
      <w:r w:rsidR="00C34CFE">
        <w:t xml:space="preserve"> – Generally between 50-100 LDR brachytherapy seeds are implanted </w:t>
      </w:r>
    </w:p>
    <w:p w14:paraId="2753C36C" w14:textId="77777777" w:rsidR="00C34CFE" w:rsidRPr="00154B00" w:rsidRDefault="00C34CFE" w:rsidP="00131D15">
      <w:pPr>
        <w:rPr>
          <w:szCs w:val="20"/>
        </w:rPr>
      </w:pPr>
      <w:r>
        <w:t>Frequency – It is anticipated that most patients will only receive LDR brachytherapy once in a lifetime.</w:t>
      </w:r>
    </w:p>
    <w:p w14:paraId="537CC972" w14:textId="77777777"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548F1A1" w14:textId="77777777" w:rsidR="00EE6412" w:rsidRPr="00EE6412" w:rsidRDefault="00EE6412" w:rsidP="00131D15">
      <w:r>
        <w:t>Either before or during the procedure the following planning procedures will take place.</w:t>
      </w:r>
    </w:p>
    <w:p w14:paraId="0A6A97D1" w14:textId="77777777" w:rsidR="00EE6412" w:rsidRDefault="00EE6412" w:rsidP="00EE6412">
      <w:r>
        <w:rPr>
          <w:noProof/>
          <w:lang w:eastAsia="en-AU"/>
        </w:rPr>
        <mc:AlternateContent>
          <mc:Choice Requires="wps">
            <w:drawing>
              <wp:inline distT="0" distB="0" distL="0" distR="0" wp14:anchorId="524AA30B" wp14:editId="5756A5FF">
                <wp:extent cx="5229225" cy="1404620"/>
                <wp:effectExtent l="0" t="0" r="28575" b="222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14:paraId="060508B6" w14:textId="77777777" w:rsidR="008F3059" w:rsidRDefault="008F3059">
                            <w:pPr>
                              <w:rPr>
                                <w:b/>
                              </w:rPr>
                            </w:pPr>
                            <w:r>
                              <w:rPr>
                                <w:b/>
                              </w:rPr>
                              <w:t>15539</w:t>
                            </w:r>
                          </w:p>
                          <w:p w14:paraId="0A2BD861" w14:textId="77777777" w:rsidR="008F3059" w:rsidRPr="00562B77" w:rsidRDefault="008F3059" w:rsidP="00562B77">
                            <w:r w:rsidRPr="00562B77">
                              <w:t>BRACHYTHERAPY PLANNING, computerised radiation dosimetry for I125 seed implantation of localised prostate cancer, in association with item 15338</w:t>
                            </w:r>
                          </w:p>
                          <w:p w14:paraId="4F18C5CC" w14:textId="49AC4A47" w:rsidR="008F3059" w:rsidRPr="00562B77" w:rsidRDefault="008F3059" w:rsidP="00562B77">
                            <w:pPr>
                              <w:rPr>
                                <w:b/>
                              </w:rPr>
                            </w:pPr>
                            <w:r>
                              <w:rPr>
                                <w:b/>
                              </w:rPr>
                              <w:t>F</w:t>
                            </w:r>
                            <w:r w:rsidRPr="00562B77">
                              <w:rPr>
                                <w:b/>
                              </w:rPr>
                              <w:t>ee</w:t>
                            </w:r>
                            <w:r w:rsidRPr="00562B77">
                              <w:t>: $6</w:t>
                            </w:r>
                            <w:r w:rsidR="00E34EDF">
                              <w:t>63</w:t>
                            </w:r>
                            <w:r w:rsidRPr="00562B77">
                              <w:t>.</w:t>
                            </w:r>
                            <w:r w:rsidR="00E34EDF">
                              <w:t>15</w:t>
                            </w:r>
                            <w:r w:rsidRPr="00562B77">
                              <w:rPr>
                                <w:b/>
                              </w:rPr>
                              <w:t xml:space="preserve"> Benefit: 75% = </w:t>
                            </w:r>
                            <w:r w:rsidRPr="00562B77">
                              <w:t>$4</w:t>
                            </w:r>
                            <w:r w:rsidR="00E34EDF">
                              <w:t>97</w:t>
                            </w:r>
                            <w:r w:rsidRPr="00562B77">
                              <w:t>.</w:t>
                            </w:r>
                            <w:r w:rsidR="00E34EDF">
                              <w:t>4</w:t>
                            </w:r>
                            <w:r w:rsidRPr="00562B77">
                              <w:t>0 85% = $5</w:t>
                            </w:r>
                            <w:r w:rsidR="00E34EDF">
                              <w:t>75</w:t>
                            </w:r>
                            <w:r w:rsidRPr="00562B77">
                              <w:t>.</w:t>
                            </w:r>
                            <w:r w:rsidR="00E34EDF">
                              <w:t>25</w:t>
                            </w:r>
                          </w:p>
                        </w:txbxContent>
                      </wps:txbx>
                      <wps:bodyPr rot="0" vert="horz" wrap="square" lIns="91440" tIns="45720" rIns="91440" bIns="45720" anchor="t" anchorCtr="0">
                        <a:spAutoFit/>
                      </wps:bodyPr>
                    </wps:wsp>
                  </a:graphicData>
                </a:graphic>
              </wp:inline>
            </w:drawing>
          </mc:Choice>
          <mc:Fallback>
            <w:pict>
              <v:shapetype w14:anchorId="524AA30B" id="_x0000_t202" coordsize="21600,21600" o:spt="202" path="m,l,21600r21600,l21600,xe">
                <v:stroke joinstyle="miter"/>
                <v:path gradientshapeok="t" o:connecttype="rect"/>
              </v:shapetype>
              <v:shape id="Text Box 2" o:spid="_x0000_s1026" type="#_x0000_t202" style="width:41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">
                <v:textbox style="mso-fit-shape-to-text:t">
                  <w:txbxContent>
                    <w:p w14:paraId="060508B6" w14:textId="77777777" w:rsidR="008F3059" w:rsidRDefault="008F3059">
                      <w:pPr>
                        <w:rPr>
                          <w:b/>
                        </w:rPr>
                      </w:pPr>
                      <w:r>
                        <w:rPr>
                          <w:b/>
                        </w:rPr>
                        <w:t>15539</w:t>
                      </w:r>
                    </w:p>
                    <w:p w14:paraId="0A2BD861" w14:textId="77777777" w:rsidR="008F3059" w:rsidRPr="00562B77" w:rsidRDefault="008F3059" w:rsidP="00562B77">
                      <w:r w:rsidRPr="00562B77">
                        <w:t>BRACHYTHERAPY PLANNING, computerised radiation dosimetry for I125 seed implantation of localised prostate cancer, in association with item 15338</w:t>
                      </w:r>
                    </w:p>
                    <w:p w14:paraId="4F18C5CC" w14:textId="49AC4A47" w:rsidR="008F3059" w:rsidRPr="00562B77" w:rsidRDefault="008F3059" w:rsidP="00562B77">
                      <w:pPr>
                        <w:rPr>
                          <w:b/>
                        </w:rPr>
                      </w:pPr>
                      <w:r>
                        <w:rPr>
                          <w:b/>
                        </w:rPr>
                        <w:t>F</w:t>
                      </w:r>
                      <w:r w:rsidRPr="00562B77">
                        <w:rPr>
                          <w:b/>
                        </w:rPr>
                        <w:t>ee</w:t>
                      </w:r>
                      <w:r w:rsidRPr="00562B77">
                        <w:t>: $6</w:t>
                      </w:r>
                      <w:r w:rsidR="00E34EDF">
                        <w:t>63</w:t>
                      </w:r>
                      <w:r w:rsidRPr="00562B77">
                        <w:t>.</w:t>
                      </w:r>
                      <w:r w:rsidR="00E34EDF">
                        <w:t>15</w:t>
                      </w:r>
                      <w:r w:rsidRPr="00562B77">
                        <w:rPr>
                          <w:b/>
                        </w:rPr>
                        <w:t xml:space="preserve"> Benefit: 75% = </w:t>
                      </w:r>
                      <w:r w:rsidRPr="00562B77">
                        <w:t>$4</w:t>
                      </w:r>
                      <w:r w:rsidR="00E34EDF">
                        <w:t>97</w:t>
                      </w:r>
                      <w:r w:rsidRPr="00562B77">
                        <w:t>.</w:t>
                      </w:r>
                      <w:r w:rsidR="00E34EDF">
                        <w:t>4</w:t>
                      </w:r>
                      <w:r w:rsidRPr="00562B77">
                        <w:t>0 85% = $5</w:t>
                      </w:r>
                      <w:r w:rsidR="00E34EDF">
                        <w:t>75</w:t>
                      </w:r>
                      <w:r w:rsidRPr="00562B77">
                        <w:t>.</w:t>
                      </w:r>
                      <w:r w:rsidR="00E34EDF">
                        <w:t>25</w:t>
                      </w:r>
                    </w:p>
                  </w:txbxContent>
                </v:textbox>
                <w10:anchorlock/>
              </v:shape>
            </w:pict>
          </mc:Fallback>
        </mc:AlternateContent>
      </w:r>
      <w:r>
        <w:rPr>
          <w:noProof/>
          <w:lang w:eastAsia="en-AU"/>
        </w:rPr>
        <mc:AlternateContent>
          <mc:Choice Requires="wps">
            <w:drawing>
              <wp:inline distT="0" distB="0" distL="0" distR="0" wp14:anchorId="6C0DAC76" wp14:editId="5A0D268C">
                <wp:extent cx="5238750" cy="13335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333500"/>
                        </a:xfrm>
                        <a:prstGeom prst="rect">
                          <a:avLst/>
                        </a:prstGeom>
                        <a:solidFill>
                          <a:srgbClr val="FFFFFF"/>
                        </a:solidFill>
                        <a:ln w="9525">
                          <a:solidFill>
                            <a:srgbClr val="000000"/>
                          </a:solidFill>
                          <a:miter lim="800000"/>
                          <a:headEnd/>
                          <a:tailEnd/>
                        </a:ln>
                      </wps:spPr>
                      <wps:txbx>
                        <w:txbxContent>
                          <w:p w14:paraId="4BE4DAA1" w14:textId="77777777" w:rsidR="008F3059" w:rsidRDefault="008F3059">
                            <w:pPr>
                              <w:rPr>
                                <w:b/>
                              </w:rPr>
                            </w:pPr>
                            <w:r w:rsidRPr="00EE6412">
                              <w:rPr>
                                <w:b/>
                              </w:rPr>
                              <w:t>15513</w:t>
                            </w:r>
                          </w:p>
                          <w:p w14:paraId="25A42968" w14:textId="77777777" w:rsidR="008F3059"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eastAsia="Times New Roman" w:cstheme="minorHAnsi"/>
                                <w:color w:val="222222"/>
                                <w:szCs w:val="20"/>
                                <w:lang w:eastAsia="en-AU"/>
                              </w:rPr>
                              <w:t xml:space="preserve">RADIATION SOURCE LOCALISATION using a simulator or x-ray machine or CT of a single area, where views in more than 1 plane are required, for brachytherapy treatment planning for I125 seed implantation of localised prostate cancer, in association with item </w:t>
                            </w:r>
                            <w:r>
                              <w:rPr>
                                <w:rFonts w:eastAsia="Times New Roman" w:cstheme="minorHAnsi"/>
                                <w:color w:val="222222"/>
                                <w:szCs w:val="20"/>
                                <w:lang w:eastAsia="en-AU"/>
                              </w:rPr>
                              <w:t>15338</w:t>
                            </w:r>
                          </w:p>
                          <w:p w14:paraId="25D5493C" w14:textId="5B0A63FE" w:rsidR="008F3059" w:rsidRPr="004E66EA"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ascii="Helvetica" w:eastAsia="Times New Roman" w:hAnsi="Helvetica" w:cs="Helvetica"/>
                                <w:b/>
                                <w:bCs/>
                                <w:color w:val="222222"/>
                                <w:szCs w:val="20"/>
                                <w:lang w:eastAsia="en-AU"/>
                              </w:rPr>
                              <w:t>Fee</w:t>
                            </w:r>
                            <w:r w:rsidRPr="004E66EA">
                              <w:rPr>
                                <w:rFonts w:eastAsia="Times New Roman" w:cstheme="minorHAnsi"/>
                                <w:b/>
                                <w:bCs/>
                                <w:color w:val="222222"/>
                                <w:szCs w:val="20"/>
                                <w:lang w:eastAsia="en-AU"/>
                              </w:rPr>
                              <w:t>:</w:t>
                            </w:r>
                            <w:r w:rsidRPr="004E66EA">
                              <w:rPr>
                                <w:rFonts w:eastAsia="Times New Roman" w:cstheme="minorHAnsi"/>
                                <w:color w:val="222222"/>
                                <w:szCs w:val="20"/>
                                <w:lang w:eastAsia="en-AU"/>
                              </w:rPr>
                              <w:t> $3</w:t>
                            </w:r>
                            <w:r w:rsidR="00E34EDF" w:rsidRPr="004E66EA">
                              <w:rPr>
                                <w:rFonts w:eastAsia="Times New Roman" w:cstheme="minorHAnsi"/>
                                <w:color w:val="222222"/>
                                <w:szCs w:val="20"/>
                                <w:lang w:eastAsia="en-AU"/>
                              </w:rPr>
                              <w:t>24</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0</w:t>
                            </w:r>
                            <w:r w:rsidRPr="004E66EA">
                              <w:rPr>
                                <w:rFonts w:eastAsia="Times New Roman" w:cstheme="minorHAnsi"/>
                                <w:color w:val="222222"/>
                                <w:szCs w:val="20"/>
                                <w:lang w:eastAsia="en-AU"/>
                              </w:rPr>
                              <w:t>5 </w:t>
                            </w:r>
                            <w:r w:rsidRPr="004E66EA">
                              <w:rPr>
                                <w:rFonts w:eastAsia="Times New Roman" w:cstheme="minorHAnsi"/>
                                <w:b/>
                                <w:bCs/>
                                <w:color w:val="222222"/>
                                <w:szCs w:val="20"/>
                                <w:lang w:eastAsia="en-AU"/>
                              </w:rPr>
                              <w:t>Benefit:</w:t>
                            </w:r>
                            <w:r w:rsidRPr="004E66EA">
                              <w:rPr>
                                <w:rFonts w:eastAsia="Times New Roman" w:cstheme="minorHAnsi"/>
                                <w:color w:val="222222"/>
                                <w:szCs w:val="20"/>
                                <w:lang w:eastAsia="en-AU"/>
                              </w:rPr>
                              <w:t> 75% = $2</w:t>
                            </w:r>
                            <w:r w:rsidR="00E34EDF" w:rsidRPr="004E66EA">
                              <w:rPr>
                                <w:rFonts w:eastAsia="Times New Roman" w:cstheme="minorHAnsi"/>
                                <w:color w:val="222222"/>
                                <w:szCs w:val="20"/>
                                <w:lang w:eastAsia="en-AU"/>
                              </w:rPr>
                              <w:t>43</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0</w:t>
                            </w:r>
                            <w:r w:rsidRPr="004E66EA">
                              <w:rPr>
                                <w:rFonts w:eastAsia="Times New Roman" w:cstheme="minorHAnsi"/>
                                <w:color w:val="222222"/>
                                <w:szCs w:val="20"/>
                                <w:lang w:eastAsia="en-AU"/>
                              </w:rPr>
                              <w:t>5 85% = $2</w:t>
                            </w:r>
                            <w:r w:rsidR="00E34EDF" w:rsidRPr="004E66EA">
                              <w:rPr>
                                <w:rFonts w:eastAsia="Times New Roman" w:cstheme="minorHAnsi"/>
                                <w:color w:val="222222"/>
                                <w:szCs w:val="20"/>
                                <w:lang w:eastAsia="en-AU"/>
                              </w:rPr>
                              <w:t>75</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45</w:t>
                            </w:r>
                          </w:p>
                          <w:p w14:paraId="02673D18" w14:textId="77777777" w:rsidR="008F3059" w:rsidRPr="00EE6412" w:rsidRDefault="008F3059">
                            <w:pPr>
                              <w:rPr>
                                <w:b/>
                              </w:rPr>
                            </w:pPr>
                          </w:p>
                        </w:txbxContent>
                      </wps:txbx>
                      <wps:bodyPr rot="0" vert="horz" wrap="square" lIns="91440" tIns="45720" rIns="91440" bIns="45720" anchor="t" anchorCtr="0">
                        <a:noAutofit/>
                      </wps:bodyPr>
                    </wps:wsp>
                  </a:graphicData>
                </a:graphic>
              </wp:inline>
            </w:drawing>
          </mc:Choice>
          <mc:Fallback>
            <w:pict>
              <v:shape w14:anchorId="6C0DAC76" id="_x0000_s1027" type="#_x0000_t202" style="width:41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">
                <v:textbox>
                  <w:txbxContent>
                    <w:p w14:paraId="4BE4DAA1" w14:textId="77777777" w:rsidR="008F3059" w:rsidRDefault="008F3059">
                      <w:pPr>
                        <w:rPr>
                          <w:b/>
                        </w:rPr>
                      </w:pPr>
                      <w:r w:rsidRPr="00EE6412">
                        <w:rPr>
                          <w:b/>
                        </w:rPr>
                        <w:t>15513</w:t>
                      </w:r>
                    </w:p>
                    <w:p w14:paraId="25A42968" w14:textId="77777777" w:rsidR="008F3059"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eastAsia="Times New Roman" w:cstheme="minorHAnsi"/>
                          <w:color w:val="222222"/>
                          <w:szCs w:val="20"/>
                          <w:lang w:eastAsia="en-AU"/>
                        </w:rPr>
                        <w:t xml:space="preserve">RADIATION SOURCE LOCALISATION using a simulator or x-ray machine or CT of a single area, where views in more than 1 plane are required, for brachytherapy treatment planning for I125 seed implantation of localised prostate cancer, in association with item </w:t>
                      </w:r>
                      <w:r>
                        <w:rPr>
                          <w:rFonts w:eastAsia="Times New Roman" w:cstheme="minorHAnsi"/>
                          <w:color w:val="222222"/>
                          <w:szCs w:val="20"/>
                          <w:lang w:eastAsia="en-AU"/>
                        </w:rPr>
                        <w:t>15338</w:t>
                      </w:r>
                    </w:p>
                    <w:p w14:paraId="25D5493C" w14:textId="5B0A63FE" w:rsidR="008F3059" w:rsidRPr="004E66EA"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ascii="Helvetica" w:eastAsia="Times New Roman" w:hAnsi="Helvetica" w:cs="Helvetica"/>
                          <w:b/>
                          <w:bCs/>
                          <w:color w:val="222222"/>
                          <w:szCs w:val="20"/>
                          <w:lang w:eastAsia="en-AU"/>
                        </w:rPr>
                        <w:t>Fee</w:t>
                      </w:r>
                      <w:r w:rsidRPr="004E66EA">
                        <w:rPr>
                          <w:rFonts w:eastAsia="Times New Roman" w:cstheme="minorHAnsi"/>
                          <w:b/>
                          <w:bCs/>
                          <w:color w:val="222222"/>
                          <w:szCs w:val="20"/>
                          <w:lang w:eastAsia="en-AU"/>
                        </w:rPr>
                        <w:t>:</w:t>
                      </w:r>
                      <w:r w:rsidRPr="004E66EA">
                        <w:rPr>
                          <w:rFonts w:eastAsia="Times New Roman" w:cstheme="minorHAnsi"/>
                          <w:color w:val="222222"/>
                          <w:szCs w:val="20"/>
                          <w:lang w:eastAsia="en-AU"/>
                        </w:rPr>
                        <w:t> $3</w:t>
                      </w:r>
                      <w:r w:rsidR="00E34EDF" w:rsidRPr="004E66EA">
                        <w:rPr>
                          <w:rFonts w:eastAsia="Times New Roman" w:cstheme="minorHAnsi"/>
                          <w:color w:val="222222"/>
                          <w:szCs w:val="20"/>
                          <w:lang w:eastAsia="en-AU"/>
                        </w:rPr>
                        <w:t>24</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0</w:t>
                      </w:r>
                      <w:r w:rsidRPr="004E66EA">
                        <w:rPr>
                          <w:rFonts w:eastAsia="Times New Roman" w:cstheme="minorHAnsi"/>
                          <w:color w:val="222222"/>
                          <w:szCs w:val="20"/>
                          <w:lang w:eastAsia="en-AU"/>
                        </w:rPr>
                        <w:t>5 </w:t>
                      </w:r>
                      <w:r w:rsidRPr="004E66EA">
                        <w:rPr>
                          <w:rFonts w:eastAsia="Times New Roman" w:cstheme="minorHAnsi"/>
                          <w:b/>
                          <w:bCs/>
                          <w:color w:val="222222"/>
                          <w:szCs w:val="20"/>
                          <w:lang w:eastAsia="en-AU"/>
                        </w:rPr>
                        <w:t>Benefit:</w:t>
                      </w:r>
                      <w:r w:rsidRPr="004E66EA">
                        <w:rPr>
                          <w:rFonts w:eastAsia="Times New Roman" w:cstheme="minorHAnsi"/>
                          <w:color w:val="222222"/>
                          <w:szCs w:val="20"/>
                          <w:lang w:eastAsia="en-AU"/>
                        </w:rPr>
                        <w:t> 75% = $2</w:t>
                      </w:r>
                      <w:r w:rsidR="00E34EDF" w:rsidRPr="004E66EA">
                        <w:rPr>
                          <w:rFonts w:eastAsia="Times New Roman" w:cstheme="minorHAnsi"/>
                          <w:color w:val="222222"/>
                          <w:szCs w:val="20"/>
                          <w:lang w:eastAsia="en-AU"/>
                        </w:rPr>
                        <w:t>43</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0</w:t>
                      </w:r>
                      <w:r w:rsidRPr="004E66EA">
                        <w:rPr>
                          <w:rFonts w:eastAsia="Times New Roman" w:cstheme="minorHAnsi"/>
                          <w:color w:val="222222"/>
                          <w:szCs w:val="20"/>
                          <w:lang w:eastAsia="en-AU"/>
                        </w:rPr>
                        <w:t>5 85% = $2</w:t>
                      </w:r>
                      <w:r w:rsidR="00E34EDF" w:rsidRPr="004E66EA">
                        <w:rPr>
                          <w:rFonts w:eastAsia="Times New Roman" w:cstheme="minorHAnsi"/>
                          <w:color w:val="222222"/>
                          <w:szCs w:val="20"/>
                          <w:lang w:eastAsia="en-AU"/>
                        </w:rPr>
                        <w:t>75</w:t>
                      </w:r>
                      <w:r w:rsidRPr="004E66EA">
                        <w:rPr>
                          <w:rFonts w:eastAsia="Times New Roman" w:cstheme="minorHAnsi"/>
                          <w:color w:val="222222"/>
                          <w:szCs w:val="20"/>
                          <w:lang w:eastAsia="en-AU"/>
                        </w:rPr>
                        <w:t>.</w:t>
                      </w:r>
                      <w:r w:rsidR="00E34EDF" w:rsidRPr="004E66EA">
                        <w:rPr>
                          <w:rFonts w:eastAsia="Times New Roman" w:cstheme="minorHAnsi"/>
                          <w:color w:val="222222"/>
                          <w:szCs w:val="20"/>
                          <w:lang w:eastAsia="en-AU"/>
                        </w:rPr>
                        <w:t>45</w:t>
                      </w:r>
                    </w:p>
                    <w:p w14:paraId="02673D18" w14:textId="77777777" w:rsidR="008F3059" w:rsidRPr="00EE6412" w:rsidRDefault="008F3059">
                      <w:pPr>
                        <w:rPr>
                          <w:b/>
                        </w:rPr>
                      </w:pPr>
                    </w:p>
                  </w:txbxContent>
                </v:textbox>
                <w10:anchorlock/>
              </v:shape>
            </w:pict>
          </mc:Fallback>
        </mc:AlternateContent>
      </w:r>
    </w:p>
    <w:p w14:paraId="364ED6D0" w14:textId="77777777" w:rsidR="001B6F7A" w:rsidRPr="00EE6412" w:rsidRDefault="001B6F7A" w:rsidP="00EE6412"/>
    <w:p w14:paraId="0993B1A6" w14:textId="37551BBA" w:rsidR="00791C8D" w:rsidRDefault="00C34CFE" w:rsidP="000C7277">
      <w:pPr>
        <w:rPr>
          <w:szCs w:val="20"/>
        </w:rPr>
      </w:pPr>
      <w:r>
        <w:rPr>
          <w:szCs w:val="20"/>
        </w:rPr>
        <w:t>The delivery of the seeds is guided by transrectal ultrasound (TRUS).  This is included on the MBS under the following item number</w:t>
      </w:r>
    </w:p>
    <w:p w14:paraId="0212D6BF" w14:textId="4AF5162C" w:rsidR="00D10029" w:rsidRDefault="004F118D" w:rsidP="004F118D">
      <w:pPr>
        <w:rPr>
          <w:szCs w:val="20"/>
        </w:rPr>
      </w:pPr>
      <w:r w:rsidRPr="00C34CFE">
        <w:rPr>
          <w:noProof/>
          <w:szCs w:val="20"/>
          <w:lang w:eastAsia="en-AU"/>
        </w:rPr>
        <mc:AlternateContent>
          <mc:Choice Requires="wps">
            <w:drawing>
              <wp:inline distT="0" distB="0" distL="0" distR="0" wp14:anchorId="37606DCD" wp14:editId="2B076C90">
                <wp:extent cx="5400675" cy="3340100"/>
                <wp:effectExtent l="0" t="0" r="28575" b="1016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340100"/>
                        </a:xfrm>
                        <a:prstGeom prst="rect">
                          <a:avLst/>
                        </a:prstGeom>
                        <a:solidFill>
                          <a:srgbClr val="FFFFFF"/>
                        </a:solidFill>
                        <a:ln w="9525">
                          <a:solidFill>
                            <a:srgbClr val="000000"/>
                          </a:solidFill>
                          <a:miter lim="800000"/>
                          <a:headEnd/>
                          <a:tailEnd/>
                        </a:ln>
                      </wps:spPr>
                      <wps:txbx>
                        <w:txbxContent>
                          <w:p w14:paraId="5715712E" w14:textId="77777777" w:rsidR="004F118D" w:rsidRPr="00E02D71" w:rsidRDefault="004F118D" w:rsidP="004F118D">
                            <w:pPr>
                              <w:rPr>
                                <w:b/>
                              </w:rPr>
                            </w:pPr>
                            <w:r w:rsidRPr="00E02D71">
                              <w:rPr>
                                <w:b/>
                              </w:rPr>
                              <w:t>55603 </w:t>
                            </w:r>
                          </w:p>
                          <w:p w14:paraId="6CA3DDE8" w14:textId="77777777" w:rsidR="004F118D" w:rsidRPr="00E02D71" w:rsidRDefault="004F118D" w:rsidP="004F118D">
                            <w:r w:rsidRPr="00E02D71">
                              <w:t>PROSTATE, bladder base and urethra, ultrasound scan of, where performed:</w:t>
                            </w:r>
                          </w:p>
                          <w:p w14:paraId="6584F235" w14:textId="77777777" w:rsidR="004F118D" w:rsidRDefault="004F118D" w:rsidP="004F118D">
                            <w:r w:rsidRPr="00E02D71">
                              <w:t>(a) </w:t>
                            </w:r>
                            <w:proofErr w:type="gramStart"/>
                            <w:r w:rsidRPr="00E02D71">
                              <w:t>personally</w:t>
                            </w:r>
                            <w:proofErr w:type="gramEnd"/>
                            <w:r w:rsidRPr="00E02D71">
                              <w:t xml:space="preserve"> by a medical practitioner who </w:t>
                            </w:r>
                            <w:r>
                              <w:t>made</w:t>
                            </w:r>
                            <w:r w:rsidRPr="00E02D71">
                              <w:t xml:space="preserve"> the assessment</w:t>
                            </w:r>
                            <w:r>
                              <w:t xml:space="preserve"> mention in paragraph</w:t>
                            </w:r>
                            <w:r w:rsidRPr="00E02D71">
                              <w:t xml:space="preserve"> (c) using a transducer probe or probes that</w:t>
                            </w:r>
                            <w:r w:rsidRPr="004F118D">
                              <w:t xml:space="preserve"> can obtain both axial and sagittal scans in 2 planes at right angles; and</w:t>
                            </w:r>
                          </w:p>
                          <w:p w14:paraId="384CCEDE" w14:textId="77777777" w:rsidR="004F118D" w:rsidRPr="00E02D71" w:rsidRDefault="004F118D" w:rsidP="004F118D">
                            <w:r w:rsidRPr="004F118D">
                              <w:t>(b) after a digital rectal examination of the prostate by that medical practitioner; and</w:t>
                            </w:r>
                            <w:r w:rsidRPr="004F118D">
                              <w:br/>
                              <w:t>(c) on a patient who has been assessed by:</w:t>
                            </w:r>
                            <w:r w:rsidRPr="004F118D">
                              <w:br/>
                              <w:t>(i) a specialist in urology, radiation oncology or medical oncology; or</w:t>
                            </w:r>
                            <w:r w:rsidRPr="004F118D">
                              <w:br/>
                              <w:t>(ii) a consultant physician in medical oncology;</w:t>
                            </w:r>
                            <w:r w:rsidRPr="004F118D">
                              <w:br/>
                              <w:t>who has:</w:t>
                            </w:r>
                            <w:r w:rsidRPr="004F118D">
                              <w:br/>
                              <w:t>(iii) examined the patient in the 60 days before the scan; and</w:t>
                            </w:r>
                            <w:r w:rsidRPr="004F118D">
                              <w:br/>
                              <w:t>(iv) recommended the scan for the management of the patient’s current prostatic disease</w:t>
                            </w:r>
                            <w:r w:rsidRPr="004F118D">
                              <w:br/>
                              <w:t>(R)</w:t>
                            </w:r>
                          </w:p>
                          <w:p w14:paraId="75A8FEE6" w14:textId="77777777" w:rsidR="004F118D" w:rsidRPr="00E02D71" w:rsidRDefault="00AB1909" w:rsidP="004F118D">
                            <w:hyperlink r:id="rId12" w:history="1">
                              <w:r w:rsidR="004F118D" w:rsidRPr="00E02D71">
                                <w:rPr>
                                  <w:rStyle w:val="Hyperlink"/>
                                </w:rPr>
                                <w:t>Bulk bill incentive</w:t>
                              </w:r>
                            </w:hyperlink>
                          </w:p>
                          <w:p w14:paraId="2E7B4AE6" w14:textId="702C4B02" w:rsidR="004F118D" w:rsidRDefault="004F118D" w:rsidP="004F118D">
                            <w:r w:rsidRPr="00E02D71">
                              <w:rPr>
                                <w:b/>
                                <w:bCs/>
                              </w:rPr>
                              <w:t>Fee:</w:t>
                            </w:r>
                            <w:r w:rsidRPr="00E02D71">
                              <w:t> $1</w:t>
                            </w:r>
                            <w:r>
                              <w:t>13</w:t>
                            </w:r>
                            <w:r w:rsidRPr="00E02D71">
                              <w:t>.</w:t>
                            </w:r>
                            <w:r>
                              <w:t>55</w:t>
                            </w:r>
                            <w:r w:rsidRPr="00E02D71">
                              <w:t> </w:t>
                            </w:r>
                            <w:r w:rsidRPr="00E02D71">
                              <w:rPr>
                                <w:b/>
                                <w:bCs/>
                              </w:rPr>
                              <w:t>Benefit:</w:t>
                            </w:r>
                            <w:r w:rsidRPr="00E02D71">
                              <w:t> 75% = $8</w:t>
                            </w:r>
                            <w:r>
                              <w:t>5</w:t>
                            </w:r>
                            <w:r w:rsidRPr="00E02D71">
                              <w:t>.</w:t>
                            </w:r>
                            <w:r>
                              <w:t>20</w:t>
                            </w:r>
                            <w:r w:rsidRPr="00E02D71">
                              <w:t xml:space="preserve"> 85% = $9</w:t>
                            </w:r>
                            <w:r>
                              <w:t>6</w:t>
                            </w:r>
                            <w:r w:rsidRPr="00E02D71">
                              <w:t>.</w:t>
                            </w:r>
                            <w:r>
                              <w:t>55</w:t>
                            </w:r>
                          </w:p>
                        </w:txbxContent>
                      </wps:txbx>
                      <wps:bodyPr rot="0" vert="horz" wrap="square" lIns="91440" tIns="45720" rIns="91440" bIns="45720" anchor="t" anchorCtr="0">
                        <a:spAutoFit/>
                      </wps:bodyPr>
                    </wps:wsp>
                  </a:graphicData>
                </a:graphic>
              </wp:inline>
            </w:drawing>
          </mc:Choice>
          <mc:Fallback>
            <w:pict>
              <v:shape w14:anchorId="37606DCD" id="_x0000_s1028" type="#_x0000_t202" style="width:425.2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">
                <v:textbox style="mso-fit-shape-to-text:t">
                  <w:txbxContent>
                    <w:p w14:paraId="5715712E" w14:textId="77777777" w:rsidR="004F118D" w:rsidRPr="00E02D71" w:rsidRDefault="004F118D" w:rsidP="004F118D">
                      <w:pPr>
                        <w:rPr>
                          <w:b/>
                        </w:rPr>
                      </w:pPr>
                      <w:r w:rsidRPr="00E02D71">
                        <w:rPr>
                          <w:b/>
                        </w:rPr>
                        <w:t>55603 </w:t>
                      </w:r>
                    </w:p>
                    <w:p w14:paraId="6CA3DDE8" w14:textId="77777777" w:rsidR="004F118D" w:rsidRPr="00E02D71" w:rsidRDefault="004F118D" w:rsidP="004F118D">
                      <w:r w:rsidRPr="00E02D71">
                        <w:t>PROSTATE, bladder base and urethra, ultrasound scan of, where performed:</w:t>
                      </w:r>
                    </w:p>
                    <w:p w14:paraId="6584F235" w14:textId="77777777" w:rsidR="004F118D" w:rsidRDefault="004F118D" w:rsidP="004F118D">
                      <w:r w:rsidRPr="00E02D71">
                        <w:t>(a) </w:t>
                      </w:r>
                      <w:proofErr w:type="gramStart"/>
                      <w:r w:rsidRPr="00E02D71">
                        <w:t>personally</w:t>
                      </w:r>
                      <w:proofErr w:type="gramEnd"/>
                      <w:r w:rsidRPr="00E02D71">
                        <w:t xml:space="preserve"> by a medical practitioner who </w:t>
                      </w:r>
                      <w:r>
                        <w:t>made</w:t>
                      </w:r>
                      <w:r w:rsidRPr="00E02D71">
                        <w:t xml:space="preserve"> the assessment</w:t>
                      </w:r>
                      <w:r>
                        <w:t xml:space="preserve"> mention in paragraph</w:t>
                      </w:r>
                      <w:r w:rsidRPr="00E02D71">
                        <w:t xml:space="preserve"> (c) using a transducer probe or probes that</w:t>
                      </w:r>
                      <w:r w:rsidRPr="004F118D">
                        <w:t xml:space="preserve"> can obtain both axial and sagittal scans in 2 planes at right angles; and</w:t>
                      </w:r>
                    </w:p>
                    <w:p w14:paraId="384CCEDE" w14:textId="77777777" w:rsidR="004F118D" w:rsidRPr="00E02D71" w:rsidRDefault="004F118D" w:rsidP="004F118D">
                      <w:r w:rsidRPr="004F118D">
                        <w:t>(b) after a digital rectal examination of the prostate by that medical practitioner; and</w:t>
                      </w:r>
                      <w:r w:rsidRPr="004F118D">
                        <w:br/>
                        <w:t>(c) on a patient who has been assessed by:</w:t>
                      </w:r>
                      <w:r w:rsidRPr="004F118D">
                        <w:br/>
                        <w:t>(i) a specialist in urology, radiation oncology or medical oncology; or</w:t>
                      </w:r>
                      <w:r w:rsidRPr="004F118D">
                        <w:br/>
                        <w:t>(ii) a consultant physician in medical oncology;</w:t>
                      </w:r>
                      <w:r w:rsidRPr="004F118D">
                        <w:br/>
                        <w:t>who has:</w:t>
                      </w:r>
                      <w:r w:rsidRPr="004F118D">
                        <w:br/>
                        <w:t>(iii) examined the patient in the 60 days before the scan; and</w:t>
                      </w:r>
                      <w:r w:rsidRPr="004F118D">
                        <w:br/>
                        <w:t>(iv) recommended the scan for the management of the patient’s current prostatic disease</w:t>
                      </w:r>
                      <w:r w:rsidRPr="004F118D">
                        <w:br/>
                        <w:t>(R)</w:t>
                      </w:r>
                    </w:p>
                    <w:p w14:paraId="75A8FEE6" w14:textId="77777777" w:rsidR="004F118D" w:rsidRPr="00E02D71" w:rsidRDefault="00AB1909" w:rsidP="004F118D">
                      <w:hyperlink r:id="rId13" w:history="1">
                        <w:r w:rsidR="004F118D" w:rsidRPr="00E02D71">
                          <w:rPr>
                            <w:rStyle w:val="Hyperlink"/>
                          </w:rPr>
                          <w:t>Bulk bill incentive</w:t>
                        </w:r>
                      </w:hyperlink>
                    </w:p>
                    <w:p w14:paraId="2E7B4AE6" w14:textId="702C4B02" w:rsidR="004F118D" w:rsidRDefault="004F118D" w:rsidP="004F118D">
                      <w:r w:rsidRPr="00E02D71">
                        <w:rPr>
                          <w:b/>
                          <w:bCs/>
                        </w:rPr>
                        <w:t>Fee:</w:t>
                      </w:r>
                      <w:r w:rsidRPr="00E02D71">
                        <w:t> $1</w:t>
                      </w:r>
                      <w:r>
                        <w:t>13</w:t>
                      </w:r>
                      <w:r w:rsidRPr="00E02D71">
                        <w:t>.</w:t>
                      </w:r>
                      <w:r>
                        <w:t>55</w:t>
                      </w:r>
                      <w:r w:rsidRPr="00E02D71">
                        <w:t> </w:t>
                      </w:r>
                      <w:r w:rsidRPr="00E02D71">
                        <w:rPr>
                          <w:b/>
                          <w:bCs/>
                        </w:rPr>
                        <w:t>Benefit:</w:t>
                      </w:r>
                      <w:r w:rsidRPr="00E02D71">
                        <w:t> 75% = $8</w:t>
                      </w:r>
                      <w:r>
                        <w:t>5</w:t>
                      </w:r>
                      <w:r w:rsidRPr="00E02D71">
                        <w:t>.</w:t>
                      </w:r>
                      <w:r>
                        <w:t>20</w:t>
                      </w:r>
                      <w:r w:rsidRPr="00E02D71">
                        <w:t xml:space="preserve"> 85% = $9</w:t>
                      </w:r>
                      <w:r>
                        <w:t>6</w:t>
                      </w:r>
                      <w:r w:rsidRPr="00E02D71">
                        <w:t>.</w:t>
                      </w:r>
                      <w:r>
                        <w:t>55</w:t>
                      </w:r>
                    </w:p>
                  </w:txbxContent>
                </v:textbox>
                <w10:anchorlock/>
              </v:shape>
            </w:pict>
          </mc:Fallback>
        </mc:AlternateContent>
      </w:r>
    </w:p>
    <w:p w14:paraId="27C4FBA9" w14:textId="77777777" w:rsidR="00D95920" w:rsidRDefault="00D95920" w:rsidP="00884E69">
      <w:pPr>
        <w:ind w:left="426"/>
        <w:rPr>
          <w:szCs w:val="20"/>
        </w:rPr>
      </w:pPr>
      <w:r>
        <w:rPr>
          <w:szCs w:val="20"/>
        </w:rPr>
        <w:t xml:space="preserve">Patients will be admitted as a day only patient and may stay overnight. </w:t>
      </w:r>
    </w:p>
    <w:p w14:paraId="4AF7448F" w14:textId="77777777" w:rsidR="00D10029" w:rsidRPr="00154B00" w:rsidRDefault="00D10029" w:rsidP="00884E69">
      <w:pPr>
        <w:ind w:left="426"/>
        <w:rPr>
          <w:szCs w:val="20"/>
        </w:rPr>
      </w:pPr>
    </w:p>
    <w:p w14:paraId="0B0DFB58" w14:textId="77777777" w:rsidR="00B17E26" w:rsidRPr="00154B00" w:rsidRDefault="00B17E26" w:rsidP="00530204">
      <w:pPr>
        <w:pStyle w:val="Heading2"/>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27006D5" w14:textId="77777777" w:rsidR="00B17E26" w:rsidRPr="00154B00" w:rsidRDefault="00E02D71" w:rsidP="00884E69">
      <w:pPr>
        <w:ind w:left="426"/>
        <w:rPr>
          <w:szCs w:val="20"/>
        </w:rPr>
      </w:pPr>
      <w:r>
        <w:t xml:space="preserve">Radiation Oncologist and a Urologist. </w:t>
      </w:r>
    </w:p>
    <w:p w14:paraId="0EC2E52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65DD1554" w14:textId="77777777" w:rsidR="00B17E26" w:rsidRPr="00154B00" w:rsidRDefault="00E02D71" w:rsidP="00884E69">
      <w:pPr>
        <w:ind w:left="426"/>
        <w:rPr>
          <w:szCs w:val="20"/>
        </w:rPr>
      </w:pPr>
      <w:r>
        <w:rPr>
          <w:szCs w:val="20"/>
        </w:rPr>
        <w:t>The service cannot be delegated.</w:t>
      </w:r>
    </w:p>
    <w:p w14:paraId="6D881865"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91CD594" w14:textId="6C3C5A6E" w:rsidR="00EA0E25" w:rsidRPr="00154B00" w:rsidRDefault="00E50D90" w:rsidP="00E02D71">
      <w:pPr>
        <w:ind w:left="360"/>
        <w:rPr>
          <w:szCs w:val="20"/>
        </w:rPr>
      </w:pPr>
      <w:r>
        <w:t>T</w:t>
      </w:r>
      <w:r w:rsidR="00E02D71">
        <w:t>he procedure must be</w:t>
      </w:r>
      <w:r w:rsidR="00127DF8">
        <w:t xml:space="preserve"> performed</w:t>
      </w:r>
      <w:r w:rsidR="00E02D71">
        <w:t xml:space="preserve"> by a urologist in association with a radiation oncologist </w:t>
      </w:r>
    </w:p>
    <w:p w14:paraId="023A3E0D"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F6B1D71" w14:textId="77777777" w:rsidR="00EA0E25" w:rsidRPr="00154B00" w:rsidRDefault="00A70E21" w:rsidP="0073597B">
      <w:pPr>
        <w:ind w:left="426"/>
        <w:rPr>
          <w:szCs w:val="20"/>
        </w:rPr>
      </w:pPr>
      <w:r>
        <w:t xml:space="preserve">Radiation Oncologists </w:t>
      </w:r>
      <w:r w:rsidR="00D95920">
        <w:t>will have completed the training program of the Royal Australian and New Zealand College of Radiologists for Radiation Oncology or otherwise be qualified to practice the specialty in Australia.  Urologists will have completed the Urology specialist training program administered by the Urological Society of Australia and New Zealand (USANZ) on behalf of the Royal College of Surgeons or else be otherwise qualified to practice as a Urology specialist in Australia.</w:t>
      </w:r>
    </w:p>
    <w:p w14:paraId="1B552BAE"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D798276"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0A478F">
        <w:rPr>
          <w:szCs w:val="20"/>
        </w:rPr>
        <w:t xml:space="preserve"> </w:t>
      </w:r>
      <w:r w:rsidR="000A478F">
        <w:t>Inpatient private hospital</w:t>
      </w:r>
    </w:p>
    <w:p w14:paraId="298EB0F3"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0A478F">
        <w:rPr>
          <w:szCs w:val="20"/>
        </w:rPr>
        <w:t xml:space="preserve"> </w:t>
      </w:r>
      <w:r w:rsidR="000A478F">
        <w:t>Inpatient public hospital</w:t>
      </w:r>
    </w:p>
    <w:p w14:paraId="62272A1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Outpatient clinic</w:t>
      </w:r>
    </w:p>
    <w:p w14:paraId="138605E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Emergency Department</w:t>
      </w:r>
    </w:p>
    <w:p w14:paraId="179D311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Consulting rooms</w:t>
      </w:r>
    </w:p>
    <w:p w14:paraId="0470B505"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0A478F">
        <w:rPr>
          <w:szCs w:val="20"/>
        </w:rPr>
        <w:t xml:space="preserve"> </w:t>
      </w:r>
      <w:r w:rsidR="000A478F">
        <w:t>Day surgery centre</w:t>
      </w:r>
    </w:p>
    <w:p w14:paraId="72DD31B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Residential aged care facility</w:t>
      </w:r>
    </w:p>
    <w:p w14:paraId="2ACA375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Patient’s home</w:t>
      </w:r>
    </w:p>
    <w:p w14:paraId="2AB8EA7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Laboratory</w:t>
      </w:r>
    </w:p>
    <w:p w14:paraId="3C799262" w14:textId="033CB241" w:rsidR="005F3F07" w:rsidRDefault="000A478F" w:rsidP="000C727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B1909">
        <w:rPr>
          <w:szCs w:val="20"/>
        </w:rPr>
      </w:r>
      <w:r w:rsidR="00AB1909">
        <w:rPr>
          <w:szCs w:val="20"/>
        </w:rPr>
        <w:fldChar w:fldCharType="separate"/>
      </w:r>
      <w:r w:rsidRPr="000A5B32">
        <w:rPr>
          <w:szCs w:val="20"/>
        </w:rPr>
        <w:fldChar w:fldCharType="end"/>
      </w:r>
      <w:r>
        <w:rPr>
          <w:szCs w:val="20"/>
        </w:rPr>
        <w:t xml:space="preserve"> </w:t>
      </w:r>
      <w:r>
        <w:t>Other – please specify below</w:t>
      </w:r>
    </w:p>
    <w:p w14:paraId="4A8F15D8" w14:textId="77777777" w:rsidR="000C7277" w:rsidRPr="000C7277" w:rsidRDefault="000C7277" w:rsidP="000C7277">
      <w:pPr>
        <w:spacing w:before="0" w:after="0"/>
        <w:ind w:left="426"/>
      </w:pPr>
    </w:p>
    <w:p w14:paraId="1EF18F9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41F8E52" w14:textId="5696A516" w:rsidR="0073597B" w:rsidRDefault="00670C15" w:rsidP="0073597B">
      <w:pPr>
        <w:ind w:left="426"/>
        <w:rPr>
          <w:b/>
          <w:szCs w:val="20"/>
        </w:rPr>
      </w:pPr>
      <w:r>
        <w:t>LDR Brachytherapy can be provided in both the public and private hospital sector.</w:t>
      </w:r>
      <w:r w:rsidR="002314FC">
        <w:t xml:space="preserve"> The requirement for an inpatient service is that the pre-treatment procedures and the service itself requires the administration of radio-active substances.  The patient will require appropriate monitoring following the procedure and to ensure that patient and radiation requirements are met, the service is most reasonably delivered in an inpatient setting or a day surgery in an appropriate location. The facility will require a</w:t>
      </w:r>
      <w:r w:rsidR="00B21E5D">
        <w:t xml:space="preserve"> radiation</w:t>
      </w:r>
      <w:r w:rsidR="002314FC">
        <w:t xml:space="preserve"> license to receive, handle, store and manage waste disposal.  The need for overnight vs day-only service is primarily determined by the </w:t>
      </w:r>
      <w:r w:rsidR="00CD7404">
        <w:t>general anaesthetic</w:t>
      </w:r>
      <w:r w:rsidR="002314FC">
        <w:t xml:space="preserve"> requirements of the hospital and local regulations</w:t>
      </w:r>
    </w:p>
    <w:p w14:paraId="39A3A52C" w14:textId="77777777" w:rsidR="003E30FB" w:rsidRDefault="003E30FB" w:rsidP="00530204">
      <w:pPr>
        <w:pStyle w:val="Heading2"/>
      </w:pPr>
      <w:r>
        <w:t xml:space="preserve">Is the </w:t>
      </w:r>
      <w:r w:rsidRPr="001B29A1">
        <w:t>proposed</w:t>
      </w:r>
      <w:r>
        <w:t xml:space="preserve"> medical service intended to be entirely rendered in Australia?</w:t>
      </w:r>
    </w:p>
    <w:p w14:paraId="56046A77" w14:textId="77777777" w:rsidR="000A478F" w:rsidRDefault="002314F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0A478F">
        <w:rPr>
          <w:szCs w:val="20"/>
        </w:rPr>
        <w:t xml:space="preserve"> Yes</w:t>
      </w:r>
    </w:p>
    <w:p w14:paraId="02753D23"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B1909">
        <w:rPr>
          <w:szCs w:val="20"/>
        </w:rPr>
      </w:r>
      <w:r w:rsidR="00AB1909">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9C8F669" w14:textId="5BE0D4C0" w:rsidR="000A478F" w:rsidRPr="000C7277" w:rsidRDefault="002314FC" w:rsidP="000C7277">
      <w:pPr>
        <w:ind w:left="426"/>
      </w:pPr>
      <w:r>
        <w:t xml:space="preserve">The service is delivered in Australia, but the brachytherapy seeds must be ordered from an overseas manufacturer.  This may take </w:t>
      </w:r>
      <w:proofErr w:type="gramStart"/>
      <w:r>
        <w:t>a number of</w:t>
      </w:r>
      <w:proofErr w:type="gramEnd"/>
      <w:r>
        <w:t xml:space="preserve"> weeks.</w:t>
      </w:r>
    </w:p>
    <w:p w14:paraId="72CCCAB0" w14:textId="77777777" w:rsidR="000C7277" w:rsidRDefault="000C7277">
      <w:pPr>
        <w:spacing w:before="0" w:after="200" w:line="276" w:lineRule="auto"/>
        <w:rPr>
          <w:b/>
          <w:i/>
          <w:szCs w:val="20"/>
          <w:u w:val="single"/>
        </w:rPr>
      </w:pPr>
      <w:r>
        <w:br w:type="page"/>
      </w:r>
    </w:p>
    <w:p w14:paraId="4DA1C899" w14:textId="5B4EA2EA" w:rsidR="00E60529" w:rsidRPr="00881F93" w:rsidRDefault="005C3AE7" w:rsidP="000C7277">
      <w:pPr>
        <w:pStyle w:val="Subtitle"/>
        <w:ind w:left="0"/>
      </w:pPr>
      <w:r>
        <w:lastRenderedPageBreak/>
        <w:t xml:space="preserve">PART 6c – </w:t>
      </w:r>
      <w:r w:rsidR="00E60529" w:rsidRPr="00881F93">
        <w:t>INFORMATION ABOUT THE COMPARATOR</w:t>
      </w:r>
      <w:r w:rsidR="00A83EC6" w:rsidRPr="00881F93">
        <w:t>(S)</w:t>
      </w:r>
    </w:p>
    <w:p w14:paraId="5299871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6E0AB0A" w14:textId="77777777" w:rsidR="00E60529" w:rsidRDefault="0011773E" w:rsidP="001B29A1">
      <w:pPr>
        <w:ind w:left="426"/>
      </w:pPr>
      <w:r>
        <w:t>As per the attached Clinical Pathway Flowchart, LDR Brachytherapy is intended to be a ‘boost’ for EBRT.  A ‘boost’ or dose escal</w:t>
      </w:r>
      <w:r w:rsidR="00E8061E">
        <w:t>ation for intermediate and high-</w:t>
      </w:r>
      <w:r>
        <w:t>risk prostate cancer</w:t>
      </w:r>
      <w:r w:rsidR="00E8061E">
        <w:t xml:space="preserve"> is now provided by a dose escalation via EBRT (DE-EBRT) or HDR brachytherapy. These interventions are the comparator interventions for LDR Brachytherapy.</w:t>
      </w:r>
      <w:r w:rsidR="00086C85">
        <w:t xml:space="preserve">  EBRT, HDR brachytherapy and LDR brachytherapy may all be used as monotherapy for low to intermediate risk patients.  However clinical guidelines now recommend that intermediate to high-risk patients receive combination therapy of EBRT </w:t>
      </w:r>
      <w:r w:rsidR="009C05C3">
        <w:t>and brachytherapy.</w:t>
      </w:r>
    </w:p>
    <w:p w14:paraId="540E7A1F" w14:textId="77777777" w:rsidR="00E8061E" w:rsidRDefault="00E8061E" w:rsidP="001B29A1">
      <w:pPr>
        <w:ind w:left="426"/>
        <w:rPr>
          <w:b/>
        </w:rPr>
      </w:pPr>
      <w:r w:rsidRPr="00E8061E">
        <w:rPr>
          <w:b/>
        </w:rPr>
        <w:t>DE-EBRT</w:t>
      </w:r>
    </w:p>
    <w:p w14:paraId="4A6FC8C9" w14:textId="3BA2EA99" w:rsidR="00E8061E" w:rsidRDefault="001C46A6" w:rsidP="001B29A1">
      <w:pPr>
        <w:ind w:left="426"/>
      </w:pPr>
      <w:r>
        <w:t>DE-EBRT is</w:t>
      </w:r>
      <w:r w:rsidR="00301A19">
        <w:t xml:space="preserve"> an additional ‘dose’ of EBRT</w:t>
      </w:r>
      <w:r w:rsidR="00086C85">
        <w:t xml:space="preserve"> that follows a conventional course of EBRT</w:t>
      </w:r>
      <w:r w:rsidR="00301A19">
        <w:t xml:space="preserve">.  </w:t>
      </w:r>
      <w:r w:rsidR="00086C85">
        <w:t>DE-EBRT</w:t>
      </w:r>
      <w:r w:rsidR="00301A19">
        <w:t xml:space="preserve"> can be delivered by 3D-CRT</w:t>
      </w:r>
      <w:r w:rsidR="00086C85">
        <w:rPr>
          <w:rStyle w:val="FootnoteReference"/>
        </w:rPr>
        <w:footnoteReference w:id="10"/>
      </w:r>
      <w:r w:rsidR="00301A19">
        <w:t xml:space="preserve"> or IMRT</w:t>
      </w:r>
      <w:r w:rsidR="00F358E7">
        <w:t xml:space="preserve"> </w:t>
      </w:r>
      <w:r w:rsidR="00086C85">
        <w:t xml:space="preserve">which is an advanced form of 3D-CRT </w:t>
      </w:r>
      <w:r w:rsidR="00F358E7">
        <w:t>and is designed to reduce toxicity to surrounding tissues.  Radiation dose is ty</w:t>
      </w:r>
      <w:r w:rsidR="00086C85">
        <w:t xml:space="preserve">pically delivered as an additional dose to a total of 78 </w:t>
      </w:r>
      <w:r w:rsidR="00736EA8">
        <w:t>Gy</w:t>
      </w:r>
      <w:r w:rsidR="00086C85">
        <w:t>.</w:t>
      </w:r>
      <w:r w:rsidR="009C05C3">
        <w:t xml:space="preserve">  </w:t>
      </w:r>
      <w:r w:rsidR="00901AC9">
        <w:t>In the ASCENDE-RT trial, DE-EBRT was delivered as an additional 32 Gy in 16 fractions for a total of 78 Gy</w:t>
      </w:r>
      <w:r w:rsidR="00901AC9">
        <w:rPr>
          <w:rStyle w:val="FootnoteReference"/>
        </w:rPr>
        <w:footnoteReference w:id="11"/>
      </w:r>
    </w:p>
    <w:p w14:paraId="3D769279" w14:textId="77777777" w:rsidR="009C05C3" w:rsidRDefault="009C05C3" w:rsidP="001B29A1">
      <w:pPr>
        <w:ind w:left="426"/>
      </w:pPr>
      <w:r>
        <w:t>3D-CRT and IMRT require computerised planning and dosimetry prior to delivery of DE-EBRT. DE-EBRT is delivered in a number of fractions over a series of visits.  In the ASCENDE-RT trial, DE-EBRT was delivered as an additional 32Gy in 16 fractions for a total of 78 Gy</w:t>
      </w:r>
    </w:p>
    <w:p w14:paraId="08DE026E" w14:textId="77777777" w:rsidR="00901AC9" w:rsidRDefault="00901AC9" w:rsidP="001B29A1">
      <w:pPr>
        <w:ind w:left="426"/>
        <w:rPr>
          <w:b/>
        </w:rPr>
      </w:pPr>
      <w:r>
        <w:rPr>
          <w:b/>
        </w:rPr>
        <w:t>HDR Brachytherapy</w:t>
      </w:r>
    </w:p>
    <w:p w14:paraId="480FDA9A" w14:textId="3FB707C2" w:rsidR="00901AC9" w:rsidRPr="00901AC9" w:rsidRDefault="00901AC9" w:rsidP="001B29A1">
      <w:pPr>
        <w:ind w:left="426"/>
        <w:rPr>
          <w:szCs w:val="20"/>
        </w:rPr>
      </w:pPr>
      <w:r>
        <w:t xml:space="preserve">HDR Brachytherapy involves </w:t>
      </w:r>
      <w:r w:rsidR="00F138FA">
        <w:t xml:space="preserve">the placement of hollow </w:t>
      </w:r>
      <w:r w:rsidR="00736EA8">
        <w:t>catheters</w:t>
      </w:r>
      <w:r w:rsidR="00F138FA">
        <w:t xml:space="preserve"> into the prostate under general anaesthesia.  Radiotherapy is delivered </w:t>
      </w:r>
      <w:r w:rsidR="00736EA8">
        <w:t xml:space="preserve">by a radioactive Iridium-192 source which is guided </w:t>
      </w:r>
      <w:r w:rsidR="00F138FA">
        <w:t xml:space="preserve">through the </w:t>
      </w:r>
      <w:r w:rsidR="00736EA8">
        <w:t xml:space="preserve">catheters </w:t>
      </w:r>
      <w:r w:rsidR="00F138FA">
        <w:t>over one to three sessions</w:t>
      </w:r>
      <w:r w:rsidR="00736EA8">
        <w:t>.</w:t>
      </w:r>
      <w:r w:rsidR="00F138FA">
        <w:t xml:space="preserve"> </w:t>
      </w:r>
      <w:r w:rsidR="00736EA8">
        <w:t>Following completion of treatment</w:t>
      </w:r>
      <w:r w:rsidR="000B7503">
        <w:t>,</w:t>
      </w:r>
      <w:r w:rsidR="00736EA8">
        <w:t xml:space="preserve"> </w:t>
      </w:r>
      <w:r w:rsidR="00F138FA">
        <w:t xml:space="preserve">the </w:t>
      </w:r>
      <w:r w:rsidR="00736EA8">
        <w:t xml:space="preserve">catheters </w:t>
      </w:r>
      <w:r w:rsidR="00F138FA">
        <w:t xml:space="preserve">are then removed. HDR Brachytherapy will require an admission of 2-3 days.  Patients must be isolated in a single room </w:t>
      </w:r>
      <w:r w:rsidR="00736EA8">
        <w:t xml:space="preserve">during the delivery of treatment </w:t>
      </w:r>
      <w:r w:rsidR="00F138FA">
        <w:t>for radiation safety purposes</w:t>
      </w:r>
      <w:r w:rsidR="00B92689">
        <w:t>.</w:t>
      </w:r>
    </w:p>
    <w:p w14:paraId="234218F8"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39C49F76" w14:textId="77777777" w:rsidR="006A1038" w:rsidRDefault="00B92689"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6A1038">
        <w:rPr>
          <w:szCs w:val="20"/>
        </w:rPr>
        <w:t xml:space="preserve"> Yes (please provide all relevant MBS item numbers below)</w:t>
      </w:r>
    </w:p>
    <w:p w14:paraId="472642A4"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B1909">
        <w:rPr>
          <w:szCs w:val="20"/>
        </w:rPr>
      </w:r>
      <w:r w:rsidR="00AB1909">
        <w:rPr>
          <w:szCs w:val="20"/>
        </w:rPr>
        <w:fldChar w:fldCharType="separate"/>
      </w:r>
      <w:r w:rsidRPr="00753C44">
        <w:rPr>
          <w:szCs w:val="20"/>
        </w:rPr>
        <w:fldChar w:fldCharType="end"/>
      </w:r>
      <w:r>
        <w:rPr>
          <w:szCs w:val="20"/>
        </w:rPr>
        <w:t xml:space="preserve"> No  </w:t>
      </w:r>
    </w:p>
    <w:p w14:paraId="21D76014" w14:textId="443F6DF7" w:rsidR="000159B9" w:rsidRDefault="000B6467" w:rsidP="00FF4E5D">
      <w:pPr>
        <w:ind w:left="426"/>
        <w:jc w:val="center"/>
        <w:rPr>
          <w:b/>
          <w:szCs w:val="20"/>
        </w:rPr>
      </w:pPr>
      <w:r>
        <w:rPr>
          <w:b/>
          <w:szCs w:val="20"/>
        </w:rPr>
        <w:t>DE</w:t>
      </w:r>
      <w:r w:rsidR="00B92689">
        <w:rPr>
          <w:b/>
          <w:szCs w:val="20"/>
        </w:rPr>
        <w:t>-EBRT</w:t>
      </w:r>
    </w:p>
    <w:tbl>
      <w:tblPr>
        <w:tblStyle w:val="TableGrid"/>
        <w:tblW w:w="0" w:type="auto"/>
        <w:tblInd w:w="426" w:type="dxa"/>
        <w:tblLook w:val="04A0" w:firstRow="1" w:lastRow="0" w:firstColumn="1" w:lastColumn="0" w:noHBand="0" w:noVBand="1"/>
        <w:tblCaption w:val="MBS Items and Descriptors"/>
        <w:tblDescription w:val="MBS Items and Descriptors"/>
      </w:tblPr>
      <w:tblGrid>
        <w:gridCol w:w="1109"/>
        <w:gridCol w:w="5408"/>
        <w:gridCol w:w="1136"/>
        <w:gridCol w:w="937"/>
      </w:tblGrid>
      <w:tr w:rsidR="00B92689" w14:paraId="3B155657" w14:textId="77777777" w:rsidTr="00E65873">
        <w:trPr>
          <w:tblHeader/>
        </w:trPr>
        <w:tc>
          <w:tcPr>
            <w:tcW w:w="1109" w:type="dxa"/>
          </w:tcPr>
          <w:p w14:paraId="5E8D9237" w14:textId="77777777" w:rsidR="00B92689" w:rsidRDefault="00B92689" w:rsidP="00B92689">
            <w:pPr>
              <w:jc w:val="center"/>
              <w:rPr>
                <w:b/>
                <w:szCs w:val="20"/>
              </w:rPr>
            </w:pPr>
            <w:bookmarkStart w:id="4" w:name="_Hlk495937579"/>
            <w:r>
              <w:rPr>
                <w:b/>
                <w:szCs w:val="20"/>
              </w:rPr>
              <w:t>MBS Item</w:t>
            </w:r>
          </w:p>
        </w:tc>
        <w:tc>
          <w:tcPr>
            <w:tcW w:w="5408" w:type="dxa"/>
          </w:tcPr>
          <w:p w14:paraId="782F3599" w14:textId="77777777" w:rsidR="00B92689" w:rsidRDefault="00B92689" w:rsidP="00B92689">
            <w:pPr>
              <w:jc w:val="center"/>
              <w:rPr>
                <w:b/>
                <w:szCs w:val="20"/>
              </w:rPr>
            </w:pPr>
            <w:r>
              <w:rPr>
                <w:b/>
                <w:szCs w:val="20"/>
              </w:rPr>
              <w:t>Descriptor</w:t>
            </w:r>
          </w:p>
        </w:tc>
        <w:tc>
          <w:tcPr>
            <w:tcW w:w="1136" w:type="dxa"/>
          </w:tcPr>
          <w:p w14:paraId="462824D2" w14:textId="77777777" w:rsidR="00B92689" w:rsidRDefault="00B92689" w:rsidP="00B92689">
            <w:pPr>
              <w:jc w:val="center"/>
              <w:rPr>
                <w:b/>
                <w:szCs w:val="20"/>
              </w:rPr>
            </w:pPr>
            <w:r>
              <w:rPr>
                <w:b/>
                <w:szCs w:val="20"/>
              </w:rPr>
              <w:t>Fee</w:t>
            </w:r>
          </w:p>
        </w:tc>
        <w:tc>
          <w:tcPr>
            <w:tcW w:w="937" w:type="dxa"/>
          </w:tcPr>
          <w:p w14:paraId="0D19580C" w14:textId="77777777" w:rsidR="00B92689" w:rsidRDefault="00B92689" w:rsidP="00B92689">
            <w:pPr>
              <w:jc w:val="center"/>
              <w:rPr>
                <w:b/>
                <w:szCs w:val="20"/>
              </w:rPr>
            </w:pPr>
            <w:r>
              <w:rPr>
                <w:b/>
                <w:szCs w:val="20"/>
              </w:rPr>
              <w:t>Benefit</w:t>
            </w:r>
          </w:p>
          <w:p w14:paraId="205369FA" w14:textId="77777777" w:rsidR="00B92689" w:rsidRDefault="00B92689" w:rsidP="00B92689">
            <w:pPr>
              <w:jc w:val="center"/>
              <w:rPr>
                <w:b/>
                <w:szCs w:val="20"/>
              </w:rPr>
            </w:pPr>
            <w:r>
              <w:rPr>
                <w:b/>
                <w:szCs w:val="20"/>
              </w:rPr>
              <w:t>75%</w:t>
            </w:r>
          </w:p>
        </w:tc>
      </w:tr>
      <w:bookmarkEnd w:id="4"/>
      <w:tr w:rsidR="00B92689" w14:paraId="7D86BF91" w14:textId="77777777" w:rsidTr="00E02C91">
        <w:tc>
          <w:tcPr>
            <w:tcW w:w="1109" w:type="dxa"/>
          </w:tcPr>
          <w:p w14:paraId="3C9E1C20" w14:textId="77777777" w:rsidR="00B92689" w:rsidRPr="000C7277" w:rsidRDefault="00B92689" w:rsidP="001B29A1">
            <w:pPr>
              <w:rPr>
                <w:bCs/>
                <w:szCs w:val="20"/>
              </w:rPr>
            </w:pPr>
            <w:r w:rsidRPr="000C7277">
              <w:rPr>
                <w:bCs/>
                <w:szCs w:val="20"/>
              </w:rPr>
              <w:t>15555</w:t>
            </w:r>
          </w:p>
        </w:tc>
        <w:tc>
          <w:tcPr>
            <w:tcW w:w="5408" w:type="dxa"/>
          </w:tcPr>
          <w:p w14:paraId="42BB2721" w14:textId="77777777" w:rsidR="00B92689" w:rsidRPr="000C7277" w:rsidRDefault="00B92689" w:rsidP="001B29A1">
            <w:pPr>
              <w:rPr>
                <w:bCs/>
                <w:szCs w:val="20"/>
              </w:rPr>
            </w:pPr>
            <w:r w:rsidRPr="000C7277">
              <w:rPr>
                <w:bCs/>
                <w:szCs w:val="20"/>
              </w:rPr>
              <w:t>Simulation for intensity-modulated radiation therapy IMRT, with or without intravenous contrast medium</w:t>
            </w:r>
            <w:r w:rsidR="00E50D90" w:rsidRPr="000C7277">
              <w:rPr>
                <w:bCs/>
                <w:szCs w:val="20"/>
              </w:rPr>
              <w:t xml:space="preserve"> if:</w:t>
            </w:r>
          </w:p>
          <w:p w14:paraId="0B7B38B4" w14:textId="77777777" w:rsidR="00E50D90" w:rsidRPr="000C7277" w:rsidRDefault="00E50D90" w:rsidP="00E50D90">
            <w:pPr>
              <w:rPr>
                <w:bCs/>
                <w:szCs w:val="20"/>
              </w:rPr>
            </w:pPr>
            <w:r w:rsidRPr="000C7277">
              <w:rPr>
                <w:bCs/>
                <w:szCs w:val="20"/>
              </w:rPr>
              <w:t>1.    treatment set-up and technique specifications are in preparations for three-dimensional conformal radiotherapy dose planning; and</w:t>
            </w:r>
          </w:p>
          <w:p w14:paraId="113AFEF3" w14:textId="77777777" w:rsidR="00E50D90" w:rsidRPr="000C7277" w:rsidRDefault="00E50D90" w:rsidP="00E50D90">
            <w:pPr>
              <w:rPr>
                <w:bCs/>
                <w:szCs w:val="20"/>
              </w:rPr>
            </w:pPr>
            <w:r w:rsidRPr="000C7277">
              <w:rPr>
                <w:bCs/>
                <w:szCs w:val="20"/>
              </w:rPr>
              <w:lastRenderedPageBreak/>
              <w:t>2.    patient set-up and immobilisation techniques are suitable for reliable CT-image volume data acquisition and three-dimensional conformal radiotherapy; and</w:t>
            </w:r>
          </w:p>
          <w:p w14:paraId="1F53748A" w14:textId="77777777" w:rsidR="00E50D90" w:rsidRPr="000C7277" w:rsidRDefault="00E50D90" w:rsidP="00E50D90">
            <w:pPr>
              <w:rPr>
                <w:bCs/>
                <w:szCs w:val="20"/>
              </w:rPr>
            </w:pPr>
            <w:r w:rsidRPr="000C7277">
              <w:rPr>
                <w:bCs/>
                <w:szCs w:val="20"/>
              </w:rPr>
              <w:t>3.    a high-quality CT-image volume dataset is acquired for the relevant region of interest to be planned and treated; and</w:t>
            </w:r>
          </w:p>
          <w:p w14:paraId="18A9CD45" w14:textId="7ACB5BBE" w:rsidR="00E50D90" w:rsidRPr="000C7277" w:rsidRDefault="00E50D90" w:rsidP="00E50D90">
            <w:pPr>
              <w:rPr>
                <w:bCs/>
                <w:szCs w:val="20"/>
              </w:rPr>
            </w:pPr>
            <w:r w:rsidRPr="000C7277">
              <w:rPr>
                <w:bCs/>
                <w:szCs w:val="20"/>
              </w:rPr>
              <w:t xml:space="preserve">4.    the image set is suitable for the generation of quality </w:t>
            </w:r>
            <w:proofErr w:type="gramStart"/>
            <w:r w:rsidRPr="000C7277">
              <w:rPr>
                <w:bCs/>
                <w:szCs w:val="20"/>
              </w:rPr>
              <w:t>digitally-reconstructed</w:t>
            </w:r>
            <w:proofErr w:type="gramEnd"/>
            <w:r w:rsidRPr="000C7277">
              <w:rPr>
                <w:bCs/>
                <w:szCs w:val="20"/>
              </w:rPr>
              <w:t xml:space="preserve"> radiographic images. </w:t>
            </w:r>
          </w:p>
        </w:tc>
        <w:tc>
          <w:tcPr>
            <w:tcW w:w="1136" w:type="dxa"/>
          </w:tcPr>
          <w:p w14:paraId="45349B25" w14:textId="4ED5228E" w:rsidR="00B92689" w:rsidRPr="000C7277" w:rsidRDefault="00B92689" w:rsidP="001B29A1">
            <w:pPr>
              <w:rPr>
                <w:bCs/>
                <w:szCs w:val="20"/>
              </w:rPr>
            </w:pPr>
            <w:r w:rsidRPr="000C7277">
              <w:rPr>
                <w:bCs/>
                <w:szCs w:val="20"/>
              </w:rPr>
              <w:lastRenderedPageBreak/>
              <w:t>$7</w:t>
            </w:r>
            <w:r w:rsidR="00E50D90" w:rsidRPr="000C7277">
              <w:rPr>
                <w:bCs/>
                <w:szCs w:val="20"/>
              </w:rPr>
              <w:t>51</w:t>
            </w:r>
            <w:r w:rsidRPr="000C7277">
              <w:rPr>
                <w:bCs/>
                <w:szCs w:val="20"/>
              </w:rPr>
              <w:t>.</w:t>
            </w:r>
            <w:r w:rsidR="00E50D90" w:rsidRPr="000C7277">
              <w:rPr>
                <w:bCs/>
                <w:szCs w:val="20"/>
              </w:rPr>
              <w:t>20</w:t>
            </w:r>
          </w:p>
        </w:tc>
        <w:tc>
          <w:tcPr>
            <w:tcW w:w="937" w:type="dxa"/>
          </w:tcPr>
          <w:p w14:paraId="0E30B46F" w14:textId="72E733D3" w:rsidR="00B92689" w:rsidRPr="000C7277" w:rsidRDefault="00B92689" w:rsidP="001B29A1">
            <w:pPr>
              <w:rPr>
                <w:bCs/>
                <w:szCs w:val="20"/>
              </w:rPr>
            </w:pPr>
            <w:r w:rsidRPr="000C7277">
              <w:rPr>
                <w:bCs/>
                <w:szCs w:val="20"/>
              </w:rPr>
              <w:t>$5</w:t>
            </w:r>
            <w:r w:rsidR="00E50D90" w:rsidRPr="000C7277">
              <w:rPr>
                <w:bCs/>
                <w:szCs w:val="20"/>
              </w:rPr>
              <w:t>63</w:t>
            </w:r>
            <w:r w:rsidRPr="000C7277">
              <w:rPr>
                <w:bCs/>
                <w:szCs w:val="20"/>
              </w:rPr>
              <w:t>.</w:t>
            </w:r>
            <w:r w:rsidR="00E50D90" w:rsidRPr="000C7277">
              <w:rPr>
                <w:bCs/>
                <w:szCs w:val="20"/>
              </w:rPr>
              <w:t>3</w:t>
            </w:r>
            <w:r w:rsidRPr="000C7277">
              <w:rPr>
                <w:bCs/>
                <w:szCs w:val="20"/>
              </w:rPr>
              <w:t>5</w:t>
            </w:r>
          </w:p>
        </w:tc>
      </w:tr>
      <w:tr w:rsidR="00B92689" w14:paraId="23ECF3CA" w14:textId="77777777" w:rsidTr="00E02C91">
        <w:tc>
          <w:tcPr>
            <w:tcW w:w="1109" w:type="dxa"/>
          </w:tcPr>
          <w:p w14:paraId="35701530" w14:textId="77777777" w:rsidR="00B92689" w:rsidRPr="000C7277" w:rsidRDefault="00B92689" w:rsidP="001B29A1">
            <w:pPr>
              <w:rPr>
                <w:bCs/>
                <w:szCs w:val="20"/>
              </w:rPr>
            </w:pPr>
            <w:r w:rsidRPr="000C7277">
              <w:rPr>
                <w:bCs/>
                <w:szCs w:val="20"/>
              </w:rPr>
              <w:t>15550</w:t>
            </w:r>
          </w:p>
        </w:tc>
        <w:tc>
          <w:tcPr>
            <w:tcW w:w="5408" w:type="dxa"/>
          </w:tcPr>
          <w:p w14:paraId="7A3965C2" w14:textId="77777777" w:rsidR="00B92689" w:rsidRPr="000C7277" w:rsidRDefault="00B92689" w:rsidP="001B29A1">
            <w:pPr>
              <w:rPr>
                <w:bCs/>
                <w:szCs w:val="20"/>
              </w:rPr>
            </w:pPr>
            <w:r w:rsidRPr="000C7277">
              <w:rPr>
                <w:bCs/>
                <w:szCs w:val="20"/>
              </w:rPr>
              <w:t xml:space="preserve">Simulation for </w:t>
            </w:r>
            <w:proofErr w:type="gramStart"/>
            <w:r w:rsidRPr="000C7277">
              <w:rPr>
                <w:bCs/>
                <w:szCs w:val="20"/>
              </w:rPr>
              <w:t>three dimensional</w:t>
            </w:r>
            <w:proofErr w:type="gramEnd"/>
            <w:r w:rsidRPr="000C7277">
              <w:rPr>
                <w:bCs/>
                <w:szCs w:val="20"/>
              </w:rPr>
              <w:t xml:space="preserve"> conformal radiotherapy without intravenous contrast medium</w:t>
            </w:r>
            <w:r w:rsidR="00E50D90" w:rsidRPr="000C7277">
              <w:rPr>
                <w:bCs/>
                <w:szCs w:val="20"/>
              </w:rPr>
              <w:t>, where:</w:t>
            </w:r>
          </w:p>
          <w:p w14:paraId="20ACEFC1" w14:textId="77777777" w:rsidR="00E50D90" w:rsidRPr="000C7277" w:rsidRDefault="00E50D90" w:rsidP="00E50D90">
            <w:pPr>
              <w:rPr>
                <w:bCs/>
                <w:szCs w:val="20"/>
              </w:rPr>
            </w:pPr>
            <w:r w:rsidRPr="000C7277">
              <w:rPr>
                <w:bCs/>
                <w:szCs w:val="20"/>
              </w:rPr>
              <w:t xml:space="preserve">(a)    treatment set up and technique specifications are in preparations for </w:t>
            </w:r>
            <w:proofErr w:type="gramStart"/>
            <w:r w:rsidRPr="000C7277">
              <w:rPr>
                <w:bCs/>
                <w:szCs w:val="20"/>
              </w:rPr>
              <w:t>three dimensional</w:t>
            </w:r>
            <w:proofErr w:type="gramEnd"/>
            <w:r w:rsidRPr="000C7277">
              <w:rPr>
                <w:bCs/>
                <w:szCs w:val="20"/>
              </w:rPr>
              <w:t xml:space="preserve"> conformal radiotherapy dose planning; and</w:t>
            </w:r>
          </w:p>
          <w:p w14:paraId="2576792F" w14:textId="77777777" w:rsidR="00E50D90" w:rsidRPr="000C7277" w:rsidRDefault="00E50D90" w:rsidP="00E50D90">
            <w:pPr>
              <w:rPr>
                <w:bCs/>
                <w:szCs w:val="20"/>
              </w:rPr>
            </w:pPr>
            <w:r w:rsidRPr="000C7277">
              <w:rPr>
                <w:bCs/>
                <w:szCs w:val="20"/>
              </w:rPr>
              <w:t xml:space="preserve">(b)    patient set up and immobilisation techniques are suitable for reliable CT image volume data acquisition and </w:t>
            </w:r>
            <w:proofErr w:type="gramStart"/>
            <w:r w:rsidRPr="000C7277">
              <w:rPr>
                <w:bCs/>
                <w:szCs w:val="20"/>
              </w:rPr>
              <w:t>three dimensional</w:t>
            </w:r>
            <w:proofErr w:type="gramEnd"/>
            <w:r w:rsidRPr="000C7277">
              <w:rPr>
                <w:bCs/>
                <w:szCs w:val="20"/>
              </w:rPr>
              <w:t xml:space="preserve"> conformal radiotherapy treatment; and</w:t>
            </w:r>
          </w:p>
          <w:p w14:paraId="4D13D125" w14:textId="77777777" w:rsidR="00E50D90" w:rsidRPr="000C7277" w:rsidRDefault="00E50D90" w:rsidP="00E50D90">
            <w:pPr>
              <w:rPr>
                <w:bCs/>
                <w:szCs w:val="20"/>
              </w:rPr>
            </w:pPr>
            <w:r w:rsidRPr="000C7277">
              <w:rPr>
                <w:bCs/>
                <w:szCs w:val="20"/>
              </w:rPr>
              <w:t>(c)    a high-quality CT-image volume dataset must be acquired for the relevant region of interest to be planned and treated; and</w:t>
            </w:r>
          </w:p>
          <w:p w14:paraId="27E9A17D" w14:textId="6B2AF49B" w:rsidR="00E50D90" w:rsidRPr="000C7277" w:rsidRDefault="00E50D90" w:rsidP="00E50D90">
            <w:pPr>
              <w:rPr>
                <w:bCs/>
                <w:szCs w:val="20"/>
              </w:rPr>
            </w:pPr>
            <w:r w:rsidRPr="000C7277">
              <w:rPr>
                <w:bCs/>
                <w:szCs w:val="20"/>
              </w:rPr>
              <w:t>(d)    the image set must be suitable for the generation of quality digitally reconstructed radiographic images</w:t>
            </w:r>
          </w:p>
        </w:tc>
        <w:tc>
          <w:tcPr>
            <w:tcW w:w="1136" w:type="dxa"/>
          </w:tcPr>
          <w:p w14:paraId="48E50416" w14:textId="4EB02EA4" w:rsidR="00B92689" w:rsidRPr="000C7277" w:rsidRDefault="00B92689" w:rsidP="001B29A1">
            <w:pPr>
              <w:rPr>
                <w:bCs/>
                <w:szCs w:val="20"/>
              </w:rPr>
            </w:pPr>
            <w:r w:rsidRPr="000C7277">
              <w:rPr>
                <w:bCs/>
                <w:szCs w:val="20"/>
              </w:rPr>
              <w:t>$6</w:t>
            </w:r>
            <w:r w:rsidR="00E50D90" w:rsidRPr="000C7277">
              <w:rPr>
                <w:bCs/>
                <w:szCs w:val="20"/>
              </w:rPr>
              <w:t>96.25</w:t>
            </w:r>
          </w:p>
        </w:tc>
        <w:tc>
          <w:tcPr>
            <w:tcW w:w="937" w:type="dxa"/>
          </w:tcPr>
          <w:p w14:paraId="14DAAB5E" w14:textId="471E2980" w:rsidR="00B92689" w:rsidRPr="000C7277" w:rsidRDefault="00B92689" w:rsidP="001B29A1">
            <w:pPr>
              <w:rPr>
                <w:bCs/>
                <w:szCs w:val="20"/>
              </w:rPr>
            </w:pPr>
            <w:r w:rsidRPr="000C7277">
              <w:rPr>
                <w:bCs/>
                <w:szCs w:val="20"/>
              </w:rPr>
              <w:t>$</w:t>
            </w:r>
            <w:r w:rsidR="00E50D90" w:rsidRPr="000C7277">
              <w:rPr>
                <w:bCs/>
                <w:szCs w:val="20"/>
              </w:rPr>
              <w:t>522.20</w:t>
            </w:r>
          </w:p>
        </w:tc>
      </w:tr>
      <w:tr w:rsidR="00B92689" w14:paraId="7AC9C230" w14:textId="77777777" w:rsidTr="00E02C91">
        <w:tc>
          <w:tcPr>
            <w:tcW w:w="1109" w:type="dxa"/>
          </w:tcPr>
          <w:p w14:paraId="54516087" w14:textId="77777777" w:rsidR="00B92689" w:rsidRPr="000C7277" w:rsidRDefault="00B92689" w:rsidP="001B29A1">
            <w:pPr>
              <w:rPr>
                <w:bCs/>
                <w:szCs w:val="20"/>
              </w:rPr>
            </w:pPr>
            <w:r w:rsidRPr="000C7277">
              <w:rPr>
                <w:bCs/>
                <w:szCs w:val="20"/>
              </w:rPr>
              <w:t>15559</w:t>
            </w:r>
          </w:p>
        </w:tc>
        <w:tc>
          <w:tcPr>
            <w:tcW w:w="5408" w:type="dxa"/>
          </w:tcPr>
          <w:p w14:paraId="2992018E" w14:textId="77777777" w:rsidR="00B92689" w:rsidRPr="000C7277" w:rsidRDefault="00B92689" w:rsidP="001B29A1">
            <w:pPr>
              <w:rPr>
                <w:bCs/>
                <w:szCs w:val="20"/>
              </w:rPr>
            </w:pPr>
            <w:r w:rsidRPr="000C7277">
              <w:rPr>
                <w:bCs/>
                <w:szCs w:val="20"/>
              </w:rPr>
              <w:t xml:space="preserve">Dosimetry for </w:t>
            </w:r>
            <w:proofErr w:type="gramStart"/>
            <w:r w:rsidRPr="000C7277">
              <w:rPr>
                <w:bCs/>
                <w:szCs w:val="20"/>
              </w:rPr>
              <w:t>three dimensional</w:t>
            </w:r>
            <w:proofErr w:type="gramEnd"/>
            <w:r w:rsidRPr="000C7277">
              <w:rPr>
                <w:bCs/>
                <w:szCs w:val="20"/>
              </w:rPr>
              <w:t xml:space="preserve"> conformal radiotherapy of level 1 complexity</w:t>
            </w:r>
            <w:r w:rsidR="00E50D90" w:rsidRPr="000C7277">
              <w:rPr>
                <w:bCs/>
                <w:szCs w:val="20"/>
              </w:rPr>
              <w:t>, where</w:t>
            </w:r>
            <w:r w:rsidR="008B0D70" w:rsidRPr="000C7277">
              <w:rPr>
                <w:bCs/>
                <w:szCs w:val="20"/>
              </w:rPr>
              <w:t>:</w:t>
            </w:r>
          </w:p>
          <w:p w14:paraId="28DDC8B8" w14:textId="77777777" w:rsidR="008B0D70" w:rsidRPr="000C7277" w:rsidRDefault="008B0D70" w:rsidP="008B0D70">
            <w:pPr>
              <w:rPr>
                <w:bCs/>
                <w:szCs w:val="20"/>
              </w:rPr>
            </w:pPr>
            <w:r w:rsidRPr="000C7277">
              <w:rPr>
                <w:bCs/>
                <w:szCs w:val="20"/>
              </w:rPr>
              <w:t xml:space="preserve">(a)    dosimetry for a two phase </w:t>
            </w:r>
            <w:proofErr w:type="gramStart"/>
            <w:r w:rsidRPr="000C7277">
              <w:rPr>
                <w:bCs/>
                <w:szCs w:val="20"/>
              </w:rPr>
              <w:t>three dimensional</w:t>
            </w:r>
            <w:proofErr w:type="gramEnd"/>
            <w:r w:rsidRPr="000C7277">
              <w:rPr>
                <w:bCs/>
                <w:szCs w:val="20"/>
              </w:rPr>
              <w:t xml:space="preserve"> conformal treatment plan using CT image volume dataset(s) with at least one gross tumour volume, two planning target volumes and one organ at risk defined in the prescription; or</w:t>
            </w:r>
          </w:p>
          <w:p w14:paraId="5F6A0C97" w14:textId="77777777" w:rsidR="008B0D70" w:rsidRPr="000C7277" w:rsidRDefault="008B0D70" w:rsidP="008B0D70">
            <w:pPr>
              <w:rPr>
                <w:bCs/>
                <w:szCs w:val="20"/>
              </w:rPr>
            </w:pPr>
            <w:r w:rsidRPr="000C7277">
              <w:rPr>
                <w:bCs/>
                <w:szCs w:val="20"/>
              </w:rPr>
              <w:t xml:space="preserve">(b)    dosimetry for a one phase </w:t>
            </w:r>
            <w:proofErr w:type="gramStart"/>
            <w:r w:rsidRPr="000C7277">
              <w:rPr>
                <w:bCs/>
                <w:szCs w:val="20"/>
              </w:rPr>
              <w:t>three dimensional</w:t>
            </w:r>
            <w:proofErr w:type="gramEnd"/>
            <w:r w:rsidRPr="000C7277">
              <w:rPr>
                <w:bCs/>
                <w:szCs w:val="20"/>
              </w:rPr>
              <w:t xml:space="preserve"> conformal treatment plan using CT image volume datasets with at least one gross tumour volume, one planning target volume and two organ at risk dose goals or constraints defined in the prescription; or</w:t>
            </w:r>
          </w:p>
          <w:p w14:paraId="65405115" w14:textId="19D91BF5" w:rsidR="008B0D70" w:rsidRPr="000C7277" w:rsidRDefault="008B0D70" w:rsidP="008B0D70">
            <w:pPr>
              <w:rPr>
                <w:bCs/>
                <w:szCs w:val="20"/>
              </w:rPr>
            </w:pPr>
            <w:r w:rsidRPr="000C7277">
              <w:rPr>
                <w:bCs/>
                <w:szCs w:val="20"/>
              </w:rPr>
              <w:t xml:space="preserve">(c)    image fusion with a secondary image (CT, MRI or PET) volume dataset used to define target and organ at risk volumes in conjunction with and as specified in dosimetry for </w:t>
            </w:r>
            <w:proofErr w:type="gramStart"/>
            <w:r w:rsidRPr="000C7277">
              <w:rPr>
                <w:bCs/>
                <w:szCs w:val="20"/>
              </w:rPr>
              <w:t>three dimensional</w:t>
            </w:r>
            <w:proofErr w:type="gramEnd"/>
            <w:r w:rsidRPr="000C7277">
              <w:rPr>
                <w:bCs/>
                <w:szCs w:val="20"/>
              </w:rPr>
              <w:t xml:space="preserve"> conformal radiotherapy of level 1 complexity.</w:t>
            </w:r>
          </w:p>
          <w:p w14:paraId="6F73851E" w14:textId="77777777" w:rsidR="008B0D70" w:rsidRPr="000C7277" w:rsidRDefault="008B0D70" w:rsidP="008B0D70">
            <w:pPr>
              <w:rPr>
                <w:bCs/>
                <w:szCs w:val="20"/>
              </w:rPr>
            </w:pPr>
            <w:r w:rsidRPr="000C7277">
              <w:rPr>
                <w:bCs/>
                <w:szCs w:val="20"/>
              </w:rPr>
              <w:t xml:space="preserve">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w:t>
            </w:r>
            <w:proofErr w:type="gramStart"/>
            <w:r w:rsidRPr="000C7277">
              <w:rPr>
                <w:bCs/>
                <w:szCs w:val="20"/>
              </w:rPr>
              <w:t>approved</w:t>
            </w:r>
            <w:proofErr w:type="gramEnd"/>
            <w:r w:rsidRPr="000C7277">
              <w:rPr>
                <w:bCs/>
                <w:szCs w:val="20"/>
              </w:rPr>
              <w:t xml:space="preserve"> and recorded with the plan. A CT image volume dataset must be used for the relevant region to be planned and treated. The CT images must be suitable for the generation of quality digitally reconstructed radiographic images</w:t>
            </w:r>
          </w:p>
          <w:p w14:paraId="50F0F435" w14:textId="60514A08" w:rsidR="008B0D70" w:rsidRPr="000C7277" w:rsidRDefault="008B0D70" w:rsidP="001B29A1">
            <w:pPr>
              <w:rPr>
                <w:bCs/>
                <w:szCs w:val="20"/>
              </w:rPr>
            </w:pPr>
          </w:p>
        </w:tc>
        <w:tc>
          <w:tcPr>
            <w:tcW w:w="1136" w:type="dxa"/>
          </w:tcPr>
          <w:p w14:paraId="46D574F0" w14:textId="62CB9823" w:rsidR="00B92689" w:rsidRPr="000C7277" w:rsidRDefault="00C007BF" w:rsidP="001B29A1">
            <w:pPr>
              <w:rPr>
                <w:bCs/>
                <w:szCs w:val="20"/>
              </w:rPr>
            </w:pPr>
            <w:r w:rsidRPr="000C7277">
              <w:rPr>
                <w:bCs/>
                <w:szCs w:val="20"/>
              </w:rPr>
              <w:lastRenderedPageBreak/>
              <w:t>$</w:t>
            </w:r>
            <w:r w:rsidR="008B0D70" w:rsidRPr="000C7277">
              <w:rPr>
                <w:bCs/>
                <w:szCs w:val="20"/>
              </w:rPr>
              <w:t>916.10</w:t>
            </w:r>
          </w:p>
        </w:tc>
        <w:tc>
          <w:tcPr>
            <w:tcW w:w="937" w:type="dxa"/>
          </w:tcPr>
          <w:p w14:paraId="05F3F34F" w14:textId="7C23515F" w:rsidR="00B92689" w:rsidRPr="000C7277" w:rsidRDefault="00C007BF" w:rsidP="001B29A1">
            <w:pPr>
              <w:rPr>
                <w:bCs/>
                <w:szCs w:val="20"/>
              </w:rPr>
            </w:pPr>
            <w:r w:rsidRPr="000C7277">
              <w:rPr>
                <w:bCs/>
                <w:szCs w:val="20"/>
              </w:rPr>
              <w:t>$</w:t>
            </w:r>
            <w:r w:rsidR="008B0D70" w:rsidRPr="000C7277">
              <w:rPr>
                <w:bCs/>
                <w:szCs w:val="20"/>
              </w:rPr>
              <w:t>687.10</w:t>
            </w:r>
          </w:p>
        </w:tc>
      </w:tr>
      <w:tr w:rsidR="00FF4E5D" w14:paraId="2448113F" w14:textId="77777777" w:rsidTr="00E02C91">
        <w:tc>
          <w:tcPr>
            <w:tcW w:w="1109" w:type="dxa"/>
          </w:tcPr>
          <w:p w14:paraId="79ED9841" w14:textId="77777777" w:rsidR="00FF4E5D" w:rsidRDefault="00FF4E5D" w:rsidP="001B29A1">
            <w:pPr>
              <w:rPr>
                <w:b/>
                <w:szCs w:val="20"/>
              </w:rPr>
            </w:pPr>
            <w:r>
              <w:rPr>
                <w:b/>
                <w:szCs w:val="20"/>
              </w:rPr>
              <w:t>15248</w:t>
            </w:r>
          </w:p>
          <w:p w14:paraId="6C18A649" w14:textId="5B271419" w:rsidR="005E2A59" w:rsidRDefault="005E2A59" w:rsidP="001B29A1">
            <w:pPr>
              <w:rPr>
                <w:b/>
                <w:szCs w:val="20"/>
              </w:rPr>
            </w:pPr>
            <w:r>
              <w:rPr>
                <w:b/>
                <w:szCs w:val="20"/>
              </w:rPr>
              <w:t xml:space="preserve">X 39 </w:t>
            </w:r>
          </w:p>
        </w:tc>
        <w:tc>
          <w:tcPr>
            <w:tcW w:w="5408" w:type="dxa"/>
          </w:tcPr>
          <w:p w14:paraId="08B04279" w14:textId="77777777" w:rsidR="00FF4E5D" w:rsidRPr="000C7277" w:rsidRDefault="00FF4E5D" w:rsidP="001B29A1">
            <w:pPr>
              <w:rPr>
                <w:bCs/>
                <w:szCs w:val="20"/>
              </w:rPr>
            </w:pPr>
            <w:r w:rsidRPr="000C7277">
              <w:rPr>
                <w:bCs/>
                <w:szCs w:val="20"/>
              </w:rPr>
              <w:t>RADIATION ONCOLOGY TREATMENT, using a dual photon energy linear accelerator with a minimum higher energy of at least 10MV photons, with electron facilities - each attendance at which treatment is given - 1 field - treatment delivered to primary site (prostate)</w:t>
            </w:r>
          </w:p>
        </w:tc>
        <w:tc>
          <w:tcPr>
            <w:tcW w:w="1136" w:type="dxa"/>
          </w:tcPr>
          <w:p w14:paraId="6CF2CA7C" w14:textId="3B2F9D0D" w:rsidR="00FF4E5D" w:rsidRPr="000C7277" w:rsidRDefault="00FF4E5D" w:rsidP="001B29A1">
            <w:pPr>
              <w:rPr>
                <w:bCs/>
                <w:szCs w:val="20"/>
              </w:rPr>
            </w:pPr>
            <w:r w:rsidRPr="000C7277">
              <w:rPr>
                <w:bCs/>
                <w:szCs w:val="20"/>
              </w:rPr>
              <w:t>$</w:t>
            </w:r>
            <w:r w:rsidR="008B0D70" w:rsidRPr="000C7277">
              <w:rPr>
                <w:bCs/>
                <w:szCs w:val="20"/>
              </w:rPr>
              <w:t>63</w:t>
            </w:r>
            <w:r w:rsidRPr="000C7277">
              <w:rPr>
                <w:bCs/>
                <w:szCs w:val="20"/>
              </w:rPr>
              <w:t>.</w:t>
            </w:r>
            <w:r w:rsidR="008B0D70" w:rsidRPr="000C7277">
              <w:rPr>
                <w:bCs/>
                <w:szCs w:val="20"/>
              </w:rPr>
              <w:t>05</w:t>
            </w:r>
          </w:p>
        </w:tc>
        <w:tc>
          <w:tcPr>
            <w:tcW w:w="937" w:type="dxa"/>
          </w:tcPr>
          <w:p w14:paraId="394EEF88" w14:textId="360A6147" w:rsidR="00FF4E5D" w:rsidRPr="000C7277" w:rsidRDefault="00FF4E5D" w:rsidP="001B29A1">
            <w:pPr>
              <w:rPr>
                <w:bCs/>
                <w:szCs w:val="20"/>
              </w:rPr>
            </w:pPr>
            <w:r w:rsidRPr="000C7277">
              <w:rPr>
                <w:bCs/>
                <w:szCs w:val="20"/>
              </w:rPr>
              <w:t>$</w:t>
            </w:r>
            <w:r w:rsidR="008B0D70" w:rsidRPr="000C7277">
              <w:rPr>
                <w:bCs/>
                <w:szCs w:val="20"/>
              </w:rPr>
              <w:t>53.60</w:t>
            </w:r>
          </w:p>
        </w:tc>
      </w:tr>
      <w:tr w:rsidR="00FF4E5D" w14:paraId="4A9A477A" w14:textId="77777777" w:rsidTr="00E02C91">
        <w:tc>
          <w:tcPr>
            <w:tcW w:w="1109" w:type="dxa"/>
          </w:tcPr>
          <w:p w14:paraId="7BCA5362" w14:textId="77777777" w:rsidR="00FF4E5D" w:rsidRPr="000C7277" w:rsidRDefault="00FF4E5D" w:rsidP="001B29A1">
            <w:pPr>
              <w:rPr>
                <w:bCs/>
                <w:szCs w:val="20"/>
              </w:rPr>
            </w:pPr>
            <w:r w:rsidRPr="000C7277">
              <w:rPr>
                <w:bCs/>
                <w:szCs w:val="20"/>
              </w:rPr>
              <w:t>15263</w:t>
            </w:r>
          </w:p>
        </w:tc>
        <w:tc>
          <w:tcPr>
            <w:tcW w:w="5408" w:type="dxa"/>
          </w:tcPr>
          <w:p w14:paraId="1BEDCAF8" w14:textId="77777777" w:rsidR="00FF4E5D" w:rsidRPr="000C7277" w:rsidRDefault="00FF4E5D" w:rsidP="001B29A1">
            <w:pPr>
              <w:rPr>
                <w:bCs/>
                <w:szCs w:val="20"/>
              </w:rPr>
            </w:pPr>
            <w:r w:rsidRPr="000C7277">
              <w:rPr>
                <w:bCs/>
                <w:szCs w:val="20"/>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tc>
        <w:tc>
          <w:tcPr>
            <w:tcW w:w="1136" w:type="dxa"/>
          </w:tcPr>
          <w:p w14:paraId="0C904305" w14:textId="0224DD9F" w:rsidR="00FF4E5D" w:rsidRPr="000C7277" w:rsidRDefault="00FF4E5D" w:rsidP="001B29A1">
            <w:pPr>
              <w:rPr>
                <w:bCs/>
                <w:szCs w:val="20"/>
              </w:rPr>
            </w:pPr>
            <w:r w:rsidRPr="000C7277">
              <w:rPr>
                <w:bCs/>
                <w:szCs w:val="20"/>
              </w:rPr>
              <w:t>Fee for 152</w:t>
            </w:r>
            <w:r w:rsidR="008B0D70" w:rsidRPr="000C7277">
              <w:rPr>
                <w:bCs/>
                <w:szCs w:val="20"/>
              </w:rPr>
              <w:t>48</w:t>
            </w:r>
            <w:r w:rsidRPr="000C7277">
              <w:rPr>
                <w:bCs/>
                <w:szCs w:val="20"/>
              </w:rPr>
              <w:t xml:space="preserve"> plus $37.95 for eac</w:t>
            </w:r>
            <w:r w:rsidR="00B8009B" w:rsidRPr="000C7277">
              <w:rPr>
                <w:bCs/>
                <w:szCs w:val="20"/>
              </w:rPr>
              <w:t>h</w:t>
            </w:r>
            <w:r w:rsidRPr="000C7277">
              <w:rPr>
                <w:bCs/>
                <w:szCs w:val="20"/>
              </w:rPr>
              <w:t xml:space="preserve"> field</w:t>
            </w:r>
            <w:r w:rsidR="00B8009B" w:rsidRPr="000C7277">
              <w:rPr>
                <w:bCs/>
                <w:szCs w:val="20"/>
              </w:rPr>
              <w:t xml:space="preserve"> </w:t>
            </w:r>
            <w:proofErr w:type="gramStart"/>
            <w:r w:rsidR="00B8009B" w:rsidRPr="000C7277">
              <w:rPr>
                <w:bCs/>
                <w:szCs w:val="20"/>
              </w:rPr>
              <w:t>in excess of</w:t>
            </w:r>
            <w:proofErr w:type="gramEnd"/>
            <w:r w:rsidR="00B8009B" w:rsidRPr="000C7277">
              <w:rPr>
                <w:bCs/>
                <w:szCs w:val="20"/>
              </w:rPr>
              <w:t xml:space="preserve"> 1, an amount of $40.15</w:t>
            </w:r>
          </w:p>
        </w:tc>
        <w:tc>
          <w:tcPr>
            <w:tcW w:w="937" w:type="dxa"/>
          </w:tcPr>
          <w:p w14:paraId="1567CFC4" w14:textId="77777777" w:rsidR="00FF4E5D" w:rsidRPr="000C7277" w:rsidRDefault="00FF4E5D" w:rsidP="001B29A1">
            <w:pPr>
              <w:rPr>
                <w:bCs/>
                <w:szCs w:val="20"/>
              </w:rPr>
            </w:pPr>
            <w:r w:rsidRPr="000C7277">
              <w:rPr>
                <w:bCs/>
                <w:szCs w:val="20"/>
              </w:rPr>
              <w:t>$37.95</w:t>
            </w:r>
          </w:p>
        </w:tc>
      </w:tr>
      <w:tr w:rsidR="00E02C91" w14:paraId="7B153662" w14:textId="77777777" w:rsidTr="00E02C91">
        <w:tc>
          <w:tcPr>
            <w:tcW w:w="1109" w:type="dxa"/>
          </w:tcPr>
          <w:p w14:paraId="1212728D" w14:textId="0B666418" w:rsidR="00E02C91" w:rsidRPr="000C7277" w:rsidRDefault="00E02C91" w:rsidP="001B29A1">
            <w:pPr>
              <w:rPr>
                <w:bCs/>
                <w:szCs w:val="20"/>
              </w:rPr>
            </w:pPr>
            <w:r w:rsidRPr="000C7277">
              <w:rPr>
                <w:bCs/>
                <w:szCs w:val="20"/>
              </w:rPr>
              <w:t>37217</w:t>
            </w:r>
          </w:p>
        </w:tc>
        <w:tc>
          <w:tcPr>
            <w:tcW w:w="5408" w:type="dxa"/>
          </w:tcPr>
          <w:p w14:paraId="68C1364E" w14:textId="3F244DEC" w:rsidR="00E02C91" w:rsidRPr="000C7277" w:rsidRDefault="00E02C91" w:rsidP="001B29A1">
            <w:pPr>
              <w:rPr>
                <w:rFonts w:cstheme="minorHAnsi"/>
                <w:bCs/>
                <w:szCs w:val="20"/>
              </w:rPr>
            </w:pPr>
            <w:r w:rsidRPr="000C7277">
              <w:rPr>
                <w:rFonts w:cstheme="minorHAnsi"/>
                <w:bCs/>
                <w:color w:val="222222"/>
                <w:szCs w:val="20"/>
                <w:shd w:val="clear" w:color="auto" w:fill="FBFBFB"/>
              </w:rPr>
              <w:t>Prostate, implantation of radio-opaque fiducial markers into the prostate gland or prostate surgical bed</w:t>
            </w:r>
            <w:r w:rsidR="00B8009B" w:rsidRPr="000C7277">
              <w:rPr>
                <w:rFonts w:cstheme="minorHAnsi"/>
                <w:bCs/>
                <w:color w:val="222222"/>
                <w:szCs w:val="20"/>
                <w:shd w:val="clear" w:color="auto" w:fill="FBFBFB"/>
              </w:rPr>
              <w:t>, under ultrasound guidance, being an item associated with a service to which item 55603 applies</w:t>
            </w:r>
          </w:p>
        </w:tc>
        <w:tc>
          <w:tcPr>
            <w:tcW w:w="1136" w:type="dxa"/>
          </w:tcPr>
          <w:p w14:paraId="574D392F" w14:textId="74EE5441" w:rsidR="00E02C91" w:rsidRPr="000C7277" w:rsidRDefault="005E2A59" w:rsidP="001B29A1">
            <w:pPr>
              <w:rPr>
                <w:bCs/>
                <w:szCs w:val="20"/>
              </w:rPr>
            </w:pPr>
            <w:r w:rsidRPr="000C7277">
              <w:rPr>
                <w:bCs/>
                <w:szCs w:val="20"/>
              </w:rPr>
              <w:t>$1</w:t>
            </w:r>
            <w:r w:rsidR="00B8009B" w:rsidRPr="000C7277">
              <w:rPr>
                <w:bCs/>
                <w:szCs w:val="20"/>
              </w:rPr>
              <w:t>46</w:t>
            </w:r>
            <w:r w:rsidRPr="000C7277">
              <w:rPr>
                <w:bCs/>
                <w:szCs w:val="20"/>
              </w:rPr>
              <w:t>.</w:t>
            </w:r>
            <w:r w:rsidR="00B8009B" w:rsidRPr="000C7277">
              <w:rPr>
                <w:bCs/>
                <w:szCs w:val="20"/>
              </w:rPr>
              <w:t>2</w:t>
            </w:r>
            <w:r w:rsidRPr="000C7277">
              <w:rPr>
                <w:bCs/>
                <w:szCs w:val="20"/>
              </w:rPr>
              <w:t>0</w:t>
            </w:r>
          </w:p>
        </w:tc>
        <w:tc>
          <w:tcPr>
            <w:tcW w:w="937" w:type="dxa"/>
          </w:tcPr>
          <w:p w14:paraId="48979AAA" w14:textId="3DC5C59B" w:rsidR="00E02C91" w:rsidRPr="000C7277" w:rsidRDefault="005E2A59" w:rsidP="001B29A1">
            <w:pPr>
              <w:rPr>
                <w:bCs/>
                <w:szCs w:val="20"/>
              </w:rPr>
            </w:pPr>
            <w:r w:rsidRPr="000C7277">
              <w:rPr>
                <w:bCs/>
                <w:szCs w:val="20"/>
              </w:rPr>
              <w:t>$10</w:t>
            </w:r>
            <w:r w:rsidR="00B8009B" w:rsidRPr="000C7277">
              <w:rPr>
                <w:bCs/>
                <w:szCs w:val="20"/>
              </w:rPr>
              <w:t>9</w:t>
            </w:r>
            <w:r w:rsidRPr="000C7277">
              <w:rPr>
                <w:bCs/>
                <w:szCs w:val="20"/>
              </w:rPr>
              <w:t>.</w:t>
            </w:r>
            <w:r w:rsidR="00B8009B" w:rsidRPr="000C7277">
              <w:rPr>
                <w:bCs/>
                <w:szCs w:val="20"/>
              </w:rPr>
              <w:t>6</w:t>
            </w:r>
            <w:r w:rsidRPr="000C7277">
              <w:rPr>
                <w:bCs/>
                <w:szCs w:val="20"/>
              </w:rPr>
              <w:t>5</w:t>
            </w:r>
          </w:p>
        </w:tc>
      </w:tr>
      <w:tr w:rsidR="005E2A59" w14:paraId="0F189ED1" w14:textId="77777777" w:rsidTr="00E02C91">
        <w:tc>
          <w:tcPr>
            <w:tcW w:w="1109" w:type="dxa"/>
          </w:tcPr>
          <w:p w14:paraId="36284C9C" w14:textId="0B745331" w:rsidR="005E2A59" w:rsidRPr="000C7277" w:rsidRDefault="005E2A59" w:rsidP="001B29A1">
            <w:pPr>
              <w:rPr>
                <w:bCs/>
                <w:szCs w:val="20"/>
              </w:rPr>
            </w:pPr>
            <w:r w:rsidRPr="000C7277">
              <w:rPr>
                <w:bCs/>
                <w:szCs w:val="20"/>
              </w:rPr>
              <w:t>45566</w:t>
            </w:r>
          </w:p>
        </w:tc>
        <w:tc>
          <w:tcPr>
            <w:tcW w:w="5408" w:type="dxa"/>
          </w:tcPr>
          <w:p w14:paraId="430FBCE3" w14:textId="50BF37AC" w:rsidR="005E2A59" w:rsidRPr="000C7277" w:rsidRDefault="005E2A59" w:rsidP="001B29A1">
            <w:pPr>
              <w:rPr>
                <w:rFonts w:cstheme="minorHAnsi"/>
                <w:bCs/>
                <w:color w:val="222222"/>
                <w:szCs w:val="20"/>
                <w:shd w:val="clear" w:color="auto" w:fill="FBFBFB"/>
              </w:rPr>
            </w:pPr>
            <w:r w:rsidRPr="000C7277">
              <w:rPr>
                <w:rFonts w:cstheme="minorHAnsi"/>
                <w:bCs/>
                <w:color w:val="222222"/>
                <w:szCs w:val="20"/>
                <w:shd w:val="clear" w:color="auto" w:fill="FBFBFB"/>
              </w:rPr>
              <w:t>TISSUE EXPANSION not being a service to which item 45539 or 45542 applies – insertion of tissue expansion unit and all attendances for subsequent expansion injections</w:t>
            </w:r>
          </w:p>
        </w:tc>
        <w:tc>
          <w:tcPr>
            <w:tcW w:w="1136" w:type="dxa"/>
          </w:tcPr>
          <w:p w14:paraId="4DCE1D7E" w14:textId="5B86C7D0" w:rsidR="005E2A59" w:rsidRPr="000C7277" w:rsidRDefault="00DE3FDD" w:rsidP="001B29A1">
            <w:pPr>
              <w:rPr>
                <w:bCs/>
                <w:szCs w:val="20"/>
              </w:rPr>
            </w:pPr>
            <w:r w:rsidRPr="000C7277">
              <w:rPr>
                <w:bCs/>
                <w:szCs w:val="20"/>
              </w:rPr>
              <w:t>$1,</w:t>
            </w:r>
            <w:r w:rsidR="00B8009B" w:rsidRPr="000C7277">
              <w:rPr>
                <w:bCs/>
                <w:szCs w:val="20"/>
              </w:rPr>
              <w:t>13</w:t>
            </w:r>
            <w:r w:rsidRPr="000C7277">
              <w:rPr>
                <w:bCs/>
                <w:szCs w:val="20"/>
              </w:rPr>
              <w:t>2.</w:t>
            </w:r>
            <w:r w:rsidR="00B8009B" w:rsidRPr="000C7277">
              <w:rPr>
                <w:bCs/>
                <w:szCs w:val="20"/>
              </w:rPr>
              <w:t>5</w:t>
            </w:r>
            <w:r w:rsidRPr="000C7277">
              <w:rPr>
                <w:bCs/>
                <w:szCs w:val="20"/>
              </w:rPr>
              <w:t>0</w:t>
            </w:r>
          </w:p>
        </w:tc>
        <w:tc>
          <w:tcPr>
            <w:tcW w:w="937" w:type="dxa"/>
          </w:tcPr>
          <w:p w14:paraId="774E3A1F" w14:textId="76371EC0" w:rsidR="005E2A59" w:rsidRPr="000C7277" w:rsidRDefault="00DE3FDD" w:rsidP="001B29A1">
            <w:pPr>
              <w:rPr>
                <w:bCs/>
                <w:szCs w:val="20"/>
              </w:rPr>
            </w:pPr>
            <w:r w:rsidRPr="000C7277">
              <w:rPr>
                <w:bCs/>
                <w:szCs w:val="20"/>
              </w:rPr>
              <w:t>$8</w:t>
            </w:r>
            <w:r w:rsidR="00B8009B" w:rsidRPr="000C7277">
              <w:rPr>
                <w:bCs/>
                <w:szCs w:val="20"/>
              </w:rPr>
              <w:t>49</w:t>
            </w:r>
            <w:r w:rsidRPr="000C7277">
              <w:rPr>
                <w:bCs/>
                <w:szCs w:val="20"/>
              </w:rPr>
              <w:t>.40</w:t>
            </w:r>
          </w:p>
        </w:tc>
      </w:tr>
    </w:tbl>
    <w:p w14:paraId="1BB4F2C8" w14:textId="77777777" w:rsidR="00B92689" w:rsidRDefault="00B92689" w:rsidP="001B29A1">
      <w:pPr>
        <w:ind w:left="426"/>
        <w:rPr>
          <w:b/>
          <w:szCs w:val="20"/>
        </w:rPr>
      </w:pPr>
    </w:p>
    <w:p w14:paraId="07D2A5DF" w14:textId="77777777" w:rsidR="00FF4E5D" w:rsidRDefault="00AB02CB" w:rsidP="00AB02CB">
      <w:pPr>
        <w:ind w:left="426"/>
        <w:jc w:val="center"/>
        <w:rPr>
          <w:b/>
          <w:szCs w:val="20"/>
        </w:rPr>
      </w:pPr>
      <w:r>
        <w:rPr>
          <w:b/>
          <w:szCs w:val="20"/>
        </w:rPr>
        <w:t>HDR Brachytherapy</w:t>
      </w:r>
    </w:p>
    <w:tbl>
      <w:tblPr>
        <w:tblStyle w:val="TableGrid"/>
        <w:tblW w:w="0" w:type="auto"/>
        <w:tblInd w:w="426" w:type="dxa"/>
        <w:tblLook w:val="04A0" w:firstRow="1" w:lastRow="0" w:firstColumn="1" w:lastColumn="0" w:noHBand="0" w:noVBand="1"/>
        <w:tblCaption w:val="Table showing MBS descriptors"/>
        <w:tblDescription w:val="Table showing MBS descriptors"/>
      </w:tblPr>
      <w:tblGrid>
        <w:gridCol w:w="1106"/>
        <w:gridCol w:w="5310"/>
        <w:gridCol w:w="1237"/>
        <w:gridCol w:w="937"/>
      </w:tblGrid>
      <w:tr w:rsidR="00AB02CB" w14:paraId="5290CCD5" w14:textId="77777777" w:rsidTr="00E65873">
        <w:trPr>
          <w:tblHeader/>
        </w:trPr>
        <w:tc>
          <w:tcPr>
            <w:tcW w:w="1106" w:type="dxa"/>
          </w:tcPr>
          <w:p w14:paraId="62FBE3A3" w14:textId="77777777" w:rsidR="00AB02CB" w:rsidRPr="000C7277" w:rsidRDefault="00AB02CB" w:rsidP="00E831F6">
            <w:pPr>
              <w:rPr>
                <w:bCs/>
                <w:szCs w:val="20"/>
              </w:rPr>
            </w:pPr>
            <w:r w:rsidRPr="000C7277">
              <w:rPr>
                <w:bCs/>
                <w:szCs w:val="20"/>
              </w:rPr>
              <w:t>37227</w:t>
            </w:r>
          </w:p>
          <w:p w14:paraId="37320CDE" w14:textId="0BA9EFCE" w:rsidR="00DE3FDD" w:rsidRPr="000C7277" w:rsidRDefault="00DE3FDD" w:rsidP="00E831F6">
            <w:pPr>
              <w:rPr>
                <w:bCs/>
                <w:szCs w:val="20"/>
              </w:rPr>
            </w:pPr>
          </w:p>
        </w:tc>
        <w:tc>
          <w:tcPr>
            <w:tcW w:w="5310" w:type="dxa"/>
          </w:tcPr>
          <w:p w14:paraId="1624649C" w14:textId="77777777" w:rsidR="00AB02CB" w:rsidRPr="000C7277" w:rsidRDefault="00E831F6" w:rsidP="00E831F6">
            <w:pPr>
              <w:rPr>
                <w:bCs/>
                <w:szCs w:val="20"/>
              </w:rPr>
            </w:pPr>
            <w:r w:rsidRPr="000C7277">
              <w:rPr>
                <w:bCs/>
                <w:szCs w:val="20"/>
              </w:rPr>
              <w:t>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w:t>
            </w:r>
          </w:p>
        </w:tc>
        <w:tc>
          <w:tcPr>
            <w:tcW w:w="1237" w:type="dxa"/>
          </w:tcPr>
          <w:p w14:paraId="0D3484D9" w14:textId="53C3A14A" w:rsidR="00AB02CB" w:rsidRPr="000C7277" w:rsidRDefault="00E831F6" w:rsidP="00AB02CB">
            <w:pPr>
              <w:jc w:val="center"/>
              <w:rPr>
                <w:bCs/>
                <w:szCs w:val="20"/>
              </w:rPr>
            </w:pPr>
            <w:r w:rsidRPr="000C7277">
              <w:rPr>
                <w:bCs/>
                <w:szCs w:val="20"/>
              </w:rPr>
              <w:t>$5</w:t>
            </w:r>
            <w:r w:rsidR="00B8009B" w:rsidRPr="000C7277">
              <w:rPr>
                <w:bCs/>
                <w:szCs w:val="20"/>
              </w:rPr>
              <w:t>98</w:t>
            </w:r>
            <w:r w:rsidRPr="000C7277">
              <w:rPr>
                <w:bCs/>
                <w:szCs w:val="20"/>
              </w:rPr>
              <w:t>.</w:t>
            </w:r>
            <w:r w:rsidR="00B8009B" w:rsidRPr="000C7277">
              <w:rPr>
                <w:bCs/>
                <w:szCs w:val="20"/>
              </w:rPr>
              <w:t>1</w:t>
            </w:r>
            <w:r w:rsidRPr="000C7277">
              <w:rPr>
                <w:bCs/>
                <w:szCs w:val="20"/>
              </w:rPr>
              <w:t>5</w:t>
            </w:r>
          </w:p>
        </w:tc>
        <w:tc>
          <w:tcPr>
            <w:tcW w:w="937" w:type="dxa"/>
          </w:tcPr>
          <w:p w14:paraId="32D939F2" w14:textId="20545788" w:rsidR="00AB02CB" w:rsidRPr="000C7277" w:rsidRDefault="00E831F6" w:rsidP="00AB02CB">
            <w:pPr>
              <w:jc w:val="center"/>
              <w:rPr>
                <w:bCs/>
                <w:szCs w:val="20"/>
              </w:rPr>
            </w:pPr>
            <w:r w:rsidRPr="000C7277">
              <w:rPr>
                <w:bCs/>
                <w:szCs w:val="20"/>
              </w:rPr>
              <w:t>$4</w:t>
            </w:r>
            <w:r w:rsidR="00B8009B" w:rsidRPr="000C7277">
              <w:rPr>
                <w:bCs/>
                <w:szCs w:val="20"/>
              </w:rPr>
              <w:t>48</w:t>
            </w:r>
            <w:r w:rsidRPr="000C7277">
              <w:rPr>
                <w:bCs/>
                <w:szCs w:val="20"/>
              </w:rPr>
              <w:t>.</w:t>
            </w:r>
            <w:r w:rsidR="00B8009B" w:rsidRPr="000C7277">
              <w:rPr>
                <w:bCs/>
                <w:szCs w:val="20"/>
              </w:rPr>
              <w:t>65</w:t>
            </w:r>
          </w:p>
        </w:tc>
      </w:tr>
      <w:tr w:rsidR="00E831F6" w14:paraId="32D67783" w14:textId="77777777" w:rsidTr="00DE3FDD">
        <w:tc>
          <w:tcPr>
            <w:tcW w:w="1106" w:type="dxa"/>
          </w:tcPr>
          <w:p w14:paraId="6394BC98" w14:textId="2D547EFA" w:rsidR="00E831F6" w:rsidRPr="000C7277" w:rsidRDefault="00E831F6" w:rsidP="00E831F6">
            <w:pPr>
              <w:rPr>
                <w:bCs/>
                <w:szCs w:val="20"/>
              </w:rPr>
            </w:pPr>
            <w:r w:rsidRPr="000C7277">
              <w:rPr>
                <w:bCs/>
                <w:szCs w:val="20"/>
              </w:rPr>
              <w:t>1553</w:t>
            </w:r>
            <w:r w:rsidR="00143186" w:rsidRPr="000C7277">
              <w:rPr>
                <w:bCs/>
                <w:szCs w:val="20"/>
              </w:rPr>
              <w:t>1</w:t>
            </w:r>
          </w:p>
          <w:p w14:paraId="361220E4" w14:textId="4AFAD4EF" w:rsidR="005E2A59" w:rsidRPr="000C7277" w:rsidRDefault="005E2A59" w:rsidP="00E831F6">
            <w:pPr>
              <w:rPr>
                <w:bCs/>
                <w:szCs w:val="20"/>
              </w:rPr>
            </w:pPr>
          </w:p>
        </w:tc>
        <w:tc>
          <w:tcPr>
            <w:tcW w:w="5310" w:type="dxa"/>
          </w:tcPr>
          <w:p w14:paraId="7084A94F" w14:textId="77777777" w:rsidR="00E831F6" w:rsidRPr="000C7277" w:rsidRDefault="00E831F6" w:rsidP="00E831F6">
            <w:pPr>
              <w:rPr>
                <w:bCs/>
                <w:szCs w:val="20"/>
              </w:rPr>
            </w:pPr>
            <w:r w:rsidRPr="000C7277">
              <w:rPr>
                <w:bCs/>
                <w:szCs w:val="20"/>
              </w:rPr>
              <w:t xml:space="preserve">IMPLANTATION OF A SEALED RADIOACTIVE SOURCE (having a half-life of less than 115 days including iodine, gold, </w:t>
            </w:r>
            <w:proofErr w:type="gramStart"/>
            <w:r w:rsidRPr="000C7277">
              <w:rPr>
                <w:bCs/>
                <w:szCs w:val="20"/>
              </w:rPr>
              <w:t>iridium</w:t>
            </w:r>
            <w:proofErr w:type="gramEnd"/>
            <w:r w:rsidRPr="000C7277">
              <w:rPr>
                <w:bCs/>
                <w:szCs w:val="20"/>
              </w:rPr>
              <w:t xml:space="preserve"> or tantalum) to a site (including the tongue, mouth, salivary gland, axilla, subcutaneous sites), where the volume treated involves multiple planes but does not require surgical exposure and using automatic afterloading techniques</w:t>
            </w:r>
          </w:p>
        </w:tc>
        <w:tc>
          <w:tcPr>
            <w:tcW w:w="1237" w:type="dxa"/>
          </w:tcPr>
          <w:p w14:paraId="2C603DC7" w14:textId="2DC35D4E" w:rsidR="00E831F6" w:rsidRPr="000C7277" w:rsidRDefault="00E831F6" w:rsidP="00E831F6">
            <w:pPr>
              <w:jc w:val="center"/>
              <w:rPr>
                <w:bCs/>
                <w:szCs w:val="20"/>
              </w:rPr>
            </w:pPr>
            <w:r w:rsidRPr="000C7277">
              <w:rPr>
                <w:bCs/>
                <w:szCs w:val="20"/>
              </w:rPr>
              <w:t>$7</w:t>
            </w:r>
            <w:r w:rsidR="00DA2DEC" w:rsidRPr="000C7277">
              <w:rPr>
                <w:bCs/>
                <w:szCs w:val="20"/>
              </w:rPr>
              <w:t>88</w:t>
            </w:r>
            <w:r w:rsidRPr="000C7277">
              <w:rPr>
                <w:bCs/>
                <w:szCs w:val="20"/>
              </w:rPr>
              <w:t>.</w:t>
            </w:r>
            <w:r w:rsidR="00DA2DEC" w:rsidRPr="000C7277">
              <w:rPr>
                <w:bCs/>
                <w:szCs w:val="20"/>
              </w:rPr>
              <w:t>4</w:t>
            </w:r>
            <w:r w:rsidRPr="000C7277">
              <w:rPr>
                <w:bCs/>
                <w:szCs w:val="20"/>
              </w:rPr>
              <w:t>0</w:t>
            </w:r>
          </w:p>
        </w:tc>
        <w:tc>
          <w:tcPr>
            <w:tcW w:w="937" w:type="dxa"/>
          </w:tcPr>
          <w:p w14:paraId="032EBB5C" w14:textId="1CE58240" w:rsidR="00E831F6" w:rsidRPr="000C7277" w:rsidRDefault="00E831F6" w:rsidP="00E831F6">
            <w:pPr>
              <w:jc w:val="center"/>
              <w:rPr>
                <w:bCs/>
                <w:szCs w:val="20"/>
              </w:rPr>
            </w:pPr>
            <w:r w:rsidRPr="000C7277">
              <w:rPr>
                <w:bCs/>
                <w:szCs w:val="20"/>
              </w:rPr>
              <w:t>$5</w:t>
            </w:r>
            <w:r w:rsidR="00DA2DEC" w:rsidRPr="000C7277">
              <w:rPr>
                <w:bCs/>
                <w:szCs w:val="20"/>
              </w:rPr>
              <w:t>91</w:t>
            </w:r>
            <w:r w:rsidRPr="000C7277">
              <w:rPr>
                <w:bCs/>
                <w:szCs w:val="20"/>
              </w:rPr>
              <w:t>.3</w:t>
            </w:r>
            <w:r w:rsidR="00DA2DEC" w:rsidRPr="000C7277">
              <w:rPr>
                <w:bCs/>
                <w:szCs w:val="20"/>
              </w:rPr>
              <w:t>0</w:t>
            </w:r>
          </w:p>
        </w:tc>
      </w:tr>
    </w:tbl>
    <w:p w14:paraId="68B3B42E" w14:textId="77777777" w:rsidR="00AB02CB" w:rsidRPr="00AB02CB" w:rsidRDefault="00AB02CB" w:rsidP="00AB02CB">
      <w:pPr>
        <w:ind w:left="426"/>
        <w:jc w:val="center"/>
        <w:rPr>
          <w:b/>
          <w:szCs w:val="20"/>
        </w:rPr>
      </w:pPr>
    </w:p>
    <w:p w14:paraId="51144684"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11E20ED2" w14:textId="6F8FC487" w:rsidR="00AA1E7C" w:rsidRDefault="003A3DF9" w:rsidP="001B29A1">
      <w:pPr>
        <w:ind w:left="426"/>
      </w:pPr>
      <w:r>
        <w:t>Please see attac</w:t>
      </w:r>
      <w:r w:rsidR="00AA1E7C">
        <w:t>h</w:t>
      </w:r>
      <w:r>
        <w:t>ed</w:t>
      </w:r>
      <w:r w:rsidR="00AA1E7C">
        <w:t xml:space="preserve"> Clinical Pathway Flowchart </w:t>
      </w:r>
      <w:r w:rsidR="000C7277">
        <w:t>at Question 26.</w:t>
      </w:r>
    </w:p>
    <w:p w14:paraId="285F521A" w14:textId="022CA828" w:rsidR="003433D1" w:rsidRDefault="00AA1E7C" w:rsidP="001B29A1">
      <w:pPr>
        <w:ind w:left="426"/>
      </w:pPr>
      <w:r>
        <w:lastRenderedPageBreak/>
        <w:t>The clinical pathway that a patient will follow after EBRT plus D</w:t>
      </w:r>
      <w:r w:rsidR="00736EA8">
        <w:t>E</w:t>
      </w:r>
      <w:r>
        <w:t xml:space="preserve">-EBRT or EBRT plus HDR brachytherapy will be the same.  </w:t>
      </w:r>
      <w:r w:rsidR="00ED2328">
        <w:t xml:space="preserve">PSA is monitored post-treatment.  Should </w:t>
      </w:r>
      <w:r w:rsidR="00736EA8">
        <w:t>a</w:t>
      </w:r>
      <w:r w:rsidR="00ED2328">
        <w:t xml:space="preserve"> PSA nadir be reached and remain at that point, then the patient would continue to be monitored.  Should biochemical failure</w:t>
      </w:r>
      <w:r w:rsidR="003859B0">
        <w:t xml:space="preserve"> </w:t>
      </w:r>
      <w:r w:rsidR="009E622B">
        <w:t>occur,</w:t>
      </w:r>
      <w:r w:rsidR="00ED2328">
        <w:t xml:space="preserve"> </w:t>
      </w:r>
      <w:r w:rsidR="004D3D43">
        <w:t>or the patient have</w:t>
      </w:r>
      <w:r w:rsidR="003859B0">
        <w:t xml:space="preserve"> a positive DRE </w:t>
      </w:r>
      <w:r w:rsidR="00ED2328">
        <w:t>then further intervention to control the disease is required. Biochemical failure is defined as 2ng/ml over the nadir PSA</w:t>
      </w:r>
      <w:r w:rsidR="00ED2328">
        <w:rPr>
          <w:rStyle w:val="FootnoteReference"/>
        </w:rPr>
        <w:footnoteReference w:id="12"/>
      </w:r>
      <w:r w:rsidR="00ED2328">
        <w:t xml:space="preserve"> </w:t>
      </w:r>
      <w:r>
        <w:t xml:space="preserve"> </w:t>
      </w:r>
    </w:p>
    <w:p w14:paraId="6BDD71AE" w14:textId="77777777" w:rsidR="003859B0" w:rsidRDefault="003859B0" w:rsidP="001B29A1">
      <w:pPr>
        <w:ind w:left="426"/>
      </w:pPr>
      <w:r>
        <w:t>Patients who are considered appropriate candidates for local treatment of disease may receive one or more of the following imaging services to determine if the tumour has metastasised.</w:t>
      </w:r>
    </w:p>
    <w:p w14:paraId="295F0FEE" w14:textId="77777777" w:rsidR="003859B0" w:rsidRDefault="003859B0" w:rsidP="003859B0">
      <w:pPr>
        <w:pStyle w:val="ListParagraph"/>
        <w:numPr>
          <w:ilvl w:val="0"/>
          <w:numId w:val="40"/>
        </w:numPr>
      </w:pPr>
      <w:r>
        <w:t>PSA Double Timing (PSADT)</w:t>
      </w:r>
    </w:p>
    <w:p w14:paraId="3EF2F0B5" w14:textId="77777777" w:rsidR="003859B0" w:rsidRDefault="003859B0" w:rsidP="003859B0">
      <w:pPr>
        <w:pStyle w:val="ListParagraph"/>
        <w:numPr>
          <w:ilvl w:val="0"/>
          <w:numId w:val="40"/>
        </w:numPr>
      </w:pPr>
      <w:r>
        <w:t>Chest x-ray</w:t>
      </w:r>
    </w:p>
    <w:p w14:paraId="09092207" w14:textId="77777777" w:rsidR="003859B0" w:rsidRDefault="003859B0" w:rsidP="003859B0">
      <w:pPr>
        <w:pStyle w:val="ListParagraph"/>
        <w:numPr>
          <w:ilvl w:val="0"/>
          <w:numId w:val="40"/>
        </w:numPr>
      </w:pPr>
      <w:r>
        <w:t>Bone scan</w:t>
      </w:r>
    </w:p>
    <w:p w14:paraId="3E6B2AF4" w14:textId="77777777" w:rsidR="003859B0" w:rsidRDefault="003859B0" w:rsidP="003859B0">
      <w:pPr>
        <w:pStyle w:val="ListParagraph"/>
        <w:numPr>
          <w:ilvl w:val="0"/>
          <w:numId w:val="40"/>
        </w:numPr>
      </w:pPr>
      <w:r>
        <w:t>Prostate MRI</w:t>
      </w:r>
    </w:p>
    <w:p w14:paraId="305BA643" w14:textId="767A4E03" w:rsidR="003859B0" w:rsidRDefault="003859B0" w:rsidP="003859B0">
      <w:pPr>
        <w:pStyle w:val="ListParagraph"/>
        <w:numPr>
          <w:ilvl w:val="0"/>
          <w:numId w:val="40"/>
        </w:numPr>
      </w:pPr>
      <w:r>
        <w:t>An abdominal/pelvic CT or MRI may be considered</w:t>
      </w:r>
    </w:p>
    <w:p w14:paraId="4D0FB283" w14:textId="2F75EA49" w:rsidR="001B66A4" w:rsidRDefault="001B66A4" w:rsidP="003859B0">
      <w:pPr>
        <w:pStyle w:val="ListParagraph"/>
        <w:numPr>
          <w:ilvl w:val="0"/>
          <w:numId w:val="40"/>
        </w:numPr>
      </w:pPr>
      <w:r>
        <w:t>Whole body PET-CT</w:t>
      </w:r>
    </w:p>
    <w:p w14:paraId="47062717" w14:textId="5FF67B7A" w:rsidR="003859B0" w:rsidRDefault="003859B0" w:rsidP="003859B0">
      <w:pPr>
        <w:pStyle w:val="ListParagraph"/>
        <w:numPr>
          <w:ilvl w:val="0"/>
          <w:numId w:val="40"/>
        </w:numPr>
      </w:pPr>
      <w:r>
        <w:t>TRUS</w:t>
      </w:r>
      <w:r w:rsidR="00CD7404">
        <w:t xml:space="preserve">/TP </w:t>
      </w:r>
      <w:r>
        <w:t xml:space="preserve">biopsy </w:t>
      </w:r>
    </w:p>
    <w:p w14:paraId="52167386" w14:textId="5C3BD75F" w:rsidR="003859B0" w:rsidRDefault="003859B0" w:rsidP="003859B0">
      <w:pPr>
        <w:ind w:left="360"/>
      </w:pPr>
      <w:r>
        <w:t>Should the TRUS</w:t>
      </w:r>
      <w:r w:rsidR="00CD7404">
        <w:t>/TP</w:t>
      </w:r>
      <w:r>
        <w:t xml:space="preserve"> biopsy be positive but there is no evidence of distant metastases than a man may be offered an RP with pelvic lymph no</w:t>
      </w:r>
      <w:r w:rsidR="00736EA8">
        <w:t>d</w:t>
      </w:r>
      <w:r>
        <w:t>e dissection (PLND) or additional brachytherapy.  This may be either LDR or HDR brachytherapy</w:t>
      </w:r>
      <w:r w:rsidR="00371DEA">
        <w:t>.  If the disease progresses than systemic therapy is implemented.</w:t>
      </w:r>
    </w:p>
    <w:p w14:paraId="425AB12C" w14:textId="77777777" w:rsidR="00371DEA" w:rsidRDefault="00371DEA" w:rsidP="003859B0">
      <w:pPr>
        <w:ind w:left="360"/>
      </w:pPr>
      <w:r>
        <w:t>Should the TRUS</w:t>
      </w:r>
      <w:r w:rsidR="00CD7404">
        <w:t>/TP</w:t>
      </w:r>
      <w:r>
        <w:t xml:space="preserve"> biopsy be negative and there is no evidence for metastatic disease, men may be offered ADT or opt to continue observation.  Should the patient test positive for metastatic disease then systemic therapy should begin.</w:t>
      </w:r>
    </w:p>
    <w:p w14:paraId="2C4BC87E" w14:textId="77777777" w:rsidR="00371DEA" w:rsidRDefault="00DD3EEA" w:rsidP="003859B0">
      <w:pPr>
        <w:ind w:left="360"/>
      </w:pPr>
      <w:r>
        <w:t>A</w:t>
      </w:r>
      <w:r w:rsidR="00371DEA">
        <w:t xml:space="preserve"> patient</w:t>
      </w:r>
      <w:r>
        <w:t xml:space="preserve"> who is not a</w:t>
      </w:r>
      <w:r w:rsidR="00371DEA">
        <w:t xml:space="preserve"> candidate for local treatment</w:t>
      </w:r>
      <w:r w:rsidR="002824CF">
        <w:t xml:space="preserve"> due to age, comorbidities or other factors may be offered a bone scan.  </w:t>
      </w:r>
      <w:r>
        <w:t>ADT may be offered if the bone scan is positive or the patient can be monitored without ADT until symptoms develop or PSA increases.</w:t>
      </w:r>
    </w:p>
    <w:p w14:paraId="19178371" w14:textId="79736F18" w:rsidR="003859B0" w:rsidRPr="000C7277" w:rsidRDefault="00DD3EEA" w:rsidP="000C7277">
      <w:pPr>
        <w:ind w:left="360"/>
      </w:pPr>
      <w:r>
        <w:t>Should a patient progress to metastatic disease without biochemical failure then systemic therapy should be implemented.</w:t>
      </w:r>
    </w:p>
    <w:p w14:paraId="361A3807"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6E4444E" w14:textId="77777777" w:rsidR="001B29A1" w:rsidRDefault="00DD3EEA" w:rsidP="001B29A1">
      <w:pPr>
        <w:spacing w:before="0" w:after="0"/>
        <w:ind w:left="426"/>
        <w:rPr>
          <w:szCs w:val="20"/>
        </w:rPr>
      </w:pPr>
      <w:r>
        <w:rPr>
          <w:szCs w:val="20"/>
        </w:rPr>
        <w:t>It is anticipated that LDR Brachytherapy will be used as an alternative to DE-EBRT or HDR brachytherapy in conjunction with EBRT.</w:t>
      </w:r>
      <w:r w:rsidR="001B29A1">
        <w:rPr>
          <w:szCs w:val="20"/>
        </w:rPr>
        <w:t xml:space="preserve">  </w:t>
      </w:r>
    </w:p>
    <w:p w14:paraId="1E1D1D0F" w14:textId="77777777" w:rsidR="00E70D86"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DF08F2E" w14:textId="29E3AC1F" w:rsidR="00882519" w:rsidRPr="00882519" w:rsidRDefault="00772F23" w:rsidP="00882519">
      <w:pPr>
        <w:ind w:left="360"/>
      </w:pPr>
      <w:r>
        <w:t>LDR Brachytherapy is the only radiotherapy modality for prostate cancer included on the MBS that has a specific risk classification indication.  Therefore, it is not possible to identify how many intermediate to high risk patients are currently being treated by the compara</w:t>
      </w:r>
      <w:r w:rsidR="004D3D43">
        <w:t>tor therapies.  In addition, a</w:t>
      </w:r>
      <w:r w:rsidR="00F860A2">
        <w:t xml:space="preserve"> DE</w:t>
      </w:r>
      <w:r>
        <w:t>-EBRT ‘boost’ cannot be distinguished from EBRT.  Very low risk to high risk patients may all be treated with EBRT and HDR brachytherapy</w:t>
      </w:r>
      <w:r w:rsidR="0073055B">
        <w:t xml:space="preserve"> as a monotherapy or in combination.</w:t>
      </w:r>
      <w:r w:rsidR="008A5C29">
        <w:t xml:space="preserve"> </w:t>
      </w:r>
      <w:r w:rsidR="00F860A2">
        <w:t xml:space="preserve">It is not anticipated that either HDR brachytherapy or DE-EBRT will be replaced entirely by LDR brachytherapy and is likely to be driven to a significant degree by a man’s preference. Since current guidelines and clinical evidence support LDR brachytherapy for this indication it is likely that a reasonable proportion of patients will receive LDR </w:t>
      </w:r>
      <w:r w:rsidR="00A747D8">
        <w:t>brachytherapy should the service be included on the MBS.</w:t>
      </w:r>
    </w:p>
    <w:p w14:paraId="6EA720DB" w14:textId="77777777" w:rsidR="0054594B"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CA4537E" w14:textId="77777777" w:rsidR="00A747D8" w:rsidRPr="00A747D8" w:rsidRDefault="00A747D8" w:rsidP="00A747D8">
      <w:pPr>
        <w:ind w:left="357"/>
      </w:pPr>
      <w:r>
        <w:t>The introduction of LDR Brachytherapy is not anticipated to change the current clinical pathway following treatment.   Regardless of which radiotherapy modality was received the patient will follow the clinical pathway outlined in Question 40.</w:t>
      </w:r>
    </w:p>
    <w:p w14:paraId="6723CBD5" w14:textId="77777777" w:rsidR="0054594B" w:rsidRDefault="0054594B" w:rsidP="00D10B47">
      <w:pPr>
        <w:pStyle w:val="ListParagraph"/>
        <w:ind w:left="360"/>
        <w:rPr>
          <w:b/>
          <w:szCs w:val="20"/>
        </w:rPr>
      </w:pPr>
    </w:p>
    <w:p w14:paraId="634F9A05" w14:textId="77777777" w:rsidR="00DF0D47" w:rsidRPr="00881F93" w:rsidRDefault="005C3AE7" w:rsidP="000C7277">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7FD4A461" w14:textId="77777777" w:rsidR="004E3CC7" w:rsidRPr="001B29A1" w:rsidRDefault="004E3CC7" w:rsidP="00530204">
      <w:pPr>
        <w:pStyle w:val="Heading2"/>
      </w:pPr>
      <w:r w:rsidRPr="001B29A1">
        <w:t>Summarise the clinical claims for the proposed medical service against the appropriate comparator(s)</w:t>
      </w:r>
      <w:r w:rsidR="00A747D8">
        <w:t>, in terms of consequences for h</w:t>
      </w:r>
      <w:r w:rsidRPr="001B29A1">
        <w:t>ealth outcomes</w:t>
      </w:r>
      <w:r w:rsidR="00CF5AD8" w:rsidRPr="001B29A1">
        <w:t xml:space="preserve"> (</w:t>
      </w:r>
      <w:r w:rsidR="009F0C02" w:rsidRPr="001B29A1">
        <w:t>comparative benefits and harms)</w:t>
      </w:r>
      <w:r w:rsidR="00AE1188">
        <w:t>:</w:t>
      </w:r>
    </w:p>
    <w:p w14:paraId="1BB31307" w14:textId="56FE6E6F" w:rsidR="004E3CC7" w:rsidRPr="00154B00" w:rsidRDefault="00C94C80" w:rsidP="001B29A1">
      <w:pPr>
        <w:ind w:left="426"/>
        <w:rPr>
          <w:szCs w:val="20"/>
        </w:rPr>
      </w:pPr>
      <w:r>
        <w:rPr>
          <w:szCs w:val="20"/>
        </w:rPr>
        <w:t xml:space="preserve">LDR Brachytherapy plus EBRT is superior to DE-EBRT plus EBRT in intermediate and high-risk prostate cancer.  LDR Brachytherapy plus EBRT </w:t>
      </w:r>
      <w:r w:rsidR="00594C61">
        <w:rPr>
          <w:szCs w:val="20"/>
        </w:rPr>
        <w:t xml:space="preserve">has similar </w:t>
      </w:r>
      <w:r w:rsidR="0098498B">
        <w:rPr>
          <w:szCs w:val="20"/>
        </w:rPr>
        <w:t>effectiveness</w:t>
      </w:r>
      <w:r>
        <w:rPr>
          <w:szCs w:val="20"/>
        </w:rPr>
        <w:t xml:space="preserve"> </w:t>
      </w:r>
      <w:r w:rsidR="0098498B">
        <w:rPr>
          <w:szCs w:val="20"/>
        </w:rPr>
        <w:t xml:space="preserve">to </w:t>
      </w:r>
      <w:r>
        <w:rPr>
          <w:szCs w:val="20"/>
        </w:rPr>
        <w:t>HDR Brachytherapy plus EBRT in intermediate and high-risk prostate cancer</w:t>
      </w:r>
    </w:p>
    <w:p w14:paraId="3FEDBBB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E4698CC" w14:textId="77777777" w:rsidR="001B29A1" w:rsidRPr="001B29A1" w:rsidRDefault="00C94C8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B1909">
        <w:rPr>
          <w:szCs w:val="20"/>
        </w:rPr>
      </w:r>
      <w:r w:rsidR="00AB190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44CA1999" w14:textId="77777777" w:rsidR="00594C61" w:rsidRDefault="001B29A1" w:rsidP="00B954DF">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B1909">
        <w:rPr>
          <w:szCs w:val="20"/>
        </w:rPr>
      </w:r>
      <w:r w:rsidR="00AB1909">
        <w:rPr>
          <w:szCs w:val="20"/>
        </w:rPr>
        <w:fldChar w:fldCharType="separate"/>
      </w:r>
      <w:r w:rsidRPr="001B29A1">
        <w:rPr>
          <w:szCs w:val="20"/>
        </w:rPr>
        <w:fldChar w:fldCharType="end"/>
      </w:r>
      <w:r w:rsidRPr="001B29A1">
        <w:rPr>
          <w:szCs w:val="20"/>
        </w:rPr>
        <w:t xml:space="preserve"> Non-inferiority</w:t>
      </w:r>
      <w:r w:rsidR="00594C61">
        <w:rPr>
          <w:szCs w:val="20"/>
        </w:rPr>
        <w:t xml:space="preserve"> </w:t>
      </w:r>
    </w:p>
    <w:p w14:paraId="23DA57A4" w14:textId="77777777" w:rsidR="00594C61" w:rsidRDefault="00594C61" w:rsidP="00B954DF">
      <w:pPr>
        <w:spacing w:before="0" w:after="0"/>
        <w:ind w:left="426"/>
        <w:rPr>
          <w:szCs w:val="20"/>
        </w:rPr>
      </w:pPr>
    </w:p>
    <w:p w14:paraId="6BAD62CF" w14:textId="1844D634" w:rsidR="00B25D20" w:rsidRPr="00154B00" w:rsidRDefault="001B29A1" w:rsidP="00B954DF">
      <w:pPr>
        <w:spacing w:before="0" w:after="0"/>
        <w:ind w:left="426"/>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5B49283"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2B659A69"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Acute genitourinary toxicity</w:t>
      </w:r>
    </w:p>
    <w:p w14:paraId="73E17A7E"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Late genitourinary toxicity</w:t>
      </w:r>
    </w:p>
    <w:p w14:paraId="2C253780"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Acute gastrointestinal toxicity</w:t>
      </w:r>
    </w:p>
    <w:p w14:paraId="2ACEE991" w14:textId="77777777" w:rsidR="008D674E" w:rsidRDefault="008D674E" w:rsidP="001B29A1">
      <w:pPr>
        <w:pBdr>
          <w:top w:val="single" w:sz="4" w:space="1" w:color="auto"/>
          <w:left w:val="single" w:sz="4" w:space="4" w:color="auto"/>
          <w:bottom w:val="single" w:sz="4" w:space="1" w:color="auto"/>
          <w:right w:val="single" w:sz="4" w:space="4" w:color="auto"/>
        </w:pBdr>
        <w:rPr>
          <w:b/>
          <w:szCs w:val="20"/>
        </w:rPr>
      </w:pPr>
      <w:r w:rsidRPr="008D674E">
        <w:rPr>
          <w:szCs w:val="20"/>
        </w:rPr>
        <w:t>Late genitourinary toxicity</w:t>
      </w:r>
    </w:p>
    <w:p w14:paraId="5EE31EC4" w14:textId="77777777"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4A201CCB" w14:textId="6D3BA539" w:rsidR="008D674E" w:rsidRPr="008D674E" w:rsidRDefault="00594C61" w:rsidP="001B29A1">
      <w:pPr>
        <w:pBdr>
          <w:top w:val="single" w:sz="4" w:space="1" w:color="auto"/>
          <w:left w:val="single" w:sz="4" w:space="4" w:color="auto"/>
          <w:bottom w:val="single" w:sz="4" w:space="1" w:color="auto"/>
          <w:right w:val="single" w:sz="4" w:space="4" w:color="auto"/>
        </w:pBdr>
        <w:rPr>
          <w:szCs w:val="20"/>
        </w:rPr>
      </w:pPr>
      <w:r>
        <w:rPr>
          <w:b/>
          <w:bCs/>
          <w:szCs w:val="20"/>
        </w:rPr>
        <w:t xml:space="preserve">Primary Outcome: </w:t>
      </w:r>
      <w:r w:rsidR="008D674E" w:rsidRPr="008D674E">
        <w:rPr>
          <w:szCs w:val="20"/>
        </w:rPr>
        <w:t>Biochemical progression free survival (b-PFS)</w:t>
      </w:r>
    </w:p>
    <w:p w14:paraId="7D2EB3BD" w14:textId="1D0897B5" w:rsidR="00594C61" w:rsidRDefault="00594C61" w:rsidP="001B29A1">
      <w:pPr>
        <w:pBdr>
          <w:top w:val="single" w:sz="4" w:space="1" w:color="auto"/>
          <w:left w:val="single" w:sz="4" w:space="4" w:color="auto"/>
          <w:bottom w:val="single" w:sz="4" w:space="1" w:color="auto"/>
          <w:right w:val="single" w:sz="4" w:space="4" w:color="auto"/>
        </w:pBdr>
        <w:rPr>
          <w:b/>
          <w:bCs/>
          <w:szCs w:val="20"/>
        </w:rPr>
      </w:pPr>
      <w:r>
        <w:rPr>
          <w:b/>
          <w:bCs/>
          <w:szCs w:val="20"/>
        </w:rPr>
        <w:t>Secondary Outcomes</w:t>
      </w:r>
      <w:r w:rsidR="007F5F55">
        <w:rPr>
          <w:b/>
          <w:bCs/>
          <w:szCs w:val="20"/>
        </w:rPr>
        <w:t>:</w:t>
      </w:r>
    </w:p>
    <w:p w14:paraId="4CFD7E8C" w14:textId="4E85C6F6"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Overall survival (OS)</w:t>
      </w:r>
      <w:r w:rsidR="00594C61">
        <w:rPr>
          <w:szCs w:val="20"/>
        </w:rPr>
        <w:t xml:space="preserve"> </w:t>
      </w:r>
    </w:p>
    <w:p w14:paraId="33ECA2CB"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 xml:space="preserve">Metastasis-free survival </w:t>
      </w:r>
    </w:p>
    <w:p w14:paraId="182E08BC" w14:textId="77777777" w:rsidR="001B29A1" w:rsidRPr="00154B00" w:rsidRDefault="008D674E" w:rsidP="001B29A1">
      <w:pPr>
        <w:pBdr>
          <w:top w:val="single" w:sz="4" w:space="1" w:color="auto"/>
          <w:left w:val="single" w:sz="4" w:space="4" w:color="auto"/>
          <w:bottom w:val="single" w:sz="4" w:space="1" w:color="auto"/>
          <w:right w:val="single" w:sz="4" w:space="4" w:color="auto"/>
        </w:pBdr>
        <w:rPr>
          <w:b/>
          <w:szCs w:val="20"/>
        </w:rPr>
      </w:pPr>
      <w:r>
        <w:rPr>
          <w:szCs w:val="20"/>
        </w:rPr>
        <w:t>Prostate cancer-specific survival</w:t>
      </w:r>
    </w:p>
    <w:p w14:paraId="3575D811" w14:textId="77777777" w:rsidR="000C7277" w:rsidRDefault="000C7277">
      <w:pPr>
        <w:spacing w:before="0" w:after="200" w:line="276" w:lineRule="auto"/>
        <w:rPr>
          <w:bCs/>
          <w:color w:val="4F81BD" w:themeColor="accent1"/>
          <w:sz w:val="40"/>
          <w:szCs w:val="32"/>
        </w:rPr>
      </w:pPr>
      <w:r>
        <w:br w:type="page"/>
      </w:r>
    </w:p>
    <w:p w14:paraId="7C62EEFE" w14:textId="2608AA31" w:rsidR="00C776B1" w:rsidRPr="00C776B1" w:rsidRDefault="005C3AE7" w:rsidP="00092580">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A777BAF"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4D0DAB0" w14:textId="750CDF5B" w:rsidR="006C74B1" w:rsidRPr="00154B00" w:rsidRDefault="001B6F7A" w:rsidP="00DA6702">
      <w:pPr>
        <w:ind w:left="360"/>
        <w:rPr>
          <w:szCs w:val="20"/>
        </w:rPr>
      </w:pPr>
      <w:r w:rsidRPr="001B6F7A">
        <w:rPr>
          <w:szCs w:val="20"/>
        </w:rPr>
        <w:t xml:space="preserve">It is estimated that </w:t>
      </w:r>
      <w:r w:rsidR="007151BD">
        <w:rPr>
          <w:szCs w:val="20"/>
        </w:rPr>
        <w:t xml:space="preserve">there will be </w:t>
      </w:r>
      <w:r w:rsidR="00FB27AA">
        <w:rPr>
          <w:szCs w:val="20"/>
        </w:rPr>
        <w:t xml:space="preserve">24,217 </w:t>
      </w:r>
      <w:r w:rsidRPr="001B6F7A">
        <w:rPr>
          <w:szCs w:val="20"/>
        </w:rPr>
        <w:t xml:space="preserve">new cases of prostate cancers diagnosed </w:t>
      </w:r>
      <w:r w:rsidR="007151BD">
        <w:rPr>
          <w:szCs w:val="20"/>
        </w:rPr>
        <w:t>in</w:t>
      </w:r>
      <w:r w:rsidRPr="001B6F7A">
        <w:rPr>
          <w:szCs w:val="20"/>
        </w:rPr>
        <w:t xml:space="preserve"> 20</w:t>
      </w:r>
      <w:r w:rsidR="007151BD">
        <w:rPr>
          <w:szCs w:val="20"/>
        </w:rPr>
        <w:t>22</w:t>
      </w:r>
      <w:r w:rsidR="00321EB9">
        <w:rPr>
          <w:rStyle w:val="FootnoteReference"/>
          <w:szCs w:val="20"/>
        </w:rPr>
        <w:footnoteReference w:id="13"/>
      </w:r>
      <w:r w:rsidRPr="001B6F7A">
        <w:rPr>
          <w:szCs w:val="20"/>
        </w:rPr>
        <w:t xml:space="preserve"> .  It is estimated that 35.9% will be intermediate risk cancers and 16.5% </w:t>
      </w:r>
      <w:r w:rsidR="00321EB9">
        <w:rPr>
          <w:szCs w:val="20"/>
        </w:rPr>
        <w:t>will be classified as high risk</w:t>
      </w:r>
      <w:r w:rsidR="00321EB9">
        <w:rPr>
          <w:rStyle w:val="FootnoteReference"/>
          <w:szCs w:val="20"/>
        </w:rPr>
        <w:footnoteReference w:id="14"/>
      </w:r>
      <w:r w:rsidRPr="001B6F7A">
        <w:rPr>
          <w:szCs w:val="20"/>
        </w:rPr>
        <w:t xml:space="preserve">.  Therefore potentially </w:t>
      </w:r>
      <w:r w:rsidR="006A51EF">
        <w:rPr>
          <w:szCs w:val="20"/>
        </w:rPr>
        <w:t>12,690</w:t>
      </w:r>
      <w:r w:rsidR="00321EB9">
        <w:rPr>
          <w:szCs w:val="20"/>
        </w:rPr>
        <w:t xml:space="preserve"> patients would be eligible.</w:t>
      </w:r>
    </w:p>
    <w:p w14:paraId="6B62845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D7C588C" w14:textId="77777777" w:rsidR="00382407" w:rsidRPr="00154B00" w:rsidRDefault="00DA6702" w:rsidP="00AE1188">
      <w:pPr>
        <w:ind w:left="426"/>
        <w:rPr>
          <w:szCs w:val="20"/>
        </w:rPr>
      </w:pPr>
      <w:r>
        <w:t>Once</w:t>
      </w:r>
    </w:p>
    <w:p w14:paraId="665DC36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61E50BD" w14:textId="77777777" w:rsidR="00382407" w:rsidRPr="00154B00" w:rsidRDefault="00DA6702" w:rsidP="00AE1188">
      <w:pPr>
        <w:ind w:left="426"/>
        <w:rPr>
          <w:b/>
          <w:szCs w:val="20"/>
        </w:rPr>
      </w:pPr>
      <w:r>
        <w:t xml:space="preserve">The service is delivered only once to the patient.  The exception to this is when a man has progressive disease.  Brachytherapy (LDR </w:t>
      </w:r>
      <w:r w:rsidR="00696E04">
        <w:t xml:space="preserve">or </w:t>
      </w:r>
      <w:r>
        <w:t xml:space="preserve">HDR) may </w:t>
      </w:r>
      <w:r w:rsidR="005A65A8">
        <w:t xml:space="preserve">occasionally </w:t>
      </w:r>
      <w:r>
        <w:t xml:space="preserve">be offered again if </w:t>
      </w:r>
      <w:r w:rsidR="00696E04">
        <w:t>there is biochemical failure following radiotherapy modalities</w:t>
      </w:r>
    </w:p>
    <w:p w14:paraId="440C21FA"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ED42546" w14:textId="77777777" w:rsidR="00037211" w:rsidRDefault="00321EB9" w:rsidP="00321EB9">
      <w:pPr>
        <w:ind w:left="426"/>
      </w:pPr>
      <w:r>
        <w:t>While it is likely that there will be</w:t>
      </w:r>
      <w:r w:rsidR="00687E13">
        <w:t xml:space="preserve"> </w:t>
      </w:r>
      <w:r w:rsidR="00D23603">
        <w:t xml:space="preserve">12,690 </w:t>
      </w:r>
      <w:r>
        <w:t xml:space="preserve">eligible patients by </w:t>
      </w:r>
      <w:r w:rsidR="00D23603">
        <w:t>2023</w:t>
      </w:r>
      <w:r>
        <w:t xml:space="preserve">, a large proportion of the intermediate risk cases will be managed by active surveillance or RP.  It is not possible to determine how many patients are managed by active surveillance. A proportion of </w:t>
      </w:r>
      <w:proofErr w:type="gramStart"/>
      <w:r>
        <w:t>high risk</w:t>
      </w:r>
      <w:proofErr w:type="gramEnd"/>
      <w:r>
        <w:t xml:space="preserve"> patients will be managed by RP with or without EBRT. </w:t>
      </w:r>
    </w:p>
    <w:p w14:paraId="208039F5" w14:textId="0D0EF102" w:rsidR="00321EB9" w:rsidRDefault="00321EB9" w:rsidP="00321EB9">
      <w:pPr>
        <w:ind w:left="426"/>
      </w:pPr>
      <w:r>
        <w:t xml:space="preserve">There were approximately </w:t>
      </w:r>
      <w:r w:rsidR="00551579">
        <w:t>10,271</w:t>
      </w:r>
      <w:r>
        <w:t xml:space="preserve"> RPs performed in 20</w:t>
      </w:r>
      <w:r w:rsidR="00551579">
        <w:t>20</w:t>
      </w:r>
      <w:r>
        <w:t>-20</w:t>
      </w:r>
      <w:r w:rsidR="00551579">
        <w:t>21</w:t>
      </w:r>
      <w:r>
        <w:rPr>
          <w:rStyle w:val="FootnoteReference"/>
        </w:rPr>
        <w:footnoteReference w:id="15"/>
      </w:r>
      <w:r>
        <w:t xml:space="preserve"> , however it is not possible to determine how many of these procedures may have been performed to treat recurrent disease or how many were performed in low</w:t>
      </w:r>
      <w:r w:rsidR="00551579">
        <w:t>-</w:t>
      </w:r>
      <w:r>
        <w:t>risk patients.</w:t>
      </w:r>
    </w:p>
    <w:p w14:paraId="723C2014" w14:textId="77777777" w:rsidR="00321EB9" w:rsidRDefault="00321EB9" w:rsidP="00321EB9">
      <w:pPr>
        <w:ind w:left="426"/>
      </w:pPr>
      <w:r>
        <w:t>As LDR Brachytherapy has been available for lower risk disease (T1 or T2 tumour, PSA ≤ 10 ng/ml and Gleason Score ≤ 7), it may be more useful to estimate utilisation using current utilisation of LDR Brachytherapy.</w:t>
      </w:r>
    </w:p>
    <w:p w14:paraId="07A78253" w14:textId="2ACCBD37" w:rsidR="00321EB9" w:rsidRDefault="00321EB9" w:rsidP="00321EB9">
      <w:pPr>
        <w:ind w:left="426"/>
      </w:pPr>
      <w:r>
        <w:t>In 20</w:t>
      </w:r>
      <w:r w:rsidR="007876D3">
        <w:t>21</w:t>
      </w:r>
      <w:r>
        <w:t xml:space="preserve"> </w:t>
      </w:r>
      <w:r w:rsidR="000A7CC2">
        <w:t xml:space="preserve">calendar </w:t>
      </w:r>
      <w:r>
        <w:t>year item number 372</w:t>
      </w:r>
      <w:r w:rsidR="0098498B">
        <w:t>2</w:t>
      </w:r>
      <w:r>
        <w:t xml:space="preserve">0 (LDR Brachytherapy, urological component) was claimed </w:t>
      </w:r>
      <w:r w:rsidR="00450DE8">
        <w:t>2</w:t>
      </w:r>
      <w:r w:rsidR="007876D3">
        <w:t>42</w:t>
      </w:r>
      <w:r>
        <w:t xml:space="preserve"> times. 47.6% of prostate cancers are estimated to be low risk and 52.4% are estimated to be interm</w:t>
      </w:r>
      <w:r w:rsidR="005A65A8">
        <w:t>ediate or high risk.</w:t>
      </w:r>
      <w:r w:rsidR="00BB4F42">
        <w:rPr>
          <w:rStyle w:val="FootnoteReference"/>
        </w:rPr>
        <w:footnoteReference w:id="16"/>
      </w:r>
      <w:r w:rsidR="005A65A8">
        <w:t xml:space="preserve">  If it is</w:t>
      </w:r>
      <w:r>
        <w:t xml:space="preserve"> assumed that a similar proportion of intermediate and high-risk cases would receive LDR brachytherapy as low risk </w:t>
      </w:r>
      <w:r w:rsidR="009E622B">
        <w:t>patients,</w:t>
      </w:r>
      <w:r>
        <w:t xml:space="preserve"> then the </w:t>
      </w:r>
      <w:r w:rsidR="00857DFC">
        <w:t>total</w:t>
      </w:r>
      <w:r>
        <w:t xml:space="preserve"> number of LDR services would be </w:t>
      </w:r>
      <w:r w:rsidR="00450E59">
        <w:t>548</w:t>
      </w:r>
      <w:r>
        <w:t>.</w:t>
      </w:r>
      <w:r w:rsidR="007876D3">
        <w:t xml:space="preserve"> </w:t>
      </w:r>
    </w:p>
    <w:p w14:paraId="30882589" w14:textId="34882A03" w:rsidR="00974D50" w:rsidRPr="00154B00" w:rsidRDefault="00321EB9" w:rsidP="001E37D9">
      <w:pPr>
        <w:pStyle w:val="Heading2"/>
        <w:rPr>
          <w:b w:val="0"/>
        </w:rPr>
      </w:pPr>
      <w:r w:rsidRPr="00DE3FDD">
        <w:t xml:space="preserve">Clinicians are of the opinion that </w:t>
      </w:r>
      <w:r>
        <w:t>initial uptake of LDR</w:t>
      </w:r>
      <w:r w:rsidR="00857DFC">
        <w:t xml:space="preserve"> will be </w:t>
      </w:r>
      <w:r w:rsidR="0032735C">
        <w:t>moderate</w:t>
      </w:r>
      <w:r w:rsidR="00753A76">
        <w:t xml:space="preserve"> and antic</w:t>
      </w:r>
      <w:r w:rsidR="005447E3">
        <w:t>i</w:t>
      </w:r>
      <w:r w:rsidR="00753A76">
        <w:t>pate</w:t>
      </w:r>
      <w:r w:rsidR="00372C3B">
        <w:t xml:space="preserve"> that </w:t>
      </w:r>
      <w:r w:rsidR="00753A76">
        <w:t>most of the</w:t>
      </w:r>
      <w:r w:rsidR="00372C3B">
        <w:t xml:space="preserve"> utilisation will come from patients who would otherwise have had HDR</w:t>
      </w:r>
      <w:r w:rsidR="00753A76">
        <w:t xml:space="preserve"> as HDR is difficult to access due to the infrastructure requirements</w:t>
      </w:r>
      <w:r w:rsidR="00372C3B">
        <w:t xml:space="preserve"> </w:t>
      </w:r>
      <w:r w:rsidR="00515382">
        <w:t>The Victorian Prostate Cancer Registry estimates that 0.8% of intermediate risk patients receive EBRT + HDR and 3.1% of high</w:t>
      </w:r>
      <w:r w:rsidR="00E921DD">
        <w:t>-</w:t>
      </w:r>
      <w:r w:rsidR="00515382">
        <w:t>ri</w:t>
      </w:r>
      <w:r w:rsidR="00E921DD">
        <w:t xml:space="preserve">sk patients. </w:t>
      </w:r>
      <w:proofErr w:type="gramStart"/>
      <w:r w:rsidR="005447E3">
        <w:t>Assuming that</w:t>
      </w:r>
      <w:proofErr w:type="gramEnd"/>
      <w:r w:rsidR="005447E3">
        <w:t xml:space="preserve"> 50% of these patients will receive LDR instead, then there will be 102 patients accessing LDR </w:t>
      </w:r>
      <w:r w:rsidR="005A58BA">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rsidR="005A58BA">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214BB3A" w14:textId="0DB500EC" w:rsidR="00321EB9" w:rsidRDefault="00321EB9" w:rsidP="00321EB9">
      <w:pPr>
        <w:ind w:left="426"/>
      </w:pPr>
      <w:r>
        <w:lastRenderedPageBreak/>
        <w:t>At present LDR Brachytherapy is only available in a limited number (</w:t>
      </w:r>
      <w:r w:rsidR="00CD7404" w:rsidRPr="00DE3FDD">
        <w:t>25</w:t>
      </w:r>
      <w:r w:rsidRPr="00DE3FDD">
        <w:t>)</w:t>
      </w:r>
      <w:r w:rsidRPr="00CD7404">
        <w:t xml:space="preserve"> </w:t>
      </w:r>
      <w:r>
        <w:t>of centres in Australia. Therefore, uptake will be limited by the available facilities.  Uptake in the public sector is likely to be limited by the cost of the seeds.  This is not the case in the private sector as the seeds are included on the Prostheses List and are covered by private health insurance</w:t>
      </w:r>
    </w:p>
    <w:p w14:paraId="541EACD1" w14:textId="3B55F6E3" w:rsidR="006B2FD2" w:rsidRDefault="00321EB9" w:rsidP="000C7277">
      <w:pPr>
        <w:ind w:left="426"/>
      </w:pPr>
      <w:r>
        <w:t>It is likely that as the results of the ASCENDE-RT trial are disseminated that patients who would otherwise have received a DE-EBRT treatment will be considered for LDR Brachytherapy</w:t>
      </w:r>
    </w:p>
    <w:tbl>
      <w:tblPr>
        <w:tblStyle w:val="TableGrid"/>
        <w:tblW w:w="0" w:type="auto"/>
        <w:tblInd w:w="426" w:type="dxa"/>
        <w:tblLook w:val="04A0" w:firstRow="1" w:lastRow="0" w:firstColumn="1" w:lastColumn="0" w:noHBand="0" w:noVBand="1"/>
        <w:tblCaption w:val="Table showing population, incidence and risk."/>
        <w:tblDescription w:val="Table showing population, incidence and risk."/>
      </w:tblPr>
      <w:tblGrid>
        <w:gridCol w:w="694"/>
        <w:gridCol w:w="1852"/>
        <w:gridCol w:w="1559"/>
        <w:gridCol w:w="1701"/>
        <w:gridCol w:w="1376"/>
        <w:gridCol w:w="1408"/>
      </w:tblGrid>
      <w:tr w:rsidR="00321EB9" w:rsidRPr="003A114D" w14:paraId="484A1CB5" w14:textId="77777777" w:rsidTr="00E65873">
        <w:trPr>
          <w:tblHeader/>
        </w:trPr>
        <w:tc>
          <w:tcPr>
            <w:tcW w:w="694" w:type="dxa"/>
          </w:tcPr>
          <w:p w14:paraId="694F5CCA" w14:textId="77777777" w:rsidR="00321EB9" w:rsidRPr="000C7277" w:rsidRDefault="00321EB9" w:rsidP="005B6896">
            <w:pPr>
              <w:jc w:val="center"/>
              <w:rPr>
                <w:szCs w:val="20"/>
              </w:rPr>
            </w:pPr>
          </w:p>
        </w:tc>
        <w:tc>
          <w:tcPr>
            <w:tcW w:w="1852" w:type="dxa"/>
          </w:tcPr>
          <w:p w14:paraId="24A7A1B4" w14:textId="77777777" w:rsidR="00321EB9" w:rsidRPr="000C7277" w:rsidRDefault="00321EB9" w:rsidP="005B6896">
            <w:pPr>
              <w:jc w:val="center"/>
              <w:rPr>
                <w:b/>
                <w:szCs w:val="20"/>
              </w:rPr>
            </w:pPr>
            <w:r w:rsidRPr="000C7277">
              <w:rPr>
                <w:b/>
                <w:szCs w:val="20"/>
              </w:rPr>
              <w:t>Description</w:t>
            </w:r>
          </w:p>
        </w:tc>
        <w:tc>
          <w:tcPr>
            <w:tcW w:w="1559" w:type="dxa"/>
          </w:tcPr>
          <w:p w14:paraId="4DF33495" w14:textId="77777777" w:rsidR="00321EB9" w:rsidRPr="000C7277" w:rsidRDefault="00321EB9" w:rsidP="005B6896">
            <w:pPr>
              <w:jc w:val="center"/>
              <w:rPr>
                <w:b/>
                <w:szCs w:val="20"/>
              </w:rPr>
            </w:pPr>
            <w:r w:rsidRPr="000C7277">
              <w:rPr>
                <w:b/>
                <w:szCs w:val="20"/>
              </w:rPr>
              <w:t>Source</w:t>
            </w:r>
          </w:p>
        </w:tc>
        <w:tc>
          <w:tcPr>
            <w:tcW w:w="1701" w:type="dxa"/>
          </w:tcPr>
          <w:p w14:paraId="063508D5" w14:textId="4B077166" w:rsidR="00321EB9" w:rsidRPr="000C7277" w:rsidRDefault="00321EB9" w:rsidP="005B6896">
            <w:pPr>
              <w:jc w:val="center"/>
              <w:rPr>
                <w:b/>
                <w:szCs w:val="20"/>
              </w:rPr>
            </w:pPr>
            <w:r w:rsidRPr="000C7277">
              <w:rPr>
                <w:b/>
                <w:szCs w:val="20"/>
              </w:rPr>
              <w:t>20</w:t>
            </w:r>
            <w:r w:rsidR="007E33DA" w:rsidRPr="000C7277">
              <w:rPr>
                <w:b/>
                <w:szCs w:val="20"/>
              </w:rPr>
              <w:t>23</w:t>
            </w:r>
          </w:p>
        </w:tc>
        <w:tc>
          <w:tcPr>
            <w:tcW w:w="1376" w:type="dxa"/>
          </w:tcPr>
          <w:p w14:paraId="3BA0788B" w14:textId="7901EDF4" w:rsidR="00321EB9" w:rsidRPr="000C7277" w:rsidRDefault="00321EB9" w:rsidP="005B6896">
            <w:pPr>
              <w:jc w:val="center"/>
              <w:rPr>
                <w:b/>
                <w:szCs w:val="20"/>
              </w:rPr>
            </w:pPr>
            <w:r w:rsidRPr="000C7277">
              <w:rPr>
                <w:b/>
                <w:szCs w:val="20"/>
              </w:rPr>
              <w:t>202</w:t>
            </w:r>
            <w:r w:rsidR="00315A98" w:rsidRPr="000C7277">
              <w:rPr>
                <w:b/>
                <w:szCs w:val="20"/>
              </w:rPr>
              <w:t>4</w:t>
            </w:r>
          </w:p>
        </w:tc>
        <w:tc>
          <w:tcPr>
            <w:tcW w:w="1408" w:type="dxa"/>
          </w:tcPr>
          <w:p w14:paraId="163D49EF" w14:textId="182D3F40" w:rsidR="00321EB9" w:rsidRPr="000C7277" w:rsidRDefault="00321EB9" w:rsidP="005B6896">
            <w:pPr>
              <w:jc w:val="center"/>
              <w:rPr>
                <w:b/>
                <w:szCs w:val="20"/>
              </w:rPr>
            </w:pPr>
            <w:r w:rsidRPr="000C7277">
              <w:rPr>
                <w:b/>
                <w:szCs w:val="20"/>
              </w:rPr>
              <w:t>202</w:t>
            </w:r>
            <w:r w:rsidR="00315A98" w:rsidRPr="000C7277">
              <w:rPr>
                <w:b/>
                <w:szCs w:val="20"/>
              </w:rPr>
              <w:t>5</w:t>
            </w:r>
          </w:p>
        </w:tc>
      </w:tr>
      <w:tr w:rsidR="006035E6" w:rsidRPr="003A114D" w14:paraId="0D3DA6CF" w14:textId="77777777" w:rsidTr="00F63E37">
        <w:tc>
          <w:tcPr>
            <w:tcW w:w="694" w:type="dxa"/>
          </w:tcPr>
          <w:p w14:paraId="5E3C1F26" w14:textId="77777777" w:rsidR="006035E6" w:rsidRPr="000C7277" w:rsidRDefault="006035E6" w:rsidP="005B6896">
            <w:pPr>
              <w:jc w:val="center"/>
              <w:rPr>
                <w:szCs w:val="20"/>
              </w:rPr>
            </w:pPr>
            <w:r w:rsidRPr="000C7277">
              <w:rPr>
                <w:szCs w:val="20"/>
              </w:rPr>
              <w:t>A</w:t>
            </w:r>
          </w:p>
        </w:tc>
        <w:tc>
          <w:tcPr>
            <w:tcW w:w="1852" w:type="dxa"/>
          </w:tcPr>
          <w:p w14:paraId="4383D503" w14:textId="4AD04DCD" w:rsidR="006035E6" w:rsidRPr="000C7277" w:rsidRDefault="006035E6" w:rsidP="005B6896">
            <w:pPr>
              <w:jc w:val="center"/>
              <w:rPr>
                <w:szCs w:val="20"/>
              </w:rPr>
            </w:pPr>
            <w:r w:rsidRPr="000C7277">
              <w:rPr>
                <w:szCs w:val="20"/>
              </w:rPr>
              <w:t>Annual incidence prostate cancer</w:t>
            </w:r>
          </w:p>
        </w:tc>
        <w:tc>
          <w:tcPr>
            <w:tcW w:w="1559" w:type="dxa"/>
          </w:tcPr>
          <w:p w14:paraId="338FB69F" w14:textId="23E2EF00" w:rsidR="006035E6" w:rsidRPr="000C7277" w:rsidRDefault="006035E6" w:rsidP="005B6896">
            <w:pPr>
              <w:jc w:val="center"/>
              <w:rPr>
                <w:szCs w:val="20"/>
              </w:rPr>
            </w:pPr>
            <w:r w:rsidRPr="000C7277">
              <w:rPr>
                <w:szCs w:val="20"/>
              </w:rPr>
              <w:t>Estimated from AIHW</w:t>
            </w:r>
            <w:r w:rsidR="006C0A3A" w:rsidRPr="000C7277">
              <w:rPr>
                <w:szCs w:val="20"/>
              </w:rPr>
              <w:t xml:space="preserve"> and ABS</w:t>
            </w:r>
            <w:r w:rsidRPr="000C7277">
              <w:rPr>
                <w:szCs w:val="20"/>
                <w:vertAlign w:val="superscript"/>
              </w:rPr>
              <w:footnoteReference w:id="17"/>
            </w:r>
          </w:p>
        </w:tc>
        <w:tc>
          <w:tcPr>
            <w:tcW w:w="1701" w:type="dxa"/>
          </w:tcPr>
          <w:p w14:paraId="2B5DC622" w14:textId="12A6E2A0" w:rsidR="006035E6" w:rsidRPr="000C7277" w:rsidRDefault="006035E6" w:rsidP="005B6896">
            <w:pPr>
              <w:jc w:val="center"/>
              <w:rPr>
                <w:szCs w:val="20"/>
              </w:rPr>
            </w:pPr>
            <w:r w:rsidRPr="000C7277">
              <w:rPr>
                <w:szCs w:val="20"/>
              </w:rPr>
              <w:t>26,</w:t>
            </w:r>
            <w:r w:rsidR="006C0A3A" w:rsidRPr="000C7277">
              <w:rPr>
                <w:szCs w:val="20"/>
              </w:rPr>
              <w:t>381</w:t>
            </w:r>
          </w:p>
        </w:tc>
        <w:tc>
          <w:tcPr>
            <w:tcW w:w="1376" w:type="dxa"/>
          </w:tcPr>
          <w:p w14:paraId="4786CE0F" w14:textId="041FCACE" w:rsidR="006035E6" w:rsidRPr="000C7277" w:rsidRDefault="006035E6" w:rsidP="005B6896">
            <w:pPr>
              <w:jc w:val="center"/>
              <w:rPr>
                <w:szCs w:val="20"/>
              </w:rPr>
            </w:pPr>
            <w:r w:rsidRPr="000C7277">
              <w:rPr>
                <w:szCs w:val="20"/>
              </w:rPr>
              <w:t>27,128</w:t>
            </w:r>
          </w:p>
        </w:tc>
        <w:tc>
          <w:tcPr>
            <w:tcW w:w="1408" w:type="dxa"/>
          </w:tcPr>
          <w:p w14:paraId="199BE8C6" w14:textId="52B3F835" w:rsidR="006035E6" w:rsidRPr="000C7277" w:rsidRDefault="006035E6" w:rsidP="005B6896">
            <w:pPr>
              <w:jc w:val="center"/>
              <w:rPr>
                <w:szCs w:val="20"/>
              </w:rPr>
            </w:pPr>
            <w:r w:rsidRPr="000C7277">
              <w:rPr>
                <w:szCs w:val="20"/>
              </w:rPr>
              <w:t>27,887</w:t>
            </w:r>
          </w:p>
        </w:tc>
      </w:tr>
      <w:tr w:rsidR="00321EB9" w:rsidRPr="003A114D" w14:paraId="79F27EF8" w14:textId="77777777" w:rsidTr="00F63E37">
        <w:tc>
          <w:tcPr>
            <w:tcW w:w="694" w:type="dxa"/>
          </w:tcPr>
          <w:p w14:paraId="68002842" w14:textId="1D370CAA" w:rsidR="00321EB9" w:rsidRPr="000C7277" w:rsidRDefault="002C4799" w:rsidP="005B6896">
            <w:pPr>
              <w:jc w:val="center"/>
              <w:rPr>
                <w:szCs w:val="20"/>
              </w:rPr>
            </w:pPr>
            <w:r w:rsidRPr="000C7277">
              <w:rPr>
                <w:szCs w:val="20"/>
              </w:rPr>
              <w:t>B</w:t>
            </w:r>
          </w:p>
        </w:tc>
        <w:tc>
          <w:tcPr>
            <w:tcW w:w="1852" w:type="dxa"/>
          </w:tcPr>
          <w:p w14:paraId="69154A3C" w14:textId="64C17B67" w:rsidR="00321EB9" w:rsidRPr="000C7277" w:rsidRDefault="006C0A3A" w:rsidP="005B6896">
            <w:pPr>
              <w:jc w:val="center"/>
              <w:rPr>
                <w:szCs w:val="20"/>
              </w:rPr>
            </w:pPr>
            <w:r w:rsidRPr="000C7277">
              <w:rPr>
                <w:szCs w:val="20"/>
              </w:rPr>
              <w:t xml:space="preserve">Number </w:t>
            </w:r>
            <w:r w:rsidR="00321EB9" w:rsidRPr="000C7277">
              <w:rPr>
                <w:szCs w:val="20"/>
              </w:rPr>
              <w:t>High Risk</w:t>
            </w:r>
          </w:p>
        </w:tc>
        <w:tc>
          <w:tcPr>
            <w:tcW w:w="1559" w:type="dxa"/>
          </w:tcPr>
          <w:p w14:paraId="70CDCCF7" w14:textId="5061F4F0" w:rsidR="00321EB9" w:rsidRPr="000C7277" w:rsidRDefault="006C0A3A" w:rsidP="005B6896">
            <w:pPr>
              <w:jc w:val="center"/>
              <w:rPr>
                <w:szCs w:val="20"/>
              </w:rPr>
            </w:pPr>
            <w:r w:rsidRPr="000C7277">
              <w:rPr>
                <w:szCs w:val="20"/>
              </w:rPr>
              <w:t>0.165*A</w:t>
            </w:r>
          </w:p>
        </w:tc>
        <w:tc>
          <w:tcPr>
            <w:tcW w:w="1701" w:type="dxa"/>
          </w:tcPr>
          <w:p w14:paraId="223D1286" w14:textId="718852E1" w:rsidR="00321EB9" w:rsidRPr="000C7277" w:rsidRDefault="00A13FD0" w:rsidP="005B6896">
            <w:pPr>
              <w:jc w:val="center"/>
              <w:rPr>
                <w:szCs w:val="20"/>
              </w:rPr>
            </w:pPr>
            <w:r w:rsidRPr="000C7277">
              <w:rPr>
                <w:szCs w:val="20"/>
              </w:rPr>
              <w:t>4,353</w:t>
            </w:r>
          </w:p>
        </w:tc>
        <w:tc>
          <w:tcPr>
            <w:tcW w:w="1376" w:type="dxa"/>
          </w:tcPr>
          <w:p w14:paraId="1BFC5CA6" w14:textId="39360128" w:rsidR="00321EB9" w:rsidRPr="000C7277" w:rsidRDefault="00A13FD0" w:rsidP="005B6896">
            <w:pPr>
              <w:jc w:val="center"/>
              <w:rPr>
                <w:szCs w:val="20"/>
              </w:rPr>
            </w:pPr>
            <w:r w:rsidRPr="000C7277">
              <w:rPr>
                <w:szCs w:val="20"/>
              </w:rPr>
              <w:t>4,476</w:t>
            </w:r>
          </w:p>
        </w:tc>
        <w:tc>
          <w:tcPr>
            <w:tcW w:w="1408" w:type="dxa"/>
          </w:tcPr>
          <w:p w14:paraId="3B7B0819" w14:textId="783DDE79" w:rsidR="00321EB9" w:rsidRPr="000C7277" w:rsidRDefault="00A13FD0" w:rsidP="005B6896">
            <w:pPr>
              <w:jc w:val="center"/>
              <w:rPr>
                <w:szCs w:val="20"/>
              </w:rPr>
            </w:pPr>
            <w:r w:rsidRPr="000C7277">
              <w:rPr>
                <w:szCs w:val="20"/>
              </w:rPr>
              <w:t>4,601</w:t>
            </w:r>
          </w:p>
        </w:tc>
      </w:tr>
      <w:tr w:rsidR="00321EB9" w:rsidRPr="003A114D" w14:paraId="530604C4" w14:textId="77777777" w:rsidTr="00F63E37">
        <w:tc>
          <w:tcPr>
            <w:tcW w:w="694" w:type="dxa"/>
          </w:tcPr>
          <w:p w14:paraId="66FDF2C4" w14:textId="0F8B7A4F" w:rsidR="00321EB9" w:rsidRPr="000C7277" w:rsidRDefault="00A13FD0" w:rsidP="005B6896">
            <w:pPr>
              <w:jc w:val="center"/>
              <w:rPr>
                <w:szCs w:val="20"/>
              </w:rPr>
            </w:pPr>
            <w:r w:rsidRPr="000C7277">
              <w:rPr>
                <w:szCs w:val="20"/>
              </w:rPr>
              <w:t>C</w:t>
            </w:r>
          </w:p>
        </w:tc>
        <w:tc>
          <w:tcPr>
            <w:tcW w:w="1852" w:type="dxa"/>
          </w:tcPr>
          <w:p w14:paraId="37574104" w14:textId="668440C5" w:rsidR="00321EB9" w:rsidRPr="000C7277" w:rsidRDefault="006C0A3A" w:rsidP="005B6896">
            <w:pPr>
              <w:jc w:val="center"/>
              <w:rPr>
                <w:szCs w:val="20"/>
              </w:rPr>
            </w:pPr>
            <w:r w:rsidRPr="000C7277">
              <w:rPr>
                <w:szCs w:val="20"/>
              </w:rPr>
              <w:t>Number Intermediate Risk</w:t>
            </w:r>
          </w:p>
        </w:tc>
        <w:tc>
          <w:tcPr>
            <w:tcW w:w="1559" w:type="dxa"/>
          </w:tcPr>
          <w:p w14:paraId="2965FAF0" w14:textId="679B4DCB" w:rsidR="00321EB9" w:rsidRPr="000C7277" w:rsidRDefault="006C0A3A" w:rsidP="005B6896">
            <w:pPr>
              <w:jc w:val="center"/>
              <w:rPr>
                <w:szCs w:val="20"/>
              </w:rPr>
            </w:pPr>
            <w:r w:rsidRPr="000C7277">
              <w:rPr>
                <w:szCs w:val="20"/>
              </w:rPr>
              <w:t>0.359*A</w:t>
            </w:r>
          </w:p>
        </w:tc>
        <w:tc>
          <w:tcPr>
            <w:tcW w:w="1701" w:type="dxa"/>
          </w:tcPr>
          <w:p w14:paraId="4858A3C7" w14:textId="6E1DA0F6" w:rsidR="00321EB9" w:rsidRPr="000C7277" w:rsidRDefault="00A13FD0" w:rsidP="005B6896">
            <w:pPr>
              <w:jc w:val="center"/>
              <w:rPr>
                <w:szCs w:val="20"/>
              </w:rPr>
            </w:pPr>
            <w:r w:rsidRPr="000C7277">
              <w:rPr>
                <w:szCs w:val="20"/>
              </w:rPr>
              <w:t>9,470</w:t>
            </w:r>
          </w:p>
        </w:tc>
        <w:tc>
          <w:tcPr>
            <w:tcW w:w="1376" w:type="dxa"/>
          </w:tcPr>
          <w:p w14:paraId="0B8FD3ED" w14:textId="0E076230" w:rsidR="00321EB9" w:rsidRPr="000C7277" w:rsidRDefault="00A13FD0" w:rsidP="005B6896">
            <w:pPr>
              <w:jc w:val="center"/>
              <w:rPr>
                <w:szCs w:val="20"/>
              </w:rPr>
            </w:pPr>
            <w:r w:rsidRPr="000C7277">
              <w:rPr>
                <w:szCs w:val="20"/>
              </w:rPr>
              <w:t>9,739</w:t>
            </w:r>
          </w:p>
        </w:tc>
        <w:tc>
          <w:tcPr>
            <w:tcW w:w="1408" w:type="dxa"/>
          </w:tcPr>
          <w:p w14:paraId="27C1DB47" w14:textId="00FFC164" w:rsidR="00321EB9" w:rsidRPr="000C7277" w:rsidRDefault="00A13FD0" w:rsidP="005B6896">
            <w:pPr>
              <w:jc w:val="center"/>
              <w:rPr>
                <w:szCs w:val="20"/>
              </w:rPr>
            </w:pPr>
            <w:r w:rsidRPr="000C7277">
              <w:rPr>
                <w:szCs w:val="20"/>
              </w:rPr>
              <w:t>10,011</w:t>
            </w:r>
          </w:p>
        </w:tc>
      </w:tr>
      <w:tr w:rsidR="00D13D02" w:rsidRPr="003A114D" w14:paraId="7B379D76" w14:textId="77777777" w:rsidTr="00F63E37">
        <w:tc>
          <w:tcPr>
            <w:tcW w:w="694" w:type="dxa"/>
          </w:tcPr>
          <w:p w14:paraId="617C2BC8" w14:textId="5E7059C6" w:rsidR="00D13D02" w:rsidRPr="000C7277" w:rsidRDefault="005B6896" w:rsidP="005B6896">
            <w:pPr>
              <w:jc w:val="center"/>
              <w:rPr>
                <w:szCs w:val="20"/>
              </w:rPr>
            </w:pPr>
            <w:r w:rsidRPr="000C7277">
              <w:rPr>
                <w:szCs w:val="20"/>
              </w:rPr>
              <w:t>D</w:t>
            </w:r>
          </w:p>
        </w:tc>
        <w:tc>
          <w:tcPr>
            <w:tcW w:w="1852" w:type="dxa"/>
          </w:tcPr>
          <w:p w14:paraId="73A8942F" w14:textId="2FF8F9EC" w:rsidR="00D13D02" w:rsidRPr="000C7277" w:rsidRDefault="00712D97" w:rsidP="005B6896">
            <w:pPr>
              <w:jc w:val="center"/>
              <w:rPr>
                <w:szCs w:val="20"/>
              </w:rPr>
            </w:pPr>
            <w:r w:rsidRPr="000C7277">
              <w:rPr>
                <w:szCs w:val="20"/>
              </w:rPr>
              <w:t xml:space="preserve">Estimated </w:t>
            </w:r>
            <w:r w:rsidR="00A13FD0" w:rsidRPr="000C7277">
              <w:rPr>
                <w:szCs w:val="20"/>
              </w:rPr>
              <w:t>number receiving HDR</w:t>
            </w:r>
          </w:p>
        </w:tc>
        <w:tc>
          <w:tcPr>
            <w:tcW w:w="1559" w:type="dxa"/>
          </w:tcPr>
          <w:p w14:paraId="2549CAEF" w14:textId="4BBDD421" w:rsidR="00D13D02" w:rsidRPr="000C7277" w:rsidRDefault="00A13FD0" w:rsidP="005B6896">
            <w:pPr>
              <w:jc w:val="center"/>
              <w:rPr>
                <w:szCs w:val="20"/>
              </w:rPr>
            </w:pPr>
            <w:r w:rsidRPr="000C7277">
              <w:rPr>
                <w:szCs w:val="20"/>
              </w:rPr>
              <w:t>(0.031*B) + (0.008*C)</w:t>
            </w:r>
          </w:p>
        </w:tc>
        <w:tc>
          <w:tcPr>
            <w:tcW w:w="1701" w:type="dxa"/>
          </w:tcPr>
          <w:p w14:paraId="1AFAF00B" w14:textId="52D9EC98" w:rsidR="00D13D02" w:rsidRPr="000C7277" w:rsidRDefault="005B6896" w:rsidP="005B6896">
            <w:pPr>
              <w:jc w:val="center"/>
              <w:rPr>
                <w:szCs w:val="20"/>
              </w:rPr>
            </w:pPr>
            <w:r w:rsidRPr="000C7277">
              <w:rPr>
                <w:szCs w:val="20"/>
              </w:rPr>
              <w:t>212</w:t>
            </w:r>
          </w:p>
        </w:tc>
        <w:tc>
          <w:tcPr>
            <w:tcW w:w="1376" w:type="dxa"/>
          </w:tcPr>
          <w:p w14:paraId="27D798D5" w14:textId="4F47FE62" w:rsidR="00D13D02" w:rsidRPr="000C7277" w:rsidRDefault="005B6896" w:rsidP="005B6896">
            <w:pPr>
              <w:jc w:val="center"/>
              <w:rPr>
                <w:szCs w:val="20"/>
              </w:rPr>
            </w:pPr>
            <w:r w:rsidRPr="000C7277">
              <w:rPr>
                <w:szCs w:val="20"/>
              </w:rPr>
              <w:t>21</w:t>
            </w:r>
            <w:r w:rsidR="00FD2B3A" w:rsidRPr="000C7277">
              <w:rPr>
                <w:szCs w:val="20"/>
              </w:rPr>
              <w:t>7</w:t>
            </w:r>
          </w:p>
        </w:tc>
        <w:tc>
          <w:tcPr>
            <w:tcW w:w="1408" w:type="dxa"/>
          </w:tcPr>
          <w:p w14:paraId="150EFE1F" w14:textId="40408DBD" w:rsidR="00D13D02" w:rsidRPr="000C7277" w:rsidRDefault="005B6896" w:rsidP="005B6896">
            <w:pPr>
              <w:jc w:val="center"/>
              <w:rPr>
                <w:szCs w:val="20"/>
              </w:rPr>
            </w:pPr>
            <w:r w:rsidRPr="000C7277">
              <w:rPr>
                <w:szCs w:val="20"/>
              </w:rPr>
              <w:t>223</w:t>
            </w:r>
          </w:p>
        </w:tc>
      </w:tr>
      <w:tr w:rsidR="005B6896" w:rsidRPr="003A114D" w14:paraId="2FF1270C" w14:textId="77777777" w:rsidTr="00F63E37">
        <w:tc>
          <w:tcPr>
            <w:tcW w:w="694" w:type="dxa"/>
          </w:tcPr>
          <w:p w14:paraId="153BC997" w14:textId="1730E70F" w:rsidR="005B6896" w:rsidRPr="000C7277" w:rsidRDefault="005B6896" w:rsidP="005B6896">
            <w:pPr>
              <w:jc w:val="center"/>
              <w:rPr>
                <w:szCs w:val="20"/>
              </w:rPr>
            </w:pPr>
            <w:r w:rsidRPr="000C7277">
              <w:rPr>
                <w:szCs w:val="20"/>
              </w:rPr>
              <w:t>E</w:t>
            </w:r>
          </w:p>
        </w:tc>
        <w:tc>
          <w:tcPr>
            <w:tcW w:w="1852" w:type="dxa"/>
          </w:tcPr>
          <w:p w14:paraId="31B160FA" w14:textId="44B12C57" w:rsidR="005B6896" w:rsidRPr="000C7277" w:rsidRDefault="005B6896" w:rsidP="005B6896">
            <w:pPr>
              <w:jc w:val="center"/>
              <w:rPr>
                <w:szCs w:val="20"/>
              </w:rPr>
            </w:pPr>
            <w:r w:rsidRPr="000C7277">
              <w:rPr>
                <w:szCs w:val="20"/>
              </w:rPr>
              <w:t>Estimated number who will receive LDR</w:t>
            </w:r>
          </w:p>
        </w:tc>
        <w:tc>
          <w:tcPr>
            <w:tcW w:w="1559" w:type="dxa"/>
          </w:tcPr>
          <w:p w14:paraId="7CE2165B" w14:textId="25A390CF" w:rsidR="005B6896" w:rsidRPr="000C7277" w:rsidRDefault="005B6896" w:rsidP="005B6896">
            <w:pPr>
              <w:jc w:val="center"/>
              <w:rPr>
                <w:szCs w:val="20"/>
              </w:rPr>
            </w:pPr>
            <w:r w:rsidRPr="000C7277">
              <w:rPr>
                <w:szCs w:val="20"/>
              </w:rPr>
              <w:t>0.50*D</w:t>
            </w:r>
          </w:p>
        </w:tc>
        <w:tc>
          <w:tcPr>
            <w:tcW w:w="1701" w:type="dxa"/>
          </w:tcPr>
          <w:p w14:paraId="0880A277" w14:textId="2BCBE851" w:rsidR="005B6896" w:rsidRPr="000C7277" w:rsidRDefault="005B6896" w:rsidP="005B6896">
            <w:pPr>
              <w:jc w:val="center"/>
              <w:rPr>
                <w:szCs w:val="20"/>
              </w:rPr>
            </w:pPr>
            <w:r w:rsidRPr="000C7277">
              <w:rPr>
                <w:szCs w:val="20"/>
              </w:rPr>
              <w:t>106</w:t>
            </w:r>
          </w:p>
        </w:tc>
        <w:tc>
          <w:tcPr>
            <w:tcW w:w="1376" w:type="dxa"/>
          </w:tcPr>
          <w:p w14:paraId="49E55704" w14:textId="24602218" w:rsidR="005B6896" w:rsidRPr="000C7277" w:rsidRDefault="005B6896" w:rsidP="005B6896">
            <w:pPr>
              <w:jc w:val="center"/>
              <w:rPr>
                <w:szCs w:val="20"/>
              </w:rPr>
            </w:pPr>
            <w:r w:rsidRPr="000C7277">
              <w:rPr>
                <w:szCs w:val="20"/>
              </w:rPr>
              <w:t>10</w:t>
            </w:r>
            <w:r w:rsidR="001E37D9" w:rsidRPr="000C7277">
              <w:rPr>
                <w:szCs w:val="20"/>
              </w:rPr>
              <w:t>9</w:t>
            </w:r>
          </w:p>
        </w:tc>
        <w:tc>
          <w:tcPr>
            <w:tcW w:w="1408" w:type="dxa"/>
          </w:tcPr>
          <w:p w14:paraId="7E481F99" w14:textId="311E04F6" w:rsidR="005B6896" w:rsidRPr="000C7277" w:rsidRDefault="005B6896" w:rsidP="005B6896">
            <w:pPr>
              <w:jc w:val="center"/>
              <w:rPr>
                <w:szCs w:val="20"/>
              </w:rPr>
            </w:pPr>
            <w:r w:rsidRPr="000C7277">
              <w:rPr>
                <w:szCs w:val="20"/>
              </w:rPr>
              <w:t>112</w:t>
            </w:r>
          </w:p>
        </w:tc>
      </w:tr>
    </w:tbl>
    <w:p w14:paraId="1E59D4A0" w14:textId="029F7964" w:rsidR="003433D1" w:rsidRPr="009E622B" w:rsidRDefault="00BF3D8A" w:rsidP="000C7277">
      <w:pPr>
        <w:ind w:left="426"/>
        <w:rPr>
          <w:szCs w:val="20"/>
        </w:rPr>
      </w:pPr>
      <w:r>
        <w:rPr>
          <w:szCs w:val="20"/>
        </w:rPr>
        <w:t>As well as</w:t>
      </w:r>
      <w:r w:rsidR="006B2FD2">
        <w:rPr>
          <w:szCs w:val="20"/>
        </w:rPr>
        <w:t xml:space="preserve"> additional services from crossover from HDR Brachytherapy and population growth, it is likely that some patients who may otherwise</w:t>
      </w:r>
      <w:r w:rsidR="008A1A3F">
        <w:rPr>
          <w:szCs w:val="20"/>
        </w:rPr>
        <w:t xml:space="preserve"> have DE-</w:t>
      </w:r>
      <w:r w:rsidR="006B2FD2">
        <w:rPr>
          <w:szCs w:val="20"/>
        </w:rPr>
        <w:t xml:space="preserve">EBRT </w:t>
      </w:r>
      <w:r w:rsidR="008A1A3F">
        <w:rPr>
          <w:szCs w:val="20"/>
        </w:rPr>
        <w:t xml:space="preserve">may choose </w:t>
      </w:r>
      <w:r w:rsidR="006B2FD2">
        <w:rPr>
          <w:szCs w:val="20"/>
        </w:rPr>
        <w:t>LDR</w:t>
      </w:r>
      <w:r>
        <w:rPr>
          <w:szCs w:val="20"/>
        </w:rPr>
        <w:t xml:space="preserve"> brachytherapy</w:t>
      </w:r>
      <w:r w:rsidR="006B2FD2">
        <w:rPr>
          <w:szCs w:val="20"/>
        </w:rPr>
        <w:t xml:space="preserve"> boost</w:t>
      </w:r>
      <w:r>
        <w:rPr>
          <w:szCs w:val="20"/>
        </w:rPr>
        <w:t>.  Following consultation, clinicians believed that treatment choice is highly personal and dependent on a man’s tolerance or specific complications and side effects, and the advice received from the specialist with whom he had initial contact in the management of his prostate disease.</w:t>
      </w:r>
    </w:p>
    <w:p w14:paraId="1F87565B" w14:textId="77777777" w:rsidR="000C7277" w:rsidRDefault="000C7277">
      <w:pPr>
        <w:spacing w:before="0" w:after="200" w:line="276" w:lineRule="auto"/>
        <w:rPr>
          <w:bCs/>
          <w:color w:val="4F81BD" w:themeColor="accent1"/>
          <w:sz w:val="40"/>
          <w:szCs w:val="32"/>
        </w:rPr>
      </w:pPr>
      <w:r>
        <w:br w:type="page"/>
      </w:r>
    </w:p>
    <w:p w14:paraId="773EAE9A" w14:textId="1A0DD3E9"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ABD37CA"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B2E3B3D" w14:textId="17EB85D3" w:rsidR="00321EB9" w:rsidRPr="003F796B" w:rsidRDefault="00321EB9" w:rsidP="000C7277">
      <w:pPr>
        <w:ind w:left="360"/>
      </w:pPr>
      <w:r>
        <w:t xml:space="preserve">This estimate of cost is based on the component clinical services outlined in Question 27.  The costs are calculated from the perspective of the MBS.  Hospital costs and PBS costs are not considered in this analysis. </w:t>
      </w:r>
    </w:p>
    <w:tbl>
      <w:tblPr>
        <w:tblStyle w:val="TableGrid"/>
        <w:tblW w:w="0" w:type="auto"/>
        <w:tblInd w:w="426" w:type="dxa"/>
        <w:tblLayout w:type="fixed"/>
        <w:tblLook w:val="04A0" w:firstRow="1" w:lastRow="0" w:firstColumn="1" w:lastColumn="0" w:noHBand="0" w:noVBand="1"/>
        <w:tblCaption w:val="Table showing cost information"/>
        <w:tblDescription w:val="Table showing cost information"/>
      </w:tblPr>
      <w:tblGrid>
        <w:gridCol w:w="1554"/>
        <w:gridCol w:w="1132"/>
        <w:gridCol w:w="1315"/>
        <w:gridCol w:w="1796"/>
        <w:gridCol w:w="1143"/>
        <w:gridCol w:w="1650"/>
      </w:tblGrid>
      <w:tr w:rsidR="00116885" w14:paraId="62133459" w14:textId="77777777" w:rsidTr="00E81DA2">
        <w:trPr>
          <w:tblHeader/>
        </w:trPr>
        <w:tc>
          <w:tcPr>
            <w:tcW w:w="1554" w:type="dxa"/>
          </w:tcPr>
          <w:p w14:paraId="77A37071" w14:textId="77777777" w:rsidR="00321EB9" w:rsidRPr="004E6302" w:rsidRDefault="00321EB9" w:rsidP="00F63E37">
            <w:pPr>
              <w:jc w:val="center"/>
              <w:rPr>
                <w:b/>
                <w:szCs w:val="20"/>
              </w:rPr>
            </w:pPr>
            <w:r w:rsidRPr="004E6302">
              <w:rPr>
                <w:b/>
                <w:szCs w:val="20"/>
              </w:rPr>
              <w:t>Service</w:t>
            </w:r>
          </w:p>
        </w:tc>
        <w:tc>
          <w:tcPr>
            <w:tcW w:w="1132" w:type="dxa"/>
          </w:tcPr>
          <w:p w14:paraId="541DA4B9" w14:textId="77777777" w:rsidR="00321EB9" w:rsidRPr="004E6302" w:rsidRDefault="00321EB9" w:rsidP="00F63E37">
            <w:pPr>
              <w:jc w:val="center"/>
              <w:rPr>
                <w:b/>
                <w:szCs w:val="20"/>
              </w:rPr>
            </w:pPr>
            <w:r w:rsidRPr="004E6302">
              <w:rPr>
                <w:b/>
                <w:szCs w:val="20"/>
              </w:rPr>
              <w:t>MBS item</w:t>
            </w:r>
          </w:p>
        </w:tc>
        <w:tc>
          <w:tcPr>
            <w:tcW w:w="1315" w:type="dxa"/>
          </w:tcPr>
          <w:p w14:paraId="104528D9" w14:textId="77777777" w:rsidR="00321EB9" w:rsidRPr="004E6302" w:rsidRDefault="00321EB9" w:rsidP="00F63E37">
            <w:pPr>
              <w:jc w:val="center"/>
              <w:rPr>
                <w:b/>
                <w:szCs w:val="20"/>
              </w:rPr>
            </w:pPr>
            <w:r w:rsidRPr="004E6302">
              <w:rPr>
                <w:b/>
                <w:szCs w:val="20"/>
              </w:rPr>
              <w:t>Fee</w:t>
            </w:r>
          </w:p>
        </w:tc>
        <w:tc>
          <w:tcPr>
            <w:tcW w:w="1796" w:type="dxa"/>
          </w:tcPr>
          <w:p w14:paraId="483CC5ED" w14:textId="77777777" w:rsidR="00321EB9" w:rsidRPr="004E6302" w:rsidRDefault="00321EB9" w:rsidP="00F63E37">
            <w:pPr>
              <w:jc w:val="center"/>
              <w:rPr>
                <w:b/>
                <w:szCs w:val="20"/>
              </w:rPr>
            </w:pPr>
            <w:r w:rsidRPr="004E6302">
              <w:rPr>
                <w:b/>
                <w:szCs w:val="20"/>
              </w:rPr>
              <w:t>Benefit</w:t>
            </w:r>
          </w:p>
        </w:tc>
        <w:tc>
          <w:tcPr>
            <w:tcW w:w="1143" w:type="dxa"/>
          </w:tcPr>
          <w:p w14:paraId="5E81FEAC" w14:textId="77777777" w:rsidR="00321EB9" w:rsidRPr="004E6302" w:rsidRDefault="00321EB9" w:rsidP="00F63E37">
            <w:pPr>
              <w:jc w:val="center"/>
              <w:rPr>
                <w:b/>
                <w:szCs w:val="20"/>
              </w:rPr>
            </w:pPr>
            <w:r w:rsidRPr="004E6302">
              <w:rPr>
                <w:b/>
                <w:szCs w:val="20"/>
              </w:rPr>
              <w:t>Frequency</w:t>
            </w:r>
          </w:p>
        </w:tc>
        <w:tc>
          <w:tcPr>
            <w:tcW w:w="1650" w:type="dxa"/>
          </w:tcPr>
          <w:p w14:paraId="3C13E3B4" w14:textId="102A04AC" w:rsidR="00321EB9" w:rsidRPr="004E6302" w:rsidRDefault="00E65873" w:rsidP="00E65873">
            <w:pPr>
              <w:tabs>
                <w:tab w:val="left" w:pos="210"/>
                <w:tab w:val="center" w:pos="585"/>
              </w:tabs>
              <w:rPr>
                <w:b/>
                <w:szCs w:val="20"/>
              </w:rPr>
            </w:pPr>
            <w:r>
              <w:rPr>
                <w:b/>
                <w:szCs w:val="20"/>
              </w:rPr>
              <w:tab/>
            </w:r>
            <w:r>
              <w:rPr>
                <w:b/>
                <w:szCs w:val="20"/>
              </w:rPr>
              <w:tab/>
            </w:r>
            <w:r w:rsidR="00321EB9" w:rsidRPr="004E6302">
              <w:rPr>
                <w:b/>
                <w:szCs w:val="20"/>
              </w:rPr>
              <w:t>Cost</w:t>
            </w:r>
          </w:p>
        </w:tc>
      </w:tr>
      <w:tr w:rsidR="00116885" w14:paraId="4F7EB3FF" w14:textId="77777777" w:rsidTr="00E81DA2">
        <w:tc>
          <w:tcPr>
            <w:tcW w:w="1554" w:type="dxa"/>
          </w:tcPr>
          <w:p w14:paraId="15CC30DF" w14:textId="77777777" w:rsidR="00321EB9" w:rsidRPr="004E6302" w:rsidRDefault="00321EB9" w:rsidP="000C7277">
            <w:pPr>
              <w:spacing w:before="60" w:after="60"/>
              <w:rPr>
                <w:b/>
                <w:szCs w:val="20"/>
              </w:rPr>
            </w:pPr>
            <w:r w:rsidRPr="004E6302">
              <w:rPr>
                <w:b/>
                <w:szCs w:val="20"/>
              </w:rPr>
              <w:t>Pre-treatment attendances</w:t>
            </w:r>
          </w:p>
        </w:tc>
        <w:tc>
          <w:tcPr>
            <w:tcW w:w="1132" w:type="dxa"/>
          </w:tcPr>
          <w:p w14:paraId="557B9C20" w14:textId="77777777" w:rsidR="00321EB9" w:rsidRDefault="00321EB9" w:rsidP="000C7277">
            <w:pPr>
              <w:spacing w:before="60" w:after="60"/>
              <w:rPr>
                <w:szCs w:val="20"/>
              </w:rPr>
            </w:pPr>
          </w:p>
        </w:tc>
        <w:tc>
          <w:tcPr>
            <w:tcW w:w="1315" w:type="dxa"/>
          </w:tcPr>
          <w:p w14:paraId="02214B8C" w14:textId="77777777" w:rsidR="00321EB9" w:rsidRDefault="00321EB9" w:rsidP="000C7277">
            <w:pPr>
              <w:spacing w:before="60" w:after="60"/>
              <w:rPr>
                <w:szCs w:val="20"/>
              </w:rPr>
            </w:pPr>
          </w:p>
        </w:tc>
        <w:tc>
          <w:tcPr>
            <w:tcW w:w="1796" w:type="dxa"/>
          </w:tcPr>
          <w:p w14:paraId="525BFE1E" w14:textId="77777777" w:rsidR="00321EB9" w:rsidRDefault="00321EB9" w:rsidP="000C7277">
            <w:pPr>
              <w:spacing w:before="60" w:after="60"/>
              <w:rPr>
                <w:szCs w:val="20"/>
              </w:rPr>
            </w:pPr>
          </w:p>
        </w:tc>
        <w:tc>
          <w:tcPr>
            <w:tcW w:w="1143" w:type="dxa"/>
          </w:tcPr>
          <w:p w14:paraId="2E30B0F3" w14:textId="77777777" w:rsidR="00321EB9" w:rsidRDefault="00321EB9" w:rsidP="000C7277">
            <w:pPr>
              <w:spacing w:before="60" w:after="60"/>
              <w:rPr>
                <w:szCs w:val="20"/>
              </w:rPr>
            </w:pPr>
          </w:p>
        </w:tc>
        <w:tc>
          <w:tcPr>
            <w:tcW w:w="1650" w:type="dxa"/>
          </w:tcPr>
          <w:p w14:paraId="1D0121E9" w14:textId="77777777" w:rsidR="00321EB9" w:rsidRDefault="00321EB9" w:rsidP="000C7277">
            <w:pPr>
              <w:spacing w:before="60" w:after="60"/>
              <w:rPr>
                <w:szCs w:val="20"/>
              </w:rPr>
            </w:pPr>
          </w:p>
        </w:tc>
      </w:tr>
      <w:tr w:rsidR="00116885" w14:paraId="500B7A29" w14:textId="77777777" w:rsidTr="00E81DA2">
        <w:tc>
          <w:tcPr>
            <w:tcW w:w="1554" w:type="dxa"/>
          </w:tcPr>
          <w:p w14:paraId="4ACC1AFF" w14:textId="77777777" w:rsidR="00321EB9" w:rsidRPr="004E6302" w:rsidRDefault="00321EB9" w:rsidP="000C7277">
            <w:pPr>
              <w:spacing w:before="60" w:after="60"/>
              <w:rPr>
                <w:b/>
                <w:szCs w:val="20"/>
              </w:rPr>
            </w:pPr>
            <w:bookmarkStart w:id="6" w:name="_Hlk496180411"/>
            <w:r w:rsidRPr="004E6302">
              <w:rPr>
                <w:b/>
                <w:szCs w:val="20"/>
              </w:rPr>
              <w:t>Urologist</w:t>
            </w:r>
          </w:p>
        </w:tc>
        <w:tc>
          <w:tcPr>
            <w:tcW w:w="1132" w:type="dxa"/>
          </w:tcPr>
          <w:p w14:paraId="13348EEB" w14:textId="77777777" w:rsidR="00321EB9" w:rsidRDefault="00321EB9" w:rsidP="000C7277">
            <w:pPr>
              <w:spacing w:before="60" w:after="60"/>
              <w:jc w:val="center"/>
              <w:rPr>
                <w:szCs w:val="20"/>
              </w:rPr>
            </w:pPr>
            <w:r>
              <w:rPr>
                <w:szCs w:val="20"/>
              </w:rPr>
              <w:t>104</w:t>
            </w:r>
          </w:p>
        </w:tc>
        <w:tc>
          <w:tcPr>
            <w:tcW w:w="1315" w:type="dxa"/>
          </w:tcPr>
          <w:p w14:paraId="625B7E86" w14:textId="0BA1E79E" w:rsidR="00321EB9" w:rsidRDefault="00321EB9" w:rsidP="000C7277">
            <w:pPr>
              <w:spacing w:before="60" w:after="60"/>
              <w:jc w:val="center"/>
              <w:rPr>
                <w:szCs w:val="20"/>
              </w:rPr>
            </w:pPr>
            <w:r>
              <w:rPr>
                <w:szCs w:val="20"/>
              </w:rPr>
              <w:t>$</w:t>
            </w:r>
            <w:r w:rsidR="00257275">
              <w:rPr>
                <w:szCs w:val="20"/>
              </w:rPr>
              <w:t>91.80</w:t>
            </w:r>
          </w:p>
        </w:tc>
        <w:tc>
          <w:tcPr>
            <w:tcW w:w="1796" w:type="dxa"/>
          </w:tcPr>
          <w:p w14:paraId="6B11BA83" w14:textId="2034C951" w:rsidR="00321EB9" w:rsidRDefault="00321EB9" w:rsidP="000C7277">
            <w:pPr>
              <w:spacing w:before="60" w:after="60"/>
              <w:jc w:val="center"/>
              <w:rPr>
                <w:szCs w:val="20"/>
              </w:rPr>
            </w:pPr>
            <w:r>
              <w:rPr>
                <w:szCs w:val="20"/>
              </w:rPr>
              <w:t>$</w:t>
            </w:r>
            <w:r w:rsidR="00257275">
              <w:rPr>
                <w:szCs w:val="20"/>
              </w:rPr>
              <w:t>78.05</w:t>
            </w:r>
          </w:p>
        </w:tc>
        <w:tc>
          <w:tcPr>
            <w:tcW w:w="1143" w:type="dxa"/>
          </w:tcPr>
          <w:p w14:paraId="222D19A5" w14:textId="77777777" w:rsidR="00321EB9" w:rsidRDefault="00321EB9" w:rsidP="000C7277">
            <w:pPr>
              <w:spacing w:before="60" w:after="60"/>
              <w:jc w:val="center"/>
              <w:rPr>
                <w:szCs w:val="20"/>
              </w:rPr>
            </w:pPr>
            <w:r>
              <w:rPr>
                <w:szCs w:val="20"/>
              </w:rPr>
              <w:t>1</w:t>
            </w:r>
          </w:p>
        </w:tc>
        <w:tc>
          <w:tcPr>
            <w:tcW w:w="1650" w:type="dxa"/>
          </w:tcPr>
          <w:p w14:paraId="373D91B4" w14:textId="0C745836" w:rsidR="00321EB9" w:rsidRDefault="00321EB9" w:rsidP="000C7277">
            <w:pPr>
              <w:spacing w:before="60" w:after="60"/>
              <w:jc w:val="center"/>
              <w:rPr>
                <w:szCs w:val="20"/>
              </w:rPr>
            </w:pPr>
            <w:r>
              <w:rPr>
                <w:szCs w:val="20"/>
              </w:rPr>
              <w:t>$</w:t>
            </w:r>
            <w:r w:rsidR="00257275">
              <w:rPr>
                <w:szCs w:val="20"/>
              </w:rPr>
              <w:t>78.05</w:t>
            </w:r>
          </w:p>
        </w:tc>
      </w:tr>
      <w:bookmarkEnd w:id="6"/>
      <w:tr w:rsidR="00257275" w14:paraId="47FE3079" w14:textId="77777777" w:rsidTr="00E81DA2">
        <w:tc>
          <w:tcPr>
            <w:tcW w:w="1554" w:type="dxa"/>
          </w:tcPr>
          <w:p w14:paraId="635A5394" w14:textId="487D4DA3" w:rsidR="00257275" w:rsidRPr="004E6302" w:rsidRDefault="00257275" w:rsidP="000C7277">
            <w:pPr>
              <w:spacing w:before="60" w:after="60"/>
              <w:rPr>
                <w:b/>
                <w:szCs w:val="20"/>
              </w:rPr>
            </w:pPr>
            <w:r>
              <w:rPr>
                <w:b/>
                <w:szCs w:val="20"/>
              </w:rPr>
              <w:t>Radiation Oncologist</w:t>
            </w:r>
          </w:p>
        </w:tc>
        <w:tc>
          <w:tcPr>
            <w:tcW w:w="1132" w:type="dxa"/>
          </w:tcPr>
          <w:p w14:paraId="1B45490F" w14:textId="77777777" w:rsidR="00257275" w:rsidRDefault="00257275" w:rsidP="000C7277">
            <w:pPr>
              <w:spacing w:before="60" w:after="60"/>
              <w:jc w:val="center"/>
              <w:rPr>
                <w:szCs w:val="20"/>
              </w:rPr>
            </w:pPr>
            <w:r>
              <w:rPr>
                <w:szCs w:val="20"/>
              </w:rPr>
              <w:t>104</w:t>
            </w:r>
          </w:p>
        </w:tc>
        <w:tc>
          <w:tcPr>
            <w:tcW w:w="1315" w:type="dxa"/>
          </w:tcPr>
          <w:p w14:paraId="4C107454" w14:textId="556B264A" w:rsidR="00257275" w:rsidRDefault="00257275" w:rsidP="000C7277">
            <w:pPr>
              <w:spacing w:before="60" w:after="60"/>
              <w:jc w:val="center"/>
              <w:rPr>
                <w:szCs w:val="20"/>
              </w:rPr>
            </w:pPr>
            <w:r w:rsidRPr="000A0EFD">
              <w:t>$91.80</w:t>
            </w:r>
          </w:p>
        </w:tc>
        <w:tc>
          <w:tcPr>
            <w:tcW w:w="1796" w:type="dxa"/>
          </w:tcPr>
          <w:p w14:paraId="2E4B96FB" w14:textId="094FF25D" w:rsidR="00257275" w:rsidRDefault="00257275" w:rsidP="000C7277">
            <w:pPr>
              <w:spacing w:before="60" w:after="60"/>
              <w:jc w:val="center"/>
              <w:rPr>
                <w:szCs w:val="20"/>
              </w:rPr>
            </w:pPr>
            <w:r w:rsidRPr="000A0EFD">
              <w:t>$78.05</w:t>
            </w:r>
          </w:p>
        </w:tc>
        <w:tc>
          <w:tcPr>
            <w:tcW w:w="1143" w:type="dxa"/>
          </w:tcPr>
          <w:p w14:paraId="24EBD435" w14:textId="494E6D11" w:rsidR="00257275" w:rsidRDefault="00257275" w:rsidP="000C7277">
            <w:pPr>
              <w:spacing w:before="60" w:after="60"/>
              <w:jc w:val="center"/>
              <w:rPr>
                <w:szCs w:val="20"/>
              </w:rPr>
            </w:pPr>
            <w:r w:rsidRPr="000A0EFD">
              <w:t>1</w:t>
            </w:r>
          </w:p>
        </w:tc>
        <w:tc>
          <w:tcPr>
            <w:tcW w:w="1650" w:type="dxa"/>
          </w:tcPr>
          <w:p w14:paraId="0638B180" w14:textId="00A81033" w:rsidR="00257275" w:rsidRDefault="00257275" w:rsidP="000C7277">
            <w:pPr>
              <w:spacing w:before="60" w:after="60"/>
              <w:jc w:val="center"/>
              <w:rPr>
                <w:szCs w:val="20"/>
              </w:rPr>
            </w:pPr>
            <w:r w:rsidRPr="000A0EFD">
              <w:t>$78.05</w:t>
            </w:r>
          </w:p>
        </w:tc>
      </w:tr>
      <w:tr w:rsidR="00116885" w14:paraId="1D26679E" w14:textId="77777777" w:rsidTr="00E81DA2">
        <w:tc>
          <w:tcPr>
            <w:tcW w:w="1554" w:type="dxa"/>
          </w:tcPr>
          <w:p w14:paraId="7D967BE7" w14:textId="77777777" w:rsidR="00321EB9" w:rsidRPr="004E6302" w:rsidRDefault="00321EB9" w:rsidP="000C7277">
            <w:pPr>
              <w:spacing w:before="60" w:after="60"/>
              <w:rPr>
                <w:b/>
                <w:szCs w:val="20"/>
              </w:rPr>
            </w:pPr>
            <w:r w:rsidRPr="004E6302">
              <w:rPr>
                <w:b/>
                <w:szCs w:val="20"/>
              </w:rPr>
              <w:t>Flow Study</w:t>
            </w:r>
          </w:p>
        </w:tc>
        <w:tc>
          <w:tcPr>
            <w:tcW w:w="1132" w:type="dxa"/>
          </w:tcPr>
          <w:p w14:paraId="111C46FB" w14:textId="77777777" w:rsidR="00321EB9" w:rsidRDefault="00321EB9" w:rsidP="000C7277">
            <w:pPr>
              <w:spacing w:before="60" w:after="60"/>
              <w:jc w:val="center"/>
              <w:rPr>
                <w:szCs w:val="20"/>
              </w:rPr>
            </w:pPr>
            <w:r>
              <w:rPr>
                <w:szCs w:val="20"/>
              </w:rPr>
              <w:t>11900</w:t>
            </w:r>
          </w:p>
        </w:tc>
        <w:tc>
          <w:tcPr>
            <w:tcW w:w="1315" w:type="dxa"/>
          </w:tcPr>
          <w:p w14:paraId="04DBBA9E" w14:textId="145EB92F" w:rsidR="00321EB9" w:rsidRDefault="00321EB9" w:rsidP="000C7277">
            <w:pPr>
              <w:spacing w:before="60" w:after="60"/>
              <w:jc w:val="center"/>
              <w:rPr>
                <w:szCs w:val="20"/>
              </w:rPr>
            </w:pPr>
            <w:r>
              <w:rPr>
                <w:szCs w:val="20"/>
              </w:rPr>
              <w:t>$</w:t>
            </w:r>
            <w:r w:rsidR="00257275">
              <w:rPr>
                <w:szCs w:val="20"/>
              </w:rPr>
              <w:t>29.10</w:t>
            </w:r>
          </w:p>
        </w:tc>
        <w:tc>
          <w:tcPr>
            <w:tcW w:w="1796" w:type="dxa"/>
          </w:tcPr>
          <w:p w14:paraId="7C92F20C" w14:textId="77D96702" w:rsidR="00321EB9" w:rsidRDefault="00321EB9" w:rsidP="000C7277">
            <w:pPr>
              <w:spacing w:before="60" w:after="60"/>
              <w:jc w:val="center"/>
              <w:rPr>
                <w:szCs w:val="20"/>
              </w:rPr>
            </w:pPr>
            <w:r>
              <w:rPr>
                <w:szCs w:val="20"/>
              </w:rPr>
              <w:t>$2</w:t>
            </w:r>
            <w:r w:rsidR="003C3FD3">
              <w:rPr>
                <w:szCs w:val="20"/>
              </w:rPr>
              <w:t>4.</w:t>
            </w:r>
            <w:r>
              <w:rPr>
                <w:szCs w:val="20"/>
              </w:rPr>
              <w:t>7</w:t>
            </w:r>
            <w:r w:rsidR="003C3FD3">
              <w:rPr>
                <w:szCs w:val="20"/>
              </w:rPr>
              <w:t>5</w:t>
            </w:r>
          </w:p>
        </w:tc>
        <w:tc>
          <w:tcPr>
            <w:tcW w:w="1143" w:type="dxa"/>
          </w:tcPr>
          <w:p w14:paraId="2C5CAE79" w14:textId="77777777" w:rsidR="00321EB9" w:rsidRDefault="00321EB9" w:rsidP="000C7277">
            <w:pPr>
              <w:spacing w:before="60" w:after="60"/>
              <w:jc w:val="center"/>
              <w:rPr>
                <w:szCs w:val="20"/>
              </w:rPr>
            </w:pPr>
            <w:r>
              <w:rPr>
                <w:szCs w:val="20"/>
              </w:rPr>
              <w:t>1</w:t>
            </w:r>
          </w:p>
        </w:tc>
        <w:tc>
          <w:tcPr>
            <w:tcW w:w="1650" w:type="dxa"/>
          </w:tcPr>
          <w:p w14:paraId="7A9E1206" w14:textId="039CD735" w:rsidR="00321EB9" w:rsidRDefault="00321EB9" w:rsidP="000C7277">
            <w:pPr>
              <w:spacing w:before="60" w:after="60"/>
              <w:jc w:val="center"/>
              <w:rPr>
                <w:szCs w:val="20"/>
              </w:rPr>
            </w:pPr>
            <w:r>
              <w:rPr>
                <w:szCs w:val="20"/>
              </w:rPr>
              <w:t>$2</w:t>
            </w:r>
            <w:r w:rsidR="003C3FD3">
              <w:rPr>
                <w:szCs w:val="20"/>
              </w:rPr>
              <w:t>4</w:t>
            </w:r>
            <w:r>
              <w:rPr>
                <w:szCs w:val="20"/>
              </w:rPr>
              <w:t>.7</w:t>
            </w:r>
            <w:r w:rsidR="003C3FD3">
              <w:rPr>
                <w:szCs w:val="20"/>
              </w:rPr>
              <w:t>5</w:t>
            </w:r>
          </w:p>
        </w:tc>
      </w:tr>
      <w:tr w:rsidR="00116885" w14:paraId="2C83E441" w14:textId="77777777" w:rsidTr="00E81DA2">
        <w:tc>
          <w:tcPr>
            <w:tcW w:w="1554" w:type="dxa"/>
          </w:tcPr>
          <w:p w14:paraId="6561E08D" w14:textId="77777777" w:rsidR="00321EB9" w:rsidRPr="005036E5" w:rsidRDefault="00321EB9" w:rsidP="000C7277">
            <w:pPr>
              <w:spacing w:before="60" w:after="60"/>
              <w:rPr>
                <w:b/>
                <w:szCs w:val="20"/>
              </w:rPr>
            </w:pPr>
            <w:r>
              <w:rPr>
                <w:b/>
                <w:szCs w:val="20"/>
              </w:rPr>
              <w:t>Volume Study</w:t>
            </w:r>
          </w:p>
        </w:tc>
        <w:tc>
          <w:tcPr>
            <w:tcW w:w="1132" w:type="dxa"/>
          </w:tcPr>
          <w:p w14:paraId="76F07E5A" w14:textId="77777777" w:rsidR="00321EB9" w:rsidRDefault="00321EB9" w:rsidP="000C7277">
            <w:pPr>
              <w:spacing w:before="60" w:after="60"/>
              <w:jc w:val="center"/>
              <w:rPr>
                <w:szCs w:val="20"/>
              </w:rPr>
            </w:pPr>
            <w:r>
              <w:rPr>
                <w:szCs w:val="20"/>
              </w:rPr>
              <w:t>55603</w:t>
            </w:r>
          </w:p>
        </w:tc>
        <w:tc>
          <w:tcPr>
            <w:tcW w:w="1315" w:type="dxa"/>
          </w:tcPr>
          <w:p w14:paraId="032C2993" w14:textId="6B2D8A45" w:rsidR="00321EB9" w:rsidRDefault="00321EB9" w:rsidP="000C7277">
            <w:pPr>
              <w:spacing w:before="60" w:after="60"/>
              <w:jc w:val="center"/>
              <w:rPr>
                <w:szCs w:val="20"/>
              </w:rPr>
            </w:pPr>
            <w:r>
              <w:rPr>
                <w:szCs w:val="20"/>
              </w:rPr>
              <w:t>$1</w:t>
            </w:r>
            <w:r w:rsidR="003C3FD3">
              <w:rPr>
                <w:szCs w:val="20"/>
              </w:rPr>
              <w:t>13.55</w:t>
            </w:r>
          </w:p>
        </w:tc>
        <w:tc>
          <w:tcPr>
            <w:tcW w:w="1796" w:type="dxa"/>
          </w:tcPr>
          <w:p w14:paraId="5043AF03" w14:textId="5A68E1F1" w:rsidR="00321EB9" w:rsidRDefault="002B2283" w:rsidP="000C7277">
            <w:pPr>
              <w:spacing w:before="60" w:after="60"/>
              <w:jc w:val="center"/>
              <w:rPr>
                <w:szCs w:val="20"/>
              </w:rPr>
            </w:pPr>
            <w:r>
              <w:rPr>
                <w:szCs w:val="20"/>
              </w:rPr>
              <w:t>$</w:t>
            </w:r>
            <w:r w:rsidR="00037211">
              <w:rPr>
                <w:szCs w:val="20"/>
              </w:rPr>
              <w:t>85.20</w:t>
            </w:r>
          </w:p>
        </w:tc>
        <w:tc>
          <w:tcPr>
            <w:tcW w:w="1143" w:type="dxa"/>
          </w:tcPr>
          <w:p w14:paraId="4F9DF24A" w14:textId="77777777" w:rsidR="00321EB9" w:rsidRDefault="00321EB9" w:rsidP="000C7277">
            <w:pPr>
              <w:spacing w:before="60" w:after="60"/>
              <w:jc w:val="center"/>
              <w:rPr>
                <w:szCs w:val="20"/>
              </w:rPr>
            </w:pPr>
            <w:r>
              <w:rPr>
                <w:szCs w:val="20"/>
              </w:rPr>
              <w:t>1</w:t>
            </w:r>
          </w:p>
        </w:tc>
        <w:tc>
          <w:tcPr>
            <w:tcW w:w="1650" w:type="dxa"/>
          </w:tcPr>
          <w:p w14:paraId="7964D673" w14:textId="247E9A4E" w:rsidR="00037211" w:rsidRDefault="00037211" w:rsidP="000C7277">
            <w:pPr>
              <w:spacing w:before="60" w:after="60"/>
              <w:jc w:val="center"/>
              <w:rPr>
                <w:szCs w:val="20"/>
              </w:rPr>
            </w:pPr>
            <w:r>
              <w:rPr>
                <w:szCs w:val="20"/>
              </w:rPr>
              <w:t>$85.20</w:t>
            </w:r>
          </w:p>
        </w:tc>
      </w:tr>
      <w:tr w:rsidR="00116885" w14:paraId="5EBB0073" w14:textId="77777777" w:rsidTr="00E81DA2">
        <w:tc>
          <w:tcPr>
            <w:tcW w:w="1554" w:type="dxa"/>
          </w:tcPr>
          <w:p w14:paraId="5AD8496F" w14:textId="4D7FCFE1" w:rsidR="00321EB9" w:rsidRPr="004E6302" w:rsidRDefault="001173E8" w:rsidP="000C7277">
            <w:pPr>
              <w:spacing w:before="60" w:after="60"/>
              <w:rPr>
                <w:b/>
                <w:szCs w:val="20"/>
              </w:rPr>
            </w:pPr>
            <w:r>
              <w:rPr>
                <w:b/>
                <w:szCs w:val="20"/>
              </w:rPr>
              <w:t>Dosimetry</w:t>
            </w:r>
          </w:p>
        </w:tc>
        <w:tc>
          <w:tcPr>
            <w:tcW w:w="1132" w:type="dxa"/>
          </w:tcPr>
          <w:p w14:paraId="36860D87" w14:textId="7507BC19" w:rsidR="00321EB9" w:rsidRDefault="002B2283" w:rsidP="000C7277">
            <w:pPr>
              <w:spacing w:before="60" w:after="60"/>
              <w:jc w:val="center"/>
              <w:rPr>
                <w:szCs w:val="20"/>
              </w:rPr>
            </w:pPr>
            <w:r>
              <w:rPr>
                <w:szCs w:val="20"/>
              </w:rPr>
              <w:t>15536</w:t>
            </w:r>
          </w:p>
        </w:tc>
        <w:tc>
          <w:tcPr>
            <w:tcW w:w="1315" w:type="dxa"/>
          </w:tcPr>
          <w:p w14:paraId="4FC1C497" w14:textId="77607B47" w:rsidR="00321EB9" w:rsidRDefault="00321EB9" w:rsidP="000C7277">
            <w:pPr>
              <w:spacing w:before="60" w:after="60"/>
              <w:jc w:val="center"/>
              <w:rPr>
                <w:szCs w:val="20"/>
              </w:rPr>
            </w:pPr>
            <w:r>
              <w:rPr>
                <w:szCs w:val="20"/>
              </w:rPr>
              <w:t>$</w:t>
            </w:r>
            <w:r w:rsidR="002B2283">
              <w:rPr>
                <w:szCs w:val="20"/>
              </w:rPr>
              <w:t>282.15</w:t>
            </w:r>
          </w:p>
        </w:tc>
        <w:tc>
          <w:tcPr>
            <w:tcW w:w="1796" w:type="dxa"/>
          </w:tcPr>
          <w:p w14:paraId="579FB8CF" w14:textId="2EE0455D" w:rsidR="002B2283" w:rsidRDefault="00E81DA2" w:rsidP="000C7277">
            <w:pPr>
              <w:spacing w:before="60" w:after="60"/>
              <w:jc w:val="center"/>
              <w:rPr>
                <w:szCs w:val="20"/>
              </w:rPr>
            </w:pPr>
            <w:r>
              <w:rPr>
                <w:szCs w:val="20"/>
              </w:rPr>
              <w:t>$211.65</w:t>
            </w:r>
          </w:p>
        </w:tc>
        <w:tc>
          <w:tcPr>
            <w:tcW w:w="1143" w:type="dxa"/>
          </w:tcPr>
          <w:p w14:paraId="2581C2E1" w14:textId="77777777" w:rsidR="00321EB9" w:rsidRDefault="00321EB9" w:rsidP="000C7277">
            <w:pPr>
              <w:spacing w:before="60" w:after="60"/>
              <w:jc w:val="center"/>
              <w:rPr>
                <w:szCs w:val="20"/>
              </w:rPr>
            </w:pPr>
            <w:r>
              <w:rPr>
                <w:szCs w:val="20"/>
              </w:rPr>
              <w:t>1</w:t>
            </w:r>
          </w:p>
        </w:tc>
        <w:tc>
          <w:tcPr>
            <w:tcW w:w="1650" w:type="dxa"/>
          </w:tcPr>
          <w:p w14:paraId="7E1DF7DE" w14:textId="021FD6F2" w:rsidR="00321EB9" w:rsidRDefault="00E81DA2" w:rsidP="000C7277">
            <w:pPr>
              <w:spacing w:before="60" w:after="60"/>
              <w:jc w:val="center"/>
              <w:rPr>
                <w:szCs w:val="20"/>
              </w:rPr>
            </w:pPr>
            <w:r>
              <w:rPr>
                <w:szCs w:val="20"/>
              </w:rPr>
              <w:t>$211.65</w:t>
            </w:r>
          </w:p>
        </w:tc>
      </w:tr>
      <w:tr w:rsidR="00116885" w14:paraId="7ECD97F9" w14:textId="77777777" w:rsidTr="00E81DA2">
        <w:tc>
          <w:tcPr>
            <w:tcW w:w="1554" w:type="dxa"/>
          </w:tcPr>
          <w:p w14:paraId="470D1EE8" w14:textId="3459C608" w:rsidR="00321EB9" w:rsidRPr="004E6302" w:rsidRDefault="001173E8" w:rsidP="000C7277">
            <w:pPr>
              <w:spacing w:before="60" w:after="60"/>
              <w:rPr>
                <w:b/>
                <w:szCs w:val="20"/>
              </w:rPr>
            </w:pPr>
            <w:r>
              <w:rPr>
                <w:b/>
                <w:szCs w:val="20"/>
              </w:rPr>
              <w:t>Brachytherapy Planning</w:t>
            </w:r>
          </w:p>
        </w:tc>
        <w:tc>
          <w:tcPr>
            <w:tcW w:w="1132" w:type="dxa"/>
          </w:tcPr>
          <w:p w14:paraId="5D679008" w14:textId="77777777" w:rsidR="00321EB9" w:rsidRDefault="00321EB9" w:rsidP="000C7277">
            <w:pPr>
              <w:spacing w:before="60" w:after="60"/>
              <w:jc w:val="center"/>
              <w:rPr>
                <w:szCs w:val="20"/>
              </w:rPr>
            </w:pPr>
            <w:r>
              <w:rPr>
                <w:szCs w:val="20"/>
              </w:rPr>
              <w:t>15539</w:t>
            </w:r>
          </w:p>
        </w:tc>
        <w:tc>
          <w:tcPr>
            <w:tcW w:w="1315" w:type="dxa"/>
          </w:tcPr>
          <w:p w14:paraId="690D765E" w14:textId="04C3E420" w:rsidR="00321EB9" w:rsidRDefault="00321EB9" w:rsidP="000C7277">
            <w:pPr>
              <w:spacing w:before="60" w:after="60"/>
              <w:jc w:val="center"/>
              <w:rPr>
                <w:szCs w:val="20"/>
              </w:rPr>
            </w:pPr>
            <w:r>
              <w:rPr>
                <w:szCs w:val="20"/>
              </w:rPr>
              <w:t>$6</w:t>
            </w:r>
            <w:r w:rsidR="003C3FD3">
              <w:rPr>
                <w:szCs w:val="20"/>
              </w:rPr>
              <w:t>63.15</w:t>
            </w:r>
          </w:p>
        </w:tc>
        <w:tc>
          <w:tcPr>
            <w:tcW w:w="1796" w:type="dxa"/>
          </w:tcPr>
          <w:p w14:paraId="4482F0D4" w14:textId="3FF7F808" w:rsidR="00321EB9" w:rsidRDefault="00321EB9" w:rsidP="000C7277">
            <w:pPr>
              <w:spacing w:before="60" w:after="60"/>
              <w:jc w:val="center"/>
              <w:rPr>
                <w:szCs w:val="20"/>
              </w:rPr>
            </w:pPr>
            <w:r>
              <w:rPr>
                <w:szCs w:val="20"/>
              </w:rPr>
              <w:t>$4</w:t>
            </w:r>
            <w:r w:rsidR="003C3FD3">
              <w:rPr>
                <w:szCs w:val="20"/>
              </w:rPr>
              <w:t>97.40</w:t>
            </w:r>
          </w:p>
        </w:tc>
        <w:tc>
          <w:tcPr>
            <w:tcW w:w="1143" w:type="dxa"/>
          </w:tcPr>
          <w:p w14:paraId="6E5DD871" w14:textId="77777777" w:rsidR="00321EB9" w:rsidRDefault="00321EB9" w:rsidP="000C7277">
            <w:pPr>
              <w:spacing w:before="60" w:after="60"/>
              <w:jc w:val="center"/>
              <w:rPr>
                <w:szCs w:val="20"/>
              </w:rPr>
            </w:pPr>
            <w:r>
              <w:rPr>
                <w:szCs w:val="20"/>
              </w:rPr>
              <w:t>1</w:t>
            </w:r>
          </w:p>
        </w:tc>
        <w:tc>
          <w:tcPr>
            <w:tcW w:w="1650" w:type="dxa"/>
          </w:tcPr>
          <w:p w14:paraId="214568AE" w14:textId="49C3D161" w:rsidR="00321EB9" w:rsidRDefault="00321EB9" w:rsidP="000C7277">
            <w:pPr>
              <w:spacing w:before="60" w:after="60"/>
              <w:jc w:val="center"/>
              <w:rPr>
                <w:szCs w:val="20"/>
              </w:rPr>
            </w:pPr>
            <w:r>
              <w:rPr>
                <w:szCs w:val="20"/>
              </w:rPr>
              <w:t>$4</w:t>
            </w:r>
            <w:r w:rsidR="003C3FD3">
              <w:rPr>
                <w:szCs w:val="20"/>
              </w:rPr>
              <w:t>97.40</w:t>
            </w:r>
          </w:p>
        </w:tc>
      </w:tr>
      <w:tr w:rsidR="00116885" w14:paraId="2AD21A9A" w14:textId="77777777" w:rsidTr="00E81DA2">
        <w:tc>
          <w:tcPr>
            <w:tcW w:w="1554" w:type="dxa"/>
          </w:tcPr>
          <w:p w14:paraId="304C3793" w14:textId="77777777" w:rsidR="00321EB9" w:rsidRPr="004E6302" w:rsidRDefault="00321EB9" w:rsidP="000C7277">
            <w:pPr>
              <w:spacing w:before="60" w:after="60"/>
              <w:rPr>
                <w:b/>
                <w:szCs w:val="20"/>
              </w:rPr>
            </w:pPr>
            <w:r>
              <w:rPr>
                <w:b/>
                <w:szCs w:val="20"/>
              </w:rPr>
              <w:t xml:space="preserve">Treatment </w:t>
            </w:r>
          </w:p>
        </w:tc>
        <w:tc>
          <w:tcPr>
            <w:tcW w:w="1132" w:type="dxa"/>
          </w:tcPr>
          <w:p w14:paraId="76FCCFA6" w14:textId="77777777" w:rsidR="00321EB9" w:rsidRDefault="00321EB9" w:rsidP="000C7277">
            <w:pPr>
              <w:spacing w:before="60" w:after="60"/>
              <w:jc w:val="center"/>
              <w:rPr>
                <w:szCs w:val="20"/>
              </w:rPr>
            </w:pPr>
          </w:p>
        </w:tc>
        <w:tc>
          <w:tcPr>
            <w:tcW w:w="1315" w:type="dxa"/>
          </w:tcPr>
          <w:p w14:paraId="5BB71DEC" w14:textId="77777777" w:rsidR="00321EB9" w:rsidRDefault="00321EB9" w:rsidP="000C7277">
            <w:pPr>
              <w:spacing w:before="60" w:after="60"/>
              <w:jc w:val="center"/>
              <w:rPr>
                <w:szCs w:val="20"/>
              </w:rPr>
            </w:pPr>
          </w:p>
        </w:tc>
        <w:tc>
          <w:tcPr>
            <w:tcW w:w="1796" w:type="dxa"/>
          </w:tcPr>
          <w:p w14:paraId="1B03C213" w14:textId="77777777" w:rsidR="00321EB9" w:rsidRDefault="00321EB9" w:rsidP="000C7277">
            <w:pPr>
              <w:spacing w:before="60" w:after="60"/>
              <w:jc w:val="center"/>
              <w:rPr>
                <w:szCs w:val="20"/>
              </w:rPr>
            </w:pPr>
          </w:p>
        </w:tc>
        <w:tc>
          <w:tcPr>
            <w:tcW w:w="1143" w:type="dxa"/>
          </w:tcPr>
          <w:p w14:paraId="7A39167C" w14:textId="77777777" w:rsidR="00321EB9" w:rsidRDefault="00321EB9" w:rsidP="000C7277">
            <w:pPr>
              <w:spacing w:before="60" w:after="60"/>
              <w:jc w:val="center"/>
              <w:rPr>
                <w:szCs w:val="20"/>
              </w:rPr>
            </w:pPr>
          </w:p>
        </w:tc>
        <w:tc>
          <w:tcPr>
            <w:tcW w:w="1650" w:type="dxa"/>
          </w:tcPr>
          <w:p w14:paraId="7B208D1A" w14:textId="77777777" w:rsidR="00321EB9" w:rsidRDefault="00321EB9" w:rsidP="000C7277">
            <w:pPr>
              <w:spacing w:before="60" w:after="60"/>
              <w:jc w:val="center"/>
              <w:rPr>
                <w:szCs w:val="20"/>
              </w:rPr>
            </w:pPr>
          </w:p>
        </w:tc>
      </w:tr>
      <w:tr w:rsidR="00116885" w14:paraId="46BA4146" w14:textId="77777777" w:rsidTr="00E81DA2">
        <w:tc>
          <w:tcPr>
            <w:tcW w:w="1554" w:type="dxa"/>
          </w:tcPr>
          <w:p w14:paraId="59535F09" w14:textId="77777777" w:rsidR="00321EB9" w:rsidRPr="005036E5" w:rsidRDefault="00321EB9" w:rsidP="000C7277">
            <w:pPr>
              <w:spacing w:before="60" w:after="60"/>
              <w:rPr>
                <w:b/>
                <w:szCs w:val="20"/>
              </w:rPr>
            </w:pPr>
            <w:r w:rsidRPr="005036E5">
              <w:rPr>
                <w:b/>
                <w:szCs w:val="20"/>
              </w:rPr>
              <w:t>Seed implantation – radiation oncology component</w:t>
            </w:r>
          </w:p>
        </w:tc>
        <w:tc>
          <w:tcPr>
            <w:tcW w:w="1132" w:type="dxa"/>
          </w:tcPr>
          <w:p w14:paraId="6E71B4FB" w14:textId="5D641145" w:rsidR="00321EB9" w:rsidRDefault="00F67E3C" w:rsidP="000C7277">
            <w:pPr>
              <w:spacing w:before="60" w:after="60"/>
              <w:jc w:val="center"/>
              <w:rPr>
                <w:szCs w:val="20"/>
              </w:rPr>
            </w:pPr>
            <w:r>
              <w:rPr>
                <w:szCs w:val="20"/>
              </w:rPr>
              <w:t>Proposed</w:t>
            </w:r>
          </w:p>
        </w:tc>
        <w:tc>
          <w:tcPr>
            <w:tcW w:w="1315" w:type="dxa"/>
          </w:tcPr>
          <w:p w14:paraId="1B3903C9" w14:textId="6F494676" w:rsidR="00321EB9" w:rsidRDefault="00321EB9" w:rsidP="000C7277">
            <w:pPr>
              <w:spacing w:before="60" w:after="60"/>
              <w:jc w:val="center"/>
              <w:rPr>
                <w:szCs w:val="20"/>
              </w:rPr>
            </w:pPr>
            <w:r>
              <w:rPr>
                <w:szCs w:val="20"/>
              </w:rPr>
              <w:t>$9</w:t>
            </w:r>
            <w:r w:rsidR="00F67E3C">
              <w:rPr>
                <w:szCs w:val="20"/>
              </w:rPr>
              <w:t>89</w:t>
            </w:r>
            <w:r>
              <w:rPr>
                <w:szCs w:val="20"/>
              </w:rPr>
              <w:t>.</w:t>
            </w:r>
            <w:r w:rsidR="00F67E3C">
              <w:rPr>
                <w:szCs w:val="20"/>
              </w:rPr>
              <w:t>1</w:t>
            </w:r>
            <w:r>
              <w:rPr>
                <w:szCs w:val="20"/>
              </w:rPr>
              <w:t>0</w:t>
            </w:r>
          </w:p>
        </w:tc>
        <w:tc>
          <w:tcPr>
            <w:tcW w:w="1796" w:type="dxa"/>
          </w:tcPr>
          <w:p w14:paraId="75530092" w14:textId="0395E297" w:rsidR="00321EB9" w:rsidRDefault="00321EB9" w:rsidP="000C7277">
            <w:pPr>
              <w:spacing w:before="60" w:after="60"/>
              <w:jc w:val="center"/>
              <w:rPr>
                <w:szCs w:val="20"/>
              </w:rPr>
            </w:pPr>
            <w:r>
              <w:rPr>
                <w:szCs w:val="20"/>
              </w:rPr>
              <w:t>$7</w:t>
            </w:r>
            <w:r w:rsidR="00F67E3C">
              <w:rPr>
                <w:szCs w:val="20"/>
              </w:rPr>
              <w:t>4</w:t>
            </w:r>
            <w:r>
              <w:rPr>
                <w:szCs w:val="20"/>
              </w:rPr>
              <w:t>1.</w:t>
            </w:r>
            <w:r w:rsidR="00F67E3C">
              <w:rPr>
                <w:szCs w:val="20"/>
              </w:rPr>
              <w:t>85</w:t>
            </w:r>
          </w:p>
        </w:tc>
        <w:tc>
          <w:tcPr>
            <w:tcW w:w="1143" w:type="dxa"/>
          </w:tcPr>
          <w:p w14:paraId="0C49D6FB" w14:textId="77777777" w:rsidR="00321EB9" w:rsidRDefault="00321EB9" w:rsidP="000C7277">
            <w:pPr>
              <w:spacing w:before="60" w:after="60"/>
              <w:jc w:val="center"/>
              <w:rPr>
                <w:szCs w:val="20"/>
              </w:rPr>
            </w:pPr>
            <w:r>
              <w:rPr>
                <w:szCs w:val="20"/>
              </w:rPr>
              <w:t>1</w:t>
            </w:r>
          </w:p>
        </w:tc>
        <w:tc>
          <w:tcPr>
            <w:tcW w:w="1650" w:type="dxa"/>
          </w:tcPr>
          <w:p w14:paraId="07C90B11" w14:textId="3A9F42A9" w:rsidR="00321EB9" w:rsidRDefault="00321EB9" w:rsidP="000C7277">
            <w:pPr>
              <w:spacing w:before="60" w:after="60"/>
              <w:jc w:val="center"/>
              <w:rPr>
                <w:szCs w:val="20"/>
              </w:rPr>
            </w:pPr>
            <w:r>
              <w:rPr>
                <w:szCs w:val="20"/>
              </w:rPr>
              <w:t>$7</w:t>
            </w:r>
            <w:r w:rsidR="00F67E3C">
              <w:rPr>
                <w:szCs w:val="20"/>
              </w:rPr>
              <w:t>4</w:t>
            </w:r>
            <w:r>
              <w:rPr>
                <w:szCs w:val="20"/>
              </w:rPr>
              <w:t>1.</w:t>
            </w:r>
            <w:r w:rsidR="00F67E3C">
              <w:rPr>
                <w:szCs w:val="20"/>
              </w:rPr>
              <w:t>85</w:t>
            </w:r>
          </w:p>
        </w:tc>
      </w:tr>
      <w:tr w:rsidR="00116885" w14:paraId="161DFE13" w14:textId="77777777" w:rsidTr="00E81DA2">
        <w:tc>
          <w:tcPr>
            <w:tcW w:w="1554" w:type="dxa"/>
          </w:tcPr>
          <w:p w14:paraId="54AC2E5A" w14:textId="0A9E1A89" w:rsidR="00116885" w:rsidRPr="005036E5" w:rsidRDefault="00116885" w:rsidP="000C7277">
            <w:pPr>
              <w:spacing w:before="60" w:after="60"/>
              <w:rPr>
                <w:b/>
                <w:szCs w:val="20"/>
              </w:rPr>
            </w:pPr>
            <w:r>
              <w:rPr>
                <w:b/>
                <w:szCs w:val="20"/>
              </w:rPr>
              <w:t>Ultrasound</w:t>
            </w:r>
          </w:p>
        </w:tc>
        <w:tc>
          <w:tcPr>
            <w:tcW w:w="1132" w:type="dxa"/>
          </w:tcPr>
          <w:p w14:paraId="6C7B2555" w14:textId="0A63B38C" w:rsidR="00116885" w:rsidRDefault="00116885" w:rsidP="000C7277">
            <w:pPr>
              <w:spacing w:before="60" w:after="60"/>
              <w:jc w:val="center"/>
              <w:rPr>
                <w:szCs w:val="20"/>
              </w:rPr>
            </w:pPr>
            <w:r>
              <w:rPr>
                <w:szCs w:val="20"/>
              </w:rPr>
              <w:t>55603</w:t>
            </w:r>
          </w:p>
        </w:tc>
        <w:tc>
          <w:tcPr>
            <w:tcW w:w="1315" w:type="dxa"/>
          </w:tcPr>
          <w:p w14:paraId="4B542AA2" w14:textId="4CB716D5" w:rsidR="00116885" w:rsidRDefault="00116885" w:rsidP="000C7277">
            <w:pPr>
              <w:spacing w:before="60" w:after="60"/>
              <w:jc w:val="center"/>
              <w:rPr>
                <w:szCs w:val="20"/>
              </w:rPr>
            </w:pPr>
            <w:r>
              <w:rPr>
                <w:szCs w:val="20"/>
              </w:rPr>
              <w:t>$1</w:t>
            </w:r>
            <w:r w:rsidR="00646F55">
              <w:rPr>
                <w:szCs w:val="20"/>
              </w:rPr>
              <w:t>13.50</w:t>
            </w:r>
          </w:p>
        </w:tc>
        <w:tc>
          <w:tcPr>
            <w:tcW w:w="1796" w:type="dxa"/>
          </w:tcPr>
          <w:p w14:paraId="76F47352" w14:textId="3814DB5E" w:rsidR="00116885" w:rsidRDefault="00116885" w:rsidP="000C7277">
            <w:pPr>
              <w:spacing w:before="60" w:after="60"/>
              <w:jc w:val="center"/>
              <w:rPr>
                <w:szCs w:val="20"/>
              </w:rPr>
            </w:pPr>
            <w:r>
              <w:rPr>
                <w:szCs w:val="20"/>
              </w:rPr>
              <w:t>$</w:t>
            </w:r>
            <w:r w:rsidR="00646F55">
              <w:rPr>
                <w:szCs w:val="20"/>
              </w:rPr>
              <w:t>85.20</w:t>
            </w:r>
          </w:p>
        </w:tc>
        <w:tc>
          <w:tcPr>
            <w:tcW w:w="1143" w:type="dxa"/>
          </w:tcPr>
          <w:p w14:paraId="1AF91544" w14:textId="61596AE2" w:rsidR="00116885" w:rsidRDefault="00116885" w:rsidP="000C7277">
            <w:pPr>
              <w:spacing w:before="60" w:after="60"/>
              <w:jc w:val="center"/>
              <w:rPr>
                <w:szCs w:val="20"/>
              </w:rPr>
            </w:pPr>
            <w:r>
              <w:rPr>
                <w:szCs w:val="20"/>
              </w:rPr>
              <w:t>1</w:t>
            </w:r>
          </w:p>
        </w:tc>
        <w:tc>
          <w:tcPr>
            <w:tcW w:w="1650" w:type="dxa"/>
          </w:tcPr>
          <w:p w14:paraId="0EE7EE78" w14:textId="4F45DF8A" w:rsidR="00116885" w:rsidRDefault="00FB1F5E" w:rsidP="000C7277">
            <w:pPr>
              <w:spacing w:before="60" w:after="60"/>
              <w:jc w:val="center"/>
              <w:rPr>
                <w:szCs w:val="20"/>
              </w:rPr>
            </w:pPr>
            <w:r>
              <w:rPr>
                <w:szCs w:val="20"/>
              </w:rPr>
              <w:t>$85.20</w:t>
            </w:r>
          </w:p>
          <w:p w14:paraId="60B18A92" w14:textId="3D3755EB" w:rsidR="00FB1F5E" w:rsidRDefault="00FB1F5E" w:rsidP="000C7277">
            <w:pPr>
              <w:spacing w:before="60" w:after="60"/>
              <w:jc w:val="center"/>
              <w:rPr>
                <w:szCs w:val="20"/>
              </w:rPr>
            </w:pPr>
          </w:p>
        </w:tc>
      </w:tr>
      <w:tr w:rsidR="00116885" w14:paraId="797DCE9D" w14:textId="77777777" w:rsidTr="00E81DA2">
        <w:tc>
          <w:tcPr>
            <w:tcW w:w="1554" w:type="dxa"/>
          </w:tcPr>
          <w:p w14:paraId="7266F9D0" w14:textId="77777777" w:rsidR="00321EB9" w:rsidRPr="005036E5" w:rsidRDefault="00321EB9" w:rsidP="000C7277">
            <w:pPr>
              <w:spacing w:before="60" w:after="60"/>
              <w:rPr>
                <w:b/>
                <w:szCs w:val="20"/>
              </w:rPr>
            </w:pPr>
            <w:r w:rsidRPr="005036E5">
              <w:rPr>
                <w:b/>
                <w:szCs w:val="20"/>
              </w:rPr>
              <w:t>Seed implantation- urological component</w:t>
            </w:r>
          </w:p>
        </w:tc>
        <w:tc>
          <w:tcPr>
            <w:tcW w:w="1132" w:type="dxa"/>
          </w:tcPr>
          <w:p w14:paraId="738A832A" w14:textId="1877A2D7" w:rsidR="00321EB9" w:rsidRDefault="00D24410" w:rsidP="000C7277">
            <w:pPr>
              <w:spacing w:before="60" w:after="60"/>
              <w:jc w:val="center"/>
              <w:rPr>
                <w:szCs w:val="20"/>
              </w:rPr>
            </w:pPr>
            <w:r>
              <w:rPr>
                <w:szCs w:val="20"/>
              </w:rPr>
              <w:t>Proposed</w:t>
            </w:r>
          </w:p>
        </w:tc>
        <w:tc>
          <w:tcPr>
            <w:tcW w:w="1315" w:type="dxa"/>
          </w:tcPr>
          <w:p w14:paraId="23D6E3F6" w14:textId="3A346062" w:rsidR="00321EB9" w:rsidRDefault="00321EB9" w:rsidP="000C7277">
            <w:pPr>
              <w:spacing w:before="60" w:after="60"/>
              <w:jc w:val="center"/>
              <w:rPr>
                <w:szCs w:val="20"/>
              </w:rPr>
            </w:pPr>
            <w:r>
              <w:rPr>
                <w:szCs w:val="20"/>
              </w:rPr>
              <w:t>$</w:t>
            </w:r>
            <w:r w:rsidR="00F67E3C">
              <w:rPr>
                <w:szCs w:val="20"/>
              </w:rPr>
              <w:t>1,103.90</w:t>
            </w:r>
          </w:p>
        </w:tc>
        <w:tc>
          <w:tcPr>
            <w:tcW w:w="1796" w:type="dxa"/>
          </w:tcPr>
          <w:p w14:paraId="05F41808" w14:textId="0ED7AD84" w:rsidR="00321EB9" w:rsidRDefault="00321EB9" w:rsidP="000C7277">
            <w:pPr>
              <w:spacing w:before="60" w:after="60"/>
              <w:jc w:val="center"/>
              <w:rPr>
                <w:szCs w:val="20"/>
              </w:rPr>
            </w:pPr>
            <w:r>
              <w:rPr>
                <w:szCs w:val="20"/>
              </w:rPr>
              <w:t>$</w:t>
            </w:r>
            <w:r w:rsidR="00F67E3C">
              <w:rPr>
                <w:szCs w:val="20"/>
              </w:rPr>
              <w:t>827.85</w:t>
            </w:r>
          </w:p>
        </w:tc>
        <w:tc>
          <w:tcPr>
            <w:tcW w:w="1143" w:type="dxa"/>
          </w:tcPr>
          <w:p w14:paraId="004A9F36" w14:textId="77777777" w:rsidR="00321EB9" w:rsidRDefault="00321EB9" w:rsidP="000C7277">
            <w:pPr>
              <w:spacing w:before="60" w:after="60"/>
              <w:jc w:val="center"/>
              <w:rPr>
                <w:szCs w:val="20"/>
              </w:rPr>
            </w:pPr>
            <w:r>
              <w:rPr>
                <w:szCs w:val="20"/>
              </w:rPr>
              <w:t>1</w:t>
            </w:r>
          </w:p>
        </w:tc>
        <w:tc>
          <w:tcPr>
            <w:tcW w:w="1650" w:type="dxa"/>
          </w:tcPr>
          <w:p w14:paraId="49CA85DA" w14:textId="6195C14D" w:rsidR="00321EB9" w:rsidRDefault="00321EB9" w:rsidP="000C7277">
            <w:pPr>
              <w:spacing w:before="60" w:after="60"/>
              <w:jc w:val="center"/>
              <w:rPr>
                <w:szCs w:val="20"/>
              </w:rPr>
            </w:pPr>
            <w:r>
              <w:rPr>
                <w:szCs w:val="20"/>
              </w:rPr>
              <w:t>$</w:t>
            </w:r>
            <w:r w:rsidR="00646F55">
              <w:rPr>
                <w:szCs w:val="20"/>
              </w:rPr>
              <w:t>827.</w:t>
            </w:r>
            <w:r w:rsidR="00FB1F5E">
              <w:rPr>
                <w:szCs w:val="20"/>
              </w:rPr>
              <w:t>8</w:t>
            </w:r>
            <w:r w:rsidR="00646F55">
              <w:rPr>
                <w:szCs w:val="20"/>
              </w:rPr>
              <w:t>5</w:t>
            </w:r>
          </w:p>
        </w:tc>
      </w:tr>
      <w:tr w:rsidR="00116885" w14:paraId="12CA8C01" w14:textId="77777777" w:rsidTr="00E81DA2">
        <w:tc>
          <w:tcPr>
            <w:tcW w:w="1554" w:type="dxa"/>
          </w:tcPr>
          <w:p w14:paraId="4893B894" w14:textId="77777777" w:rsidR="00321EB9" w:rsidRPr="005036E5" w:rsidRDefault="00321EB9" w:rsidP="000C7277">
            <w:pPr>
              <w:spacing w:before="60" w:after="60"/>
              <w:rPr>
                <w:b/>
                <w:szCs w:val="20"/>
              </w:rPr>
            </w:pPr>
            <w:r>
              <w:rPr>
                <w:b/>
                <w:szCs w:val="20"/>
              </w:rPr>
              <w:t>Initiation of anaesthesia</w:t>
            </w:r>
          </w:p>
        </w:tc>
        <w:tc>
          <w:tcPr>
            <w:tcW w:w="1132" w:type="dxa"/>
          </w:tcPr>
          <w:p w14:paraId="661CF256" w14:textId="77777777" w:rsidR="00321EB9" w:rsidRDefault="00321EB9" w:rsidP="000C7277">
            <w:pPr>
              <w:spacing w:before="60" w:after="60"/>
              <w:jc w:val="center"/>
              <w:rPr>
                <w:szCs w:val="20"/>
              </w:rPr>
            </w:pPr>
            <w:r>
              <w:rPr>
                <w:szCs w:val="20"/>
              </w:rPr>
              <w:t>21973</w:t>
            </w:r>
          </w:p>
        </w:tc>
        <w:tc>
          <w:tcPr>
            <w:tcW w:w="1315" w:type="dxa"/>
          </w:tcPr>
          <w:p w14:paraId="7F89AEA5" w14:textId="304EF24E" w:rsidR="00321EB9" w:rsidRDefault="00321EB9" w:rsidP="000C7277">
            <w:pPr>
              <w:spacing w:before="60" w:after="60"/>
              <w:jc w:val="center"/>
              <w:rPr>
                <w:szCs w:val="20"/>
              </w:rPr>
            </w:pPr>
            <w:r>
              <w:rPr>
                <w:szCs w:val="20"/>
              </w:rPr>
              <w:t>$</w:t>
            </w:r>
            <w:r w:rsidR="00646F55">
              <w:rPr>
                <w:szCs w:val="20"/>
              </w:rPr>
              <w:t>104.75</w:t>
            </w:r>
          </w:p>
        </w:tc>
        <w:tc>
          <w:tcPr>
            <w:tcW w:w="1796" w:type="dxa"/>
          </w:tcPr>
          <w:p w14:paraId="5FFDF53D" w14:textId="4CC3E8BB" w:rsidR="00321EB9" w:rsidRDefault="00321EB9" w:rsidP="000C7277">
            <w:pPr>
              <w:spacing w:before="60" w:after="60"/>
              <w:jc w:val="center"/>
              <w:rPr>
                <w:szCs w:val="20"/>
              </w:rPr>
            </w:pPr>
            <w:r>
              <w:rPr>
                <w:szCs w:val="20"/>
              </w:rPr>
              <w:t>$</w:t>
            </w:r>
            <w:r w:rsidR="00646F55">
              <w:rPr>
                <w:szCs w:val="20"/>
              </w:rPr>
              <w:t>89.05</w:t>
            </w:r>
          </w:p>
        </w:tc>
        <w:tc>
          <w:tcPr>
            <w:tcW w:w="1143" w:type="dxa"/>
          </w:tcPr>
          <w:p w14:paraId="2CB60465" w14:textId="77777777" w:rsidR="00321EB9" w:rsidRDefault="00321EB9" w:rsidP="000C7277">
            <w:pPr>
              <w:spacing w:before="60" w:after="60"/>
              <w:jc w:val="center"/>
              <w:rPr>
                <w:szCs w:val="20"/>
              </w:rPr>
            </w:pPr>
            <w:r>
              <w:rPr>
                <w:szCs w:val="20"/>
              </w:rPr>
              <w:t>1</w:t>
            </w:r>
          </w:p>
        </w:tc>
        <w:tc>
          <w:tcPr>
            <w:tcW w:w="1650" w:type="dxa"/>
          </w:tcPr>
          <w:p w14:paraId="5DD36B5C" w14:textId="1E0A9822" w:rsidR="00321EB9" w:rsidRDefault="00321EB9" w:rsidP="000C7277">
            <w:pPr>
              <w:spacing w:before="60" w:after="60"/>
              <w:jc w:val="center"/>
              <w:rPr>
                <w:szCs w:val="20"/>
              </w:rPr>
            </w:pPr>
            <w:r>
              <w:rPr>
                <w:szCs w:val="20"/>
              </w:rPr>
              <w:t>$</w:t>
            </w:r>
            <w:r w:rsidR="00646F55">
              <w:rPr>
                <w:szCs w:val="20"/>
              </w:rPr>
              <w:t>89.05</w:t>
            </w:r>
          </w:p>
        </w:tc>
      </w:tr>
      <w:tr w:rsidR="00116885" w14:paraId="63D63CBD" w14:textId="77777777" w:rsidTr="00E81DA2">
        <w:tc>
          <w:tcPr>
            <w:tcW w:w="1554" w:type="dxa"/>
          </w:tcPr>
          <w:p w14:paraId="7F69C532" w14:textId="7AAE8290" w:rsidR="00321EB9" w:rsidRDefault="00321EB9" w:rsidP="000C7277">
            <w:pPr>
              <w:spacing w:before="60" w:after="60"/>
              <w:rPr>
                <w:b/>
                <w:szCs w:val="20"/>
              </w:rPr>
            </w:pPr>
            <w:r>
              <w:rPr>
                <w:b/>
                <w:szCs w:val="20"/>
              </w:rPr>
              <w:t>Anaesthesia: 1</w:t>
            </w:r>
            <w:r w:rsidR="00D24410">
              <w:rPr>
                <w:b/>
                <w:szCs w:val="20"/>
              </w:rPr>
              <w:t>:31</w:t>
            </w:r>
            <w:r>
              <w:rPr>
                <w:b/>
                <w:szCs w:val="20"/>
              </w:rPr>
              <w:t xml:space="preserve"> to 1</w:t>
            </w:r>
            <w:r w:rsidR="00D24410">
              <w:rPr>
                <w:b/>
                <w:szCs w:val="20"/>
              </w:rPr>
              <w:t>:45</w:t>
            </w:r>
            <w:r>
              <w:rPr>
                <w:b/>
                <w:szCs w:val="20"/>
              </w:rPr>
              <w:t>hours</w:t>
            </w:r>
          </w:p>
        </w:tc>
        <w:tc>
          <w:tcPr>
            <w:tcW w:w="1132" w:type="dxa"/>
          </w:tcPr>
          <w:p w14:paraId="17BF1045" w14:textId="282F45E2" w:rsidR="00321EB9" w:rsidRDefault="005A473F" w:rsidP="000C7277">
            <w:pPr>
              <w:spacing w:before="60" w:after="60"/>
              <w:jc w:val="center"/>
              <w:rPr>
                <w:szCs w:val="20"/>
              </w:rPr>
            </w:pPr>
            <w:r>
              <w:rPr>
                <w:szCs w:val="20"/>
              </w:rPr>
              <w:t>23075</w:t>
            </w:r>
          </w:p>
        </w:tc>
        <w:tc>
          <w:tcPr>
            <w:tcW w:w="1315" w:type="dxa"/>
          </w:tcPr>
          <w:p w14:paraId="17DFD959" w14:textId="4044F93F" w:rsidR="005A473F" w:rsidRDefault="005A473F" w:rsidP="000C7277">
            <w:pPr>
              <w:spacing w:before="60" w:after="60"/>
              <w:jc w:val="center"/>
              <w:rPr>
                <w:szCs w:val="20"/>
              </w:rPr>
            </w:pPr>
            <w:r>
              <w:rPr>
                <w:szCs w:val="20"/>
              </w:rPr>
              <w:t>$146.65</w:t>
            </w:r>
          </w:p>
        </w:tc>
        <w:tc>
          <w:tcPr>
            <w:tcW w:w="1796" w:type="dxa"/>
          </w:tcPr>
          <w:p w14:paraId="01A1DA3E" w14:textId="022C1274" w:rsidR="00321EB9" w:rsidRDefault="005A473F" w:rsidP="000C7277">
            <w:pPr>
              <w:spacing w:before="60" w:after="60"/>
              <w:jc w:val="center"/>
              <w:rPr>
                <w:szCs w:val="20"/>
              </w:rPr>
            </w:pPr>
            <w:r>
              <w:rPr>
                <w:szCs w:val="20"/>
              </w:rPr>
              <w:t>$110.00</w:t>
            </w:r>
          </w:p>
        </w:tc>
        <w:tc>
          <w:tcPr>
            <w:tcW w:w="1143" w:type="dxa"/>
          </w:tcPr>
          <w:p w14:paraId="393E24C3" w14:textId="77777777" w:rsidR="00321EB9" w:rsidRDefault="00321EB9" w:rsidP="000C7277">
            <w:pPr>
              <w:spacing w:before="60" w:after="60"/>
              <w:jc w:val="center"/>
              <w:rPr>
                <w:szCs w:val="20"/>
              </w:rPr>
            </w:pPr>
            <w:r>
              <w:rPr>
                <w:szCs w:val="20"/>
              </w:rPr>
              <w:t>1</w:t>
            </w:r>
          </w:p>
        </w:tc>
        <w:tc>
          <w:tcPr>
            <w:tcW w:w="1650" w:type="dxa"/>
          </w:tcPr>
          <w:p w14:paraId="20151513" w14:textId="582A81FA" w:rsidR="00321EB9" w:rsidRDefault="005A473F" w:rsidP="000C7277">
            <w:pPr>
              <w:spacing w:before="60" w:after="60"/>
              <w:jc w:val="center"/>
              <w:rPr>
                <w:szCs w:val="20"/>
              </w:rPr>
            </w:pPr>
            <w:r>
              <w:rPr>
                <w:szCs w:val="20"/>
              </w:rPr>
              <w:t>$110.00</w:t>
            </w:r>
          </w:p>
        </w:tc>
      </w:tr>
      <w:tr w:rsidR="00116885" w14:paraId="77904E99" w14:textId="77777777" w:rsidTr="00E81DA2">
        <w:tc>
          <w:tcPr>
            <w:tcW w:w="1554" w:type="dxa"/>
          </w:tcPr>
          <w:p w14:paraId="2CE4F966" w14:textId="77777777" w:rsidR="00321EB9" w:rsidRPr="005036E5" w:rsidRDefault="00321EB9" w:rsidP="000C7277">
            <w:pPr>
              <w:spacing w:before="60" w:after="60"/>
              <w:rPr>
                <w:b/>
                <w:szCs w:val="20"/>
              </w:rPr>
            </w:pPr>
            <w:r>
              <w:rPr>
                <w:b/>
                <w:szCs w:val="20"/>
              </w:rPr>
              <w:t>CT scan</w:t>
            </w:r>
          </w:p>
        </w:tc>
        <w:tc>
          <w:tcPr>
            <w:tcW w:w="1132" w:type="dxa"/>
          </w:tcPr>
          <w:p w14:paraId="6740969E" w14:textId="4D3442B0" w:rsidR="00321EB9" w:rsidRPr="00C4763F" w:rsidRDefault="002B2283" w:rsidP="000C7277">
            <w:pPr>
              <w:spacing w:before="60" w:after="60"/>
              <w:jc w:val="center"/>
              <w:rPr>
                <w:szCs w:val="20"/>
              </w:rPr>
            </w:pPr>
            <w:r>
              <w:rPr>
                <w:szCs w:val="20"/>
              </w:rPr>
              <w:t>15513</w:t>
            </w:r>
          </w:p>
        </w:tc>
        <w:tc>
          <w:tcPr>
            <w:tcW w:w="1315" w:type="dxa"/>
          </w:tcPr>
          <w:p w14:paraId="33DF2010" w14:textId="3CDBD497" w:rsidR="00321EB9" w:rsidRDefault="00321EB9" w:rsidP="000C7277">
            <w:pPr>
              <w:spacing w:before="60" w:after="60"/>
              <w:jc w:val="center"/>
              <w:rPr>
                <w:szCs w:val="20"/>
              </w:rPr>
            </w:pPr>
            <w:r>
              <w:rPr>
                <w:szCs w:val="20"/>
              </w:rPr>
              <w:t>$</w:t>
            </w:r>
            <w:r w:rsidR="002B2283">
              <w:rPr>
                <w:szCs w:val="20"/>
              </w:rPr>
              <w:t>324.05</w:t>
            </w:r>
          </w:p>
        </w:tc>
        <w:tc>
          <w:tcPr>
            <w:tcW w:w="1796" w:type="dxa"/>
          </w:tcPr>
          <w:p w14:paraId="11DDD889" w14:textId="58348223" w:rsidR="00321EB9" w:rsidRDefault="00321EB9" w:rsidP="000C7277">
            <w:pPr>
              <w:spacing w:before="60" w:after="60"/>
              <w:jc w:val="center"/>
              <w:rPr>
                <w:szCs w:val="20"/>
              </w:rPr>
            </w:pPr>
            <w:r>
              <w:rPr>
                <w:szCs w:val="20"/>
              </w:rPr>
              <w:t>$</w:t>
            </w:r>
            <w:r w:rsidR="002B2283">
              <w:rPr>
                <w:szCs w:val="20"/>
              </w:rPr>
              <w:t>275.45</w:t>
            </w:r>
          </w:p>
        </w:tc>
        <w:tc>
          <w:tcPr>
            <w:tcW w:w="1143" w:type="dxa"/>
          </w:tcPr>
          <w:p w14:paraId="06C8C7A1" w14:textId="77777777" w:rsidR="00321EB9" w:rsidRDefault="00321EB9" w:rsidP="000C7277">
            <w:pPr>
              <w:spacing w:before="60" w:after="60"/>
              <w:jc w:val="center"/>
              <w:rPr>
                <w:szCs w:val="20"/>
              </w:rPr>
            </w:pPr>
            <w:r>
              <w:rPr>
                <w:szCs w:val="20"/>
              </w:rPr>
              <w:t>1</w:t>
            </w:r>
          </w:p>
        </w:tc>
        <w:tc>
          <w:tcPr>
            <w:tcW w:w="1650" w:type="dxa"/>
          </w:tcPr>
          <w:p w14:paraId="5F9F2661" w14:textId="18A4CEAE" w:rsidR="00321EB9" w:rsidRDefault="00321EB9" w:rsidP="000C7277">
            <w:pPr>
              <w:spacing w:before="60" w:after="60"/>
              <w:jc w:val="center"/>
              <w:rPr>
                <w:szCs w:val="20"/>
              </w:rPr>
            </w:pPr>
            <w:r>
              <w:rPr>
                <w:szCs w:val="20"/>
              </w:rPr>
              <w:t>$</w:t>
            </w:r>
            <w:r w:rsidR="00885D12">
              <w:rPr>
                <w:szCs w:val="20"/>
              </w:rPr>
              <w:t>275.45</w:t>
            </w:r>
          </w:p>
        </w:tc>
      </w:tr>
      <w:tr w:rsidR="00116885" w14:paraId="72AA6694" w14:textId="77777777" w:rsidTr="00E81DA2">
        <w:tc>
          <w:tcPr>
            <w:tcW w:w="1554" w:type="dxa"/>
          </w:tcPr>
          <w:p w14:paraId="76242AFB" w14:textId="77777777" w:rsidR="00321EB9" w:rsidRPr="009C34CA" w:rsidRDefault="00321EB9" w:rsidP="000C7277">
            <w:pPr>
              <w:spacing w:before="60" w:after="60"/>
              <w:rPr>
                <w:b/>
                <w:szCs w:val="20"/>
              </w:rPr>
            </w:pPr>
            <w:r w:rsidRPr="009C34CA">
              <w:rPr>
                <w:b/>
                <w:szCs w:val="20"/>
              </w:rPr>
              <w:t>Totals</w:t>
            </w:r>
          </w:p>
        </w:tc>
        <w:tc>
          <w:tcPr>
            <w:tcW w:w="1132" w:type="dxa"/>
          </w:tcPr>
          <w:p w14:paraId="6491D27F" w14:textId="77777777" w:rsidR="00321EB9" w:rsidRPr="009C34CA" w:rsidRDefault="00321EB9" w:rsidP="000C7277">
            <w:pPr>
              <w:spacing w:before="60" w:after="60"/>
              <w:jc w:val="center"/>
              <w:rPr>
                <w:color w:val="FF0000"/>
                <w:szCs w:val="20"/>
              </w:rPr>
            </w:pPr>
          </w:p>
        </w:tc>
        <w:tc>
          <w:tcPr>
            <w:tcW w:w="1315" w:type="dxa"/>
          </w:tcPr>
          <w:p w14:paraId="494540F5" w14:textId="7290B95D" w:rsidR="00321EB9" w:rsidRPr="009C34CA" w:rsidRDefault="00321EB9" w:rsidP="000C7277">
            <w:pPr>
              <w:spacing w:before="60" w:after="60"/>
              <w:jc w:val="center"/>
              <w:rPr>
                <w:szCs w:val="20"/>
              </w:rPr>
            </w:pPr>
            <w:r w:rsidRPr="009C34CA">
              <w:rPr>
                <w:szCs w:val="20"/>
              </w:rPr>
              <w:t>$</w:t>
            </w:r>
            <w:r w:rsidR="006B4EF8">
              <w:rPr>
                <w:szCs w:val="20"/>
              </w:rPr>
              <w:t>4053.50</w:t>
            </w:r>
          </w:p>
        </w:tc>
        <w:tc>
          <w:tcPr>
            <w:tcW w:w="1796" w:type="dxa"/>
          </w:tcPr>
          <w:p w14:paraId="00D9C349" w14:textId="4179A3E1" w:rsidR="00885D12" w:rsidRPr="009C34CA" w:rsidRDefault="006B4EF8" w:rsidP="000C7277">
            <w:pPr>
              <w:spacing w:before="60" w:after="60"/>
              <w:jc w:val="center"/>
              <w:rPr>
                <w:szCs w:val="20"/>
              </w:rPr>
            </w:pPr>
            <w:r>
              <w:rPr>
                <w:szCs w:val="20"/>
              </w:rPr>
              <w:t>$3</w:t>
            </w:r>
            <w:r w:rsidR="00885D12">
              <w:rPr>
                <w:szCs w:val="20"/>
              </w:rPr>
              <w:t>104.50</w:t>
            </w:r>
          </w:p>
        </w:tc>
        <w:tc>
          <w:tcPr>
            <w:tcW w:w="1143" w:type="dxa"/>
          </w:tcPr>
          <w:p w14:paraId="3D25778D" w14:textId="77777777" w:rsidR="00321EB9" w:rsidRPr="009C34CA" w:rsidRDefault="00321EB9" w:rsidP="000C7277">
            <w:pPr>
              <w:spacing w:before="60" w:after="60"/>
              <w:jc w:val="center"/>
              <w:rPr>
                <w:szCs w:val="20"/>
              </w:rPr>
            </w:pPr>
          </w:p>
        </w:tc>
        <w:tc>
          <w:tcPr>
            <w:tcW w:w="1650" w:type="dxa"/>
          </w:tcPr>
          <w:p w14:paraId="61682042" w14:textId="70125C6A" w:rsidR="00321EB9" w:rsidRPr="009C34CA" w:rsidRDefault="006B4EF8" w:rsidP="000C7277">
            <w:pPr>
              <w:spacing w:before="60" w:after="60"/>
              <w:jc w:val="center"/>
              <w:rPr>
                <w:szCs w:val="20"/>
              </w:rPr>
            </w:pPr>
            <w:r>
              <w:rPr>
                <w:szCs w:val="20"/>
              </w:rPr>
              <w:t>$3,</w:t>
            </w:r>
            <w:r w:rsidR="00885D12">
              <w:rPr>
                <w:szCs w:val="20"/>
              </w:rPr>
              <w:t>104.50</w:t>
            </w:r>
          </w:p>
        </w:tc>
      </w:tr>
    </w:tbl>
    <w:p w14:paraId="0E2E3D78" w14:textId="77777777" w:rsidR="00951933" w:rsidRPr="00154B00" w:rsidRDefault="00951933" w:rsidP="00AE1188">
      <w:pPr>
        <w:ind w:left="426"/>
        <w:rPr>
          <w:szCs w:val="20"/>
        </w:rPr>
      </w:pPr>
    </w:p>
    <w:p w14:paraId="1EF8E842"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DF2E047" w14:textId="77777777" w:rsidR="00321EB9" w:rsidRDefault="00321EB9" w:rsidP="00321EB9">
      <w:pPr>
        <w:ind w:left="426"/>
        <w:rPr>
          <w:b/>
          <w:szCs w:val="20"/>
        </w:rPr>
      </w:pPr>
      <w:r>
        <w:t>LDR Brachytherapy takes approximately 1 hour to perform. (1.5 hours have been included in the calculations in order to account for procedures that may take longer)</w:t>
      </w:r>
    </w:p>
    <w:p w14:paraId="7992D563" w14:textId="77777777" w:rsidR="00321EB9" w:rsidRPr="00321EB9" w:rsidRDefault="00321EB9" w:rsidP="00321EB9"/>
    <w:p w14:paraId="5B61AB18" w14:textId="6EC14C69" w:rsidR="00321EB9" w:rsidRDefault="0054192F" w:rsidP="00C240F4">
      <w:pPr>
        <w:pStyle w:val="Heading2"/>
      </w:pPr>
      <w:r>
        <w:lastRenderedPageBreak/>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4CEDA976" w14:textId="77777777" w:rsidR="00321EB9" w:rsidRPr="00AE1188" w:rsidRDefault="00321EB9" w:rsidP="00C240F4">
      <w:pPr>
        <w:pBdr>
          <w:top w:val="single" w:sz="4" w:space="1" w:color="auto"/>
          <w:left w:val="single" w:sz="4" w:space="4" w:color="auto"/>
          <w:bottom w:val="single" w:sz="4" w:space="20" w:color="auto"/>
          <w:right w:val="single" w:sz="4" w:space="4" w:color="auto"/>
          <w:between w:val="single" w:sz="4" w:space="1" w:color="auto"/>
          <w:bar w:val="single" w:sz="4" w:color="auto"/>
        </w:pBdr>
        <w:rPr>
          <w:szCs w:val="20"/>
        </w:rPr>
      </w:pPr>
      <w:bookmarkStart w:id="7" w:name="_Hlk496188260"/>
      <w:r>
        <w:rPr>
          <w:szCs w:val="20"/>
        </w:rPr>
        <w:t xml:space="preserve">Category </w:t>
      </w:r>
      <w:r>
        <w:t>3</w:t>
      </w:r>
      <w:r w:rsidRPr="00AE1188">
        <w:rPr>
          <w:szCs w:val="20"/>
        </w:rPr>
        <w:t xml:space="preserve"> – </w:t>
      </w:r>
      <w:r>
        <w:rPr>
          <w:szCs w:val="20"/>
        </w:rPr>
        <w:t>Therapeutic Procedures</w:t>
      </w:r>
    </w:p>
    <w:p w14:paraId="548AE35D" w14:textId="367601A7" w:rsidR="00321EB9" w:rsidRPr="00AE1188" w:rsidRDefault="00321EB9" w:rsidP="00C240F4">
      <w:pPr>
        <w:pBdr>
          <w:top w:val="single" w:sz="4" w:space="1" w:color="auto"/>
          <w:left w:val="single" w:sz="4" w:space="4" w:color="auto"/>
          <w:bottom w:val="single" w:sz="4" w:space="20" w:color="auto"/>
          <w:right w:val="single" w:sz="4" w:space="4" w:color="auto"/>
        </w:pBdr>
        <w:rPr>
          <w:szCs w:val="20"/>
        </w:rPr>
      </w:pPr>
      <w:r>
        <w:rPr>
          <w:szCs w:val="20"/>
        </w:rPr>
        <w:t>15</w:t>
      </w:r>
      <w:r w:rsidR="00B751C6">
        <w:rPr>
          <w:szCs w:val="20"/>
        </w:rPr>
        <w:t>3</w:t>
      </w:r>
      <w:r>
        <w:rPr>
          <w:szCs w:val="20"/>
        </w:rPr>
        <w:t>38</w:t>
      </w:r>
    </w:p>
    <w:p w14:paraId="6F415C45" w14:textId="5274EC88" w:rsidR="00321EB9" w:rsidRDefault="00321EB9" w:rsidP="00C240F4">
      <w:pPr>
        <w:pBdr>
          <w:top w:val="single" w:sz="4" w:space="1" w:color="auto"/>
          <w:left w:val="single" w:sz="4" w:space="4" w:color="auto"/>
          <w:bottom w:val="single" w:sz="4" w:space="20" w:color="auto"/>
          <w:right w:val="single" w:sz="4" w:space="4" w:color="auto"/>
        </w:pBdr>
        <w:rPr>
          <w:szCs w:val="20"/>
        </w:rPr>
      </w:pPr>
      <w:r w:rsidRPr="00661943">
        <w:rPr>
          <w:szCs w:val="20"/>
        </w:rPr>
        <w:t>Proposed item descriptor:</w:t>
      </w:r>
    </w:p>
    <w:p w14:paraId="6AA2EEDA" w14:textId="7A1C9023" w:rsidR="00C445CF" w:rsidRDefault="00C445CF" w:rsidP="00C240F4">
      <w:pPr>
        <w:pBdr>
          <w:top w:val="single" w:sz="4" w:space="1" w:color="auto"/>
          <w:left w:val="single" w:sz="4" w:space="4" w:color="auto"/>
          <w:bottom w:val="single" w:sz="4" w:space="20" w:color="auto"/>
          <w:right w:val="single" w:sz="4" w:space="4" w:color="auto"/>
        </w:pBdr>
        <w:rPr>
          <w:szCs w:val="20"/>
        </w:rPr>
      </w:pPr>
      <w:r w:rsidRPr="00C445CF">
        <w:rPr>
          <w:szCs w:val="20"/>
        </w:rPr>
        <w:t>PROSTATE, radioactive seed implantation of, radiation oncology component, using transrectal ultrasound guidance, for localised (non-metastatic) prostatic malignancy classified as intermediate risk (defined as having a prostate specific antigen (PSA) of 10-20 ng/ml  and/or a Gleason score of 7 and/or a tumour classified as T2b-c) or high risk (defined as having a PSA of greater than 20 ng/ml and/or a Gleason score of 8-10 and/or a tumour classified as T3 OR 2 or more intermediate risk features).  The procedure is recommended to be performed as a ‘boost’ treatment in addition to external beam radiotherapy and at an approved site in association with a urologist.</w:t>
      </w:r>
    </w:p>
    <w:p w14:paraId="00C791CA" w14:textId="0023EE3C" w:rsidR="00B954DF" w:rsidRDefault="00321EB9" w:rsidP="00C240F4">
      <w:pPr>
        <w:pBdr>
          <w:top w:val="single" w:sz="4" w:space="1" w:color="auto"/>
          <w:left w:val="single" w:sz="4" w:space="4" w:color="auto"/>
          <w:bottom w:val="single" w:sz="4" w:space="20" w:color="auto"/>
          <w:right w:val="single" w:sz="4" w:space="4" w:color="auto"/>
          <w:between w:val="single" w:sz="4" w:space="1" w:color="auto"/>
          <w:bar w:val="single" w:sz="4" w:color="auto"/>
        </w:pBdr>
        <w:rPr>
          <w:szCs w:val="20"/>
        </w:rPr>
      </w:pPr>
      <w:r w:rsidRPr="00AE1188">
        <w:rPr>
          <w:szCs w:val="20"/>
        </w:rPr>
        <w:t>Fee:  $</w:t>
      </w:r>
      <w:r>
        <w:rPr>
          <w:szCs w:val="20"/>
        </w:rPr>
        <w:t>9</w:t>
      </w:r>
      <w:r w:rsidR="00C445CF">
        <w:rPr>
          <w:szCs w:val="20"/>
        </w:rPr>
        <w:t>89</w:t>
      </w:r>
      <w:r>
        <w:rPr>
          <w:szCs w:val="20"/>
        </w:rPr>
        <w:t>.</w:t>
      </w:r>
      <w:bookmarkEnd w:id="7"/>
      <w:r w:rsidR="00C445CF">
        <w:rPr>
          <w:szCs w:val="20"/>
        </w:rPr>
        <w:t>10</w:t>
      </w:r>
    </w:p>
    <w:p w14:paraId="3A0123CF" w14:textId="25607725" w:rsidR="00321EB9" w:rsidRPr="00AE1188" w:rsidRDefault="00321EB9" w:rsidP="00C240F4">
      <w:pPr>
        <w:pBdr>
          <w:top w:val="single" w:sz="4" w:space="1" w:color="auto"/>
          <w:left w:val="single" w:sz="4" w:space="4" w:color="auto"/>
          <w:bottom w:val="single" w:sz="4" w:space="20" w:color="auto"/>
          <w:right w:val="single" w:sz="4" w:space="4" w:color="auto"/>
          <w:between w:val="single" w:sz="4" w:space="1" w:color="auto"/>
          <w:bar w:val="single" w:sz="4" w:color="auto"/>
        </w:pBdr>
        <w:rPr>
          <w:szCs w:val="20"/>
        </w:rPr>
      </w:pPr>
      <w:r>
        <w:rPr>
          <w:szCs w:val="20"/>
        </w:rPr>
        <w:t xml:space="preserve">Category </w:t>
      </w:r>
      <w:r>
        <w:t>3</w:t>
      </w:r>
      <w:r w:rsidRPr="00AE1188">
        <w:rPr>
          <w:szCs w:val="20"/>
        </w:rPr>
        <w:t xml:space="preserve"> – </w:t>
      </w:r>
      <w:r>
        <w:rPr>
          <w:szCs w:val="20"/>
        </w:rPr>
        <w:t>Therapeutic Procedures</w:t>
      </w:r>
    </w:p>
    <w:p w14:paraId="58C7894D" w14:textId="77777777" w:rsidR="00321EB9" w:rsidRPr="00AE1188" w:rsidRDefault="00321EB9" w:rsidP="00C240F4">
      <w:pPr>
        <w:pBdr>
          <w:top w:val="single" w:sz="4" w:space="1" w:color="auto"/>
          <w:left w:val="single" w:sz="4" w:space="4" w:color="auto"/>
          <w:bottom w:val="single" w:sz="4" w:space="20" w:color="auto"/>
          <w:right w:val="single" w:sz="4" w:space="4" w:color="auto"/>
        </w:pBdr>
        <w:rPr>
          <w:szCs w:val="20"/>
        </w:rPr>
      </w:pPr>
      <w:r>
        <w:rPr>
          <w:szCs w:val="20"/>
        </w:rPr>
        <w:t>37220</w:t>
      </w:r>
    </w:p>
    <w:p w14:paraId="79EB2549" w14:textId="34D278AA" w:rsidR="00321EB9" w:rsidRDefault="00321EB9" w:rsidP="00C240F4">
      <w:pPr>
        <w:pBdr>
          <w:top w:val="single" w:sz="4" w:space="1" w:color="auto"/>
          <w:left w:val="single" w:sz="4" w:space="4" w:color="auto"/>
          <w:bottom w:val="single" w:sz="4" w:space="20" w:color="auto"/>
          <w:right w:val="single" w:sz="4" w:space="4" w:color="auto"/>
        </w:pBdr>
        <w:rPr>
          <w:szCs w:val="20"/>
        </w:rPr>
      </w:pPr>
      <w:r w:rsidRPr="00661943">
        <w:rPr>
          <w:szCs w:val="20"/>
        </w:rPr>
        <w:t>Proposed item descriptor:</w:t>
      </w:r>
    </w:p>
    <w:p w14:paraId="096BE59B" w14:textId="4E492CD0" w:rsidR="00C445CF" w:rsidRDefault="00C445CF" w:rsidP="00C240F4">
      <w:pPr>
        <w:pBdr>
          <w:top w:val="single" w:sz="4" w:space="1" w:color="auto"/>
          <w:left w:val="single" w:sz="4" w:space="4" w:color="auto"/>
          <w:bottom w:val="single" w:sz="4" w:space="20" w:color="auto"/>
          <w:right w:val="single" w:sz="4" w:space="4" w:color="auto"/>
        </w:pBdr>
        <w:rPr>
          <w:szCs w:val="20"/>
        </w:rPr>
      </w:pPr>
      <w:r w:rsidRPr="00C445CF">
        <w:rPr>
          <w:szCs w:val="20"/>
        </w:rPr>
        <w:t>PROSTATE, radioactive seed implantation of, urological component, using transrectal ultrasound guidance, for localised (non-metastatic) prostatic malignancy classified as intermediate risk (defined as having a prostate specific antigen (PSA) of 10-20 ng/ml and/or a Gleason score of 7 and/or a tumour classified as T2b-c) or high risk (defined as having a PSA of greater than 20 ng/ml and/or a Gleason score of 8-10 and/or a tumour classified as T3 OR 2 or more intermediate risk features).  The procedure is recommended to be performed as a ‘boost’ treatment in addition to external beam radiotherapy and at an approved site in association with a radiation oncologist.</w:t>
      </w:r>
    </w:p>
    <w:p w14:paraId="7BF211FA" w14:textId="1314E7F9" w:rsidR="00451840" w:rsidRDefault="00C240F4" w:rsidP="00C240F4">
      <w:pPr>
        <w:pBdr>
          <w:top w:val="single" w:sz="4" w:space="1" w:color="auto"/>
          <w:left w:val="single" w:sz="4" w:space="4" w:color="auto"/>
          <w:bottom w:val="single" w:sz="4" w:space="20" w:color="auto"/>
          <w:right w:val="single" w:sz="4" w:space="4" w:color="auto"/>
        </w:pBdr>
        <w:rPr>
          <w:szCs w:val="20"/>
        </w:rPr>
      </w:pPr>
      <w:r>
        <w:rPr>
          <w:szCs w:val="20"/>
        </w:rPr>
        <w:t>Fee: $1103.90</w:t>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48EB" w14:textId="77777777" w:rsidR="005B7A73" w:rsidRDefault="005B7A73" w:rsidP="00CF2DFA">
      <w:pPr>
        <w:spacing w:after="0"/>
      </w:pPr>
      <w:r>
        <w:separator/>
      </w:r>
    </w:p>
  </w:endnote>
  <w:endnote w:type="continuationSeparator" w:id="0">
    <w:p w14:paraId="695C3CC0" w14:textId="77777777" w:rsidR="005B7A73" w:rsidRDefault="005B7A7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15EBC9D" w14:textId="1C5CF524" w:rsidR="008F3059" w:rsidRDefault="008F305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90CC1" w:rsidRPr="00490CC1">
          <w:rPr>
            <w:b/>
            <w:bCs/>
            <w:noProof/>
            <w:sz w:val="18"/>
            <w:szCs w:val="18"/>
          </w:rPr>
          <w:t>13</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6A76AE5F" w14:textId="68289AEE" w:rsidR="008F3059" w:rsidRPr="003F7CB9" w:rsidRDefault="008F305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BD87" w14:textId="77777777" w:rsidR="005B7A73" w:rsidRDefault="005B7A73" w:rsidP="00CF2DFA">
      <w:pPr>
        <w:spacing w:after="0"/>
      </w:pPr>
      <w:r>
        <w:separator/>
      </w:r>
    </w:p>
  </w:footnote>
  <w:footnote w:type="continuationSeparator" w:id="0">
    <w:p w14:paraId="313DC5B6" w14:textId="77777777" w:rsidR="005B7A73" w:rsidRDefault="005B7A73" w:rsidP="00CF2DFA">
      <w:pPr>
        <w:spacing w:after="0"/>
      </w:pPr>
      <w:r>
        <w:continuationSeparator/>
      </w:r>
    </w:p>
  </w:footnote>
  <w:footnote w:id="1">
    <w:p w14:paraId="6023E007" w14:textId="77777777" w:rsidR="008F3059" w:rsidRPr="007E5E2D" w:rsidRDefault="008F3059">
      <w:pPr>
        <w:pStyle w:val="FootnoteText"/>
      </w:pPr>
      <w:r>
        <w:rPr>
          <w:rStyle w:val="FootnoteReference"/>
        </w:rPr>
        <w:footnoteRef/>
      </w:r>
      <w:r>
        <w:t xml:space="preserve"> Xue et al </w:t>
      </w:r>
      <w:r>
        <w:rPr>
          <w:i/>
        </w:rPr>
        <w:t xml:space="preserve">Prostate cancer prevalence in New South Wales Australia: A population-based study’ </w:t>
      </w:r>
      <w:r>
        <w:t>Cancer Epidemiology 39 (2015) 29-36</w:t>
      </w:r>
    </w:p>
  </w:footnote>
  <w:footnote w:id="2">
    <w:p w14:paraId="55D481FD" w14:textId="77777777" w:rsidR="00073E26" w:rsidRPr="001A0812" w:rsidRDefault="00073E26" w:rsidP="00073E26">
      <w:pPr>
        <w:pStyle w:val="FootnoteText"/>
      </w:pPr>
      <w:r>
        <w:rPr>
          <w:rStyle w:val="FootnoteReference"/>
        </w:rPr>
        <w:footnoteRef/>
      </w:r>
      <w:r>
        <w:t xml:space="preserve"> </w:t>
      </w:r>
      <w:r w:rsidRPr="00073E26">
        <w:t>https://www.aihw.gov.au/reports/cancer/cancer-data-in-australia/contents/cancer-rankings-data-visualisation</w:t>
      </w:r>
    </w:p>
  </w:footnote>
  <w:footnote w:id="3">
    <w:p w14:paraId="1C6BD184" w14:textId="77777777" w:rsidR="008F3059" w:rsidRPr="00AF243E" w:rsidRDefault="008F3059">
      <w:pPr>
        <w:pStyle w:val="FootnoteText"/>
        <w:rPr>
          <w:i/>
        </w:rPr>
      </w:pPr>
    </w:p>
  </w:footnote>
  <w:footnote w:id="4">
    <w:p w14:paraId="6F516581" w14:textId="4E11E985" w:rsidR="008F3059" w:rsidRPr="00722860" w:rsidRDefault="008F3059">
      <w:pPr>
        <w:pStyle w:val="FootnoteText"/>
      </w:pPr>
      <w:r>
        <w:rPr>
          <w:rStyle w:val="FootnoteReference"/>
        </w:rPr>
        <w:footnoteRef/>
      </w:r>
      <w:r>
        <w:t xml:space="preserve"> Mottet et al </w:t>
      </w:r>
      <w:r>
        <w:rPr>
          <w:i/>
        </w:rPr>
        <w:t>‘EAU-ESTRO-</w:t>
      </w:r>
      <w:r w:rsidR="002E01B0">
        <w:rPr>
          <w:i/>
        </w:rPr>
        <w:t>ESUR-</w:t>
      </w:r>
      <w:r>
        <w:rPr>
          <w:i/>
        </w:rPr>
        <w:t>SIOG Guidelines on Prostate Cancer</w:t>
      </w:r>
      <w:r w:rsidR="002E01B0">
        <w:rPr>
          <w:i/>
        </w:rPr>
        <w:t>-2020 Update</w:t>
      </w:r>
      <w:r>
        <w:rPr>
          <w:i/>
        </w:rPr>
        <w:t>. Part 1: Screening, Diagnosis, and Local Treatment with Curative Intent</w:t>
      </w:r>
      <w:r w:rsidR="002E01B0">
        <w:rPr>
          <w:i/>
        </w:rPr>
        <w:t xml:space="preserve"> </w:t>
      </w:r>
      <w:r w:rsidR="002E01B0" w:rsidRPr="002E01B0">
        <w:rPr>
          <w:iCs/>
        </w:rPr>
        <w:t>https://doi.org/10.1016/j.eururo.2020.09.042</w:t>
      </w:r>
      <w:r w:rsidRPr="002E01B0">
        <w:rPr>
          <w:iCs/>
        </w:rPr>
        <w:t>’</w:t>
      </w:r>
      <w:r>
        <w:rPr>
          <w:i/>
        </w:rPr>
        <w:t xml:space="preserve"> </w:t>
      </w:r>
    </w:p>
  </w:footnote>
  <w:footnote w:id="5">
    <w:p w14:paraId="20AFFAAE" w14:textId="77777777" w:rsidR="008F3059" w:rsidRDefault="008F3059">
      <w:pPr>
        <w:pStyle w:val="FootnoteText"/>
      </w:pPr>
      <w:r>
        <w:rPr>
          <w:rStyle w:val="FootnoteReference"/>
        </w:rPr>
        <w:footnoteRef/>
      </w:r>
      <w:r>
        <w:t xml:space="preserve"> </w:t>
      </w:r>
      <w:r w:rsidRPr="008616FA">
        <w:t>https://www.andrologyaustralia.org/wp-content/uploads/Factsheet_ProstateCancerTreatment.pdf</w:t>
      </w:r>
    </w:p>
  </w:footnote>
  <w:footnote w:id="6">
    <w:p w14:paraId="1A309F95" w14:textId="77777777" w:rsidR="008F3059" w:rsidRDefault="008F3059" w:rsidP="0036363D">
      <w:pPr>
        <w:autoSpaceDE w:val="0"/>
        <w:autoSpaceDN w:val="0"/>
        <w:adjustRightInd w:val="0"/>
        <w:spacing w:before="0" w:after="0"/>
      </w:pPr>
      <w:r>
        <w:rPr>
          <w:rStyle w:val="FootnoteReference"/>
        </w:rPr>
        <w:footnoteRef/>
      </w:r>
      <w:r>
        <w:t xml:space="preserve"> </w:t>
      </w:r>
      <w:r w:rsidRPr="0036363D">
        <w:rPr>
          <w:rFonts w:cstheme="minorHAnsi"/>
          <w:szCs w:val="20"/>
        </w:rPr>
        <w:t>Davis BJ, Taira AV, Nguyen PL, et al. ACR appropriateness criteria: Permanent</w:t>
      </w:r>
      <w:r>
        <w:rPr>
          <w:rFonts w:cstheme="minorHAnsi"/>
          <w:szCs w:val="20"/>
        </w:rPr>
        <w:t xml:space="preserve"> </w:t>
      </w:r>
      <w:r w:rsidRPr="0036363D">
        <w:rPr>
          <w:rFonts w:cstheme="minorHAnsi"/>
          <w:szCs w:val="20"/>
        </w:rPr>
        <w:t>source brachytherapy for prostate cancer. Brachytherapy. 2017;16(2):266-76.</w:t>
      </w:r>
    </w:p>
  </w:footnote>
  <w:footnote w:id="7">
    <w:p w14:paraId="5666DDB6" w14:textId="77777777" w:rsidR="008F3059" w:rsidRPr="0036363D" w:rsidRDefault="008F3059" w:rsidP="0036363D">
      <w:pPr>
        <w:autoSpaceDE w:val="0"/>
        <w:autoSpaceDN w:val="0"/>
        <w:adjustRightInd w:val="0"/>
        <w:spacing w:before="0" w:after="0"/>
        <w:rPr>
          <w:rFonts w:cstheme="minorHAnsi"/>
          <w:szCs w:val="20"/>
        </w:rPr>
      </w:pPr>
      <w:r w:rsidRPr="0036363D">
        <w:rPr>
          <w:rStyle w:val="FootnoteReference"/>
          <w:rFonts w:cstheme="minorHAnsi"/>
          <w:szCs w:val="20"/>
        </w:rPr>
        <w:footnoteRef/>
      </w:r>
      <w:r w:rsidRPr="0036363D">
        <w:rPr>
          <w:rFonts w:cstheme="minorHAnsi"/>
          <w:szCs w:val="20"/>
        </w:rPr>
        <w:t xml:space="preserve"> Mottet N, Bellmunt J, Bolla M, et al. EAU-ESTRO-SIOG Guidelines on Prostate</w:t>
      </w:r>
      <w:r>
        <w:rPr>
          <w:rFonts w:cstheme="minorHAnsi"/>
          <w:szCs w:val="20"/>
        </w:rPr>
        <w:t xml:space="preserve"> </w:t>
      </w:r>
      <w:r w:rsidRPr="0036363D">
        <w:rPr>
          <w:rFonts w:cstheme="minorHAnsi"/>
          <w:szCs w:val="20"/>
        </w:rPr>
        <w:t>Cancer. Part 1: Screening, Diagnosis, and Local Treatment with Curative Intent.</w:t>
      </w:r>
      <w:r>
        <w:rPr>
          <w:rFonts w:cstheme="minorHAnsi"/>
          <w:szCs w:val="20"/>
        </w:rPr>
        <w:t xml:space="preserve"> </w:t>
      </w:r>
      <w:r w:rsidRPr="0036363D">
        <w:rPr>
          <w:rFonts w:cstheme="minorHAnsi"/>
          <w:szCs w:val="20"/>
        </w:rPr>
        <w:t>Eur Urol. 2017;71(4):618-29.</w:t>
      </w:r>
    </w:p>
  </w:footnote>
  <w:footnote w:id="8">
    <w:p w14:paraId="43546D01" w14:textId="77777777" w:rsidR="008F3059" w:rsidRDefault="008F3059" w:rsidP="0036363D">
      <w:pPr>
        <w:pStyle w:val="FootnoteText"/>
      </w:pPr>
      <w:r>
        <w:rPr>
          <w:rStyle w:val="FootnoteReference"/>
        </w:rPr>
        <w:footnoteRef/>
      </w:r>
      <w:r>
        <w:t xml:space="preserve"> </w:t>
      </w:r>
      <w:r w:rsidRPr="0036363D">
        <w:t>Chin J, Rumble RB, Kollmeier M, et al. Brachytherapy for Patients With</w:t>
      </w:r>
      <w:r>
        <w:t xml:space="preserve"> </w:t>
      </w:r>
      <w:r w:rsidRPr="0036363D">
        <w:t>Prostate Cancer: American Society of Clinical Oncology/Cancer Care Ontario</w:t>
      </w:r>
      <w:r>
        <w:t xml:space="preserve"> </w:t>
      </w:r>
      <w:r w:rsidRPr="0036363D">
        <w:t>Joint Guideline Update. J Clin Oncol. 2017;35(15):1737-43</w:t>
      </w:r>
    </w:p>
  </w:footnote>
  <w:footnote w:id="9">
    <w:p w14:paraId="710136B3" w14:textId="77777777" w:rsidR="00FA4CAE" w:rsidRPr="00FA4CAE" w:rsidRDefault="00FA4CAE" w:rsidP="00FA4CAE">
      <w:pPr>
        <w:pStyle w:val="FootnoteText"/>
      </w:pPr>
      <w:r>
        <w:rPr>
          <w:rStyle w:val="FootnoteReference"/>
        </w:rPr>
        <w:footnoteRef/>
      </w:r>
      <w:r>
        <w:t xml:space="preserve"> </w:t>
      </w:r>
      <w:r w:rsidRPr="00FA4CAE">
        <w:t xml:space="preserve">NCCN Clinical Practice Guidelines in Oncology: Prostate Cancer. Version 1.2023. Sept 2022 </w:t>
      </w:r>
    </w:p>
    <w:p w14:paraId="569C57C1" w14:textId="77777777" w:rsidR="00FA4CAE" w:rsidRPr="00FA4CAE" w:rsidRDefault="00AB1909" w:rsidP="00FA4CAE">
      <w:pPr>
        <w:pStyle w:val="FootnoteText"/>
      </w:pPr>
      <w:hyperlink r:id="rId1" w:history="1">
        <w:r w:rsidR="00FA4CAE" w:rsidRPr="00FA4CAE">
          <w:rPr>
            <w:rStyle w:val="Hyperlink"/>
          </w:rPr>
          <w:t>https://www.nccn.org/professionals/physician_gls/pdf/prostate.pdf</w:t>
        </w:r>
      </w:hyperlink>
    </w:p>
    <w:p w14:paraId="12EDA5A4" w14:textId="46DF6227" w:rsidR="00FA4CAE" w:rsidRDefault="00FA4CAE">
      <w:pPr>
        <w:pStyle w:val="FootnoteText"/>
      </w:pPr>
    </w:p>
  </w:footnote>
  <w:footnote w:id="10">
    <w:p w14:paraId="18E689B2" w14:textId="77777777" w:rsidR="008F3059" w:rsidRPr="00086C85" w:rsidRDefault="008F3059">
      <w:pPr>
        <w:pStyle w:val="FootnoteText"/>
      </w:pPr>
      <w:r>
        <w:rPr>
          <w:rStyle w:val="FootnoteReference"/>
        </w:rPr>
        <w:footnoteRef/>
      </w:r>
      <w:r>
        <w:t xml:space="preserve"> </w:t>
      </w:r>
      <w:proofErr w:type="spellStart"/>
      <w:r>
        <w:t>Dearnaley</w:t>
      </w:r>
      <w:proofErr w:type="spellEnd"/>
      <w:r>
        <w:t xml:space="preserve"> DP et al ‘</w:t>
      </w:r>
      <w:r w:rsidRPr="00086C85">
        <w:rPr>
          <w:i/>
        </w:rPr>
        <w:t>Escalated-dose versus control-dose conformal radiotherapy for prostate cancer: long-term results from the MRC RT01 randomised controlled trial</w:t>
      </w:r>
      <w:r>
        <w:rPr>
          <w:i/>
        </w:rPr>
        <w:t xml:space="preserve">’ </w:t>
      </w:r>
      <w:r>
        <w:t>The Lancet vol 15 2014</w:t>
      </w:r>
    </w:p>
  </w:footnote>
  <w:footnote w:id="11">
    <w:p w14:paraId="5F3D2C55" w14:textId="77777777" w:rsidR="008F3059" w:rsidRPr="00B711A2" w:rsidRDefault="008F3059" w:rsidP="00901AC9">
      <w:pPr>
        <w:pStyle w:val="FootnoteText"/>
        <w:rPr>
          <w:i/>
        </w:rPr>
      </w:pPr>
      <w:r>
        <w:rPr>
          <w:rStyle w:val="FootnoteReference"/>
        </w:rPr>
        <w:footnoteRef/>
      </w:r>
      <w:r>
        <w:t xml:space="preserve"> </w:t>
      </w:r>
      <w:r w:rsidRPr="009C05C3">
        <w:t>Morris WJ, Tyldesley S, Rodda S, et al</w:t>
      </w:r>
      <w:r w:rsidRPr="00B711A2">
        <w:rPr>
          <w:i/>
        </w:rPr>
        <w:t>. Androgen Suppression Combined with Elective Nodal and Dose Escalated Radiation Therapy (the ASCENDE-RT Trial): An Analysis of Survival Endpoints for a Randomized Trial Comparing a Low-Dose-Rate Brachytherapy Boost to a Dose-Escalated External Beam Boost for</w:t>
      </w:r>
    </w:p>
    <w:p w14:paraId="48DA9B56" w14:textId="77777777" w:rsidR="008F3059" w:rsidRDefault="008F3059" w:rsidP="00901AC9">
      <w:pPr>
        <w:pStyle w:val="FootnoteText"/>
      </w:pPr>
      <w:r w:rsidRPr="00B711A2">
        <w:rPr>
          <w:i/>
        </w:rPr>
        <w:t>High- and Intermediate-risk Prostate Cancer</w:t>
      </w:r>
      <w:r w:rsidRPr="009C05C3">
        <w:t>. Int J Radiat Oncol Biol Phys.2017;98(2):275-85.</w:t>
      </w:r>
    </w:p>
    <w:p w14:paraId="0585FFA6" w14:textId="77777777" w:rsidR="008F3059" w:rsidRDefault="008F3059">
      <w:pPr>
        <w:pStyle w:val="FootnoteText"/>
      </w:pPr>
    </w:p>
  </w:footnote>
  <w:footnote w:id="12">
    <w:p w14:paraId="00AD28C6" w14:textId="77777777" w:rsidR="008F3059" w:rsidRPr="00ED2328" w:rsidRDefault="008F3059" w:rsidP="00ED2328">
      <w:pPr>
        <w:autoSpaceDE w:val="0"/>
        <w:autoSpaceDN w:val="0"/>
        <w:adjustRightInd w:val="0"/>
        <w:spacing w:before="0" w:after="0"/>
        <w:rPr>
          <w:rFonts w:cstheme="minorHAnsi"/>
          <w:szCs w:val="20"/>
        </w:rPr>
      </w:pPr>
      <w:r>
        <w:rPr>
          <w:rStyle w:val="FootnoteReference"/>
        </w:rPr>
        <w:footnoteRef/>
      </w:r>
      <w:r>
        <w:t xml:space="preserve"> </w:t>
      </w:r>
      <w:r w:rsidRPr="00ED2328">
        <w:rPr>
          <w:rFonts w:cstheme="minorHAnsi"/>
          <w:szCs w:val="20"/>
        </w:rPr>
        <w:t>NCCN Clinical Practice Guidelines in Oncology (NCCN GuidelinesR). Prostate</w:t>
      </w:r>
      <w:r>
        <w:rPr>
          <w:rFonts w:cstheme="minorHAnsi"/>
          <w:szCs w:val="20"/>
        </w:rPr>
        <w:t xml:space="preserve"> </w:t>
      </w:r>
      <w:r w:rsidRPr="00ED2328">
        <w:rPr>
          <w:rFonts w:cstheme="minorHAnsi"/>
          <w:szCs w:val="20"/>
        </w:rPr>
        <w:t>Cancer. Version 2.2017. https://www.nccn.org/</w:t>
      </w:r>
    </w:p>
  </w:footnote>
  <w:footnote w:id="13">
    <w:p w14:paraId="0E01E084" w14:textId="3DC8A685" w:rsidR="008F3059" w:rsidRDefault="008F3059">
      <w:pPr>
        <w:pStyle w:val="FootnoteText"/>
      </w:pPr>
      <w:r>
        <w:rPr>
          <w:rStyle w:val="FootnoteReference"/>
        </w:rPr>
        <w:footnoteRef/>
      </w:r>
      <w:r>
        <w:t xml:space="preserve"> </w:t>
      </w:r>
      <w:r w:rsidR="00FB27AA" w:rsidRPr="00073E26">
        <w:t>https://www.aihw.gov.au/reports/cancer/cancer-data-in-australia/contents/cancer-rankings-data-visualisation</w:t>
      </w:r>
    </w:p>
  </w:footnote>
  <w:footnote w:id="14">
    <w:p w14:paraId="790EDE59" w14:textId="55A91CE6" w:rsidR="008F3059" w:rsidRDefault="008F3059">
      <w:pPr>
        <w:pStyle w:val="FootnoteText"/>
      </w:pPr>
      <w:r>
        <w:rPr>
          <w:rStyle w:val="FootnoteReference"/>
        </w:rPr>
        <w:footnoteRef/>
      </w:r>
      <w:r>
        <w:t xml:space="preserve"> </w:t>
      </w:r>
      <w:bookmarkStart w:id="5" w:name="_Hlk114836991"/>
      <w:r>
        <w:t xml:space="preserve">Zhang H et al </w:t>
      </w:r>
      <w:r>
        <w:rPr>
          <w:i/>
        </w:rPr>
        <w:t xml:space="preserve">‘Age and racial differences among PSA-detected (AJCC stage T1cN0M0) prostate cancer in the US: a population-based study of 70,345 men. </w:t>
      </w:r>
      <w:r>
        <w:t>Front. Onc. Dec 2013 Vol 3</w:t>
      </w:r>
    </w:p>
    <w:bookmarkEnd w:id="5"/>
  </w:footnote>
  <w:footnote w:id="15">
    <w:p w14:paraId="06046A3E" w14:textId="27A00975" w:rsidR="008F3059" w:rsidRDefault="008F3059">
      <w:pPr>
        <w:pStyle w:val="FootnoteText"/>
      </w:pPr>
      <w:r>
        <w:rPr>
          <w:rStyle w:val="FootnoteReference"/>
        </w:rPr>
        <w:footnoteRef/>
      </w:r>
      <w:r>
        <w:t xml:space="preserve"> </w:t>
      </w:r>
      <w:r w:rsidR="00EB2481">
        <w:t xml:space="preserve">Projected from </w:t>
      </w:r>
      <w:r>
        <w:t xml:space="preserve">AHIW National Hospital Morbidity Database, procedures and healthcare interventions (ACHI </w:t>
      </w:r>
      <w:r w:rsidR="00551579">
        <w:t>Edition 11</w:t>
      </w:r>
      <w:r>
        <w:t>), Australia, 20</w:t>
      </w:r>
      <w:r w:rsidR="00551579">
        <w:t>20-21</w:t>
      </w:r>
    </w:p>
  </w:footnote>
  <w:footnote w:id="16">
    <w:p w14:paraId="0B83B835" w14:textId="1E859C19" w:rsidR="00BB4F42" w:rsidRDefault="00BB4F42">
      <w:pPr>
        <w:pStyle w:val="FootnoteText"/>
      </w:pPr>
      <w:r>
        <w:rPr>
          <w:rStyle w:val="FootnoteReference"/>
        </w:rPr>
        <w:footnoteRef/>
      </w:r>
      <w:r>
        <w:t xml:space="preserve"> </w:t>
      </w:r>
      <w:r w:rsidRPr="00BB4F42">
        <w:t xml:space="preserve">Zhang H et al </w:t>
      </w:r>
      <w:r w:rsidRPr="00BB4F42">
        <w:rPr>
          <w:i/>
        </w:rPr>
        <w:t xml:space="preserve">‘Age and racial differences among PSA-detected (AJCC stage T1cN0M0) prostate cancer in the US: a population-based study of 70,345 men. </w:t>
      </w:r>
      <w:r w:rsidRPr="00BB4F42">
        <w:t xml:space="preserve">Front. </w:t>
      </w:r>
      <w:proofErr w:type="spellStart"/>
      <w:r w:rsidRPr="00BB4F42">
        <w:t>Onc</w:t>
      </w:r>
      <w:proofErr w:type="spellEnd"/>
      <w:r w:rsidRPr="00BB4F42">
        <w:t>. Dec 2013 Vol 3</w:t>
      </w:r>
    </w:p>
  </w:footnote>
  <w:footnote w:id="17">
    <w:p w14:paraId="3D7C7C61" w14:textId="7E1091CC" w:rsidR="006035E6" w:rsidRDefault="006035E6" w:rsidP="006035E6">
      <w:pPr>
        <w:pStyle w:val="FootnoteText"/>
      </w:pPr>
      <w:r>
        <w:rPr>
          <w:rStyle w:val="FootnoteReference"/>
        </w:rPr>
        <w:footnoteRef/>
      </w:r>
      <w:r>
        <w:t xml:space="preserve"> </w:t>
      </w:r>
      <w:r w:rsidR="006C0A3A">
        <w:t xml:space="preserve">Estimated from </w:t>
      </w:r>
      <w:r>
        <w:t>AIHW Cancer Series No 66: Cancer incidence projections Australia, 2011 to 2020</w:t>
      </w:r>
      <w:r w:rsidR="006C0A3A">
        <w:t xml:space="preserve"> and ABS population tables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24B2F"/>
    <w:multiLevelType w:val="hybridMultilevel"/>
    <w:tmpl w:val="149AD6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473F28"/>
    <w:multiLevelType w:val="hybridMultilevel"/>
    <w:tmpl w:val="08727478"/>
    <w:lvl w:ilvl="0" w:tplc="1F14B11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FAB082D"/>
    <w:multiLevelType w:val="hybridMultilevel"/>
    <w:tmpl w:val="8C901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5EDE4468"/>
    <w:multiLevelType w:val="hybridMultilevel"/>
    <w:tmpl w:val="04BAC3B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501D18"/>
    <w:multiLevelType w:val="hybridMultilevel"/>
    <w:tmpl w:val="B1BE6E5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7C7B51BE"/>
    <w:multiLevelType w:val="hybridMultilevel"/>
    <w:tmpl w:val="7D0800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4"/>
  </w:num>
  <w:num w:numId="27">
    <w:abstractNumId w:val="16"/>
  </w:num>
  <w:num w:numId="28">
    <w:abstractNumId w:val="10"/>
  </w:num>
  <w:num w:numId="29">
    <w:abstractNumId w:val="21"/>
  </w:num>
  <w:num w:numId="30">
    <w:abstractNumId w:val="3"/>
  </w:num>
  <w:num w:numId="31">
    <w:abstractNumId w:val="18"/>
  </w:num>
  <w:num w:numId="32">
    <w:abstractNumId w:val="7"/>
  </w:num>
  <w:num w:numId="33">
    <w:abstractNumId w:val="17"/>
  </w:num>
  <w:num w:numId="34">
    <w:abstractNumId w:val="6"/>
  </w:num>
  <w:num w:numId="35">
    <w:abstractNumId w:val="12"/>
  </w:num>
  <w:num w:numId="36">
    <w:abstractNumId w:val="0"/>
  </w:num>
  <w:num w:numId="37">
    <w:abstractNumId w:val="19"/>
  </w:num>
  <w:num w:numId="38">
    <w:abstractNumId w:val="23"/>
  </w:num>
  <w:num w:numId="39">
    <w:abstractNumId w:val="2"/>
  </w:num>
  <w:num w:numId="40">
    <w:abstractNumId w:val="24"/>
  </w:num>
  <w:num w:numId="41">
    <w:abstractNumId w:val="1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C5"/>
    <w:rsid w:val="000110DC"/>
    <w:rsid w:val="000158AA"/>
    <w:rsid w:val="000159B9"/>
    <w:rsid w:val="00016B6E"/>
    <w:rsid w:val="00023E21"/>
    <w:rsid w:val="0002425E"/>
    <w:rsid w:val="00025ABC"/>
    <w:rsid w:val="00026412"/>
    <w:rsid w:val="00031F6F"/>
    <w:rsid w:val="00034D6E"/>
    <w:rsid w:val="00037211"/>
    <w:rsid w:val="000502A2"/>
    <w:rsid w:val="0005089D"/>
    <w:rsid w:val="000525BC"/>
    <w:rsid w:val="00055D49"/>
    <w:rsid w:val="00060F51"/>
    <w:rsid w:val="0007142D"/>
    <w:rsid w:val="00073222"/>
    <w:rsid w:val="00073E26"/>
    <w:rsid w:val="00073F1E"/>
    <w:rsid w:val="000770BA"/>
    <w:rsid w:val="00086C85"/>
    <w:rsid w:val="00092305"/>
    <w:rsid w:val="00092580"/>
    <w:rsid w:val="000949FE"/>
    <w:rsid w:val="000955E7"/>
    <w:rsid w:val="000A110D"/>
    <w:rsid w:val="000A478F"/>
    <w:rsid w:val="000A5B32"/>
    <w:rsid w:val="000A7CC2"/>
    <w:rsid w:val="000B3CD0"/>
    <w:rsid w:val="000B6467"/>
    <w:rsid w:val="000B7503"/>
    <w:rsid w:val="000C0509"/>
    <w:rsid w:val="000C39F5"/>
    <w:rsid w:val="000C7277"/>
    <w:rsid w:val="000D066E"/>
    <w:rsid w:val="000D0831"/>
    <w:rsid w:val="000D5717"/>
    <w:rsid w:val="000E08D8"/>
    <w:rsid w:val="000E47E7"/>
    <w:rsid w:val="000E5439"/>
    <w:rsid w:val="00100D78"/>
    <w:rsid w:val="00102686"/>
    <w:rsid w:val="0011036E"/>
    <w:rsid w:val="001130B0"/>
    <w:rsid w:val="0011336C"/>
    <w:rsid w:val="0011369B"/>
    <w:rsid w:val="00116885"/>
    <w:rsid w:val="001173E8"/>
    <w:rsid w:val="0011742E"/>
    <w:rsid w:val="0011773E"/>
    <w:rsid w:val="00123D10"/>
    <w:rsid w:val="00126B33"/>
    <w:rsid w:val="00127DF8"/>
    <w:rsid w:val="00131D15"/>
    <w:rsid w:val="00131D49"/>
    <w:rsid w:val="00133168"/>
    <w:rsid w:val="00136F68"/>
    <w:rsid w:val="00140C63"/>
    <w:rsid w:val="00143186"/>
    <w:rsid w:val="00154B00"/>
    <w:rsid w:val="00163646"/>
    <w:rsid w:val="001644E9"/>
    <w:rsid w:val="00165326"/>
    <w:rsid w:val="001845D9"/>
    <w:rsid w:val="001845DF"/>
    <w:rsid w:val="0018630F"/>
    <w:rsid w:val="001906CD"/>
    <w:rsid w:val="00191B99"/>
    <w:rsid w:val="0019694B"/>
    <w:rsid w:val="00197D29"/>
    <w:rsid w:val="001A02E3"/>
    <w:rsid w:val="001A0812"/>
    <w:rsid w:val="001A1ADF"/>
    <w:rsid w:val="001A365C"/>
    <w:rsid w:val="001B171D"/>
    <w:rsid w:val="001B29A1"/>
    <w:rsid w:val="001B5169"/>
    <w:rsid w:val="001B6164"/>
    <w:rsid w:val="001B66A4"/>
    <w:rsid w:val="001B6F7A"/>
    <w:rsid w:val="001C46A6"/>
    <w:rsid w:val="001D20E7"/>
    <w:rsid w:val="001D3619"/>
    <w:rsid w:val="001D3A34"/>
    <w:rsid w:val="001D5A89"/>
    <w:rsid w:val="001D77ED"/>
    <w:rsid w:val="001E1180"/>
    <w:rsid w:val="001E23EA"/>
    <w:rsid w:val="001E276F"/>
    <w:rsid w:val="001E37D9"/>
    <w:rsid w:val="001E6919"/>
    <w:rsid w:val="001E6958"/>
    <w:rsid w:val="001F7091"/>
    <w:rsid w:val="0020022D"/>
    <w:rsid w:val="00201924"/>
    <w:rsid w:val="00202473"/>
    <w:rsid w:val="002053F2"/>
    <w:rsid w:val="00206D63"/>
    <w:rsid w:val="00210CC2"/>
    <w:rsid w:val="0021185D"/>
    <w:rsid w:val="00226777"/>
    <w:rsid w:val="002314FC"/>
    <w:rsid w:val="00235BD1"/>
    <w:rsid w:val="00237E70"/>
    <w:rsid w:val="00242B0E"/>
    <w:rsid w:val="00243CB4"/>
    <w:rsid w:val="00247DF0"/>
    <w:rsid w:val="00252307"/>
    <w:rsid w:val="00253CEA"/>
    <w:rsid w:val="00254813"/>
    <w:rsid w:val="00257275"/>
    <w:rsid w:val="00257FF2"/>
    <w:rsid w:val="00265822"/>
    <w:rsid w:val="0027105F"/>
    <w:rsid w:val="002711FB"/>
    <w:rsid w:val="002824CF"/>
    <w:rsid w:val="00283318"/>
    <w:rsid w:val="00285525"/>
    <w:rsid w:val="00292432"/>
    <w:rsid w:val="00294CD8"/>
    <w:rsid w:val="002A270B"/>
    <w:rsid w:val="002A50FD"/>
    <w:rsid w:val="002A6753"/>
    <w:rsid w:val="002B2283"/>
    <w:rsid w:val="002B28D7"/>
    <w:rsid w:val="002B4D25"/>
    <w:rsid w:val="002B7EB6"/>
    <w:rsid w:val="002C0B61"/>
    <w:rsid w:val="002C15E6"/>
    <w:rsid w:val="002C247D"/>
    <w:rsid w:val="002C3345"/>
    <w:rsid w:val="002C4799"/>
    <w:rsid w:val="002C6C48"/>
    <w:rsid w:val="002D2F20"/>
    <w:rsid w:val="002D409A"/>
    <w:rsid w:val="002E01B0"/>
    <w:rsid w:val="002F0D2F"/>
    <w:rsid w:val="002F30E7"/>
    <w:rsid w:val="00300EEB"/>
    <w:rsid w:val="003013A9"/>
    <w:rsid w:val="00301A19"/>
    <w:rsid w:val="003020B5"/>
    <w:rsid w:val="003027BB"/>
    <w:rsid w:val="00305E77"/>
    <w:rsid w:val="00306B08"/>
    <w:rsid w:val="00310A10"/>
    <w:rsid w:val="003134C8"/>
    <w:rsid w:val="00315A98"/>
    <w:rsid w:val="003171D7"/>
    <w:rsid w:val="00321EB9"/>
    <w:rsid w:val="00324BEA"/>
    <w:rsid w:val="0032735C"/>
    <w:rsid w:val="00327D25"/>
    <w:rsid w:val="003319A7"/>
    <w:rsid w:val="00334FE3"/>
    <w:rsid w:val="003421AE"/>
    <w:rsid w:val="003433D1"/>
    <w:rsid w:val="00344B24"/>
    <w:rsid w:val="003456B9"/>
    <w:rsid w:val="0035067D"/>
    <w:rsid w:val="00353A16"/>
    <w:rsid w:val="0035776D"/>
    <w:rsid w:val="0036363D"/>
    <w:rsid w:val="00364A29"/>
    <w:rsid w:val="00364FD9"/>
    <w:rsid w:val="00367C1B"/>
    <w:rsid w:val="0037082D"/>
    <w:rsid w:val="0037170D"/>
    <w:rsid w:val="00371DEA"/>
    <w:rsid w:val="00372C3B"/>
    <w:rsid w:val="00376B61"/>
    <w:rsid w:val="00382407"/>
    <w:rsid w:val="003834D7"/>
    <w:rsid w:val="003859B0"/>
    <w:rsid w:val="00386613"/>
    <w:rsid w:val="00386A64"/>
    <w:rsid w:val="00386FA1"/>
    <w:rsid w:val="00390142"/>
    <w:rsid w:val="00392F00"/>
    <w:rsid w:val="003972B2"/>
    <w:rsid w:val="00397377"/>
    <w:rsid w:val="003A22DE"/>
    <w:rsid w:val="003A2860"/>
    <w:rsid w:val="003A3C35"/>
    <w:rsid w:val="003A3DF9"/>
    <w:rsid w:val="003A7D30"/>
    <w:rsid w:val="003B3C5C"/>
    <w:rsid w:val="003C3FD3"/>
    <w:rsid w:val="003C427A"/>
    <w:rsid w:val="003C47CA"/>
    <w:rsid w:val="003D6DE1"/>
    <w:rsid w:val="003D795C"/>
    <w:rsid w:val="003E30FB"/>
    <w:rsid w:val="003F2711"/>
    <w:rsid w:val="003F6C70"/>
    <w:rsid w:val="003F7CB9"/>
    <w:rsid w:val="00403333"/>
    <w:rsid w:val="0040353C"/>
    <w:rsid w:val="00403606"/>
    <w:rsid w:val="00411735"/>
    <w:rsid w:val="00415C74"/>
    <w:rsid w:val="0043654D"/>
    <w:rsid w:val="00444A7C"/>
    <w:rsid w:val="00450DE8"/>
    <w:rsid w:val="00450E59"/>
    <w:rsid w:val="00451840"/>
    <w:rsid w:val="00460C9A"/>
    <w:rsid w:val="00464924"/>
    <w:rsid w:val="00471AA9"/>
    <w:rsid w:val="00473124"/>
    <w:rsid w:val="0047581D"/>
    <w:rsid w:val="00480289"/>
    <w:rsid w:val="00481279"/>
    <w:rsid w:val="00483368"/>
    <w:rsid w:val="00483BEC"/>
    <w:rsid w:val="00490AAD"/>
    <w:rsid w:val="00490CC1"/>
    <w:rsid w:val="00494011"/>
    <w:rsid w:val="00496964"/>
    <w:rsid w:val="004A0BF4"/>
    <w:rsid w:val="004A263B"/>
    <w:rsid w:val="004A7729"/>
    <w:rsid w:val="004B68AE"/>
    <w:rsid w:val="004C151B"/>
    <w:rsid w:val="004C35B0"/>
    <w:rsid w:val="004C49EF"/>
    <w:rsid w:val="004C4A19"/>
    <w:rsid w:val="004C5570"/>
    <w:rsid w:val="004C68B4"/>
    <w:rsid w:val="004D00C9"/>
    <w:rsid w:val="004D3236"/>
    <w:rsid w:val="004D3271"/>
    <w:rsid w:val="004D3BCC"/>
    <w:rsid w:val="004D3D43"/>
    <w:rsid w:val="004D590F"/>
    <w:rsid w:val="004E16F5"/>
    <w:rsid w:val="004E2C43"/>
    <w:rsid w:val="004E3CC7"/>
    <w:rsid w:val="004E44E9"/>
    <w:rsid w:val="004E5B69"/>
    <w:rsid w:val="004E66EA"/>
    <w:rsid w:val="004F118D"/>
    <w:rsid w:val="004F2A87"/>
    <w:rsid w:val="00507C56"/>
    <w:rsid w:val="00511C68"/>
    <w:rsid w:val="00515382"/>
    <w:rsid w:val="0052344E"/>
    <w:rsid w:val="00523D47"/>
    <w:rsid w:val="00526478"/>
    <w:rsid w:val="00526BA8"/>
    <w:rsid w:val="00530204"/>
    <w:rsid w:val="0053292F"/>
    <w:rsid w:val="00534C5F"/>
    <w:rsid w:val="00540257"/>
    <w:rsid w:val="0054192F"/>
    <w:rsid w:val="00541BD5"/>
    <w:rsid w:val="005447E3"/>
    <w:rsid w:val="00544EB3"/>
    <w:rsid w:val="0054594B"/>
    <w:rsid w:val="0054749B"/>
    <w:rsid w:val="00551579"/>
    <w:rsid w:val="00551CC6"/>
    <w:rsid w:val="005578EA"/>
    <w:rsid w:val="00560541"/>
    <w:rsid w:val="00562B77"/>
    <w:rsid w:val="00563AC5"/>
    <w:rsid w:val="00563E6E"/>
    <w:rsid w:val="005672D0"/>
    <w:rsid w:val="00572CEB"/>
    <w:rsid w:val="005834C9"/>
    <w:rsid w:val="00585331"/>
    <w:rsid w:val="00593C83"/>
    <w:rsid w:val="00594C61"/>
    <w:rsid w:val="005A473F"/>
    <w:rsid w:val="005A58BA"/>
    <w:rsid w:val="005A5D30"/>
    <w:rsid w:val="005A65A8"/>
    <w:rsid w:val="005A6AB9"/>
    <w:rsid w:val="005A794E"/>
    <w:rsid w:val="005B4B75"/>
    <w:rsid w:val="005B6896"/>
    <w:rsid w:val="005B7A73"/>
    <w:rsid w:val="005C0807"/>
    <w:rsid w:val="005C2B70"/>
    <w:rsid w:val="005C333E"/>
    <w:rsid w:val="005C3AE7"/>
    <w:rsid w:val="005D0677"/>
    <w:rsid w:val="005D0777"/>
    <w:rsid w:val="005E294C"/>
    <w:rsid w:val="005E2A59"/>
    <w:rsid w:val="005E2CE3"/>
    <w:rsid w:val="005F1427"/>
    <w:rsid w:val="005F3C0C"/>
    <w:rsid w:val="005F3F07"/>
    <w:rsid w:val="006035E6"/>
    <w:rsid w:val="00603D04"/>
    <w:rsid w:val="00606857"/>
    <w:rsid w:val="00615F42"/>
    <w:rsid w:val="006258C2"/>
    <w:rsid w:val="00626365"/>
    <w:rsid w:val="00630E22"/>
    <w:rsid w:val="0064168C"/>
    <w:rsid w:val="00646EEC"/>
    <w:rsid w:val="00646F55"/>
    <w:rsid w:val="00653A89"/>
    <w:rsid w:val="00657B46"/>
    <w:rsid w:val="00670C15"/>
    <w:rsid w:val="0067239F"/>
    <w:rsid w:val="0067548A"/>
    <w:rsid w:val="006764EC"/>
    <w:rsid w:val="006835FE"/>
    <w:rsid w:val="00687E13"/>
    <w:rsid w:val="006912C8"/>
    <w:rsid w:val="00693BFD"/>
    <w:rsid w:val="006946D4"/>
    <w:rsid w:val="00695065"/>
    <w:rsid w:val="00696E04"/>
    <w:rsid w:val="006A1038"/>
    <w:rsid w:val="006A2A15"/>
    <w:rsid w:val="006A51EF"/>
    <w:rsid w:val="006A5303"/>
    <w:rsid w:val="006A649A"/>
    <w:rsid w:val="006B1B49"/>
    <w:rsid w:val="006B2FD2"/>
    <w:rsid w:val="006B4D37"/>
    <w:rsid w:val="006B4EF8"/>
    <w:rsid w:val="006B6390"/>
    <w:rsid w:val="006C0356"/>
    <w:rsid w:val="006C0843"/>
    <w:rsid w:val="006C0A3A"/>
    <w:rsid w:val="006C5DE9"/>
    <w:rsid w:val="006C74B1"/>
    <w:rsid w:val="006D2D62"/>
    <w:rsid w:val="006E0531"/>
    <w:rsid w:val="006E57AA"/>
    <w:rsid w:val="006F20CF"/>
    <w:rsid w:val="006F38ED"/>
    <w:rsid w:val="0070267A"/>
    <w:rsid w:val="00707D4D"/>
    <w:rsid w:val="00711227"/>
    <w:rsid w:val="00711711"/>
    <w:rsid w:val="00712D97"/>
    <w:rsid w:val="00713496"/>
    <w:rsid w:val="007151BD"/>
    <w:rsid w:val="00721974"/>
    <w:rsid w:val="00722860"/>
    <w:rsid w:val="00723503"/>
    <w:rsid w:val="0073055B"/>
    <w:rsid w:val="00730C04"/>
    <w:rsid w:val="00734CA8"/>
    <w:rsid w:val="0073597B"/>
    <w:rsid w:val="00736084"/>
    <w:rsid w:val="00736EA8"/>
    <w:rsid w:val="007378F6"/>
    <w:rsid w:val="0074545D"/>
    <w:rsid w:val="007522E3"/>
    <w:rsid w:val="007523A5"/>
    <w:rsid w:val="007524C5"/>
    <w:rsid w:val="0075335B"/>
    <w:rsid w:val="00753A76"/>
    <w:rsid w:val="00753C44"/>
    <w:rsid w:val="00754383"/>
    <w:rsid w:val="00755E30"/>
    <w:rsid w:val="007564D1"/>
    <w:rsid w:val="00757232"/>
    <w:rsid w:val="00760679"/>
    <w:rsid w:val="0076314B"/>
    <w:rsid w:val="00763628"/>
    <w:rsid w:val="00767E99"/>
    <w:rsid w:val="007708AC"/>
    <w:rsid w:val="00772620"/>
    <w:rsid w:val="00772E62"/>
    <w:rsid w:val="00772F23"/>
    <w:rsid w:val="00776BB6"/>
    <w:rsid w:val="007777C4"/>
    <w:rsid w:val="0077789B"/>
    <w:rsid w:val="00780D29"/>
    <w:rsid w:val="007876D3"/>
    <w:rsid w:val="007916A2"/>
    <w:rsid w:val="00791C8D"/>
    <w:rsid w:val="00794181"/>
    <w:rsid w:val="007A2856"/>
    <w:rsid w:val="007A3ADC"/>
    <w:rsid w:val="007A624C"/>
    <w:rsid w:val="007A7F6F"/>
    <w:rsid w:val="007B4C76"/>
    <w:rsid w:val="007C2260"/>
    <w:rsid w:val="007C616F"/>
    <w:rsid w:val="007D1E52"/>
    <w:rsid w:val="007D2358"/>
    <w:rsid w:val="007E33DA"/>
    <w:rsid w:val="007E39E4"/>
    <w:rsid w:val="007E5E2D"/>
    <w:rsid w:val="007E6FB3"/>
    <w:rsid w:val="007F21B4"/>
    <w:rsid w:val="007F5F55"/>
    <w:rsid w:val="00802553"/>
    <w:rsid w:val="00803EAB"/>
    <w:rsid w:val="008046B5"/>
    <w:rsid w:val="008056B4"/>
    <w:rsid w:val="008127C0"/>
    <w:rsid w:val="00812EDD"/>
    <w:rsid w:val="008139C5"/>
    <w:rsid w:val="0081650F"/>
    <w:rsid w:val="008168B1"/>
    <w:rsid w:val="00832B31"/>
    <w:rsid w:val="008403E0"/>
    <w:rsid w:val="00840BA5"/>
    <w:rsid w:val="0084657B"/>
    <w:rsid w:val="00852ED7"/>
    <w:rsid w:val="00855944"/>
    <w:rsid w:val="00857DFC"/>
    <w:rsid w:val="008616FA"/>
    <w:rsid w:val="00864A18"/>
    <w:rsid w:val="00866255"/>
    <w:rsid w:val="00870833"/>
    <w:rsid w:val="00874571"/>
    <w:rsid w:val="00876841"/>
    <w:rsid w:val="00881F93"/>
    <w:rsid w:val="00882519"/>
    <w:rsid w:val="00882CB5"/>
    <w:rsid w:val="00883641"/>
    <w:rsid w:val="0088416E"/>
    <w:rsid w:val="00884E69"/>
    <w:rsid w:val="00885A2C"/>
    <w:rsid w:val="00885D12"/>
    <w:rsid w:val="00890082"/>
    <w:rsid w:val="008A1A3F"/>
    <w:rsid w:val="008A1AD0"/>
    <w:rsid w:val="008A48D2"/>
    <w:rsid w:val="008A5C29"/>
    <w:rsid w:val="008B0D70"/>
    <w:rsid w:val="008B2610"/>
    <w:rsid w:val="008B471D"/>
    <w:rsid w:val="008B49E4"/>
    <w:rsid w:val="008B729C"/>
    <w:rsid w:val="008C0A16"/>
    <w:rsid w:val="008C4A93"/>
    <w:rsid w:val="008D5821"/>
    <w:rsid w:val="008D674E"/>
    <w:rsid w:val="008E0E49"/>
    <w:rsid w:val="008E35FD"/>
    <w:rsid w:val="008E478C"/>
    <w:rsid w:val="008E6227"/>
    <w:rsid w:val="008E666A"/>
    <w:rsid w:val="008E78B9"/>
    <w:rsid w:val="008F3059"/>
    <w:rsid w:val="008F771F"/>
    <w:rsid w:val="00901AC9"/>
    <w:rsid w:val="0090543D"/>
    <w:rsid w:val="009056C5"/>
    <w:rsid w:val="00911AF3"/>
    <w:rsid w:val="009262F2"/>
    <w:rsid w:val="0093333D"/>
    <w:rsid w:val="00937791"/>
    <w:rsid w:val="009415A3"/>
    <w:rsid w:val="00941F83"/>
    <w:rsid w:val="00945A21"/>
    <w:rsid w:val="00951933"/>
    <w:rsid w:val="00954343"/>
    <w:rsid w:val="00955271"/>
    <w:rsid w:val="00963C9C"/>
    <w:rsid w:val="00965B6B"/>
    <w:rsid w:val="00971EDB"/>
    <w:rsid w:val="00974D50"/>
    <w:rsid w:val="0098498B"/>
    <w:rsid w:val="00987ABE"/>
    <w:rsid w:val="00991EE4"/>
    <w:rsid w:val="009939DC"/>
    <w:rsid w:val="00993B9C"/>
    <w:rsid w:val="009A02D7"/>
    <w:rsid w:val="009B1C39"/>
    <w:rsid w:val="009B2C1D"/>
    <w:rsid w:val="009B4E1E"/>
    <w:rsid w:val="009B6398"/>
    <w:rsid w:val="009C03FB"/>
    <w:rsid w:val="009C05C3"/>
    <w:rsid w:val="009C1762"/>
    <w:rsid w:val="009C34CA"/>
    <w:rsid w:val="009C4B4F"/>
    <w:rsid w:val="009C6C93"/>
    <w:rsid w:val="009E1BC2"/>
    <w:rsid w:val="009E622B"/>
    <w:rsid w:val="009E6231"/>
    <w:rsid w:val="009F0C02"/>
    <w:rsid w:val="009F261B"/>
    <w:rsid w:val="009F5758"/>
    <w:rsid w:val="00A0283F"/>
    <w:rsid w:val="00A02BEC"/>
    <w:rsid w:val="00A04F4A"/>
    <w:rsid w:val="00A0790B"/>
    <w:rsid w:val="00A11467"/>
    <w:rsid w:val="00A1152C"/>
    <w:rsid w:val="00A13FD0"/>
    <w:rsid w:val="00A242D3"/>
    <w:rsid w:val="00A26343"/>
    <w:rsid w:val="00A408B5"/>
    <w:rsid w:val="00A42856"/>
    <w:rsid w:val="00A428C9"/>
    <w:rsid w:val="00A44D20"/>
    <w:rsid w:val="00A4670B"/>
    <w:rsid w:val="00A529E2"/>
    <w:rsid w:val="00A532F2"/>
    <w:rsid w:val="00A539F8"/>
    <w:rsid w:val="00A55C68"/>
    <w:rsid w:val="00A6491A"/>
    <w:rsid w:val="00A6594E"/>
    <w:rsid w:val="00A70E21"/>
    <w:rsid w:val="00A727B6"/>
    <w:rsid w:val="00A747D8"/>
    <w:rsid w:val="00A809BC"/>
    <w:rsid w:val="00A81CC6"/>
    <w:rsid w:val="00A83E0E"/>
    <w:rsid w:val="00A83EC6"/>
    <w:rsid w:val="00A84852"/>
    <w:rsid w:val="00A8732C"/>
    <w:rsid w:val="00A9062D"/>
    <w:rsid w:val="00A93F58"/>
    <w:rsid w:val="00A96329"/>
    <w:rsid w:val="00AA134B"/>
    <w:rsid w:val="00AA1E7C"/>
    <w:rsid w:val="00AA2CFE"/>
    <w:rsid w:val="00AA5FDA"/>
    <w:rsid w:val="00AA61E0"/>
    <w:rsid w:val="00AA6291"/>
    <w:rsid w:val="00AB02CB"/>
    <w:rsid w:val="00AB1909"/>
    <w:rsid w:val="00AB6B92"/>
    <w:rsid w:val="00AC0C91"/>
    <w:rsid w:val="00AD37D4"/>
    <w:rsid w:val="00AD7986"/>
    <w:rsid w:val="00AE1188"/>
    <w:rsid w:val="00AE6A4E"/>
    <w:rsid w:val="00AE738C"/>
    <w:rsid w:val="00AF1046"/>
    <w:rsid w:val="00AF243E"/>
    <w:rsid w:val="00AF4466"/>
    <w:rsid w:val="00AF5D1E"/>
    <w:rsid w:val="00B035E1"/>
    <w:rsid w:val="00B040A9"/>
    <w:rsid w:val="00B1711E"/>
    <w:rsid w:val="00B17CBE"/>
    <w:rsid w:val="00B17E26"/>
    <w:rsid w:val="00B21E5D"/>
    <w:rsid w:val="00B231A4"/>
    <w:rsid w:val="00B25D20"/>
    <w:rsid w:val="00B31C99"/>
    <w:rsid w:val="00B32589"/>
    <w:rsid w:val="00B52FF6"/>
    <w:rsid w:val="00B53913"/>
    <w:rsid w:val="00B53BA6"/>
    <w:rsid w:val="00B5731D"/>
    <w:rsid w:val="00B6378B"/>
    <w:rsid w:val="00B63E3A"/>
    <w:rsid w:val="00B64694"/>
    <w:rsid w:val="00B711A2"/>
    <w:rsid w:val="00B751C6"/>
    <w:rsid w:val="00B75965"/>
    <w:rsid w:val="00B771AD"/>
    <w:rsid w:val="00B8009B"/>
    <w:rsid w:val="00B814CB"/>
    <w:rsid w:val="00B92689"/>
    <w:rsid w:val="00B954DF"/>
    <w:rsid w:val="00BA0CF8"/>
    <w:rsid w:val="00BA1ADF"/>
    <w:rsid w:val="00BA51FC"/>
    <w:rsid w:val="00BA76A6"/>
    <w:rsid w:val="00BB003A"/>
    <w:rsid w:val="00BB3358"/>
    <w:rsid w:val="00BB3382"/>
    <w:rsid w:val="00BB3643"/>
    <w:rsid w:val="00BB4F42"/>
    <w:rsid w:val="00BC155C"/>
    <w:rsid w:val="00BC20EB"/>
    <w:rsid w:val="00BC3DA0"/>
    <w:rsid w:val="00BC424B"/>
    <w:rsid w:val="00BD7A2A"/>
    <w:rsid w:val="00BE0023"/>
    <w:rsid w:val="00BE0FDE"/>
    <w:rsid w:val="00BE2819"/>
    <w:rsid w:val="00BE6237"/>
    <w:rsid w:val="00BF1FB3"/>
    <w:rsid w:val="00BF3D8A"/>
    <w:rsid w:val="00BF6AC5"/>
    <w:rsid w:val="00C007BF"/>
    <w:rsid w:val="00C01121"/>
    <w:rsid w:val="00C030A5"/>
    <w:rsid w:val="00C05A45"/>
    <w:rsid w:val="00C0796F"/>
    <w:rsid w:val="00C11B34"/>
    <w:rsid w:val="00C12C5C"/>
    <w:rsid w:val="00C171FB"/>
    <w:rsid w:val="00C17ECD"/>
    <w:rsid w:val="00C209C2"/>
    <w:rsid w:val="00C20AC8"/>
    <w:rsid w:val="00C2267F"/>
    <w:rsid w:val="00C22AD8"/>
    <w:rsid w:val="00C240F4"/>
    <w:rsid w:val="00C34CFE"/>
    <w:rsid w:val="00C3557E"/>
    <w:rsid w:val="00C3594B"/>
    <w:rsid w:val="00C410E7"/>
    <w:rsid w:val="00C43102"/>
    <w:rsid w:val="00C445CF"/>
    <w:rsid w:val="00C4696B"/>
    <w:rsid w:val="00C50513"/>
    <w:rsid w:val="00C54503"/>
    <w:rsid w:val="00C63055"/>
    <w:rsid w:val="00C73B62"/>
    <w:rsid w:val="00C776B1"/>
    <w:rsid w:val="00C815FE"/>
    <w:rsid w:val="00C847AE"/>
    <w:rsid w:val="00C84E86"/>
    <w:rsid w:val="00C94C80"/>
    <w:rsid w:val="00C96E04"/>
    <w:rsid w:val="00CA04C6"/>
    <w:rsid w:val="00CA169F"/>
    <w:rsid w:val="00CA26DD"/>
    <w:rsid w:val="00CA595C"/>
    <w:rsid w:val="00CB12EC"/>
    <w:rsid w:val="00CB4CFD"/>
    <w:rsid w:val="00CC09D7"/>
    <w:rsid w:val="00CC12B8"/>
    <w:rsid w:val="00CD22E3"/>
    <w:rsid w:val="00CD2BC4"/>
    <w:rsid w:val="00CD4E44"/>
    <w:rsid w:val="00CD5AE4"/>
    <w:rsid w:val="00CD7404"/>
    <w:rsid w:val="00CD7A7D"/>
    <w:rsid w:val="00CE59EB"/>
    <w:rsid w:val="00CF2D8E"/>
    <w:rsid w:val="00CF2DFA"/>
    <w:rsid w:val="00CF4FFE"/>
    <w:rsid w:val="00CF5AD8"/>
    <w:rsid w:val="00D00122"/>
    <w:rsid w:val="00D01D2A"/>
    <w:rsid w:val="00D10029"/>
    <w:rsid w:val="00D10883"/>
    <w:rsid w:val="00D10B47"/>
    <w:rsid w:val="00D11EB1"/>
    <w:rsid w:val="00D13D02"/>
    <w:rsid w:val="00D17F17"/>
    <w:rsid w:val="00D2270B"/>
    <w:rsid w:val="00D23597"/>
    <w:rsid w:val="00D23603"/>
    <w:rsid w:val="00D24410"/>
    <w:rsid w:val="00D30253"/>
    <w:rsid w:val="00D30BDC"/>
    <w:rsid w:val="00D40956"/>
    <w:rsid w:val="00D57F88"/>
    <w:rsid w:val="00D657C6"/>
    <w:rsid w:val="00D7105C"/>
    <w:rsid w:val="00D73646"/>
    <w:rsid w:val="00D73D37"/>
    <w:rsid w:val="00D74EFD"/>
    <w:rsid w:val="00D777B4"/>
    <w:rsid w:val="00D77A90"/>
    <w:rsid w:val="00D8360B"/>
    <w:rsid w:val="00D84435"/>
    <w:rsid w:val="00D85676"/>
    <w:rsid w:val="00D86ACC"/>
    <w:rsid w:val="00D92E86"/>
    <w:rsid w:val="00D95920"/>
    <w:rsid w:val="00D96ADA"/>
    <w:rsid w:val="00DA2886"/>
    <w:rsid w:val="00DA2DEC"/>
    <w:rsid w:val="00DA5E50"/>
    <w:rsid w:val="00DA6702"/>
    <w:rsid w:val="00DA7D0C"/>
    <w:rsid w:val="00DB0498"/>
    <w:rsid w:val="00DB311C"/>
    <w:rsid w:val="00DB3835"/>
    <w:rsid w:val="00DB432D"/>
    <w:rsid w:val="00DB519B"/>
    <w:rsid w:val="00DB75CC"/>
    <w:rsid w:val="00DC7694"/>
    <w:rsid w:val="00DC7FBE"/>
    <w:rsid w:val="00DD130E"/>
    <w:rsid w:val="00DD308E"/>
    <w:rsid w:val="00DD3EEA"/>
    <w:rsid w:val="00DD515F"/>
    <w:rsid w:val="00DE3FDD"/>
    <w:rsid w:val="00DF028B"/>
    <w:rsid w:val="00DF0C51"/>
    <w:rsid w:val="00DF0D47"/>
    <w:rsid w:val="00DF1652"/>
    <w:rsid w:val="00DF25E0"/>
    <w:rsid w:val="00DF3317"/>
    <w:rsid w:val="00DF6D37"/>
    <w:rsid w:val="00E02C91"/>
    <w:rsid w:val="00E02D71"/>
    <w:rsid w:val="00E048ED"/>
    <w:rsid w:val="00E04FB3"/>
    <w:rsid w:val="00E058F2"/>
    <w:rsid w:val="00E05D9C"/>
    <w:rsid w:val="00E06102"/>
    <w:rsid w:val="00E13CA5"/>
    <w:rsid w:val="00E17412"/>
    <w:rsid w:val="00E20994"/>
    <w:rsid w:val="00E23E71"/>
    <w:rsid w:val="00E30F19"/>
    <w:rsid w:val="00E33C4A"/>
    <w:rsid w:val="00E34EDF"/>
    <w:rsid w:val="00E357B9"/>
    <w:rsid w:val="00E4321E"/>
    <w:rsid w:val="00E44B80"/>
    <w:rsid w:val="00E463ED"/>
    <w:rsid w:val="00E47623"/>
    <w:rsid w:val="00E50D90"/>
    <w:rsid w:val="00E536CA"/>
    <w:rsid w:val="00E60529"/>
    <w:rsid w:val="00E64471"/>
    <w:rsid w:val="00E65873"/>
    <w:rsid w:val="00E70D86"/>
    <w:rsid w:val="00E7628E"/>
    <w:rsid w:val="00E777E8"/>
    <w:rsid w:val="00E8061E"/>
    <w:rsid w:val="00E81DA2"/>
    <w:rsid w:val="00E82F54"/>
    <w:rsid w:val="00E831F6"/>
    <w:rsid w:val="00E8649B"/>
    <w:rsid w:val="00E871CD"/>
    <w:rsid w:val="00E90990"/>
    <w:rsid w:val="00E921DD"/>
    <w:rsid w:val="00E95D3D"/>
    <w:rsid w:val="00EA0E25"/>
    <w:rsid w:val="00EA173C"/>
    <w:rsid w:val="00EA4F9E"/>
    <w:rsid w:val="00EA5FFF"/>
    <w:rsid w:val="00EB2481"/>
    <w:rsid w:val="00EC127A"/>
    <w:rsid w:val="00EC1FF9"/>
    <w:rsid w:val="00EC2737"/>
    <w:rsid w:val="00ED2328"/>
    <w:rsid w:val="00EE0569"/>
    <w:rsid w:val="00EE2716"/>
    <w:rsid w:val="00EE6412"/>
    <w:rsid w:val="00EE6450"/>
    <w:rsid w:val="00EF28F9"/>
    <w:rsid w:val="00EF4EEB"/>
    <w:rsid w:val="00F01C2C"/>
    <w:rsid w:val="00F108AB"/>
    <w:rsid w:val="00F10ED8"/>
    <w:rsid w:val="00F138FA"/>
    <w:rsid w:val="00F13F5E"/>
    <w:rsid w:val="00F222BE"/>
    <w:rsid w:val="00F24179"/>
    <w:rsid w:val="00F2417C"/>
    <w:rsid w:val="00F27039"/>
    <w:rsid w:val="00F27D9A"/>
    <w:rsid w:val="00F301F1"/>
    <w:rsid w:val="00F30C22"/>
    <w:rsid w:val="00F33F1A"/>
    <w:rsid w:val="00F358E7"/>
    <w:rsid w:val="00F50C78"/>
    <w:rsid w:val="00F51F99"/>
    <w:rsid w:val="00F547F7"/>
    <w:rsid w:val="00F54CCF"/>
    <w:rsid w:val="00F5675A"/>
    <w:rsid w:val="00F57AF6"/>
    <w:rsid w:val="00F61D7A"/>
    <w:rsid w:val="00F637B3"/>
    <w:rsid w:val="00F63E37"/>
    <w:rsid w:val="00F66CF7"/>
    <w:rsid w:val="00F67BCB"/>
    <w:rsid w:val="00F67E3C"/>
    <w:rsid w:val="00F77C57"/>
    <w:rsid w:val="00F813C7"/>
    <w:rsid w:val="00F83566"/>
    <w:rsid w:val="00F83A9D"/>
    <w:rsid w:val="00F83EC6"/>
    <w:rsid w:val="00F860A2"/>
    <w:rsid w:val="00F8775A"/>
    <w:rsid w:val="00F906B5"/>
    <w:rsid w:val="00F93784"/>
    <w:rsid w:val="00F96D62"/>
    <w:rsid w:val="00F971CC"/>
    <w:rsid w:val="00FA2CAA"/>
    <w:rsid w:val="00FA3DA1"/>
    <w:rsid w:val="00FA4CAE"/>
    <w:rsid w:val="00FA6554"/>
    <w:rsid w:val="00FB11D1"/>
    <w:rsid w:val="00FB1F5E"/>
    <w:rsid w:val="00FB27AA"/>
    <w:rsid w:val="00FB4FEB"/>
    <w:rsid w:val="00FD2B3A"/>
    <w:rsid w:val="00FE1150"/>
    <w:rsid w:val="00FE16C1"/>
    <w:rsid w:val="00FE19FF"/>
    <w:rsid w:val="00FE33A6"/>
    <w:rsid w:val="00FE5452"/>
    <w:rsid w:val="00FE621E"/>
    <w:rsid w:val="00FF4E5D"/>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77A8"/>
  <w15:docId w15:val="{42D31E9E-88A6-4D22-B7F6-6A521720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BF"/>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7E5E2D"/>
    <w:pPr>
      <w:spacing w:before="0" w:after="0"/>
    </w:pPr>
    <w:rPr>
      <w:szCs w:val="20"/>
    </w:rPr>
  </w:style>
  <w:style w:type="character" w:customStyle="1" w:styleId="FootnoteTextChar">
    <w:name w:val="Footnote Text Char"/>
    <w:basedOn w:val="DefaultParagraphFont"/>
    <w:link w:val="FootnoteText"/>
    <w:uiPriority w:val="99"/>
    <w:semiHidden/>
    <w:rsid w:val="007E5E2D"/>
    <w:rPr>
      <w:sz w:val="20"/>
      <w:szCs w:val="20"/>
    </w:rPr>
  </w:style>
  <w:style w:type="character" w:styleId="FootnoteReference">
    <w:name w:val="footnote reference"/>
    <w:basedOn w:val="DefaultParagraphFont"/>
    <w:uiPriority w:val="99"/>
    <w:semiHidden/>
    <w:unhideWhenUsed/>
    <w:rsid w:val="007E5E2D"/>
    <w:rPr>
      <w:vertAlign w:val="superscript"/>
    </w:rPr>
  </w:style>
  <w:style w:type="character" w:customStyle="1" w:styleId="UnresolvedMention1">
    <w:name w:val="Unresolved Mention1"/>
    <w:basedOn w:val="DefaultParagraphFont"/>
    <w:uiPriority w:val="99"/>
    <w:semiHidden/>
    <w:unhideWhenUsed/>
    <w:rsid w:val="00E02D71"/>
    <w:rPr>
      <w:color w:val="808080"/>
      <w:shd w:val="clear" w:color="auto" w:fill="E6E6E6"/>
    </w:rPr>
  </w:style>
  <w:style w:type="paragraph" w:styleId="EndnoteText">
    <w:name w:val="endnote text"/>
    <w:basedOn w:val="Normal"/>
    <w:link w:val="EndnoteTextChar"/>
    <w:uiPriority w:val="99"/>
    <w:semiHidden/>
    <w:unhideWhenUsed/>
    <w:rsid w:val="00F358E7"/>
    <w:pPr>
      <w:spacing w:before="0" w:after="0"/>
    </w:pPr>
    <w:rPr>
      <w:szCs w:val="20"/>
    </w:rPr>
  </w:style>
  <w:style w:type="character" w:customStyle="1" w:styleId="EndnoteTextChar">
    <w:name w:val="Endnote Text Char"/>
    <w:basedOn w:val="DefaultParagraphFont"/>
    <w:link w:val="EndnoteText"/>
    <w:uiPriority w:val="99"/>
    <w:semiHidden/>
    <w:rsid w:val="00F358E7"/>
    <w:rPr>
      <w:sz w:val="20"/>
      <w:szCs w:val="20"/>
    </w:rPr>
  </w:style>
  <w:style w:type="character" w:styleId="EndnoteReference">
    <w:name w:val="endnote reference"/>
    <w:basedOn w:val="DefaultParagraphFont"/>
    <w:uiPriority w:val="99"/>
    <w:semiHidden/>
    <w:unhideWhenUsed/>
    <w:rsid w:val="00F358E7"/>
    <w:rPr>
      <w:vertAlign w:val="superscript"/>
    </w:rPr>
  </w:style>
  <w:style w:type="paragraph" w:styleId="Revision">
    <w:name w:val="Revision"/>
    <w:hidden/>
    <w:uiPriority w:val="99"/>
    <w:semiHidden/>
    <w:rsid w:val="00D2270B"/>
    <w:pPr>
      <w:spacing w:after="0" w:line="240" w:lineRule="auto"/>
    </w:pPr>
    <w:rPr>
      <w:sz w:val="20"/>
    </w:rPr>
  </w:style>
  <w:style w:type="character" w:styleId="UnresolvedMention">
    <w:name w:val="Unresolved Mention"/>
    <w:basedOn w:val="DefaultParagraphFont"/>
    <w:uiPriority w:val="99"/>
    <w:semiHidden/>
    <w:unhideWhenUsed/>
    <w:rsid w:val="00A53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747">
      <w:bodyDiv w:val="1"/>
      <w:marLeft w:val="0"/>
      <w:marRight w:val="0"/>
      <w:marTop w:val="0"/>
      <w:marBottom w:val="0"/>
      <w:divBdr>
        <w:top w:val="none" w:sz="0" w:space="0" w:color="auto"/>
        <w:left w:val="none" w:sz="0" w:space="0" w:color="auto"/>
        <w:bottom w:val="none" w:sz="0" w:space="0" w:color="auto"/>
        <w:right w:val="none" w:sz="0" w:space="0" w:color="auto"/>
      </w:divBdr>
    </w:div>
    <w:div w:id="14832460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9771186">
      <w:bodyDiv w:val="1"/>
      <w:marLeft w:val="0"/>
      <w:marRight w:val="0"/>
      <w:marTop w:val="0"/>
      <w:marBottom w:val="0"/>
      <w:divBdr>
        <w:top w:val="none" w:sz="0" w:space="0" w:color="auto"/>
        <w:left w:val="none" w:sz="0" w:space="0" w:color="auto"/>
        <w:bottom w:val="none" w:sz="0" w:space="0" w:color="auto"/>
        <w:right w:val="none" w:sz="0" w:space="0" w:color="auto"/>
      </w:divBdr>
      <w:divsChild>
        <w:div w:id="1178931541">
          <w:marLeft w:val="0"/>
          <w:marRight w:val="0"/>
          <w:marTop w:val="0"/>
          <w:marBottom w:val="0"/>
          <w:divBdr>
            <w:top w:val="none" w:sz="0" w:space="0" w:color="auto"/>
            <w:left w:val="none" w:sz="0" w:space="0" w:color="auto"/>
            <w:bottom w:val="none" w:sz="0" w:space="0" w:color="auto"/>
            <w:right w:val="none" w:sz="0" w:space="0" w:color="auto"/>
          </w:divBdr>
          <w:divsChild>
            <w:div w:id="1531533610">
              <w:marLeft w:val="0"/>
              <w:marRight w:val="0"/>
              <w:marTop w:val="0"/>
              <w:marBottom w:val="0"/>
              <w:divBdr>
                <w:top w:val="none" w:sz="0" w:space="0" w:color="auto"/>
                <w:left w:val="none" w:sz="0" w:space="0" w:color="auto"/>
                <w:bottom w:val="none" w:sz="0" w:space="0" w:color="auto"/>
                <w:right w:val="none" w:sz="0" w:space="0" w:color="auto"/>
              </w:divBdr>
            </w:div>
            <w:div w:id="1915816005">
              <w:marLeft w:val="439"/>
              <w:marRight w:val="0"/>
              <w:marTop w:val="0"/>
              <w:marBottom w:val="0"/>
              <w:divBdr>
                <w:top w:val="none" w:sz="0" w:space="0" w:color="auto"/>
                <w:left w:val="none" w:sz="0" w:space="0" w:color="auto"/>
                <w:bottom w:val="none" w:sz="0" w:space="0" w:color="auto"/>
                <w:right w:val="none" w:sz="0" w:space="0" w:color="auto"/>
              </w:divBdr>
              <w:divsChild>
                <w:div w:id="1833447131">
                  <w:marLeft w:val="0"/>
                  <w:marRight w:val="0"/>
                  <w:marTop w:val="0"/>
                  <w:marBottom w:val="0"/>
                  <w:divBdr>
                    <w:top w:val="none" w:sz="0" w:space="0" w:color="auto"/>
                    <w:left w:val="none" w:sz="0" w:space="0" w:color="auto"/>
                    <w:bottom w:val="none" w:sz="0" w:space="0" w:color="auto"/>
                    <w:right w:val="none" w:sz="0" w:space="0" w:color="auto"/>
                  </w:divBdr>
                  <w:divsChild>
                    <w:div w:id="1150361765">
                      <w:marLeft w:val="0"/>
                      <w:marRight w:val="0"/>
                      <w:marTop w:val="0"/>
                      <w:marBottom w:val="0"/>
                      <w:divBdr>
                        <w:top w:val="none" w:sz="0" w:space="0" w:color="auto"/>
                        <w:left w:val="none" w:sz="0" w:space="0" w:color="auto"/>
                        <w:bottom w:val="none" w:sz="0" w:space="0" w:color="auto"/>
                        <w:right w:val="none" w:sz="0" w:space="0" w:color="auto"/>
                      </w:divBdr>
                    </w:div>
                    <w:div w:id="1543127161">
                      <w:marLeft w:val="176"/>
                      <w:marRight w:val="0"/>
                      <w:marTop w:val="0"/>
                      <w:marBottom w:val="0"/>
                      <w:divBdr>
                        <w:top w:val="none" w:sz="0" w:space="0" w:color="auto"/>
                        <w:left w:val="none" w:sz="0" w:space="0" w:color="auto"/>
                        <w:bottom w:val="none" w:sz="0" w:space="0" w:color="auto"/>
                        <w:right w:val="none" w:sz="0" w:space="0" w:color="auto"/>
                      </w:divBdr>
                    </w:div>
                  </w:divsChild>
                </w:div>
                <w:div w:id="1984234112">
                  <w:marLeft w:val="0"/>
                  <w:marRight w:val="0"/>
                  <w:marTop w:val="0"/>
                  <w:marBottom w:val="0"/>
                  <w:divBdr>
                    <w:top w:val="none" w:sz="0" w:space="0" w:color="auto"/>
                    <w:left w:val="none" w:sz="0" w:space="0" w:color="auto"/>
                    <w:bottom w:val="none" w:sz="0" w:space="0" w:color="auto"/>
                    <w:right w:val="none" w:sz="0" w:space="0" w:color="auto"/>
                  </w:divBdr>
                  <w:divsChild>
                    <w:div w:id="681203098">
                      <w:marLeft w:val="0"/>
                      <w:marRight w:val="0"/>
                      <w:marTop w:val="0"/>
                      <w:marBottom w:val="0"/>
                      <w:divBdr>
                        <w:top w:val="none" w:sz="0" w:space="0" w:color="auto"/>
                        <w:left w:val="none" w:sz="0" w:space="0" w:color="auto"/>
                        <w:bottom w:val="none" w:sz="0" w:space="0" w:color="auto"/>
                        <w:right w:val="none" w:sz="0" w:space="0" w:color="auto"/>
                      </w:divBdr>
                    </w:div>
                    <w:div w:id="30639747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8526">
          <w:marLeft w:val="0"/>
          <w:marRight w:val="0"/>
          <w:marTop w:val="0"/>
          <w:marBottom w:val="0"/>
          <w:divBdr>
            <w:top w:val="none" w:sz="0" w:space="0" w:color="auto"/>
            <w:left w:val="none" w:sz="0" w:space="0" w:color="auto"/>
            <w:bottom w:val="none" w:sz="0" w:space="0" w:color="auto"/>
            <w:right w:val="none" w:sz="0" w:space="0" w:color="auto"/>
          </w:divBdr>
        </w:div>
      </w:divsChild>
    </w:div>
    <w:div w:id="533423770">
      <w:bodyDiv w:val="1"/>
      <w:marLeft w:val="0"/>
      <w:marRight w:val="0"/>
      <w:marTop w:val="0"/>
      <w:marBottom w:val="0"/>
      <w:divBdr>
        <w:top w:val="none" w:sz="0" w:space="0" w:color="auto"/>
        <w:left w:val="none" w:sz="0" w:space="0" w:color="auto"/>
        <w:bottom w:val="none" w:sz="0" w:space="0" w:color="auto"/>
        <w:right w:val="none" w:sz="0" w:space="0" w:color="auto"/>
      </w:divBdr>
    </w:div>
    <w:div w:id="733503214">
      <w:bodyDiv w:val="1"/>
      <w:marLeft w:val="0"/>
      <w:marRight w:val="0"/>
      <w:marTop w:val="0"/>
      <w:marBottom w:val="0"/>
      <w:divBdr>
        <w:top w:val="none" w:sz="0" w:space="0" w:color="auto"/>
        <w:left w:val="none" w:sz="0" w:space="0" w:color="auto"/>
        <w:bottom w:val="none" w:sz="0" w:space="0" w:color="auto"/>
        <w:right w:val="none" w:sz="0" w:space="0" w:color="auto"/>
      </w:divBdr>
    </w:div>
    <w:div w:id="781534805">
      <w:bodyDiv w:val="1"/>
      <w:marLeft w:val="0"/>
      <w:marRight w:val="0"/>
      <w:marTop w:val="0"/>
      <w:marBottom w:val="0"/>
      <w:divBdr>
        <w:top w:val="none" w:sz="0" w:space="0" w:color="auto"/>
        <w:left w:val="none" w:sz="0" w:space="0" w:color="auto"/>
        <w:bottom w:val="none" w:sz="0" w:space="0" w:color="auto"/>
        <w:right w:val="none" w:sz="0" w:space="0" w:color="auto"/>
      </w:divBdr>
    </w:div>
    <w:div w:id="1207449533">
      <w:bodyDiv w:val="1"/>
      <w:marLeft w:val="0"/>
      <w:marRight w:val="0"/>
      <w:marTop w:val="0"/>
      <w:marBottom w:val="0"/>
      <w:divBdr>
        <w:top w:val="none" w:sz="0" w:space="0" w:color="auto"/>
        <w:left w:val="none" w:sz="0" w:space="0" w:color="auto"/>
        <w:bottom w:val="none" w:sz="0" w:space="0" w:color="auto"/>
        <w:right w:val="none" w:sz="0" w:space="0" w:color="auto"/>
      </w:divBdr>
    </w:div>
    <w:div w:id="1405375898">
      <w:bodyDiv w:val="1"/>
      <w:marLeft w:val="0"/>
      <w:marRight w:val="0"/>
      <w:marTop w:val="0"/>
      <w:marBottom w:val="0"/>
      <w:divBdr>
        <w:top w:val="none" w:sz="0" w:space="0" w:color="auto"/>
        <w:left w:val="none" w:sz="0" w:space="0" w:color="auto"/>
        <w:bottom w:val="none" w:sz="0" w:space="0" w:color="auto"/>
        <w:right w:val="none" w:sz="0" w:space="0" w:color="auto"/>
      </w:divBdr>
    </w:div>
    <w:div w:id="1531528218">
      <w:bodyDiv w:val="1"/>
      <w:marLeft w:val="0"/>
      <w:marRight w:val="0"/>
      <w:marTop w:val="0"/>
      <w:marBottom w:val="0"/>
      <w:divBdr>
        <w:top w:val="none" w:sz="0" w:space="0" w:color="auto"/>
        <w:left w:val="none" w:sz="0" w:space="0" w:color="auto"/>
        <w:bottom w:val="none" w:sz="0" w:space="0" w:color="auto"/>
        <w:right w:val="none" w:sz="0" w:space="0" w:color="auto"/>
      </w:divBdr>
    </w:div>
    <w:div w:id="1610237091">
      <w:bodyDiv w:val="1"/>
      <w:marLeft w:val="0"/>
      <w:marRight w:val="0"/>
      <w:marTop w:val="0"/>
      <w:marBottom w:val="0"/>
      <w:divBdr>
        <w:top w:val="none" w:sz="0" w:space="0" w:color="auto"/>
        <w:left w:val="none" w:sz="0" w:space="0" w:color="auto"/>
        <w:bottom w:val="none" w:sz="0" w:space="0" w:color="auto"/>
        <w:right w:val="none" w:sz="0" w:space="0" w:color="auto"/>
      </w:divBdr>
    </w:div>
    <w:div w:id="1763523110">
      <w:bodyDiv w:val="1"/>
      <w:marLeft w:val="0"/>
      <w:marRight w:val="0"/>
      <w:marTop w:val="0"/>
      <w:marBottom w:val="0"/>
      <w:divBdr>
        <w:top w:val="none" w:sz="0" w:space="0" w:color="auto"/>
        <w:left w:val="none" w:sz="0" w:space="0" w:color="auto"/>
        <w:bottom w:val="none" w:sz="0" w:space="0" w:color="auto"/>
        <w:right w:val="none" w:sz="0" w:space="0" w:color="auto"/>
      </w:divBdr>
    </w:div>
    <w:div w:id="1981112553">
      <w:bodyDiv w:val="1"/>
      <w:marLeft w:val="0"/>
      <w:marRight w:val="0"/>
      <w:marTop w:val="0"/>
      <w:marBottom w:val="0"/>
      <w:divBdr>
        <w:top w:val="none" w:sz="0" w:space="0" w:color="auto"/>
        <w:left w:val="none" w:sz="0" w:space="0" w:color="auto"/>
        <w:bottom w:val="none" w:sz="0" w:space="0" w:color="auto"/>
        <w:right w:val="none" w:sz="0" w:space="0" w:color="auto"/>
      </w:divBdr>
    </w:div>
    <w:div w:id="207835681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www9.health.gov.au/mbs/fullDisplay.cfm?type=note&amp;q=IN.0.19&amp;qt=noteID&amp;criteria=IN%2E0%2E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9.health.gov.au/mbs/fullDisplay.cfm?type=note&amp;q=IN.0.19&amp;qt=noteID&amp;criteria=IN%2E0%2E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ccn.org/professionals/physician_gls/pdf/pro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9EDB-58C7-4003-94B2-8FF47248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7923</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3</cp:revision>
  <cp:lastPrinted>2016-07-12T05:04:00Z</cp:lastPrinted>
  <dcterms:created xsi:type="dcterms:W3CDTF">2022-10-14T05:02:00Z</dcterms:created>
  <dcterms:modified xsi:type="dcterms:W3CDTF">2022-10-14T05:02:00Z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