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80873"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04F41007" wp14:editId="221792B8">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BD8E5FA"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2AFB80E0" w14:textId="77777777" w:rsidR="00BC1364" w:rsidRPr="00F715D1" w:rsidRDefault="00BC1364" w:rsidP="00F715D1">
      <w:pPr>
        <w:pStyle w:val="Subtitle"/>
      </w:pPr>
      <w:r w:rsidRPr="00F715D1">
        <w:t xml:space="preserve">Application No. </w:t>
      </w:r>
      <w:r w:rsidR="00B35595" w:rsidRPr="00F715D1">
        <w:t>1</w:t>
      </w:r>
      <w:r w:rsidR="00353F8B">
        <w:t>405.1</w:t>
      </w:r>
      <w:r w:rsidRPr="00F715D1">
        <w:t xml:space="preserve"> – </w:t>
      </w:r>
      <w:r w:rsidR="00353F8B" w:rsidRPr="002A1861">
        <w:t>MBS Item Number for Pulmonary Rehabilitation</w:t>
      </w:r>
    </w:p>
    <w:p w14:paraId="0D8BD377" w14:textId="1673D8DF"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7E4D9D">
        <w:rPr>
          <w:rFonts w:ascii="Arial" w:hAnsi="Arial" w:cs="Arial"/>
          <w:b/>
          <w:szCs w:val="24"/>
        </w:rPr>
        <w:t>Lung Foundation</w:t>
      </w:r>
      <w:r w:rsidR="00BE42B7">
        <w:rPr>
          <w:rFonts w:ascii="Arial" w:hAnsi="Arial" w:cs="Arial"/>
          <w:b/>
          <w:szCs w:val="24"/>
        </w:rPr>
        <w:t xml:space="preserve"> Australia</w:t>
      </w:r>
    </w:p>
    <w:p w14:paraId="483C37A6"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353F8B">
        <w:rPr>
          <w:rFonts w:ascii="Arial" w:hAnsi="Arial" w:cs="Arial"/>
          <w:b/>
          <w:szCs w:val="24"/>
        </w:rPr>
        <w:t>74th</w:t>
      </w:r>
      <w:r w:rsidR="00EB6B6F" w:rsidRPr="00F715D1">
        <w:rPr>
          <w:rFonts w:ascii="Arial" w:hAnsi="Arial" w:cs="Arial"/>
          <w:b/>
          <w:szCs w:val="24"/>
        </w:rPr>
        <w:t xml:space="preserve"> </w:t>
      </w:r>
      <w:r w:rsidRPr="00F715D1">
        <w:rPr>
          <w:rFonts w:ascii="Arial" w:hAnsi="Arial" w:cs="Arial"/>
          <w:b/>
          <w:szCs w:val="24"/>
        </w:rPr>
        <w:t xml:space="preserve">Meeting, </w:t>
      </w:r>
      <w:r w:rsidR="00353F8B">
        <w:rPr>
          <w:rFonts w:ascii="Arial" w:hAnsi="Arial" w:cs="Arial"/>
          <w:b/>
          <w:szCs w:val="24"/>
        </w:rPr>
        <w:t>22-23 November 2018</w:t>
      </w:r>
    </w:p>
    <w:p w14:paraId="492FB6B8" w14:textId="77777777" w:rsidR="0041184F" w:rsidRPr="00B03EAB" w:rsidRDefault="006A0D97" w:rsidP="00B03EAB">
      <w:pPr>
        <w:spacing w:after="360"/>
        <w:rPr>
          <w:color w:val="0000FF"/>
          <w:szCs w:val="24"/>
          <w:u w:val="single"/>
        </w:rPr>
      </w:pPr>
      <w:r w:rsidRPr="00F715D1">
        <w:rPr>
          <w:szCs w:val="24"/>
        </w:rPr>
        <w:t xml:space="preserve">Context for decision: </w:t>
      </w:r>
      <w:proofErr w:type="gramStart"/>
      <w:r w:rsidRPr="00F715D1">
        <w:rPr>
          <w:szCs w:val="24"/>
        </w:rPr>
        <w:t>MSAC makes its advice in accordance wit</w:t>
      </w:r>
      <w:r w:rsidR="00F715D1">
        <w:rPr>
          <w:szCs w:val="24"/>
        </w:rPr>
        <w:t>h its Terms of Reference</w:t>
      </w:r>
      <w:proofErr w:type="gramEnd"/>
      <w:r w:rsidR="00F715D1">
        <w:rPr>
          <w:szCs w:val="24"/>
        </w:rPr>
        <w:t>,</w:t>
      </w:r>
      <w:r w:rsidRPr="00F715D1">
        <w:rPr>
          <w:szCs w:val="24"/>
        </w:rPr>
        <w:t xml:space="preserve"> </w:t>
      </w:r>
      <w:hyperlink r:id="rId9" w:tooltip="Link to Medical Services Advisory Committee website" w:history="1">
        <w:proofErr w:type="gramStart"/>
        <w:r w:rsidR="00F715D1" w:rsidRPr="00F715D1">
          <w:rPr>
            <w:rStyle w:val="Hyperlink"/>
            <w:szCs w:val="24"/>
          </w:rPr>
          <w:t>visit the MSAC website</w:t>
        </w:r>
        <w:proofErr w:type="gramEnd"/>
      </w:hyperlink>
    </w:p>
    <w:p w14:paraId="46817B66" w14:textId="77777777" w:rsidR="003D7F29" w:rsidRPr="00F715D1" w:rsidRDefault="003D7F29" w:rsidP="00F715D1">
      <w:pPr>
        <w:pStyle w:val="Heading1"/>
      </w:pPr>
      <w:r w:rsidRPr="00F715D1">
        <w:t>Purpose of application</w:t>
      </w:r>
      <w:r w:rsidR="00822C7E" w:rsidRPr="00F715D1">
        <w:t xml:space="preserve"> </w:t>
      </w:r>
    </w:p>
    <w:p w14:paraId="7067C7A0" w14:textId="77777777" w:rsidR="00C204FB" w:rsidRPr="00482957" w:rsidRDefault="00F345BA" w:rsidP="00482957">
      <w:pPr>
        <w:spacing w:after="240"/>
        <w:rPr>
          <w:iCs/>
        </w:rPr>
      </w:pPr>
      <w:r w:rsidRPr="009768F4">
        <w:rPr>
          <w:iCs/>
        </w:rPr>
        <w:t xml:space="preserve">An application requesting Medicare Benefit Schedule (MBS) listing </w:t>
      </w:r>
      <w:r>
        <w:rPr>
          <w:iCs/>
        </w:rPr>
        <w:t xml:space="preserve">of pulmonary </w:t>
      </w:r>
      <w:r w:rsidRPr="001D54AD">
        <w:rPr>
          <w:iCs/>
        </w:rPr>
        <w:t xml:space="preserve">rehabilitation (PR) </w:t>
      </w:r>
      <w:r w:rsidRPr="009768F4">
        <w:rPr>
          <w:iCs/>
        </w:rPr>
        <w:t xml:space="preserve">for </w:t>
      </w:r>
      <w:r w:rsidRPr="001D54AD">
        <w:rPr>
          <w:iCs/>
        </w:rPr>
        <w:t>the management of chronic lung diseases</w:t>
      </w:r>
      <w:r w:rsidR="00C75FA7">
        <w:rPr>
          <w:iCs/>
        </w:rPr>
        <w:t xml:space="preserve"> </w:t>
      </w:r>
      <w:r w:rsidR="00EB7681" w:rsidRPr="002D10CE">
        <w:rPr>
          <w:iCs/>
        </w:rPr>
        <w:t>(including chronic obstructive pulmonary disease (COPD), bronchiectasis and interstitial lung disease (ILD))</w:t>
      </w:r>
      <w:r w:rsidR="00EB7681">
        <w:rPr>
          <w:iCs/>
        </w:rPr>
        <w:t xml:space="preserve"> </w:t>
      </w:r>
      <w:proofErr w:type="gramStart"/>
      <w:r w:rsidRPr="009768F4">
        <w:rPr>
          <w:iCs/>
        </w:rPr>
        <w:t>was received</w:t>
      </w:r>
      <w:proofErr w:type="gramEnd"/>
      <w:r w:rsidRPr="009768F4">
        <w:rPr>
          <w:iCs/>
        </w:rPr>
        <w:t xml:space="preserve"> from</w:t>
      </w:r>
      <w:r>
        <w:rPr>
          <w:iCs/>
        </w:rPr>
        <w:t xml:space="preserve"> </w:t>
      </w:r>
      <w:r w:rsidR="00482957">
        <w:rPr>
          <w:iCs/>
        </w:rPr>
        <w:t xml:space="preserve">the </w:t>
      </w:r>
      <w:r w:rsidRPr="001D54AD">
        <w:rPr>
          <w:iCs/>
        </w:rPr>
        <w:t>Lung Foundation of Australia</w:t>
      </w:r>
      <w:r w:rsidRPr="009768F4">
        <w:rPr>
          <w:iCs/>
        </w:rPr>
        <w:t xml:space="preserve"> by the Department of Health.</w:t>
      </w:r>
    </w:p>
    <w:p w14:paraId="58624194" w14:textId="77777777" w:rsidR="00E977EE" w:rsidRPr="00F715D1" w:rsidRDefault="00E977EE" w:rsidP="00F715D1">
      <w:pPr>
        <w:pStyle w:val="Heading1"/>
      </w:pPr>
      <w:r w:rsidRPr="00F715D1">
        <w:t>MSAC’s advice to the Minister</w:t>
      </w:r>
    </w:p>
    <w:p w14:paraId="4C7ABFBA" w14:textId="77777777" w:rsidR="00482957" w:rsidRPr="005C001B" w:rsidRDefault="00482957" w:rsidP="00482957">
      <w:r w:rsidRPr="005C001B">
        <w:t>After considering the strength of the available evidence in relation to comparative safety, clinical effectiveness and cost</w:t>
      </w:r>
      <w:r>
        <w:t>-</w:t>
      </w:r>
      <w:r w:rsidRPr="005C001B">
        <w:t xml:space="preserve">effectiveness, </w:t>
      </w:r>
      <w:r w:rsidRPr="00AC507F">
        <w:t xml:space="preserve">MSAC did not support the creation of specific items for the MBS funding of pulmonary rehabilitation for the management of chronic lung diseases. </w:t>
      </w:r>
      <w:r>
        <w:t>MSAC accepted there was a short-</w:t>
      </w:r>
      <w:r w:rsidRPr="00AC507F">
        <w:t>term clinical benefit, but the du</w:t>
      </w:r>
      <w:r>
        <w:t xml:space="preserve">ration of benefit was uncertain, as were </w:t>
      </w:r>
      <w:r w:rsidRPr="00AC507F">
        <w:t xml:space="preserve">the optimum number of treatments and the benefits of retreatment. MSAC noted that pulmonary rehabilitation services </w:t>
      </w:r>
      <w:proofErr w:type="gramStart"/>
      <w:r w:rsidRPr="00AC507F">
        <w:t>can</w:t>
      </w:r>
      <w:proofErr w:type="gramEnd"/>
      <w:r w:rsidRPr="00AC507F">
        <w:t xml:space="preserve"> already be provided under the existing MBS items </w:t>
      </w:r>
      <w:r>
        <w:t xml:space="preserve">for </w:t>
      </w:r>
      <w:r w:rsidRPr="00AC507F">
        <w:t xml:space="preserve">chronic disease management </w:t>
      </w:r>
      <w:r>
        <w:t>(</w:t>
      </w:r>
      <w:r w:rsidRPr="00AC507F">
        <w:t>allied health</w:t>
      </w:r>
      <w:r>
        <w:t>)</w:t>
      </w:r>
      <w:r w:rsidRPr="00AC507F">
        <w:t xml:space="preserve"> at no net cost to government.</w:t>
      </w:r>
    </w:p>
    <w:p w14:paraId="1C1A312B" w14:textId="77777777" w:rsidR="00550354" w:rsidRPr="00F715D1" w:rsidRDefault="00550354" w:rsidP="00F715D1">
      <w:pPr>
        <w:pStyle w:val="Heading1"/>
      </w:pPr>
      <w:r w:rsidRPr="00F715D1">
        <w:t xml:space="preserve">Summary of consideration and rationale for MSAC’s advice </w:t>
      </w:r>
    </w:p>
    <w:p w14:paraId="33DCF5FF" w14:textId="77777777" w:rsidR="00482957" w:rsidRDefault="00482957" w:rsidP="00482957">
      <w:pPr>
        <w:spacing w:after="240"/>
      </w:pPr>
      <w:r>
        <w:t xml:space="preserve">MSAC noted the application was a resubmission to seek MBS listing of PR </w:t>
      </w:r>
      <w:r w:rsidRPr="00437020">
        <w:t>for patients with chronic</w:t>
      </w:r>
      <w:r>
        <w:t xml:space="preserve"> lung disease, including </w:t>
      </w:r>
      <w:r w:rsidRPr="00437020">
        <w:t xml:space="preserve">COPD, bronchiectasis and </w:t>
      </w:r>
      <w:r>
        <w:t xml:space="preserve">ILD. PR </w:t>
      </w:r>
      <w:proofErr w:type="gramStart"/>
      <w:r>
        <w:t>is delivered</w:t>
      </w:r>
      <w:proofErr w:type="gramEnd"/>
      <w:r>
        <w:t xml:space="preserve"> in the community setting over 8 weeks (16 sessions of 1 hour twice weekly). PR is run with groups of up to </w:t>
      </w:r>
      <w:proofErr w:type="gramStart"/>
      <w:r>
        <w:t>8</w:t>
      </w:r>
      <w:proofErr w:type="gramEnd"/>
      <w:r>
        <w:t xml:space="preserve"> patients who have stable disease or recent exacerbation, and treatment is individualised to each patient. </w:t>
      </w:r>
    </w:p>
    <w:p w14:paraId="3ED5F408" w14:textId="77777777" w:rsidR="00482957" w:rsidRDefault="00482957" w:rsidP="00482957">
      <w:pPr>
        <w:spacing w:after="240"/>
      </w:pPr>
      <w:r>
        <w:t>MSAC</w:t>
      </w:r>
      <w:r w:rsidRPr="00977925">
        <w:t xml:space="preserve"> recalled that </w:t>
      </w:r>
      <w:r>
        <w:t xml:space="preserve">it considered </w:t>
      </w:r>
      <w:r w:rsidRPr="00977925">
        <w:t xml:space="preserve">Application 1405 at its November 2016 meeting. Application 1405 requested public funding for PR </w:t>
      </w:r>
      <w:r>
        <w:t xml:space="preserve">and </w:t>
      </w:r>
      <w:r w:rsidRPr="00977925">
        <w:t>pulmonary maintenance exercise (PME)</w:t>
      </w:r>
      <w:r>
        <w:t xml:space="preserve"> </w:t>
      </w:r>
      <w:r w:rsidRPr="00977925">
        <w:t xml:space="preserve">for the management of COPD, bronchiectasis, ILD and lung cancer. MSAC did not support the application due to limited evidence to support the clinical effectiveness of the services in these populations and uncertain cost-effectiveness. In addition, the assessment report only considered the impact of these services in patients with stable disease and excluded those who had had a recent exacerbation (the population with potentially the </w:t>
      </w:r>
      <w:r w:rsidRPr="00977925">
        <w:lastRenderedPageBreak/>
        <w:t xml:space="preserve">greatest benefit from the proposed services). MSAC requested </w:t>
      </w:r>
      <w:r>
        <w:t xml:space="preserve">that a resubmission should exclude lung cancer and PME, and include </w:t>
      </w:r>
      <w:r w:rsidRPr="00977925">
        <w:t>additional informatio</w:t>
      </w:r>
      <w:r>
        <w:t>n regarding hospitalisation rates, durability of effects and retreatment.</w:t>
      </w:r>
    </w:p>
    <w:p w14:paraId="30FF99D2" w14:textId="77777777" w:rsidR="00482957" w:rsidRDefault="00482957" w:rsidP="00482957">
      <w:pPr>
        <w:spacing w:after="240"/>
      </w:pPr>
      <w:r>
        <w:t xml:space="preserve">MSAC noted that ESC had considered the additional information to </w:t>
      </w:r>
      <w:proofErr w:type="gramStart"/>
      <w:r>
        <w:t>have been</w:t>
      </w:r>
      <w:proofErr w:type="gramEnd"/>
      <w:r>
        <w:t xml:space="preserve"> addressed in the resubmission, except where there was no literature to inform an update. However, MSAC noted that the ESC report had not acknowledged there were no clinically important differences in emergency department presentations, hospital admissions or length of stay between the PR and no-PR groups, and there were no data on mortality or frequency of exacerbations. </w:t>
      </w:r>
    </w:p>
    <w:p w14:paraId="58BCC8A2" w14:textId="39F0ABD4" w:rsidR="00482957" w:rsidRDefault="00482957" w:rsidP="00482957">
      <w:pPr>
        <w:spacing w:after="240"/>
      </w:pPr>
      <w:r>
        <w:t>For the COPD population, MSAC noted the low to moderate quality of evidence that PR has clinically relevant benefits for dyspnoea, overall quality of life and exercise capacity, and may have benefits for fatigue and emotional function. PR did not have clinically relevant benefits for emergency department presentations, hospital admissions or hospital length of stay for patients with COPD.</w:t>
      </w:r>
    </w:p>
    <w:p w14:paraId="5D69C34B" w14:textId="66BFD574" w:rsidR="00482957" w:rsidRDefault="00482957" w:rsidP="00482957">
      <w:pPr>
        <w:spacing w:after="240"/>
      </w:pPr>
      <w:r>
        <w:t>For the ILD population, MSAC noted the very low</w:t>
      </w:r>
      <w:r w:rsidR="00C51EF4">
        <w:t>-</w:t>
      </w:r>
      <w:r>
        <w:t xml:space="preserve">quality evidence that PR has clinically relevant benefits for exercise capacity and overall quality of life. </w:t>
      </w:r>
      <w:r w:rsidR="00435313">
        <w:t xml:space="preserve">For the bronchiectasis population, MSAC noted the very low quality evidence that PR might improve exercise </w:t>
      </w:r>
      <w:r w:rsidR="0081312F">
        <w:t>capacity. There</w:t>
      </w:r>
      <w:r>
        <w:t xml:space="preserve"> were no data to inform other outcomes.</w:t>
      </w:r>
    </w:p>
    <w:p w14:paraId="3D760949" w14:textId="5951A025" w:rsidR="00482957" w:rsidRDefault="00482957" w:rsidP="00482957">
      <w:pPr>
        <w:spacing w:after="240"/>
      </w:pPr>
      <w:r>
        <w:t xml:space="preserve">MSAC considered that the short-term benefits of PR in terms of exercise capacity and patient-reported outcomes </w:t>
      </w:r>
      <w:proofErr w:type="gramStart"/>
      <w:r>
        <w:t>may</w:t>
      </w:r>
      <w:proofErr w:type="gramEnd"/>
      <w:r>
        <w:t xml:space="preserve"> be overestimated due to lack of blinding in the studies. </w:t>
      </w:r>
      <w:r w:rsidR="00435313">
        <w:t xml:space="preserve">MSAC </w:t>
      </w:r>
      <w:r w:rsidR="0081312F">
        <w:t xml:space="preserve">also </w:t>
      </w:r>
      <w:r w:rsidR="00435313">
        <w:t xml:space="preserve">noted that </w:t>
      </w:r>
      <w:r w:rsidR="0081312F">
        <w:t xml:space="preserve">there appeared to be no difference in outcome between the </w:t>
      </w:r>
      <w:proofErr w:type="gramStart"/>
      <w:r w:rsidR="0081312F">
        <w:t>8</w:t>
      </w:r>
      <w:proofErr w:type="gramEnd"/>
      <w:r w:rsidR="0081312F">
        <w:t xml:space="preserve"> and 12 week programs but no data were provided for shorter programs. </w:t>
      </w:r>
      <w:r>
        <w:t xml:space="preserve">MSAC noted the evidence indicating no benefit of PR at 12 months in terms of quality of life and exercise capacity. </w:t>
      </w:r>
      <w:r w:rsidR="00086265">
        <w:t>MSAC considered that PR was potentially suitable for referral to the Medical Research Future Fund (MRFF) as d</w:t>
      </w:r>
      <w:r>
        <w:t>ata on the number of sessions required, the value and frequency of repeat PR, and the effect modification on stable disease versus recent exacerbation were either unclear or no data were identified.</w:t>
      </w:r>
      <w:r w:rsidR="00B83AD2">
        <w:t xml:space="preserve"> MSAC also considered it would be informative to have Australian</w:t>
      </w:r>
      <w:r w:rsidR="00B83AD2" w:rsidRPr="00B83AD2">
        <w:t xml:space="preserve"> evidence regarding any benefits </w:t>
      </w:r>
      <w:r w:rsidR="00B83AD2">
        <w:t>with respect to</w:t>
      </w:r>
      <w:r w:rsidR="00B83AD2" w:rsidRPr="00B83AD2">
        <w:t xml:space="preserve"> frequency of exacerbations and hospital admissions.</w:t>
      </w:r>
    </w:p>
    <w:p w14:paraId="744F04B7" w14:textId="77777777" w:rsidR="00482957" w:rsidRDefault="00482957" w:rsidP="00482957">
      <w:pPr>
        <w:spacing w:after="240"/>
      </w:pPr>
      <w:r>
        <w:t xml:space="preserve">MSAC considered that the comparator – best care delivered by a GP or specialist without a PR program – was appropriate. MSAC noted the </w:t>
      </w:r>
      <w:r w:rsidRPr="00DB3ACF">
        <w:t>limited evidence to support the comparative safety of the proposed services</w:t>
      </w:r>
      <w:r>
        <w:t>,</w:t>
      </w:r>
      <w:r w:rsidRPr="00DB3ACF">
        <w:t xml:space="preserve"> </w:t>
      </w:r>
      <w:r>
        <w:t>but considered that the risk of harm is</w:t>
      </w:r>
      <w:r w:rsidRPr="00DB3ACF">
        <w:t xml:space="preserve"> low given the nature of the interventions</w:t>
      </w:r>
      <w:r>
        <w:t>.</w:t>
      </w:r>
    </w:p>
    <w:p w14:paraId="1674E076" w14:textId="5C011F76" w:rsidR="00482957" w:rsidRDefault="00482957" w:rsidP="00482957">
      <w:pPr>
        <w:spacing w:after="240"/>
      </w:pPr>
      <w:r>
        <w:t>MSAC noted that the economic analysis</w:t>
      </w:r>
      <w:r w:rsidR="00C27078">
        <w:t xml:space="preserve"> for the COPD </w:t>
      </w:r>
      <w:r w:rsidR="00D876D7">
        <w:t>population</w:t>
      </w:r>
      <w:r>
        <w:t xml:space="preserve"> included substantial cost savings due to reduced emergency department visits and hospital admissions, but that </w:t>
      </w:r>
      <w:proofErr w:type="gramStart"/>
      <w:r>
        <w:t>this was not supported by the clinical evidence</w:t>
      </w:r>
      <w:proofErr w:type="gramEnd"/>
      <w:r>
        <w:t xml:space="preserve">. </w:t>
      </w:r>
      <w:r w:rsidR="00D876D7">
        <w:t xml:space="preserve">There was uncertainty regarding the conversion of quality of life effect size measured using the SGRQ score to utility values for both the COPD and ILD populations. </w:t>
      </w:r>
      <w:r>
        <w:t>Key drivers of the economic model were effect size, decay of benefits over time and medical costs. MSAC noted uncertainties in the estimates of utilisation and uptake, and the size of the eligible population. Overall, MSAC considered that the cost-effectiveness of PR was highly uncertain. MSAC also noted the substantial cost to the MBS in the base case of $44.6 million to $58.7 million per year over 5 years.</w:t>
      </w:r>
    </w:p>
    <w:p w14:paraId="1CD3CBA3" w14:textId="77777777" w:rsidR="00482957" w:rsidRDefault="00482957" w:rsidP="00482957">
      <w:pPr>
        <w:spacing w:after="240"/>
      </w:pPr>
      <w:r>
        <w:t>MSAC noted the large number of submissions (60) from consumers supporting the application, as well as the substantial unmet clinical need in patients eligible for PR.</w:t>
      </w:r>
    </w:p>
    <w:p w14:paraId="0437EB9C" w14:textId="77777777" w:rsidR="00482957" w:rsidRDefault="00482957" w:rsidP="00482957">
      <w:pPr>
        <w:spacing w:after="240"/>
      </w:pPr>
      <w:r>
        <w:t xml:space="preserve">Overall, MSAC accepted that PR has short-term clinically important benefits with respect to patient-reported outcomes and exercise capacity, but effects wane over 6–12 months. MSAC </w:t>
      </w:r>
      <w:r>
        <w:lastRenderedPageBreak/>
        <w:t>noted the uncertain benefit in terms of reduced hospitalisation, no benefit in terms of reduced mortality and the uncertain cost-effectiveness of PR.</w:t>
      </w:r>
    </w:p>
    <w:p w14:paraId="70566668" w14:textId="70D9FF35" w:rsidR="00482957" w:rsidRDefault="00482957" w:rsidP="00482957">
      <w:pPr>
        <w:spacing w:after="240"/>
      </w:pPr>
      <w:r>
        <w:t xml:space="preserve">MSAC considered that PR programs </w:t>
      </w:r>
      <w:proofErr w:type="gramStart"/>
      <w:r>
        <w:t>may</w:t>
      </w:r>
      <w:proofErr w:type="gramEnd"/>
      <w:r>
        <w:t xml:space="preserve"> best be offered under the existing MBS items for chronic disease management (CDM). As a complex intervention combining exercise and psychological aspects, PR may be similar to cardiac rehabilitation programs or back pain management programs, where it </w:t>
      </w:r>
      <w:proofErr w:type="gramStart"/>
      <w:r>
        <w:t>is not always known</w:t>
      </w:r>
      <w:proofErr w:type="gramEnd"/>
      <w:r>
        <w:t xml:space="preserve"> which components of the package are the most effective. CDM items allow access to a range of allied health providers, capped at </w:t>
      </w:r>
      <w:proofErr w:type="gramStart"/>
      <w:r>
        <w:t>5</w:t>
      </w:r>
      <w:proofErr w:type="gramEnd"/>
      <w:r>
        <w:t> visits per calendar year. MSAC noted that including PR in CDM items would result in no net cost to government.</w:t>
      </w:r>
    </w:p>
    <w:p w14:paraId="3DA3A076" w14:textId="77777777" w:rsidR="00BC1364" w:rsidRPr="00F715D1" w:rsidRDefault="00BC1364" w:rsidP="00F715D1">
      <w:pPr>
        <w:pStyle w:val="Heading1"/>
      </w:pPr>
      <w:r w:rsidRPr="00F715D1">
        <w:t>Background</w:t>
      </w:r>
    </w:p>
    <w:p w14:paraId="1177E8E0" w14:textId="3A38643B" w:rsidR="00783E28" w:rsidRDefault="0056434B" w:rsidP="007568DC">
      <w:pPr>
        <w:spacing w:after="240"/>
      </w:pPr>
      <w:r>
        <w:t xml:space="preserve">MSAC considered Application 1405 at its November 206 meeting. </w:t>
      </w:r>
      <w:r w:rsidR="00783E28">
        <w:t>After considering the available evidence in relation to the comparative safety, clinical effectiveness and cost-effectiveness, MSAC deferred public funding for PR in COPD, bronchiectasis and ILD.</w:t>
      </w:r>
    </w:p>
    <w:p w14:paraId="402D95FE" w14:textId="77777777" w:rsidR="0056434B" w:rsidRDefault="0091253B" w:rsidP="0056434B">
      <w:r w:rsidRPr="0091253B">
        <w:t xml:space="preserve">MSAC did not support public funding for PR for the management of lung cancer nor </w:t>
      </w:r>
      <w:r w:rsidR="002D10CE">
        <w:t>pulmonary maintenance (</w:t>
      </w:r>
      <w:r w:rsidRPr="0091253B">
        <w:t>PME</w:t>
      </w:r>
      <w:r w:rsidR="002D10CE">
        <w:t>)</w:t>
      </w:r>
      <w:r w:rsidRPr="0091253B">
        <w:t xml:space="preserve"> for the management of COPD, bronchiectasis, ILD or lung cancer due to limited evidence to support the clinical effectiveness of the services in these populations and uncertain cost-effectiveness</w:t>
      </w:r>
      <w:r w:rsidRPr="002D10CE">
        <w:t>.</w:t>
      </w:r>
      <w:r w:rsidR="00B14865" w:rsidRPr="002D10CE">
        <w:t xml:space="preserve"> </w:t>
      </w:r>
    </w:p>
    <w:p w14:paraId="40C98CB3" w14:textId="474742DC" w:rsidR="0091253B" w:rsidRPr="0041184F" w:rsidRDefault="0091253B" w:rsidP="009C7DC9">
      <w:pPr>
        <w:tabs>
          <w:tab w:val="left" w:pos="720"/>
          <w:tab w:val="left" w:pos="1140"/>
        </w:tabs>
        <w:spacing w:before="240"/>
        <w:rPr>
          <w:lang w:eastAsia="en-US"/>
        </w:rPr>
      </w:pPr>
      <w:r>
        <w:rPr>
          <w:szCs w:val="24"/>
        </w:rPr>
        <w:t xml:space="preserve">Further information is available from the Public Summary Document (PSD) </w:t>
      </w:r>
      <w:r w:rsidRPr="00213FBA">
        <w:rPr>
          <w:szCs w:val="24"/>
        </w:rPr>
        <w:t xml:space="preserve">on the MSAC website at </w:t>
      </w:r>
      <w:hyperlink r:id="rId10" w:tooltip="Link to Medical Services Advisory Committee website" w:history="1">
        <w:r w:rsidRPr="00213FBA">
          <w:rPr>
            <w:rStyle w:val="Hyperlink"/>
            <w:szCs w:val="24"/>
          </w:rPr>
          <w:t>www.msac.gov.au</w:t>
        </w:r>
      </w:hyperlink>
      <w:r w:rsidRPr="00213FBA">
        <w:rPr>
          <w:szCs w:val="24"/>
        </w:rPr>
        <w:t>.</w:t>
      </w:r>
      <w:r w:rsidR="009C7DC9">
        <w:rPr>
          <w:lang w:eastAsia="en-US"/>
        </w:rPr>
        <w:t xml:space="preserve"> </w:t>
      </w:r>
    </w:p>
    <w:p w14:paraId="0F278499" w14:textId="77777777" w:rsidR="00BC1364" w:rsidRPr="00F715D1" w:rsidRDefault="00BC1364" w:rsidP="00F715D1">
      <w:pPr>
        <w:pStyle w:val="Heading1"/>
      </w:pPr>
      <w:r w:rsidRPr="00F715D1">
        <w:t>Prerequisites to implementation of any funding advice</w:t>
      </w:r>
    </w:p>
    <w:p w14:paraId="7A16A5B0" w14:textId="77777777" w:rsidR="002F702A" w:rsidRPr="00DA3918" w:rsidRDefault="002F702A" w:rsidP="002F702A">
      <w:pPr>
        <w:spacing w:after="240"/>
        <w:rPr>
          <w:i/>
          <w:lang w:val="en-US" w:eastAsia="ja-JP"/>
        </w:rPr>
      </w:pPr>
      <w:r w:rsidRPr="00FF5712">
        <w:rPr>
          <w:lang w:val="en-US" w:eastAsia="ja-JP"/>
        </w:rPr>
        <w:t xml:space="preserve">This intervention does not require </w:t>
      </w:r>
      <w:r w:rsidRPr="00FF5712">
        <w:rPr>
          <w:szCs w:val="24"/>
        </w:rPr>
        <w:t>Therapeutic Goods Administration (TGA)</w:t>
      </w:r>
      <w:r w:rsidRPr="00FF5712">
        <w:rPr>
          <w:lang w:val="en-US" w:eastAsia="ja-JP"/>
        </w:rPr>
        <w:t xml:space="preserve"> approval.</w:t>
      </w:r>
    </w:p>
    <w:p w14:paraId="51DF5569" w14:textId="77777777" w:rsidR="00BC1364" w:rsidRPr="00F715D1" w:rsidRDefault="00BC1364" w:rsidP="00F715D1">
      <w:pPr>
        <w:pStyle w:val="Heading1"/>
      </w:pPr>
      <w:r w:rsidRPr="00F715D1">
        <w:t>Proposal for public funding</w:t>
      </w:r>
    </w:p>
    <w:p w14:paraId="489C69E8" w14:textId="42340340" w:rsidR="009214A2" w:rsidRDefault="009214A2" w:rsidP="007568DC">
      <w:pPr>
        <w:spacing w:after="240"/>
      </w:pPr>
      <w:r>
        <w:t>T</w:t>
      </w:r>
      <w:r w:rsidR="000E7E20" w:rsidRPr="000E7E20">
        <w:t xml:space="preserve">he </w:t>
      </w:r>
      <w:r w:rsidR="000E7E20">
        <w:t xml:space="preserve">resubmission proposed three MBS items for </w:t>
      </w:r>
      <w:r w:rsidR="001E5FF7">
        <w:t>the PR program.</w:t>
      </w:r>
    </w:p>
    <w:p w14:paraId="3397CD03" w14:textId="6B6519F8" w:rsidR="009214A2" w:rsidRPr="009214A2" w:rsidRDefault="009214A2" w:rsidP="009214A2">
      <w:pPr>
        <w:pStyle w:val="Caption"/>
        <w:keepNext/>
        <w:rPr>
          <w:rFonts w:ascii="Arial Narrow" w:hAnsi="Arial Narrow"/>
          <w:color w:val="auto"/>
          <w:sz w:val="20"/>
        </w:rPr>
      </w:pPr>
      <w:r w:rsidRPr="002D10CE">
        <w:rPr>
          <w:rFonts w:ascii="Arial Narrow" w:hAnsi="Arial Narrow"/>
          <w:color w:val="auto"/>
          <w:sz w:val="20"/>
        </w:rPr>
        <w:t xml:space="preserve">Table </w:t>
      </w:r>
      <w:r w:rsidRPr="002D10CE">
        <w:rPr>
          <w:rFonts w:ascii="Arial Narrow" w:hAnsi="Arial Narrow"/>
          <w:color w:val="auto"/>
          <w:sz w:val="20"/>
        </w:rPr>
        <w:fldChar w:fldCharType="begin"/>
      </w:r>
      <w:r w:rsidRPr="002D10CE">
        <w:rPr>
          <w:rFonts w:ascii="Arial Narrow" w:hAnsi="Arial Narrow"/>
          <w:color w:val="auto"/>
          <w:sz w:val="20"/>
        </w:rPr>
        <w:instrText xml:space="preserve"> SEQ Table \* ARABIC </w:instrText>
      </w:r>
      <w:r w:rsidRPr="002D10CE">
        <w:rPr>
          <w:rFonts w:ascii="Arial Narrow" w:hAnsi="Arial Narrow"/>
          <w:color w:val="auto"/>
          <w:sz w:val="20"/>
        </w:rPr>
        <w:fldChar w:fldCharType="separate"/>
      </w:r>
      <w:r w:rsidR="00EC58AB" w:rsidRPr="002D10CE">
        <w:rPr>
          <w:rFonts w:ascii="Arial Narrow" w:hAnsi="Arial Narrow"/>
          <w:noProof/>
          <w:color w:val="auto"/>
          <w:sz w:val="20"/>
        </w:rPr>
        <w:t>1</w:t>
      </w:r>
      <w:r w:rsidRPr="002D10CE">
        <w:rPr>
          <w:rFonts w:ascii="Arial Narrow" w:hAnsi="Arial Narrow"/>
          <w:color w:val="auto"/>
          <w:sz w:val="20"/>
        </w:rPr>
        <w:fldChar w:fldCharType="end"/>
      </w:r>
      <w:r w:rsidRPr="002D10CE">
        <w:rPr>
          <w:rFonts w:ascii="Arial Narrow" w:hAnsi="Arial Narrow"/>
          <w:color w:val="auto"/>
          <w:sz w:val="20"/>
        </w:rPr>
        <w:tab/>
        <w:t>Proposed MBS item descriptor</w:t>
      </w:r>
      <w:r w:rsidR="008442DA">
        <w:rPr>
          <w:rFonts w:ascii="Arial Narrow" w:hAnsi="Arial Narrow"/>
          <w:color w:val="auto"/>
          <w:sz w:val="20"/>
        </w:rPr>
        <w:t>s</w:t>
      </w:r>
    </w:p>
    <w:tbl>
      <w:tblPr>
        <w:tblStyle w:val="TableGrid"/>
        <w:tblW w:w="0" w:type="auto"/>
        <w:tblLook w:val="04A0" w:firstRow="1" w:lastRow="0" w:firstColumn="1" w:lastColumn="0" w:noHBand="0" w:noVBand="1"/>
        <w:tblCaption w:val="Proposed MBS item descriptor"/>
        <w:tblDescription w:val="This table provides a description of the wording of the item to be included in the Medicare Benefits Schedule for this technology."/>
      </w:tblPr>
      <w:tblGrid>
        <w:gridCol w:w="9016"/>
      </w:tblGrid>
      <w:tr w:rsidR="009214A2" w:rsidRPr="00EB7681" w14:paraId="6E7A3CC7" w14:textId="77777777" w:rsidTr="00AE4C08">
        <w:trPr>
          <w:tblHeader/>
        </w:trPr>
        <w:tc>
          <w:tcPr>
            <w:tcW w:w="9049" w:type="dxa"/>
          </w:tcPr>
          <w:p w14:paraId="61A0BCDC" w14:textId="77777777" w:rsidR="009214A2" w:rsidRPr="00EB7681" w:rsidRDefault="009214A2" w:rsidP="002A62BE">
            <w:pPr>
              <w:pStyle w:val="Tabletext"/>
              <w:rPr>
                <w:rFonts w:cs="Arial"/>
                <w:szCs w:val="20"/>
              </w:rPr>
            </w:pPr>
            <w:r w:rsidRPr="00EB7681">
              <w:rPr>
                <w:rFonts w:cs="Arial"/>
                <w:szCs w:val="20"/>
              </w:rPr>
              <w:t>Category 8 – Miscellaneous</w:t>
            </w:r>
          </w:p>
        </w:tc>
      </w:tr>
      <w:tr w:rsidR="009214A2" w:rsidRPr="00EB7681" w14:paraId="26BF4C8C" w14:textId="77777777" w:rsidTr="00AE4C08">
        <w:tc>
          <w:tcPr>
            <w:tcW w:w="9049" w:type="dxa"/>
          </w:tcPr>
          <w:p w14:paraId="627A9DF8" w14:textId="77777777" w:rsidR="009214A2" w:rsidRPr="00EB7681" w:rsidRDefault="009214A2" w:rsidP="002A62BE">
            <w:pPr>
              <w:pStyle w:val="Tabletext"/>
              <w:rPr>
                <w:rFonts w:cs="Arial"/>
                <w:szCs w:val="20"/>
              </w:rPr>
            </w:pPr>
            <w:r w:rsidRPr="00EB7681">
              <w:rPr>
                <w:rFonts w:cs="Arial"/>
                <w:szCs w:val="20"/>
              </w:rPr>
              <w:t>MBS [item number]</w:t>
            </w:r>
          </w:p>
          <w:p w14:paraId="150B20B7" w14:textId="77777777" w:rsidR="009214A2" w:rsidRPr="00EB7681" w:rsidRDefault="009214A2" w:rsidP="002A62BE">
            <w:pPr>
              <w:pStyle w:val="Tabletext"/>
              <w:rPr>
                <w:rFonts w:cs="Arial"/>
                <w:szCs w:val="20"/>
              </w:rPr>
            </w:pPr>
            <w:r w:rsidRPr="00EB7681">
              <w:rPr>
                <w:rFonts w:cs="Arial"/>
                <w:szCs w:val="20"/>
              </w:rPr>
              <w:t>PULMONARY REHABILITATION SERVICE – INDIVIDUAL ASSESSMENT FOR GROUP SERVICES</w:t>
            </w:r>
          </w:p>
          <w:p w14:paraId="66F2DC5A" w14:textId="77777777" w:rsidR="009214A2" w:rsidRPr="00EB7681" w:rsidRDefault="009214A2" w:rsidP="002A62BE">
            <w:pPr>
              <w:pStyle w:val="Tabletext"/>
              <w:rPr>
                <w:rFonts w:cs="Arial"/>
                <w:szCs w:val="20"/>
              </w:rPr>
            </w:pPr>
            <w:r w:rsidRPr="00EB7681">
              <w:rPr>
                <w:rFonts w:cs="Arial"/>
                <w:szCs w:val="20"/>
              </w:rPr>
              <w:t>Pulmonary rehabilitation health service provided to a person by an eligible physiotherapist or exercise physiologist, for the</w:t>
            </w:r>
          </w:p>
          <w:p w14:paraId="0DFC5AAA" w14:textId="77777777" w:rsidR="009214A2" w:rsidRPr="00EB7681" w:rsidRDefault="009214A2" w:rsidP="002A62BE">
            <w:pPr>
              <w:pStyle w:val="Tabletext"/>
              <w:rPr>
                <w:rFonts w:cs="Arial"/>
                <w:szCs w:val="20"/>
              </w:rPr>
            </w:pPr>
            <w:r w:rsidRPr="00EB7681">
              <w:rPr>
                <w:rFonts w:cs="Arial"/>
                <w:szCs w:val="20"/>
              </w:rPr>
              <w:t>purposes of ASSESSING a person’s baseline respiratory status, including taking a medical history, testing of functional</w:t>
            </w:r>
          </w:p>
          <w:p w14:paraId="252EE9CD" w14:textId="77777777" w:rsidR="009214A2" w:rsidRPr="00EB7681" w:rsidRDefault="009214A2" w:rsidP="002A62BE">
            <w:pPr>
              <w:pStyle w:val="Tabletext"/>
              <w:rPr>
                <w:rFonts w:cs="Arial"/>
                <w:szCs w:val="20"/>
              </w:rPr>
            </w:pPr>
            <w:r w:rsidRPr="00EB7681">
              <w:rPr>
                <w:rFonts w:cs="Arial"/>
                <w:szCs w:val="20"/>
              </w:rPr>
              <w:t>exercise capacity (six-minute walk test), assessment of health status (quality of life questionnaires) and a psychosocial</w:t>
            </w:r>
          </w:p>
          <w:p w14:paraId="13CC203D" w14:textId="77777777" w:rsidR="009214A2" w:rsidRPr="00EB7681" w:rsidRDefault="009214A2" w:rsidP="002A62BE">
            <w:pPr>
              <w:pStyle w:val="Tabletext"/>
              <w:rPr>
                <w:rFonts w:cs="Arial"/>
                <w:szCs w:val="20"/>
              </w:rPr>
            </w:pPr>
            <w:r w:rsidRPr="00EB7681">
              <w:rPr>
                <w:rFonts w:cs="Arial"/>
                <w:szCs w:val="20"/>
              </w:rPr>
              <w:t>assessment questionnaire, planning an individualised pulmonary rehabilitation program, if:</w:t>
            </w:r>
          </w:p>
          <w:p w14:paraId="18FD7192" w14:textId="693EC377" w:rsidR="009214A2" w:rsidRPr="00EB7681" w:rsidRDefault="009214A2" w:rsidP="002A62BE">
            <w:pPr>
              <w:pStyle w:val="TableText0"/>
              <w:keepNext w:val="0"/>
              <w:numPr>
                <w:ilvl w:val="0"/>
                <w:numId w:val="26"/>
              </w:numPr>
              <w:rPr>
                <w:rFonts w:cs="Arial"/>
                <w:szCs w:val="20"/>
                <w:lang w:eastAsia="en-AU"/>
              </w:rPr>
            </w:pPr>
            <w:r w:rsidRPr="00EB7681">
              <w:rPr>
                <w:rFonts w:cs="Arial"/>
                <w:szCs w:val="20"/>
                <w:lang w:eastAsia="en-AU"/>
              </w:rPr>
              <w:t>The service is provided to a person diagnosed with COPD, chronic irreversible asthma, bronchiectasis</w:t>
            </w:r>
            <w:r w:rsidR="00943C81">
              <w:rPr>
                <w:rFonts w:cs="Arial"/>
                <w:szCs w:val="20"/>
                <w:lang w:eastAsia="en-AU"/>
              </w:rPr>
              <w:t xml:space="preserve"> or</w:t>
            </w:r>
            <w:r w:rsidRPr="00EB7681">
              <w:rPr>
                <w:rFonts w:cs="Arial"/>
                <w:szCs w:val="20"/>
                <w:lang w:eastAsia="en-AU"/>
              </w:rPr>
              <w:t xml:space="preserve"> interstitial lung disease </w:t>
            </w:r>
          </w:p>
          <w:p w14:paraId="4DFAA45D" w14:textId="77777777" w:rsidR="009214A2" w:rsidRPr="00EB7681" w:rsidRDefault="009214A2" w:rsidP="002A62BE">
            <w:pPr>
              <w:pStyle w:val="TableText0"/>
              <w:keepNext w:val="0"/>
              <w:numPr>
                <w:ilvl w:val="0"/>
                <w:numId w:val="26"/>
              </w:numPr>
              <w:rPr>
                <w:rFonts w:cs="Arial"/>
                <w:szCs w:val="20"/>
                <w:lang w:eastAsia="en-AU"/>
              </w:rPr>
            </w:pPr>
            <w:r w:rsidRPr="00EB7681">
              <w:rPr>
                <w:rFonts w:cs="Arial"/>
                <w:szCs w:val="20"/>
                <w:lang w:eastAsia="en-AU"/>
              </w:rPr>
              <w:t>The person is being managed by a general practitioner under a GP Management Plan [i.e. item 721 or 732], or if the person is a resident of an aged care facility, their medical practitioner has contributed to a multidisciplinary care plan [i.e. item 731]; OR, the person is being managed by a specialist (respiratory, rehabilitation, general, consultant physician, surgeon)</w:t>
            </w:r>
          </w:p>
          <w:p w14:paraId="238051B6" w14:textId="77777777" w:rsidR="009214A2" w:rsidRPr="00EB7681" w:rsidRDefault="009214A2" w:rsidP="002A62BE">
            <w:pPr>
              <w:pStyle w:val="TableText0"/>
              <w:keepNext w:val="0"/>
              <w:numPr>
                <w:ilvl w:val="0"/>
                <w:numId w:val="26"/>
              </w:numPr>
              <w:rPr>
                <w:rFonts w:cs="Arial"/>
                <w:szCs w:val="20"/>
                <w:lang w:eastAsia="en-AU"/>
              </w:rPr>
            </w:pPr>
            <w:r w:rsidRPr="00EB7681">
              <w:rPr>
                <w:rFonts w:cs="Arial"/>
                <w:szCs w:val="20"/>
                <w:lang w:eastAsia="en-AU"/>
              </w:rPr>
              <w:t>The patient’s pharmacotherapy for chronic lung disease (CLD) has been optimised by their medical practitioner</w:t>
            </w:r>
          </w:p>
          <w:p w14:paraId="0CCB895D" w14:textId="77777777" w:rsidR="009214A2" w:rsidRPr="00EB7681" w:rsidRDefault="009214A2" w:rsidP="002A62BE">
            <w:pPr>
              <w:pStyle w:val="TableText0"/>
              <w:keepNext w:val="0"/>
              <w:numPr>
                <w:ilvl w:val="0"/>
                <w:numId w:val="26"/>
              </w:numPr>
              <w:rPr>
                <w:rFonts w:cs="Arial"/>
                <w:szCs w:val="20"/>
                <w:lang w:eastAsia="en-AU"/>
              </w:rPr>
            </w:pPr>
            <w:r w:rsidRPr="00EB7681">
              <w:rPr>
                <w:rFonts w:cs="Arial"/>
                <w:szCs w:val="20"/>
                <w:lang w:eastAsia="en-AU"/>
              </w:rPr>
              <w:t>The person is referred to an eligible physiotherapist or exercise physiologist by the medical practitioner using a referral form that has been issued by the Department of Health, or a referral form that contains all the components of the form issued by the Department; and</w:t>
            </w:r>
          </w:p>
          <w:p w14:paraId="77616AE1" w14:textId="77777777" w:rsidR="009214A2" w:rsidRPr="00EB7681" w:rsidRDefault="009214A2" w:rsidP="002A62BE">
            <w:pPr>
              <w:pStyle w:val="TableText0"/>
              <w:keepNext w:val="0"/>
              <w:numPr>
                <w:ilvl w:val="0"/>
                <w:numId w:val="26"/>
              </w:numPr>
              <w:rPr>
                <w:rFonts w:cs="Arial"/>
                <w:szCs w:val="20"/>
                <w:lang w:eastAsia="en-AU"/>
              </w:rPr>
            </w:pPr>
            <w:r w:rsidRPr="00EB7681">
              <w:rPr>
                <w:rFonts w:cs="Arial"/>
                <w:szCs w:val="20"/>
                <w:lang w:eastAsia="en-AU"/>
              </w:rPr>
              <w:t>The person is not an admitted patient of a hospital, and</w:t>
            </w:r>
          </w:p>
          <w:p w14:paraId="6F4E3F7C" w14:textId="77777777" w:rsidR="009214A2" w:rsidRPr="00EB7681" w:rsidRDefault="009214A2" w:rsidP="002A62BE">
            <w:pPr>
              <w:pStyle w:val="TableText0"/>
              <w:keepNext w:val="0"/>
              <w:numPr>
                <w:ilvl w:val="0"/>
                <w:numId w:val="26"/>
              </w:numPr>
              <w:rPr>
                <w:rFonts w:cs="Arial"/>
                <w:szCs w:val="20"/>
                <w:lang w:eastAsia="en-AU"/>
              </w:rPr>
            </w:pPr>
            <w:r w:rsidRPr="00EB7681">
              <w:rPr>
                <w:rFonts w:cs="Arial"/>
                <w:szCs w:val="20"/>
                <w:lang w:eastAsia="en-AU"/>
              </w:rPr>
              <w:t>The service is provided to the person individually and in person; and</w:t>
            </w:r>
          </w:p>
          <w:p w14:paraId="27E65ABB" w14:textId="77777777" w:rsidR="009214A2" w:rsidRPr="00EB7681" w:rsidRDefault="009214A2" w:rsidP="002A62BE">
            <w:pPr>
              <w:pStyle w:val="TableText0"/>
              <w:keepNext w:val="0"/>
              <w:numPr>
                <w:ilvl w:val="0"/>
                <w:numId w:val="26"/>
              </w:numPr>
              <w:rPr>
                <w:rFonts w:cs="Arial"/>
                <w:szCs w:val="20"/>
                <w:lang w:eastAsia="en-AU"/>
              </w:rPr>
            </w:pPr>
            <w:r w:rsidRPr="00EB7681">
              <w:rPr>
                <w:rFonts w:cs="Arial"/>
                <w:szCs w:val="20"/>
                <w:lang w:eastAsia="en-AU"/>
              </w:rPr>
              <w:t>The service is of at least 45 minutes duration; and</w:t>
            </w:r>
          </w:p>
          <w:p w14:paraId="4B3373F3" w14:textId="77777777" w:rsidR="009214A2" w:rsidRPr="00EB7681" w:rsidRDefault="009214A2" w:rsidP="002A62BE">
            <w:pPr>
              <w:pStyle w:val="TableText0"/>
              <w:keepNext w:val="0"/>
              <w:numPr>
                <w:ilvl w:val="0"/>
                <w:numId w:val="26"/>
              </w:numPr>
              <w:rPr>
                <w:rFonts w:cs="Arial"/>
                <w:szCs w:val="20"/>
                <w:lang w:eastAsia="en-AU"/>
              </w:rPr>
            </w:pPr>
            <w:r w:rsidRPr="00EB7681">
              <w:rPr>
                <w:rFonts w:cs="Arial"/>
                <w:szCs w:val="20"/>
                <w:lang w:eastAsia="en-AU"/>
              </w:rPr>
              <w:lastRenderedPageBreak/>
              <w:t>After the service, the eligible physiotherapist or exercise physiologist gives a written report to the referring medical practitioner mentioned in paragraph (b); and</w:t>
            </w:r>
          </w:p>
          <w:p w14:paraId="0FF41E14" w14:textId="77777777" w:rsidR="009214A2" w:rsidRPr="00EB7681" w:rsidRDefault="009214A2" w:rsidP="002A62BE">
            <w:pPr>
              <w:pStyle w:val="TableText0"/>
              <w:keepNext w:val="0"/>
              <w:numPr>
                <w:ilvl w:val="0"/>
                <w:numId w:val="26"/>
              </w:numPr>
              <w:rPr>
                <w:rFonts w:cs="Arial"/>
                <w:szCs w:val="20"/>
                <w:lang w:eastAsia="en-AU"/>
              </w:rPr>
            </w:pPr>
            <w:r w:rsidRPr="00EB7681">
              <w:rPr>
                <w:rFonts w:cs="Arial"/>
                <w:szCs w:val="20"/>
                <w:lang w:eastAsia="en-AU"/>
              </w:rPr>
              <w:t>In the case of a service in respect of which a private health insurance benefit is payable – the person who incurred the medical expenses in respect of the service has elected to claim the Medicare benefit in respect of the service, and not the private health insurance benefit.</w:t>
            </w:r>
          </w:p>
          <w:p w14:paraId="23328EDA" w14:textId="77777777" w:rsidR="009214A2" w:rsidRPr="00EB7681" w:rsidRDefault="009214A2" w:rsidP="002A62BE">
            <w:pPr>
              <w:pStyle w:val="Tabletext"/>
              <w:rPr>
                <w:rFonts w:cs="Arial"/>
                <w:szCs w:val="20"/>
              </w:rPr>
            </w:pPr>
            <w:r w:rsidRPr="00EB7681">
              <w:rPr>
                <w:rFonts w:cs="Arial"/>
                <w:szCs w:val="20"/>
              </w:rPr>
              <w:t>- To a maximum of one every two years</w:t>
            </w:r>
          </w:p>
          <w:p w14:paraId="659F13C4" w14:textId="77777777" w:rsidR="009214A2" w:rsidRPr="00EB7681" w:rsidRDefault="009214A2" w:rsidP="002A62BE">
            <w:pPr>
              <w:pStyle w:val="Tabletext"/>
              <w:rPr>
                <w:rFonts w:cs="Arial"/>
                <w:szCs w:val="20"/>
              </w:rPr>
            </w:pPr>
            <w:r w:rsidRPr="00EB7681">
              <w:rPr>
                <w:rFonts w:cs="Arial"/>
                <w:szCs w:val="20"/>
              </w:rPr>
              <w:t>Fee: $65.00 Benefit: 85% = $55.25</w:t>
            </w:r>
          </w:p>
          <w:p w14:paraId="22C6267D" w14:textId="77777777" w:rsidR="009214A2" w:rsidRPr="00EB7681" w:rsidRDefault="009214A2" w:rsidP="002A62BE">
            <w:pPr>
              <w:pStyle w:val="Tabletext"/>
              <w:rPr>
                <w:rFonts w:cs="Arial"/>
                <w:szCs w:val="20"/>
              </w:rPr>
            </w:pPr>
            <w:r w:rsidRPr="00EB7681">
              <w:rPr>
                <w:rFonts w:cs="Arial"/>
                <w:szCs w:val="20"/>
              </w:rPr>
              <w:t>[Relevant explanatory notes]</w:t>
            </w:r>
          </w:p>
        </w:tc>
      </w:tr>
      <w:tr w:rsidR="009214A2" w:rsidRPr="00EB7681" w14:paraId="50D6F99C" w14:textId="77777777" w:rsidTr="00AE4C08">
        <w:tc>
          <w:tcPr>
            <w:tcW w:w="9049" w:type="dxa"/>
          </w:tcPr>
          <w:p w14:paraId="13E8671C" w14:textId="77777777" w:rsidR="009214A2" w:rsidRPr="00EB7681" w:rsidRDefault="009214A2" w:rsidP="002A62BE">
            <w:pPr>
              <w:pStyle w:val="Tabletext"/>
              <w:rPr>
                <w:rFonts w:cs="Arial"/>
                <w:szCs w:val="20"/>
              </w:rPr>
            </w:pPr>
            <w:r w:rsidRPr="00EB7681">
              <w:rPr>
                <w:rFonts w:cs="Arial"/>
                <w:szCs w:val="20"/>
              </w:rPr>
              <w:lastRenderedPageBreak/>
              <w:t>MBS [item number]</w:t>
            </w:r>
          </w:p>
          <w:p w14:paraId="55C86540" w14:textId="77777777" w:rsidR="009214A2" w:rsidRPr="00EB7681" w:rsidRDefault="009214A2" w:rsidP="002A62BE">
            <w:pPr>
              <w:pStyle w:val="Tabletext"/>
              <w:rPr>
                <w:rFonts w:cs="Arial"/>
                <w:szCs w:val="20"/>
              </w:rPr>
            </w:pPr>
            <w:r w:rsidRPr="00EB7681">
              <w:rPr>
                <w:rFonts w:cs="Arial"/>
                <w:szCs w:val="20"/>
              </w:rPr>
              <w:t>PULMONARY REHABILITATION SERVICE – GROUP SERVICE</w:t>
            </w:r>
          </w:p>
          <w:p w14:paraId="03E13E6A" w14:textId="77777777" w:rsidR="009214A2" w:rsidRPr="00EB7681" w:rsidRDefault="009214A2" w:rsidP="002A62BE">
            <w:pPr>
              <w:pStyle w:val="Tabletext"/>
              <w:rPr>
                <w:rFonts w:cs="Arial"/>
                <w:szCs w:val="20"/>
              </w:rPr>
            </w:pPr>
            <w:r w:rsidRPr="00EB7681">
              <w:rPr>
                <w:rFonts w:cs="Arial"/>
                <w:szCs w:val="20"/>
              </w:rPr>
              <w:t>Pulmonary rehabilitation program provided to a person by an eligible physiotherapist or exercise physiologist as a GROUP</w:t>
            </w:r>
          </w:p>
          <w:p w14:paraId="73242D24" w14:textId="4E89D957" w:rsidR="009214A2" w:rsidRPr="00EB7681" w:rsidRDefault="009214A2" w:rsidP="002A62BE">
            <w:pPr>
              <w:pStyle w:val="Tabletext"/>
              <w:rPr>
                <w:rFonts w:cs="Arial"/>
                <w:szCs w:val="20"/>
              </w:rPr>
            </w:pPr>
            <w:r w:rsidRPr="00EB7681">
              <w:rPr>
                <w:rFonts w:cs="Arial"/>
                <w:szCs w:val="20"/>
              </w:rPr>
              <w:t>SERVICE for the management of COPD chronic irreversible asthma, bronchiectasis</w:t>
            </w:r>
            <w:r w:rsidR="00943C81">
              <w:rPr>
                <w:rFonts w:cs="Arial"/>
                <w:szCs w:val="20"/>
              </w:rPr>
              <w:t xml:space="preserve"> or</w:t>
            </w:r>
            <w:r w:rsidRPr="00EB7681">
              <w:rPr>
                <w:rFonts w:cs="Arial"/>
                <w:szCs w:val="20"/>
              </w:rPr>
              <w:t xml:space="preserve"> interstitial lung disease</w:t>
            </w:r>
          </w:p>
          <w:p w14:paraId="4DE4A69A" w14:textId="77777777" w:rsidR="009214A2" w:rsidRPr="00EB7681" w:rsidRDefault="009214A2" w:rsidP="002A62BE">
            <w:pPr>
              <w:pStyle w:val="Tabletext"/>
              <w:rPr>
                <w:rFonts w:cs="Arial"/>
                <w:szCs w:val="20"/>
              </w:rPr>
            </w:pPr>
            <w:r w:rsidRPr="00EB7681">
              <w:rPr>
                <w:rFonts w:cs="Arial"/>
                <w:szCs w:val="20"/>
              </w:rPr>
              <w:t>if:</w:t>
            </w:r>
          </w:p>
          <w:p w14:paraId="57D84AC5" w14:textId="77777777" w:rsidR="009214A2" w:rsidRPr="00EB7681" w:rsidRDefault="009214A2" w:rsidP="002A62BE">
            <w:pPr>
              <w:pStyle w:val="TableText0"/>
              <w:keepNext w:val="0"/>
              <w:numPr>
                <w:ilvl w:val="0"/>
                <w:numId w:val="27"/>
              </w:numPr>
              <w:rPr>
                <w:rFonts w:cs="Arial"/>
                <w:szCs w:val="20"/>
                <w:lang w:eastAsia="en-AU"/>
              </w:rPr>
            </w:pPr>
            <w:r w:rsidRPr="00EB7681">
              <w:rPr>
                <w:rFonts w:cs="Arial"/>
                <w:szCs w:val="20"/>
                <w:lang w:eastAsia="en-AU"/>
              </w:rPr>
              <w:t>The person has been assessed as suitable for a pulmonary rehabilitation program under assessment</w:t>
            </w:r>
          </w:p>
          <w:p w14:paraId="1FB945D4" w14:textId="77777777" w:rsidR="009214A2" w:rsidRPr="00EB7681" w:rsidRDefault="009214A2" w:rsidP="002A62BE">
            <w:pPr>
              <w:pStyle w:val="TableText0"/>
              <w:keepNext w:val="0"/>
              <w:numPr>
                <w:ilvl w:val="0"/>
                <w:numId w:val="27"/>
              </w:numPr>
              <w:rPr>
                <w:rFonts w:cs="Arial"/>
                <w:szCs w:val="20"/>
                <w:lang w:eastAsia="en-AU"/>
              </w:rPr>
            </w:pPr>
            <w:r w:rsidRPr="00EB7681">
              <w:rPr>
                <w:rFonts w:cs="Arial"/>
                <w:szCs w:val="20"/>
                <w:lang w:eastAsia="en-AU"/>
              </w:rPr>
              <w:t>The service is provided to a person who is part of a group of a maximum of 8 patients inclusive; and</w:t>
            </w:r>
          </w:p>
          <w:p w14:paraId="21B89CD3" w14:textId="77777777" w:rsidR="009214A2" w:rsidRPr="00EB7681" w:rsidRDefault="009214A2" w:rsidP="002A62BE">
            <w:pPr>
              <w:pStyle w:val="TableText0"/>
              <w:keepNext w:val="0"/>
              <w:numPr>
                <w:ilvl w:val="0"/>
                <w:numId w:val="27"/>
              </w:numPr>
              <w:rPr>
                <w:rFonts w:cs="Arial"/>
                <w:szCs w:val="20"/>
                <w:lang w:eastAsia="en-AU"/>
              </w:rPr>
            </w:pPr>
            <w:r w:rsidRPr="00EB7681">
              <w:rPr>
                <w:rFonts w:cs="Arial"/>
                <w:szCs w:val="20"/>
                <w:lang w:eastAsia="en-AU"/>
              </w:rPr>
              <w:t>The person is not an admitted patient of a hospital; and</w:t>
            </w:r>
          </w:p>
          <w:p w14:paraId="42651714" w14:textId="77777777" w:rsidR="009214A2" w:rsidRPr="00EB7681" w:rsidRDefault="009214A2" w:rsidP="002A62BE">
            <w:pPr>
              <w:pStyle w:val="TableText0"/>
              <w:keepNext w:val="0"/>
              <w:numPr>
                <w:ilvl w:val="0"/>
                <w:numId w:val="27"/>
              </w:numPr>
              <w:rPr>
                <w:rFonts w:cs="Arial"/>
                <w:szCs w:val="20"/>
                <w:lang w:eastAsia="en-AU"/>
              </w:rPr>
            </w:pPr>
            <w:r w:rsidRPr="00EB7681">
              <w:rPr>
                <w:rFonts w:cs="Arial"/>
                <w:szCs w:val="20"/>
                <w:lang w:eastAsia="en-AU"/>
              </w:rPr>
              <w:t>The service is provided to a person involving the personal attendance by an eligible physiotherapist or exercise physiologist and</w:t>
            </w:r>
          </w:p>
          <w:p w14:paraId="3B333E98" w14:textId="77777777" w:rsidR="009214A2" w:rsidRPr="00EB7681" w:rsidRDefault="009214A2" w:rsidP="002A62BE">
            <w:pPr>
              <w:pStyle w:val="TableText0"/>
              <w:keepNext w:val="0"/>
              <w:numPr>
                <w:ilvl w:val="0"/>
                <w:numId w:val="27"/>
              </w:numPr>
              <w:rPr>
                <w:rFonts w:cs="Arial"/>
                <w:szCs w:val="20"/>
                <w:lang w:eastAsia="en-AU"/>
              </w:rPr>
            </w:pPr>
            <w:r w:rsidRPr="00EB7681">
              <w:rPr>
                <w:rFonts w:cs="Arial"/>
                <w:szCs w:val="20"/>
                <w:lang w:eastAsia="en-AU"/>
              </w:rPr>
              <w:t>The service is of at least 60 minutes duration; and</w:t>
            </w:r>
          </w:p>
          <w:p w14:paraId="37F52F60" w14:textId="77777777" w:rsidR="009214A2" w:rsidRPr="00EB7681" w:rsidRDefault="009214A2" w:rsidP="002A62BE">
            <w:pPr>
              <w:pStyle w:val="TableText0"/>
              <w:keepNext w:val="0"/>
              <w:numPr>
                <w:ilvl w:val="0"/>
                <w:numId w:val="27"/>
              </w:numPr>
              <w:rPr>
                <w:rFonts w:cs="Arial"/>
                <w:szCs w:val="20"/>
                <w:lang w:eastAsia="en-AU"/>
              </w:rPr>
            </w:pPr>
            <w:r w:rsidRPr="00EB7681">
              <w:rPr>
                <w:rFonts w:cs="Arial"/>
                <w:szCs w:val="20"/>
                <w:lang w:eastAsia="en-AU"/>
              </w:rPr>
              <w:t>After the last service in the group services program provided to the person under item [ ] , the eligible physiotherapist or exercise physiologist, prepares, or contributes to, a written report to be provided to the referring medical practitioner; and</w:t>
            </w:r>
          </w:p>
          <w:p w14:paraId="54274DC4" w14:textId="77777777" w:rsidR="009214A2" w:rsidRPr="00EB7681" w:rsidRDefault="009214A2" w:rsidP="002A62BE">
            <w:pPr>
              <w:pStyle w:val="TableText0"/>
              <w:keepNext w:val="0"/>
              <w:numPr>
                <w:ilvl w:val="0"/>
                <w:numId w:val="27"/>
              </w:numPr>
              <w:rPr>
                <w:rFonts w:cs="Arial"/>
                <w:szCs w:val="20"/>
                <w:lang w:eastAsia="en-AU"/>
              </w:rPr>
            </w:pPr>
            <w:r w:rsidRPr="00EB7681">
              <w:rPr>
                <w:rFonts w:cs="Arial"/>
                <w:szCs w:val="20"/>
                <w:lang w:eastAsia="en-AU"/>
              </w:rPr>
              <w:t>An attendance record for the group is maintained by the eligible physiotherapist or exercise physiologist; and</w:t>
            </w:r>
          </w:p>
          <w:p w14:paraId="02DF3485" w14:textId="77777777" w:rsidR="009214A2" w:rsidRPr="00EB7681" w:rsidRDefault="009214A2" w:rsidP="002A62BE">
            <w:pPr>
              <w:pStyle w:val="TableText0"/>
              <w:keepNext w:val="0"/>
              <w:numPr>
                <w:ilvl w:val="0"/>
                <w:numId w:val="27"/>
              </w:numPr>
              <w:rPr>
                <w:rFonts w:cs="Arial"/>
                <w:szCs w:val="20"/>
                <w:lang w:eastAsia="en-AU"/>
              </w:rPr>
            </w:pPr>
            <w:r w:rsidRPr="00EB7681">
              <w:rPr>
                <w:rFonts w:cs="Arial"/>
                <w:szCs w:val="20"/>
                <w:lang w:eastAsia="en-AU"/>
              </w:rPr>
              <w:t>In the case of a service in respect of which a private health insurance benefit is payable – the person who incurred the medical expenses in respect of the service has elected to claim the Medicare benefit in respect of the service, and not the private health insurance benefit.</w:t>
            </w:r>
          </w:p>
          <w:p w14:paraId="47EE7D66" w14:textId="77777777" w:rsidR="009214A2" w:rsidRPr="00EB7681" w:rsidRDefault="009214A2" w:rsidP="002A62BE">
            <w:pPr>
              <w:pStyle w:val="Tabletext"/>
              <w:rPr>
                <w:rFonts w:cs="Arial"/>
                <w:szCs w:val="20"/>
              </w:rPr>
            </w:pPr>
            <w:r w:rsidRPr="00EB7681">
              <w:rPr>
                <w:rFonts w:cs="Arial"/>
                <w:szCs w:val="20"/>
              </w:rPr>
              <w:t>- To a maximum of sixteen GROUP SERVICES to be completed within a 10 week period</w:t>
            </w:r>
          </w:p>
          <w:p w14:paraId="234D9CE8" w14:textId="77777777" w:rsidR="009214A2" w:rsidRPr="00EB7681" w:rsidRDefault="009214A2" w:rsidP="002A62BE">
            <w:pPr>
              <w:pStyle w:val="Tabletext"/>
              <w:rPr>
                <w:rFonts w:cs="Arial"/>
                <w:szCs w:val="20"/>
              </w:rPr>
            </w:pPr>
            <w:r w:rsidRPr="00EB7681">
              <w:rPr>
                <w:rFonts w:cs="Arial"/>
                <w:szCs w:val="20"/>
              </w:rPr>
              <w:t>[Item descriptor]</w:t>
            </w:r>
          </w:p>
          <w:p w14:paraId="73893B82" w14:textId="77777777" w:rsidR="009214A2" w:rsidRPr="00EB7681" w:rsidRDefault="009214A2" w:rsidP="002A62BE">
            <w:pPr>
              <w:pStyle w:val="Tabletext"/>
              <w:rPr>
                <w:rFonts w:cs="Arial"/>
                <w:szCs w:val="20"/>
              </w:rPr>
            </w:pPr>
            <w:r w:rsidRPr="00EB7681">
              <w:rPr>
                <w:rFonts w:cs="Arial"/>
                <w:szCs w:val="20"/>
              </w:rPr>
              <w:t>Fee: $25.00: 85%=$21.25</w:t>
            </w:r>
          </w:p>
          <w:p w14:paraId="72BCD226" w14:textId="77777777" w:rsidR="009214A2" w:rsidRPr="00EB7681" w:rsidRDefault="009214A2" w:rsidP="002A62BE">
            <w:pPr>
              <w:pStyle w:val="Tabletext"/>
              <w:rPr>
                <w:rFonts w:cs="Arial"/>
                <w:szCs w:val="20"/>
              </w:rPr>
            </w:pPr>
            <w:r w:rsidRPr="00EB7681">
              <w:rPr>
                <w:rFonts w:cs="Arial"/>
                <w:szCs w:val="20"/>
              </w:rPr>
              <w:t>[Relevant explanatory notes]</w:t>
            </w:r>
          </w:p>
        </w:tc>
      </w:tr>
      <w:tr w:rsidR="009214A2" w:rsidRPr="00EB7681" w14:paraId="3844BC1B" w14:textId="77777777" w:rsidTr="00AE4C08">
        <w:tc>
          <w:tcPr>
            <w:tcW w:w="9049" w:type="dxa"/>
          </w:tcPr>
          <w:p w14:paraId="6232AE9C" w14:textId="77777777" w:rsidR="009214A2" w:rsidRPr="00EB7681" w:rsidRDefault="009214A2" w:rsidP="002A62BE">
            <w:pPr>
              <w:pStyle w:val="Tabletext"/>
              <w:rPr>
                <w:rFonts w:cs="Arial"/>
                <w:szCs w:val="20"/>
              </w:rPr>
            </w:pPr>
            <w:r w:rsidRPr="00EB7681">
              <w:rPr>
                <w:rFonts w:cs="Arial"/>
                <w:szCs w:val="20"/>
              </w:rPr>
              <w:t>MBS [item number]</w:t>
            </w:r>
          </w:p>
          <w:p w14:paraId="4D6187D0" w14:textId="77777777" w:rsidR="009214A2" w:rsidRPr="00EB7681" w:rsidRDefault="009214A2" w:rsidP="002A62BE">
            <w:pPr>
              <w:pStyle w:val="Tabletext"/>
              <w:rPr>
                <w:rFonts w:cs="Arial"/>
                <w:szCs w:val="20"/>
              </w:rPr>
            </w:pPr>
            <w:r w:rsidRPr="00EB7681">
              <w:rPr>
                <w:rFonts w:cs="Arial"/>
                <w:szCs w:val="20"/>
              </w:rPr>
              <w:t>PULMONARY REHABILITATION SERVICE – INDIVIDUAL ASSESSMENT POST GROUP SERVICES</w:t>
            </w:r>
          </w:p>
          <w:p w14:paraId="31A41B0B" w14:textId="77777777" w:rsidR="009214A2" w:rsidRPr="00EB7681" w:rsidRDefault="009214A2" w:rsidP="002A62BE">
            <w:pPr>
              <w:pStyle w:val="Tabletext"/>
              <w:rPr>
                <w:rFonts w:cs="Arial"/>
                <w:szCs w:val="20"/>
              </w:rPr>
            </w:pPr>
            <w:r w:rsidRPr="00EB7681">
              <w:rPr>
                <w:rFonts w:cs="Arial"/>
                <w:szCs w:val="20"/>
              </w:rPr>
              <w:t>Pulmonary rehabilitation health service provided to a person by an eligible physiotherapist or exercise physiologist, for the</w:t>
            </w:r>
          </w:p>
          <w:p w14:paraId="7FAE3EB9" w14:textId="77777777" w:rsidR="009214A2" w:rsidRPr="00EB7681" w:rsidRDefault="009214A2" w:rsidP="002A62BE">
            <w:pPr>
              <w:pStyle w:val="Tabletext"/>
              <w:rPr>
                <w:rFonts w:cs="Arial"/>
                <w:szCs w:val="20"/>
              </w:rPr>
            </w:pPr>
            <w:r w:rsidRPr="00EB7681">
              <w:rPr>
                <w:rFonts w:cs="Arial"/>
                <w:szCs w:val="20"/>
              </w:rPr>
              <w:t>purposes of ASSESSING a person’s POST pulmonary rehabilitation group service respiratory status, including taking a</w:t>
            </w:r>
          </w:p>
          <w:p w14:paraId="5AA93538" w14:textId="77777777" w:rsidR="009214A2" w:rsidRPr="00EB7681" w:rsidRDefault="009214A2" w:rsidP="002A62BE">
            <w:pPr>
              <w:pStyle w:val="Tabletext"/>
              <w:rPr>
                <w:rFonts w:cs="Arial"/>
                <w:szCs w:val="20"/>
              </w:rPr>
            </w:pPr>
            <w:r w:rsidRPr="00EB7681">
              <w:rPr>
                <w:rFonts w:cs="Arial"/>
                <w:szCs w:val="20"/>
              </w:rPr>
              <w:t>medical history, testing of functional exercise capacity (six-minute walk test), assessment of health status (quality of life</w:t>
            </w:r>
          </w:p>
          <w:p w14:paraId="286B827B" w14:textId="77777777" w:rsidR="009214A2" w:rsidRPr="00EB7681" w:rsidRDefault="009214A2" w:rsidP="002A62BE">
            <w:pPr>
              <w:pStyle w:val="Tabletext"/>
              <w:rPr>
                <w:rFonts w:cs="Arial"/>
                <w:szCs w:val="20"/>
              </w:rPr>
            </w:pPr>
            <w:r w:rsidRPr="00EB7681">
              <w:rPr>
                <w:rFonts w:cs="Arial"/>
                <w:szCs w:val="20"/>
              </w:rPr>
              <w:t>questionnaires) and a psychosocial assessment questionnaire, if:</w:t>
            </w:r>
          </w:p>
          <w:p w14:paraId="3F797A0E" w14:textId="5F0C424A" w:rsidR="009214A2" w:rsidRPr="00EB7681" w:rsidRDefault="009214A2" w:rsidP="002A62BE">
            <w:pPr>
              <w:pStyle w:val="TableText0"/>
              <w:keepNext w:val="0"/>
              <w:numPr>
                <w:ilvl w:val="0"/>
                <w:numId w:val="29"/>
              </w:numPr>
              <w:rPr>
                <w:rFonts w:cs="Arial"/>
                <w:szCs w:val="20"/>
                <w:lang w:eastAsia="en-AU"/>
              </w:rPr>
            </w:pPr>
            <w:r w:rsidRPr="00EB7681">
              <w:rPr>
                <w:rFonts w:cs="Arial"/>
                <w:szCs w:val="20"/>
                <w:lang w:eastAsia="en-AU"/>
              </w:rPr>
              <w:t>The service is provided to a person diagnosed with COPD, chronic irreversible asthma, bronchiectasis</w:t>
            </w:r>
            <w:r w:rsidR="004B75F0">
              <w:rPr>
                <w:rFonts w:cs="Arial"/>
                <w:szCs w:val="20"/>
                <w:lang w:eastAsia="en-AU"/>
              </w:rPr>
              <w:t xml:space="preserve"> or</w:t>
            </w:r>
            <w:r w:rsidRPr="00EB7681">
              <w:rPr>
                <w:rFonts w:cs="Arial"/>
                <w:szCs w:val="20"/>
                <w:lang w:eastAsia="en-AU"/>
              </w:rPr>
              <w:t xml:space="preserve"> interstitial lung disease </w:t>
            </w:r>
          </w:p>
          <w:p w14:paraId="324C4EF7" w14:textId="77777777" w:rsidR="009214A2" w:rsidRPr="00EB7681" w:rsidRDefault="009214A2" w:rsidP="002A62BE">
            <w:pPr>
              <w:pStyle w:val="TableText0"/>
              <w:keepNext w:val="0"/>
              <w:numPr>
                <w:ilvl w:val="0"/>
                <w:numId w:val="29"/>
              </w:numPr>
              <w:rPr>
                <w:rFonts w:cs="Arial"/>
                <w:szCs w:val="20"/>
                <w:lang w:eastAsia="en-AU"/>
              </w:rPr>
            </w:pPr>
            <w:r w:rsidRPr="00EB7681">
              <w:rPr>
                <w:rFonts w:cs="Arial"/>
                <w:szCs w:val="20"/>
                <w:lang w:eastAsia="en-AU"/>
              </w:rPr>
              <w:t>The person is being managed by a general practitioner, under a GP Management Plan [i.e. item 721 or 732, or if the person is a resident of an aged care facility, their medical practitioner has contributed to a multidisciplinary care plan [i.e. item 731]; OR, the person is being managed by a specialist (respiratory, rehabilitation, general, consultant physician, surgeon)</w:t>
            </w:r>
          </w:p>
          <w:p w14:paraId="347E3871" w14:textId="77777777" w:rsidR="009214A2" w:rsidRPr="00EB7681" w:rsidRDefault="009214A2" w:rsidP="002A62BE">
            <w:pPr>
              <w:pStyle w:val="TableText0"/>
              <w:keepNext w:val="0"/>
              <w:numPr>
                <w:ilvl w:val="0"/>
                <w:numId w:val="29"/>
              </w:numPr>
              <w:rPr>
                <w:rFonts w:cs="Arial"/>
                <w:szCs w:val="20"/>
                <w:lang w:eastAsia="en-AU"/>
              </w:rPr>
            </w:pPr>
            <w:r w:rsidRPr="00EB7681">
              <w:rPr>
                <w:rFonts w:cs="Arial"/>
                <w:szCs w:val="20"/>
                <w:lang w:eastAsia="en-AU"/>
              </w:rPr>
              <w:t>The person WAS referred to an eligible physiotherapist or exercise physiologist by the medical practitioner using a referral form that has been issued by the Department of Health, or a referral form that contains all the components of the form issued by the Department; and</w:t>
            </w:r>
          </w:p>
          <w:p w14:paraId="6948114D" w14:textId="77777777" w:rsidR="009214A2" w:rsidRPr="00EB7681" w:rsidRDefault="009214A2" w:rsidP="002A62BE">
            <w:pPr>
              <w:pStyle w:val="TableText0"/>
              <w:keepNext w:val="0"/>
              <w:numPr>
                <w:ilvl w:val="0"/>
                <w:numId w:val="29"/>
              </w:numPr>
              <w:rPr>
                <w:rFonts w:cs="Arial"/>
                <w:szCs w:val="20"/>
                <w:lang w:eastAsia="en-AU"/>
              </w:rPr>
            </w:pPr>
            <w:r w:rsidRPr="00EB7681">
              <w:rPr>
                <w:rFonts w:cs="Arial"/>
                <w:szCs w:val="20"/>
                <w:lang w:eastAsia="en-AU"/>
              </w:rPr>
              <w:t>The eligible physiotherapist or exercise physiologist provided PULMONARY REHABILITATION group service under item [ item number for PR group service ]; and</w:t>
            </w:r>
          </w:p>
          <w:p w14:paraId="0CCCB767" w14:textId="77777777" w:rsidR="009214A2" w:rsidRPr="00EB7681" w:rsidRDefault="009214A2" w:rsidP="002A62BE">
            <w:pPr>
              <w:pStyle w:val="TableText0"/>
              <w:keepNext w:val="0"/>
              <w:numPr>
                <w:ilvl w:val="0"/>
                <w:numId w:val="29"/>
              </w:numPr>
              <w:rPr>
                <w:rFonts w:cs="Arial"/>
                <w:szCs w:val="20"/>
                <w:lang w:eastAsia="en-AU"/>
              </w:rPr>
            </w:pPr>
            <w:r w:rsidRPr="00EB7681">
              <w:rPr>
                <w:rFonts w:cs="Arial"/>
                <w:szCs w:val="20"/>
                <w:lang w:eastAsia="en-AU"/>
              </w:rPr>
              <w:t>The service is provided to the person individually and in person; and</w:t>
            </w:r>
          </w:p>
          <w:p w14:paraId="24A4AAA2" w14:textId="77777777" w:rsidR="009214A2" w:rsidRPr="00EB7681" w:rsidRDefault="009214A2" w:rsidP="002A62BE">
            <w:pPr>
              <w:pStyle w:val="TableText0"/>
              <w:keepNext w:val="0"/>
              <w:numPr>
                <w:ilvl w:val="0"/>
                <w:numId w:val="29"/>
              </w:numPr>
              <w:rPr>
                <w:rFonts w:cs="Arial"/>
                <w:szCs w:val="20"/>
                <w:lang w:eastAsia="en-AU"/>
              </w:rPr>
            </w:pPr>
            <w:r w:rsidRPr="00EB7681">
              <w:rPr>
                <w:rFonts w:cs="Arial"/>
                <w:szCs w:val="20"/>
                <w:lang w:eastAsia="en-AU"/>
              </w:rPr>
              <w:t>The service is of at least 45 minutes duration; and</w:t>
            </w:r>
          </w:p>
          <w:p w14:paraId="5C32D5E0" w14:textId="77777777" w:rsidR="009214A2" w:rsidRPr="00EB7681" w:rsidRDefault="009214A2" w:rsidP="002A62BE">
            <w:pPr>
              <w:pStyle w:val="TableText0"/>
              <w:keepNext w:val="0"/>
              <w:numPr>
                <w:ilvl w:val="0"/>
                <w:numId w:val="29"/>
              </w:numPr>
              <w:rPr>
                <w:rFonts w:cs="Arial"/>
                <w:szCs w:val="20"/>
                <w:lang w:eastAsia="en-AU"/>
              </w:rPr>
            </w:pPr>
            <w:r w:rsidRPr="00EB7681">
              <w:rPr>
                <w:rFonts w:cs="Arial"/>
                <w:szCs w:val="20"/>
                <w:lang w:eastAsia="en-AU"/>
              </w:rPr>
              <w:t>After the service, the eligible physiotherapist or exercise physiologist gives a written report to the referring medical practitioner mentioned in paragraph (b); and</w:t>
            </w:r>
          </w:p>
          <w:p w14:paraId="2543E817" w14:textId="77777777" w:rsidR="009214A2" w:rsidRPr="00EB7681" w:rsidRDefault="009214A2" w:rsidP="002A62BE">
            <w:pPr>
              <w:pStyle w:val="TableText0"/>
              <w:keepNext w:val="0"/>
              <w:numPr>
                <w:ilvl w:val="0"/>
                <w:numId w:val="29"/>
              </w:numPr>
              <w:rPr>
                <w:rFonts w:cs="Arial"/>
                <w:szCs w:val="20"/>
                <w:lang w:eastAsia="en-AU"/>
              </w:rPr>
            </w:pPr>
            <w:r w:rsidRPr="00EB7681">
              <w:rPr>
                <w:rFonts w:cs="Arial"/>
                <w:szCs w:val="20"/>
                <w:lang w:eastAsia="en-AU"/>
              </w:rPr>
              <w:t>In the case of a service in respect of which a private health insurance benefit is payable – the person who incurred the medical expenses in respect of the service has elected to claim the Medicare benefit in respect of the service, and not the private health insurance benefit.</w:t>
            </w:r>
          </w:p>
          <w:p w14:paraId="392B7B8B" w14:textId="77777777" w:rsidR="009214A2" w:rsidRPr="00EB7681" w:rsidRDefault="009214A2" w:rsidP="002A62BE">
            <w:pPr>
              <w:pStyle w:val="Tabletext"/>
              <w:rPr>
                <w:rFonts w:cs="Arial"/>
                <w:szCs w:val="20"/>
              </w:rPr>
            </w:pPr>
            <w:r w:rsidRPr="00EB7681">
              <w:rPr>
                <w:rFonts w:cs="Arial"/>
                <w:szCs w:val="20"/>
              </w:rPr>
              <w:t>Fee: $65.00 Benefit: 85% = $55.25</w:t>
            </w:r>
          </w:p>
          <w:p w14:paraId="542F5E62" w14:textId="77777777" w:rsidR="009214A2" w:rsidRPr="00EB7681" w:rsidRDefault="009214A2" w:rsidP="002A62BE">
            <w:pPr>
              <w:pStyle w:val="Tabletext"/>
              <w:rPr>
                <w:rFonts w:cs="Arial"/>
                <w:szCs w:val="20"/>
              </w:rPr>
            </w:pPr>
            <w:r w:rsidRPr="00EB7681">
              <w:rPr>
                <w:rFonts w:cs="Arial"/>
                <w:szCs w:val="20"/>
              </w:rPr>
              <w:t>[Relevant explanatory notes]</w:t>
            </w:r>
          </w:p>
        </w:tc>
      </w:tr>
    </w:tbl>
    <w:p w14:paraId="3FF11DDE" w14:textId="77777777" w:rsidR="00BC1364" w:rsidRPr="00F715D1" w:rsidRDefault="00BC1364" w:rsidP="00F715D1">
      <w:pPr>
        <w:pStyle w:val="Heading1"/>
      </w:pPr>
      <w:r w:rsidRPr="00F715D1">
        <w:lastRenderedPageBreak/>
        <w:t xml:space="preserve">Summary of </w:t>
      </w:r>
      <w:r w:rsidR="003D7F29" w:rsidRPr="00F715D1">
        <w:t>Public Consultation</w:t>
      </w:r>
      <w:r w:rsidRPr="00F715D1">
        <w:t xml:space="preserve"> Feedback</w:t>
      </w:r>
      <w:r w:rsidR="003D7F29" w:rsidRPr="00F715D1">
        <w:t>/Consumer Issues</w:t>
      </w:r>
    </w:p>
    <w:p w14:paraId="2013A11F" w14:textId="77777777" w:rsidR="00CF003B" w:rsidRDefault="00482957" w:rsidP="00CF003B">
      <w:r>
        <w:t>Sixty</w:t>
      </w:r>
      <w:r w:rsidR="00CF003B" w:rsidRPr="00CF003B">
        <w:t xml:space="preserve"> consumers/care givers submitted feedback </w:t>
      </w:r>
      <w:r w:rsidR="00CF003B">
        <w:t xml:space="preserve">through the public consultation </w:t>
      </w:r>
      <w:r w:rsidR="00CF003B" w:rsidRPr="00CF003B">
        <w:t>process conducted by PASC. The summary of findings did not identify any specific consumer impact issues that would arise from the listing of PR on the MBS; consumer feedback was supportive of the listing to improve access and affordability in the community.</w:t>
      </w:r>
    </w:p>
    <w:p w14:paraId="2C18E314" w14:textId="77777777" w:rsidR="00BC1364" w:rsidRPr="00F715D1" w:rsidRDefault="00BC1364" w:rsidP="00F715D1">
      <w:pPr>
        <w:pStyle w:val="Heading1"/>
      </w:pPr>
      <w:r w:rsidRPr="00F715D1">
        <w:t>Proposed intervention’s place in clinical management</w:t>
      </w:r>
    </w:p>
    <w:p w14:paraId="51CC2E50" w14:textId="77777777" w:rsidR="00C75FA7" w:rsidRDefault="00C75FA7" w:rsidP="00F715D1">
      <w:pPr>
        <w:spacing w:after="240"/>
      </w:pPr>
      <w:r w:rsidRPr="00C75FA7">
        <w:t>The proposed intervention is a PR program provided to eligible patients in a group setting</w:t>
      </w:r>
      <w:r>
        <w:t>, in the community</w:t>
      </w:r>
      <w:r w:rsidRPr="00C75FA7">
        <w:t xml:space="preserve">.  The intervention </w:t>
      </w:r>
      <w:proofErr w:type="gramStart"/>
      <w:r w:rsidRPr="00C75FA7">
        <w:t>is expected to be provided</w:t>
      </w:r>
      <w:proofErr w:type="gramEnd"/>
      <w:r w:rsidRPr="00C75FA7">
        <w:t xml:space="preserve"> in addition to other treatment options for their </w:t>
      </w:r>
      <w:r>
        <w:t>CLD</w:t>
      </w:r>
      <w:r w:rsidRPr="00C75FA7">
        <w:t>.</w:t>
      </w:r>
    </w:p>
    <w:p w14:paraId="211987CF" w14:textId="77777777" w:rsidR="00906A2F" w:rsidRDefault="00906A2F" w:rsidP="00F715D1">
      <w:pPr>
        <w:spacing w:after="240"/>
      </w:pPr>
      <w:r w:rsidRPr="00906A2F">
        <w:t xml:space="preserve">PR </w:t>
      </w:r>
      <w:proofErr w:type="gramStart"/>
      <w:r w:rsidRPr="00906A2F">
        <w:t>may be initiated</w:t>
      </w:r>
      <w:proofErr w:type="gramEnd"/>
      <w:r w:rsidRPr="00906A2F">
        <w:t xml:space="preserve"> at any stage of the disease, during periods of clinical stability or directly after an exacerbation and is part of an integrated care model</w:t>
      </w:r>
      <w:r w:rsidR="00482FC5">
        <w:t xml:space="preserve"> (</w:t>
      </w:r>
      <w:r w:rsidR="00482FC5" w:rsidRPr="00482FC5">
        <w:fldChar w:fldCharType="begin"/>
      </w:r>
      <w:r w:rsidR="00482FC5" w:rsidRPr="00482FC5">
        <w:instrText xml:space="preserve"> REF _Ref530994856 \h </w:instrText>
      </w:r>
      <w:r w:rsidR="00482FC5">
        <w:instrText xml:space="preserve"> \* MERGEFORMAT </w:instrText>
      </w:r>
      <w:r w:rsidR="00482FC5" w:rsidRPr="00482FC5">
        <w:fldChar w:fldCharType="separate"/>
      </w:r>
      <w:r w:rsidR="00482FC5" w:rsidRPr="00482FC5">
        <w:t>Figure 1</w:t>
      </w:r>
      <w:r w:rsidR="00482FC5" w:rsidRPr="00482FC5">
        <w:fldChar w:fldCharType="end"/>
      </w:r>
      <w:r w:rsidR="00482FC5">
        <w:t>)</w:t>
      </w:r>
      <w:r w:rsidRPr="00482FC5">
        <w:t>.</w:t>
      </w:r>
    </w:p>
    <w:p w14:paraId="088F98AF" w14:textId="0E19CC08" w:rsidR="00A10D97" w:rsidRPr="007568DC" w:rsidRDefault="00A10D97" w:rsidP="007568DC">
      <w:pPr>
        <w:keepNext/>
        <w:spacing w:before="240" w:after="240"/>
        <w:rPr>
          <w:rFonts w:ascii="Arial Narrow" w:hAnsi="Arial Narrow"/>
          <w:b/>
          <w:sz w:val="20"/>
        </w:rPr>
      </w:pPr>
      <w:r>
        <w:rPr>
          <w:noProof/>
        </w:rPr>
        <w:drawing>
          <wp:inline distT="0" distB="0" distL="0" distR="0" wp14:anchorId="7D645CD4" wp14:editId="0E4A35DE">
            <wp:extent cx="5731510" cy="1827179"/>
            <wp:effectExtent l="0" t="0" r="2540" b="1905"/>
            <wp:docPr id="3" name="Picture 3" descr="Summary of pathways for proposed clinical management algorithm (relative to usual care)" title="Clinical management algorithm for pulmonary rehabilitation (PR) relative to usu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827179"/>
                    </a:xfrm>
                    <a:prstGeom prst="rect">
                      <a:avLst/>
                    </a:prstGeom>
                    <a:noFill/>
                    <a:ln>
                      <a:noFill/>
                    </a:ln>
                  </pic:spPr>
                </pic:pic>
              </a:graphicData>
            </a:graphic>
          </wp:inline>
        </w:drawing>
      </w:r>
      <w:bookmarkStart w:id="0" w:name="_Ref530994856"/>
      <w:r w:rsidRPr="007568DC">
        <w:rPr>
          <w:rFonts w:ascii="Arial Narrow" w:hAnsi="Arial Narrow"/>
          <w:b/>
          <w:sz w:val="20"/>
        </w:rPr>
        <w:t xml:space="preserve">Figure </w:t>
      </w:r>
      <w:r w:rsidRPr="007568DC">
        <w:rPr>
          <w:rFonts w:ascii="Arial Narrow" w:hAnsi="Arial Narrow"/>
          <w:b/>
          <w:sz w:val="20"/>
        </w:rPr>
        <w:fldChar w:fldCharType="begin"/>
      </w:r>
      <w:r w:rsidRPr="007568DC">
        <w:rPr>
          <w:rFonts w:ascii="Arial Narrow" w:hAnsi="Arial Narrow"/>
          <w:b/>
          <w:sz w:val="20"/>
        </w:rPr>
        <w:instrText xml:space="preserve"> SEQ Figure \* ARABIC </w:instrText>
      </w:r>
      <w:r w:rsidRPr="007568DC">
        <w:rPr>
          <w:rFonts w:ascii="Arial Narrow" w:hAnsi="Arial Narrow"/>
          <w:b/>
          <w:sz w:val="20"/>
        </w:rPr>
        <w:fldChar w:fldCharType="separate"/>
      </w:r>
      <w:r w:rsidRPr="007568DC">
        <w:rPr>
          <w:rFonts w:ascii="Arial Narrow" w:hAnsi="Arial Narrow"/>
          <w:b/>
          <w:noProof/>
          <w:sz w:val="20"/>
        </w:rPr>
        <w:t>1</w:t>
      </w:r>
      <w:r w:rsidRPr="007568DC">
        <w:rPr>
          <w:rFonts w:ascii="Arial Narrow" w:hAnsi="Arial Narrow"/>
          <w:b/>
          <w:sz w:val="20"/>
        </w:rPr>
        <w:fldChar w:fldCharType="end"/>
      </w:r>
      <w:bookmarkEnd w:id="0"/>
      <w:r w:rsidRPr="007568DC">
        <w:rPr>
          <w:rFonts w:ascii="Arial Narrow" w:hAnsi="Arial Narrow"/>
          <w:b/>
          <w:sz w:val="20"/>
        </w:rPr>
        <w:t xml:space="preserve"> Clinical management algorithm for pulmonary rehabilitation (PR) relative to usual care</w:t>
      </w:r>
    </w:p>
    <w:p w14:paraId="638AF311" w14:textId="6AA2663F" w:rsidR="002F77E1" w:rsidRDefault="00482FC5" w:rsidP="007568DC">
      <w:pPr>
        <w:spacing w:after="240"/>
      </w:pPr>
      <w:r>
        <w:t xml:space="preserve">The intervention </w:t>
      </w:r>
      <w:proofErr w:type="gramStart"/>
      <w:r>
        <w:t>is proposed to be provided</w:t>
      </w:r>
      <w:proofErr w:type="gramEnd"/>
      <w:r>
        <w:t xml:space="preserve"> in community settings, in groups, to address unmet demand for PR and in locations where some of the barriers to accessing PR can be reduced such as minimising travel and improving physical access. It is proposed that the format of the PR program is a one-hour program, delivered in groups of eight, twice a week over 8 weeks (i.e. 16 sessions), repeated every 2 years.</w:t>
      </w:r>
    </w:p>
    <w:p w14:paraId="649BAF1C" w14:textId="488EB76E" w:rsidR="00757065" w:rsidRDefault="00F705D1" w:rsidP="002F77E1">
      <w:r w:rsidRPr="008D5659">
        <w:t xml:space="preserve">In the case of the proposed program, to be able to deliver this intervention the eligible health professionals will require credentialing and will need to </w:t>
      </w:r>
      <w:proofErr w:type="gramStart"/>
      <w:r w:rsidRPr="008D5659">
        <w:t>be registered</w:t>
      </w:r>
      <w:proofErr w:type="gramEnd"/>
      <w:r w:rsidRPr="008D5659">
        <w:t xml:space="preserve"> as either a physiotherapist accredited by the Australian Health Practitioner Regulation Agency (AHPRA) or an Exercise and Sports Science Australia (ESSA) accredited exercise physiologist. In addition, physiotherapists or exercise physiologist</w:t>
      </w:r>
      <w:r w:rsidR="002265D7">
        <w:t>s</w:t>
      </w:r>
      <w:r w:rsidRPr="008D5659">
        <w:t xml:space="preserve"> accredited to provide PR programs will require mandatory facility accreditation to provide these programs in a community setting.</w:t>
      </w:r>
    </w:p>
    <w:p w14:paraId="4399C081" w14:textId="77777777" w:rsidR="00BC1364" w:rsidRPr="00F715D1" w:rsidRDefault="00BC1364" w:rsidP="00F715D1">
      <w:pPr>
        <w:pStyle w:val="Heading1"/>
      </w:pPr>
      <w:r w:rsidRPr="00F715D1">
        <w:t xml:space="preserve">Comparator </w:t>
      </w:r>
    </w:p>
    <w:p w14:paraId="1307825C" w14:textId="6D330349" w:rsidR="00906A2F" w:rsidRDefault="00CF003B" w:rsidP="00CF003B">
      <w:r>
        <w:t>The resubmission nominated best care</w:t>
      </w:r>
      <w:r w:rsidR="00057034">
        <w:t xml:space="preserve"> (i.e. usual care)</w:t>
      </w:r>
      <w:r>
        <w:t xml:space="preserve"> delivered by a general practitioner (GP)/specialist without </w:t>
      </w:r>
      <w:r w:rsidR="00393A3F">
        <w:t xml:space="preserve">PR program as the main comparator. </w:t>
      </w:r>
    </w:p>
    <w:p w14:paraId="5C716316" w14:textId="77777777" w:rsidR="00BC1364" w:rsidRPr="00F715D1" w:rsidRDefault="00BC1364" w:rsidP="00F715D1">
      <w:pPr>
        <w:pStyle w:val="Heading1"/>
      </w:pPr>
      <w:r w:rsidRPr="00F715D1">
        <w:t>Comparative safety</w:t>
      </w:r>
    </w:p>
    <w:p w14:paraId="00D08496" w14:textId="52C02737" w:rsidR="0024181D" w:rsidRDefault="0024181D" w:rsidP="00480EA7">
      <w:pPr>
        <w:spacing w:after="240"/>
      </w:pPr>
      <w:r w:rsidRPr="0024181D">
        <w:t>The resubmission included</w:t>
      </w:r>
      <w:r w:rsidR="00ED6AAD">
        <w:t xml:space="preserve"> 15 additional studies assessing the effectiveness of PR in people with COPD (n=12), and ILD (n=3). </w:t>
      </w:r>
      <w:r w:rsidRPr="0024181D">
        <w:t>No additional studies were available for bronchiectasis.</w:t>
      </w:r>
    </w:p>
    <w:p w14:paraId="3F128CF1" w14:textId="76F6099A" w:rsidR="00D301E5" w:rsidRDefault="0024181D" w:rsidP="0024181D">
      <w:r>
        <w:t xml:space="preserve">The resubmission stated that there was </w:t>
      </w:r>
      <w:r w:rsidRPr="0024181D">
        <w:t xml:space="preserve">limited evidence available to determine the safety of PR compared </w:t>
      </w:r>
      <w:r w:rsidRPr="00057034">
        <w:t>with usual care.</w:t>
      </w:r>
      <w:r w:rsidR="00F705D1">
        <w:t xml:space="preserve"> </w:t>
      </w:r>
      <w:r w:rsidR="00D301E5" w:rsidRPr="00D301E5">
        <w:t xml:space="preserve">However, given the nature of the intervention, it </w:t>
      </w:r>
      <w:proofErr w:type="gramStart"/>
      <w:r w:rsidR="00D301E5" w:rsidRPr="00D301E5">
        <w:t>is expected</w:t>
      </w:r>
      <w:proofErr w:type="gramEnd"/>
      <w:r w:rsidR="00D301E5" w:rsidRPr="00D301E5">
        <w:t xml:space="preserve"> </w:t>
      </w:r>
      <w:r w:rsidR="00D301E5" w:rsidRPr="00D301E5">
        <w:lastRenderedPageBreak/>
        <w:t xml:space="preserve">that risk of harm is low, and it is recognised that delivery of the </w:t>
      </w:r>
      <w:r w:rsidR="00D301E5">
        <w:t xml:space="preserve">PR </w:t>
      </w:r>
      <w:r w:rsidR="00D301E5" w:rsidRPr="00D301E5">
        <w:t>program should be by accredited and clinically competent practitioners with the required skills and knowledge to maintain patient safety</w:t>
      </w:r>
      <w:r w:rsidR="00D301E5">
        <w:t xml:space="preserve">. </w:t>
      </w:r>
    </w:p>
    <w:p w14:paraId="45B5D51D" w14:textId="77777777" w:rsidR="00BC1364" w:rsidRPr="00F715D1" w:rsidRDefault="00BC1364" w:rsidP="00F715D1">
      <w:pPr>
        <w:pStyle w:val="Heading1"/>
      </w:pPr>
      <w:r w:rsidRPr="00F715D1">
        <w:t>Comparative effectiveness</w:t>
      </w:r>
    </w:p>
    <w:p w14:paraId="6297DDDF" w14:textId="5CC75A97" w:rsidR="00975230" w:rsidRPr="00FF5712" w:rsidRDefault="001622C9" w:rsidP="00480EA7">
      <w:pPr>
        <w:spacing w:after="240"/>
      </w:pPr>
      <w:r w:rsidRPr="001622C9">
        <w:fldChar w:fldCharType="begin"/>
      </w:r>
      <w:r w:rsidRPr="001622C9">
        <w:instrText xml:space="preserve"> REF _Ref529263477 \h </w:instrText>
      </w:r>
      <w:r>
        <w:instrText xml:space="preserve"> \* MERGEFORMAT </w:instrText>
      </w:r>
      <w:r w:rsidRPr="001622C9">
        <w:fldChar w:fldCharType="separate"/>
      </w:r>
      <w:r w:rsidRPr="001622C9">
        <w:t>Table 2</w:t>
      </w:r>
      <w:r w:rsidRPr="001622C9">
        <w:fldChar w:fldCharType="end"/>
      </w:r>
      <w:r>
        <w:t xml:space="preserve"> </w:t>
      </w:r>
      <w:r w:rsidR="00975230" w:rsidRPr="00975230">
        <w:t xml:space="preserve">outlines the primary measures used, and the corresponding minimal clinically important difference (MCID). The tools used to measure these outcomes </w:t>
      </w:r>
      <w:proofErr w:type="gramStart"/>
      <w:r w:rsidR="00975230" w:rsidRPr="00975230">
        <w:t>have all been validated</w:t>
      </w:r>
      <w:proofErr w:type="gramEnd"/>
      <w:r w:rsidR="00975230" w:rsidRPr="00975230">
        <w:t xml:space="preserve"> in the relevant patient cohorts.</w:t>
      </w:r>
    </w:p>
    <w:p w14:paraId="7727B137" w14:textId="77777777" w:rsidR="001622C9" w:rsidRPr="001622C9" w:rsidRDefault="001622C9" w:rsidP="001622C9">
      <w:pPr>
        <w:pStyle w:val="Caption"/>
        <w:ind w:left="1440" w:hanging="1440"/>
        <w:rPr>
          <w:rFonts w:ascii="Arial Narrow" w:hAnsi="Arial Narrow"/>
          <w:color w:val="auto"/>
          <w:sz w:val="20"/>
          <w:szCs w:val="20"/>
        </w:rPr>
      </w:pPr>
      <w:bookmarkStart w:id="1" w:name="_Ref529263477"/>
      <w:r w:rsidRPr="001622C9">
        <w:rPr>
          <w:rFonts w:ascii="Arial Narrow" w:hAnsi="Arial Narrow"/>
          <w:color w:val="auto"/>
          <w:sz w:val="20"/>
          <w:szCs w:val="20"/>
        </w:rPr>
        <w:t xml:space="preserve">Table </w:t>
      </w:r>
      <w:r w:rsidRPr="001622C9">
        <w:rPr>
          <w:rFonts w:ascii="Arial Narrow" w:hAnsi="Arial Narrow"/>
          <w:color w:val="auto"/>
          <w:sz w:val="20"/>
          <w:szCs w:val="20"/>
        </w:rPr>
        <w:fldChar w:fldCharType="begin"/>
      </w:r>
      <w:r w:rsidRPr="001622C9">
        <w:rPr>
          <w:rFonts w:ascii="Arial Narrow" w:hAnsi="Arial Narrow"/>
          <w:color w:val="auto"/>
          <w:sz w:val="20"/>
          <w:szCs w:val="20"/>
        </w:rPr>
        <w:instrText xml:space="preserve"> SEQ Table \* ARABIC </w:instrText>
      </w:r>
      <w:r w:rsidRPr="001622C9">
        <w:rPr>
          <w:rFonts w:ascii="Arial Narrow" w:hAnsi="Arial Narrow"/>
          <w:color w:val="auto"/>
          <w:sz w:val="20"/>
          <w:szCs w:val="20"/>
        </w:rPr>
        <w:fldChar w:fldCharType="separate"/>
      </w:r>
      <w:r w:rsidR="00EC58AB">
        <w:rPr>
          <w:rFonts w:ascii="Arial Narrow" w:hAnsi="Arial Narrow"/>
          <w:noProof/>
          <w:color w:val="auto"/>
          <w:sz w:val="20"/>
          <w:szCs w:val="20"/>
        </w:rPr>
        <w:t>2</w:t>
      </w:r>
      <w:r w:rsidRPr="001622C9">
        <w:rPr>
          <w:rFonts w:ascii="Arial Narrow" w:hAnsi="Arial Narrow"/>
          <w:color w:val="auto"/>
          <w:sz w:val="20"/>
          <w:szCs w:val="20"/>
        </w:rPr>
        <w:fldChar w:fldCharType="end"/>
      </w:r>
      <w:bookmarkEnd w:id="1"/>
      <w:r w:rsidRPr="001622C9">
        <w:rPr>
          <w:rFonts w:ascii="Arial Narrow" w:hAnsi="Arial Narrow"/>
          <w:color w:val="auto"/>
          <w:sz w:val="20"/>
          <w:szCs w:val="20"/>
        </w:rPr>
        <w:t xml:space="preserve"> </w:t>
      </w:r>
      <w:r w:rsidRPr="001622C9">
        <w:rPr>
          <w:rFonts w:ascii="Arial Narrow" w:hAnsi="Arial Narrow"/>
          <w:snapToGrid w:val="0"/>
          <w:color w:val="auto"/>
          <w:sz w:val="20"/>
          <w:szCs w:val="20"/>
        </w:rPr>
        <w:t>Outcome measurement tools and corresponding minimal clinically important difference (MCID)</w:t>
      </w:r>
    </w:p>
    <w:tbl>
      <w:tblPr>
        <w:tblStyle w:val="TableA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outlines the outcome measurement tools and corresponding minimal clinically important difference. The outcomes considered are: Quality of life (SGRQ), Quality of life - dyspnoea (CRQ - dyspnoea), Quality of life - fatigue (CRQ - fatigue), Quality of life - depression and anxiety (CRQ - emotional function) and Functional exercise capacity (6MWT). "/>
      </w:tblPr>
      <w:tblGrid>
        <w:gridCol w:w="3008"/>
        <w:gridCol w:w="2774"/>
        <w:gridCol w:w="3234"/>
      </w:tblGrid>
      <w:tr w:rsidR="00CF70FE" w:rsidRPr="00DA3918" w14:paraId="7F0BBD9F" w14:textId="77777777" w:rsidTr="002A62BE">
        <w:trPr>
          <w:cnfStyle w:val="100000000000" w:firstRow="1" w:lastRow="0" w:firstColumn="0" w:lastColumn="0" w:oddVBand="0" w:evenVBand="0" w:oddHBand="0" w:evenHBand="0" w:firstRowFirstColumn="0" w:firstRowLastColumn="0" w:lastRowFirstColumn="0" w:lastRowLastColumn="0"/>
          <w:tblHeader/>
        </w:trPr>
        <w:tc>
          <w:tcPr>
            <w:tcW w:w="30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C678D3" w14:textId="77777777" w:rsidR="00CF70FE" w:rsidRPr="00626199" w:rsidRDefault="00CF70FE" w:rsidP="002A62BE">
            <w:pPr>
              <w:spacing w:after="120"/>
              <w:rPr>
                <w:rFonts w:ascii="Arial Narrow" w:hAnsi="Arial Narrow" w:cs="Arial"/>
                <w:b/>
                <w:sz w:val="20"/>
              </w:rPr>
            </w:pPr>
            <w:r w:rsidRPr="00626199">
              <w:rPr>
                <w:rFonts w:ascii="Arial Narrow" w:hAnsi="Arial Narrow" w:cs="Arial"/>
                <w:b/>
                <w:sz w:val="20"/>
              </w:rPr>
              <w:t>Outcome</w:t>
            </w:r>
          </w:p>
        </w:tc>
        <w:tc>
          <w:tcPr>
            <w:tcW w:w="28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161B96" w14:textId="77777777" w:rsidR="00CF70FE" w:rsidRPr="00626199" w:rsidRDefault="00CF70FE" w:rsidP="002A62BE">
            <w:pPr>
              <w:spacing w:after="120"/>
              <w:rPr>
                <w:rFonts w:ascii="Arial Narrow" w:hAnsi="Arial Narrow" w:cs="Arial"/>
                <w:b/>
                <w:sz w:val="20"/>
              </w:rPr>
            </w:pPr>
            <w:r w:rsidRPr="00626199">
              <w:rPr>
                <w:rFonts w:ascii="Arial Narrow" w:hAnsi="Arial Narrow" w:cs="Arial"/>
                <w:b/>
                <w:sz w:val="20"/>
              </w:rPr>
              <w:t>Measure</w:t>
            </w:r>
          </w:p>
        </w:tc>
        <w:tc>
          <w:tcPr>
            <w:tcW w:w="33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2CF04E" w14:textId="77777777" w:rsidR="00CF70FE" w:rsidRPr="00626199" w:rsidRDefault="00CF70FE" w:rsidP="002A62BE">
            <w:pPr>
              <w:spacing w:after="120"/>
              <w:rPr>
                <w:rFonts w:ascii="Arial Narrow" w:hAnsi="Arial Narrow" w:cs="Arial"/>
                <w:b/>
                <w:sz w:val="20"/>
              </w:rPr>
            </w:pPr>
            <w:r w:rsidRPr="00626199">
              <w:rPr>
                <w:rFonts w:ascii="Arial Narrow" w:hAnsi="Arial Narrow" w:cs="Arial"/>
                <w:b/>
                <w:sz w:val="20"/>
              </w:rPr>
              <w:t>MCID</w:t>
            </w:r>
          </w:p>
        </w:tc>
      </w:tr>
      <w:tr w:rsidR="00CF70FE" w:rsidRPr="00DA3918" w14:paraId="3CB87FCA" w14:textId="77777777" w:rsidTr="002A62BE">
        <w:tc>
          <w:tcPr>
            <w:tcW w:w="3080" w:type="dxa"/>
          </w:tcPr>
          <w:p w14:paraId="0076678A" w14:textId="77777777" w:rsidR="00CF70FE" w:rsidRPr="00626199" w:rsidRDefault="00CF70FE" w:rsidP="002A62BE">
            <w:pPr>
              <w:spacing w:after="120"/>
              <w:rPr>
                <w:rFonts w:ascii="Arial Narrow" w:hAnsi="Arial Narrow" w:cs="Arial"/>
                <w:sz w:val="20"/>
              </w:rPr>
            </w:pPr>
            <w:r w:rsidRPr="00626199">
              <w:rPr>
                <w:rFonts w:ascii="Arial Narrow" w:hAnsi="Arial Narrow" w:cs="Arial"/>
                <w:sz w:val="20"/>
              </w:rPr>
              <w:t>Overall quality of life</w:t>
            </w:r>
          </w:p>
        </w:tc>
        <w:tc>
          <w:tcPr>
            <w:tcW w:w="2840" w:type="dxa"/>
          </w:tcPr>
          <w:p w14:paraId="596EC677" w14:textId="77777777" w:rsidR="00CF70FE" w:rsidRPr="00626199" w:rsidRDefault="00CF70FE" w:rsidP="002A62BE">
            <w:pPr>
              <w:spacing w:after="120"/>
              <w:rPr>
                <w:rFonts w:ascii="Arial Narrow" w:hAnsi="Arial Narrow" w:cs="Arial"/>
                <w:sz w:val="20"/>
              </w:rPr>
            </w:pPr>
            <w:r w:rsidRPr="00626199">
              <w:rPr>
                <w:rFonts w:ascii="Arial Narrow" w:hAnsi="Arial Narrow" w:cs="Arial"/>
                <w:sz w:val="20"/>
              </w:rPr>
              <w:t>SGRQ</w:t>
            </w:r>
          </w:p>
        </w:tc>
        <w:tc>
          <w:tcPr>
            <w:tcW w:w="3322" w:type="dxa"/>
          </w:tcPr>
          <w:p w14:paraId="09C098F4" w14:textId="77777777" w:rsidR="00CF70FE" w:rsidRPr="00626199" w:rsidRDefault="00CF70FE" w:rsidP="002A62BE">
            <w:pPr>
              <w:spacing w:after="120"/>
              <w:rPr>
                <w:rFonts w:ascii="Arial Narrow" w:hAnsi="Arial Narrow" w:cs="Arial"/>
                <w:sz w:val="20"/>
                <w:vertAlign w:val="superscript"/>
              </w:rPr>
            </w:pPr>
            <w:r w:rsidRPr="00626199">
              <w:rPr>
                <w:rFonts w:ascii="Arial Narrow" w:hAnsi="Arial Narrow" w:cs="Arial"/>
                <w:sz w:val="20"/>
              </w:rPr>
              <w:t>4 points (on the 100-point scale)</w:t>
            </w:r>
            <w:r w:rsidRPr="00626199">
              <w:rPr>
                <w:rFonts w:ascii="Arial Narrow" w:hAnsi="Arial Narrow" w:cs="Arial"/>
                <w:sz w:val="20"/>
                <w:vertAlign w:val="superscript"/>
              </w:rPr>
              <w:t>1</w:t>
            </w:r>
          </w:p>
        </w:tc>
      </w:tr>
      <w:tr w:rsidR="00CF70FE" w:rsidRPr="00DA3918" w14:paraId="146AEE47" w14:textId="77777777" w:rsidTr="002A62BE">
        <w:tc>
          <w:tcPr>
            <w:tcW w:w="3080" w:type="dxa"/>
          </w:tcPr>
          <w:p w14:paraId="0D0B363D" w14:textId="77777777" w:rsidR="00CF70FE" w:rsidRPr="00626199" w:rsidRDefault="00CF70FE" w:rsidP="002A62BE">
            <w:pPr>
              <w:spacing w:after="120"/>
              <w:rPr>
                <w:rFonts w:ascii="Arial Narrow" w:hAnsi="Arial Narrow" w:cs="Arial"/>
                <w:sz w:val="20"/>
              </w:rPr>
            </w:pPr>
            <w:r w:rsidRPr="00626199">
              <w:rPr>
                <w:rFonts w:ascii="Arial Narrow" w:hAnsi="Arial Narrow" w:cs="Arial"/>
                <w:sz w:val="20"/>
              </w:rPr>
              <w:t>Quality of life – dyspnoea</w:t>
            </w:r>
          </w:p>
        </w:tc>
        <w:tc>
          <w:tcPr>
            <w:tcW w:w="2840" w:type="dxa"/>
          </w:tcPr>
          <w:p w14:paraId="022C6B13" w14:textId="77777777" w:rsidR="00CF70FE" w:rsidRPr="00626199" w:rsidRDefault="00CF70FE" w:rsidP="002A62BE">
            <w:pPr>
              <w:spacing w:after="120"/>
              <w:rPr>
                <w:rFonts w:ascii="Arial Narrow" w:hAnsi="Arial Narrow" w:cs="Arial"/>
                <w:sz w:val="20"/>
              </w:rPr>
            </w:pPr>
            <w:r w:rsidRPr="00626199">
              <w:rPr>
                <w:rFonts w:ascii="Arial Narrow" w:hAnsi="Arial Narrow" w:cs="Arial"/>
                <w:sz w:val="20"/>
              </w:rPr>
              <w:t>CRQ – dyspnoea</w:t>
            </w:r>
          </w:p>
        </w:tc>
        <w:tc>
          <w:tcPr>
            <w:tcW w:w="3322" w:type="dxa"/>
          </w:tcPr>
          <w:p w14:paraId="7D14721E" w14:textId="77777777" w:rsidR="00CF70FE" w:rsidRPr="00626199" w:rsidRDefault="00CF70FE" w:rsidP="002A62BE">
            <w:pPr>
              <w:spacing w:after="120"/>
              <w:rPr>
                <w:rFonts w:ascii="Arial Narrow" w:hAnsi="Arial Narrow" w:cs="Arial"/>
                <w:sz w:val="20"/>
                <w:vertAlign w:val="superscript"/>
              </w:rPr>
            </w:pPr>
            <w:r w:rsidRPr="00626199">
              <w:rPr>
                <w:rFonts w:ascii="Arial Narrow" w:hAnsi="Arial Narrow" w:cs="Arial"/>
                <w:sz w:val="20"/>
              </w:rPr>
              <w:t>0.5 points (on the 7-point scale)</w:t>
            </w:r>
            <w:r w:rsidRPr="00626199">
              <w:rPr>
                <w:rFonts w:ascii="Arial Narrow" w:hAnsi="Arial Narrow" w:cs="Arial"/>
                <w:sz w:val="20"/>
                <w:vertAlign w:val="superscript"/>
              </w:rPr>
              <w:t>1</w:t>
            </w:r>
          </w:p>
        </w:tc>
      </w:tr>
      <w:tr w:rsidR="00CF70FE" w:rsidRPr="00DA3918" w14:paraId="30D09DEA" w14:textId="77777777" w:rsidTr="002A62BE">
        <w:tc>
          <w:tcPr>
            <w:tcW w:w="3080" w:type="dxa"/>
          </w:tcPr>
          <w:p w14:paraId="6543CA45" w14:textId="77777777" w:rsidR="00CF70FE" w:rsidRPr="00626199" w:rsidRDefault="00CF70FE" w:rsidP="002A62BE">
            <w:pPr>
              <w:spacing w:after="120"/>
              <w:rPr>
                <w:rFonts w:ascii="Arial Narrow" w:hAnsi="Arial Narrow" w:cs="Arial"/>
                <w:sz w:val="20"/>
              </w:rPr>
            </w:pPr>
            <w:r w:rsidRPr="00626199">
              <w:rPr>
                <w:rFonts w:ascii="Arial Narrow" w:hAnsi="Arial Narrow" w:cs="Arial"/>
                <w:sz w:val="20"/>
              </w:rPr>
              <w:t>Quality of life – fatigue</w:t>
            </w:r>
          </w:p>
        </w:tc>
        <w:tc>
          <w:tcPr>
            <w:tcW w:w="2840" w:type="dxa"/>
          </w:tcPr>
          <w:p w14:paraId="74B3A6E9" w14:textId="77777777" w:rsidR="00CF70FE" w:rsidRPr="00626199" w:rsidRDefault="00CF70FE" w:rsidP="002A62BE">
            <w:pPr>
              <w:spacing w:after="120"/>
              <w:rPr>
                <w:rFonts w:ascii="Arial Narrow" w:hAnsi="Arial Narrow" w:cs="Arial"/>
                <w:sz w:val="20"/>
              </w:rPr>
            </w:pPr>
            <w:r w:rsidRPr="00626199">
              <w:rPr>
                <w:rFonts w:ascii="Arial Narrow" w:hAnsi="Arial Narrow" w:cs="Arial"/>
                <w:sz w:val="20"/>
              </w:rPr>
              <w:t>CRQ – fatigue</w:t>
            </w:r>
          </w:p>
        </w:tc>
        <w:tc>
          <w:tcPr>
            <w:tcW w:w="3322" w:type="dxa"/>
          </w:tcPr>
          <w:p w14:paraId="2B171D6D" w14:textId="77777777" w:rsidR="00CF70FE" w:rsidRPr="00626199" w:rsidRDefault="00CF70FE" w:rsidP="002A62BE">
            <w:pPr>
              <w:spacing w:after="120"/>
              <w:rPr>
                <w:rFonts w:ascii="Arial Narrow" w:hAnsi="Arial Narrow" w:cs="Arial"/>
                <w:sz w:val="20"/>
                <w:vertAlign w:val="superscript"/>
              </w:rPr>
            </w:pPr>
            <w:r w:rsidRPr="00626199">
              <w:rPr>
                <w:rFonts w:ascii="Arial Narrow" w:hAnsi="Arial Narrow" w:cs="Arial"/>
                <w:sz w:val="20"/>
              </w:rPr>
              <w:t>0.5 points (on the 7-point scale)</w:t>
            </w:r>
            <w:r w:rsidRPr="00626199">
              <w:rPr>
                <w:rFonts w:ascii="Arial Narrow" w:hAnsi="Arial Narrow" w:cs="Arial"/>
                <w:sz w:val="20"/>
                <w:vertAlign w:val="superscript"/>
              </w:rPr>
              <w:t>1</w:t>
            </w:r>
          </w:p>
        </w:tc>
      </w:tr>
      <w:tr w:rsidR="00CF70FE" w:rsidRPr="00DA3918" w14:paraId="10862184" w14:textId="77777777" w:rsidTr="002A62BE">
        <w:tc>
          <w:tcPr>
            <w:tcW w:w="3080" w:type="dxa"/>
          </w:tcPr>
          <w:p w14:paraId="4E46E024" w14:textId="77777777" w:rsidR="00CF70FE" w:rsidRPr="00626199" w:rsidRDefault="00CF70FE" w:rsidP="002A62BE">
            <w:pPr>
              <w:spacing w:after="120"/>
              <w:rPr>
                <w:rFonts w:ascii="Arial Narrow" w:hAnsi="Arial Narrow" w:cs="Arial"/>
                <w:sz w:val="20"/>
              </w:rPr>
            </w:pPr>
            <w:r w:rsidRPr="00626199">
              <w:rPr>
                <w:rFonts w:ascii="Arial Narrow" w:hAnsi="Arial Narrow" w:cs="Arial"/>
                <w:sz w:val="20"/>
              </w:rPr>
              <w:t>Quality of life – depression and anxiety</w:t>
            </w:r>
          </w:p>
        </w:tc>
        <w:tc>
          <w:tcPr>
            <w:tcW w:w="2840" w:type="dxa"/>
          </w:tcPr>
          <w:p w14:paraId="10119F85" w14:textId="77777777" w:rsidR="00CF70FE" w:rsidRPr="00626199" w:rsidRDefault="00CF70FE" w:rsidP="002A62BE">
            <w:pPr>
              <w:spacing w:after="120"/>
              <w:rPr>
                <w:rFonts w:ascii="Arial Narrow" w:hAnsi="Arial Narrow" w:cs="Arial"/>
                <w:sz w:val="20"/>
              </w:rPr>
            </w:pPr>
            <w:r w:rsidRPr="00626199">
              <w:rPr>
                <w:rFonts w:ascii="Arial Narrow" w:hAnsi="Arial Narrow" w:cs="Arial"/>
                <w:sz w:val="20"/>
              </w:rPr>
              <w:t>CRQ – emotional function</w:t>
            </w:r>
          </w:p>
        </w:tc>
        <w:tc>
          <w:tcPr>
            <w:tcW w:w="3322" w:type="dxa"/>
          </w:tcPr>
          <w:p w14:paraId="0F216E03" w14:textId="77777777" w:rsidR="00CF70FE" w:rsidRPr="00626199" w:rsidRDefault="00CF70FE" w:rsidP="002A62BE">
            <w:pPr>
              <w:spacing w:after="120"/>
              <w:rPr>
                <w:rFonts w:ascii="Arial Narrow" w:hAnsi="Arial Narrow" w:cs="Arial"/>
                <w:sz w:val="20"/>
                <w:vertAlign w:val="superscript"/>
              </w:rPr>
            </w:pPr>
            <w:r w:rsidRPr="00626199">
              <w:rPr>
                <w:rFonts w:ascii="Arial Narrow" w:hAnsi="Arial Narrow" w:cs="Arial"/>
                <w:sz w:val="20"/>
              </w:rPr>
              <w:t>0.5 points (on the 7-point scale)</w:t>
            </w:r>
            <w:r w:rsidRPr="00626199">
              <w:rPr>
                <w:rFonts w:ascii="Arial Narrow" w:hAnsi="Arial Narrow" w:cs="Arial"/>
                <w:sz w:val="20"/>
                <w:vertAlign w:val="superscript"/>
              </w:rPr>
              <w:t>1</w:t>
            </w:r>
          </w:p>
        </w:tc>
      </w:tr>
      <w:tr w:rsidR="00CF70FE" w:rsidRPr="00DA3918" w14:paraId="3B677E6E" w14:textId="77777777" w:rsidTr="002A62BE">
        <w:tc>
          <w:tcPr>
            <w:tcW w:w="3080" w:type="dxa"/>
          </w:tcPr>
          <w:p w14:paraId="04C06FD1" w14:textId="77777777" w:rsidR="00CF70FE" w:rsidRPr="00626199" w:rsidRDefault="00CF70FE" w:rsidP="002A62BE">
            <w:pPr>
              <w:spacing w:after="120"/>
              <w:rPr>
                <w:rFonts w:ascii="Arial Narrow" w:hAnsi="Arial Narrow" w:cs="Arial"/>
                <w:sz w:val="20"/>
              </w:rPr>
            </w:pPr>
            <w:r w:rsidRPr="00626199">
              <w:rPr>
                <w:rFonts w:ascii="Arial Narrow" w:hAnsi="Arial Narrow" w:cs="Arial"/>
                <w:sz w:val="20"/>
              </w:rPr>
              <w:t>Functional exercise capacity</w:t>
            </w:r>
          </w:p>
        </w:tc>
        <w:tc>
          <w:tcPr>
            <w:tcW w:w="2840" w:type="dxa"/>
          </w:tcPr>
          <w:p w14:paraId="658E5481" w14:textId="77777777" w:rsidR="00CF70FE" w:rsidRPr="00626199" w:rsidRDefault="00CF70FE" w:rsidP="002A62BE">
            <w:pPr>
              <w:spacing w:after="120"/>
              <w:rPr>
                <w:rFonts w:ascii="Arial Narrow" w:hAnsi="Arial Narrow" w:cs="Arial"/>
                <w:sz w:val="20"/>
              </w:rPr>
            </w:pPr>
            <w:r w:rsidRPr="00626199">
              <w:rPr>
                <w:rFonts w:ascii="Arial Narrow" w:hAnsi="Arial Narrow" w:cs="Arial"/>
                <w:sz w:val="20"/>
              </w:rPr>
              <w:t>6MWT</w:t>
            </w:r>
          </w:p>
        </w:tc>
        <w:tc>
          <w:tcPr>
            <w:tcW w:w="3322" w:type="dxa"/>
          </w:tcPr>
          <w:p w14:paraId="204CBFD1" w14:textId="77777777" w:rsidR="00CF70FE" w:rsidRPr="00626199" w:rsidRDefault="00CF70FE" w:rsidP="002A62BE">
            <w:pPr>
              <w:spacing w:after="120"/>
              <w:rPr>
                <w:rFonts w:ascii="Arial Narrow" w:hAnsi="Arial Narrow" w:cs="Arial"/>
                <w:sz w:val="20"/>
                <w:vertAlign w:val="superscript"/>
              </w:rPr>
            </w:pPr>
            <w:r w:rsidRPr="00626199">
              <w:rPr>
                <w:rFonts w:ascii="Arial Narrow" w:hAnsi="Arial Narrow" w:cs="Arial"/>
                <w:sz w:val="20"/>
              </w:rPr>
              <w:t>30 metres</w:t>
            </w:r>
            <w:r w:rsidRPr="00626199">
              <w:rPr>
                <w:rFonts w:ascii="Arial Narrow" w:hAnsi="Arial Narrow" w:cs="Arial"/>
                <w:sz w:val="20"/>
                <w:vertAlign w:val="superscript"/>
              </w:rPr>
              <w:t>2</w:t>
            </w:r>
          </w:p>
        </w:tc>
      </w:tr>
    </w:tbl>
    <w:p w14:paraId="5ED02C99" w14:textId="189E6AB1" w:rsidR="00CF70FE" w:rsidRPr="00480EA7" w:rsidRDefault="00CF70FE" w:rsidP="00480EA7">
      <w:pPr>
        <w:widowControl w:val="0"/>
        <w:spacing w:after="240"/>
        <w:rPr>
          <w:rFonts w:ascii="Arial Narrow" w:hAnsi="Arial Narrow" w:cs="Arial"/>
          <w:snapToGrid w:val="0"/>
          <w:sz w:val="18"/>
          <w:szCs w:val="16"/>
        </w:rPr>
      </w:pPr>
      <w:proofErr w:type="gramStart"/>
      <w:r w:rsidRPr="001622C9">
        <w:rPr>
          <w:rFonts w:ascii="Arial Narrow" w:hAnsi="Arial Narrow" w:cs="Arial"/>
          <w:sz w:val="18"/>
          <w:szCs w:val="16"/>
          <w:vertAlign w:val="superscript"/>
        </w:rPr>
        <w:t>1</w:t>
      </w:r>
      <w:proofErr w:type="gramEnd"/>
      <w:r w:rsidRPr="001622C9">
        <w:rPr>
          <w:rFonts w:ascii="Arial Narrow" w:hAnsi="Arial Narrow" w:cs="Arial"/>
          <w:sz w:val="18"/>
          <w:szCs w:val="16"/>
        </w:rPr>
        <w:t xml:space="preserve"> Make et al, 2005.</w:t>
      </w:r>
      <w:r w:rsidRPr="001622C9">
        <w:rPr>
          <w:rFonts w:ascii="Arial Narrow" w:hAnsi="Arial Narrow" w:cs="Arial"/>
          <w:sz w:val="18"/>
          <w:szCs w:val="16"/>
          <w:vertAlign w:val="superscript"/>
        </w:rPr>
        <w:t xml:space="preserve">2 </w:t>
      </w:r>
      <w:r w:rsidRPr="001622C9">
        <w:rPr>
          <w:rFonts w:ascii="Arial Narrow" w:hAnsi="Arial Narrow" w:cs="Arial"/>
          <w:sz w:val="18"/>
          <w:szCs w:val="16"/>
        </w:rPr>
        <w:t xml:space="preserve">Holland et al, 2014. </w:t>
      </w:r>
      <w:r w:rsidRPr="001622C9">
        <w:rPr>
          <w:rFonts w:ascii="Arial Narrow" w:hAnsi="Arial Narrow" w:cs="Arial"/>
          <w:snapToGrid w:val="0"/>
          <w:sz w:val="18"/>
          <w:szCs w:val="16"/>
        </w:rPr>
        <w:t>6MWT = 6-minute walk test; CRQ = Chronic Respiratory Disease Questionnaire; SGRQ = St George’s Respiratory Questionnaire</w:t>
      </w:r>
    </w:p>
    <w:p w14:paraId="734BD939" w14:textId="77777777" w:rsidR="006F1954" w:rsidRPr="006F1954" w:rsidRDefault="006F1954" w:rsidP="006F1954">
      <w:pPr>
        <w:spacing w:after="240"/>
      </w:pPr>
      <w:r w:rsidRPr="00FF5712">
        <w:t xml:space="preserve">Comparative effectiveness </w:t>
      </w:r>
      <w:proofErr w:type="gramStart"/>
      <w:r w:rsidRPr="00FF5712">
        <w:t>was assessed</w:t>
      </w:r>
      <w:proofErr w:type="gramEnd"/>
      <w:r w:rsidRPr="00FF5712">
        <w:t xml:space="preserve"> by meta-analysing randomised trials</w:t>
      </w:r>
      <w:r>
        <w:t>/observational studies</w:t>
      </w:r>
      <w:r w:rsidRPr="00FF5712">
        <w:t xml:space="preserve"> reporting each cri</w:t>
      </w:r>
      <w:r>
        <w:t>tical patient-relevant outcome.</w:t>
      </w:r>
    </w:p>
    <w:p w14:paraId="3FD95246" w14:textId="77777777" w:rsidR="00CF70FE" w:rsidRPr="00FF5712" w:rsidRDefault="00954E7B" w:rsidP="00F11FDB">
      <w:pPr>
        <w:spacing w:after="120"/>
        <w:rPr>
          <w:i/>
        </w:rPr>
      </w:pPr>
      <w:r>
        <w:rPr>
          <w:i/>
        </w:rPr>
        <w:t>PR vs. usual care (COPD population)</w:t>
      </w:r>
    </w:p>
    <w:p w14:paraId="3D63F2B6" w14:textId="4534B96E" w:rsidR="00320E91" w:rsidRPr="00480EA7" w:rsidRDefault="00CF70FE">
      <w:proofErr w:type="gramStart"/>
      <w:r w:rsidRPr="00FF5712">
        <w:t>On the basis of</w:t>
      </w:r>
      <w:proofErr w:type="gramEnd"/>
      <w:r w:rsidRPr="00FF5712">
        <w:t xml:space="preserve"> the evidence </w:t>
      </w:r>
      <w:r w:rsidRPr="00C524C1">
        <w:rPr>
          <w:szCs w:val="24"/>
        </w:rPr>
        <w:t>profile (</w:t>
      </w:r>
      <w:r w:rsidR="00C524C1" w:rsidRPr="00C524C1">
        <w:rPr>
          <w:szCs w:val="24"/>
        </w:rPr>
        <w:fldChar w:fldCharType="begin"/>
      </w:r>
      <w:r w:rsidR="00C524C1" w:rsidRPr="00C524C1">
        <w:rPr>
          <w:szCs w:val="24"/>
        </w:rPr>
        <w:instrText xml:space="preserve"> REF _Ref5282332 \h  \* MERGEFORMAT </w:instrText>
      </w:r>
      <w:r w:rsidR="00C524C1" w:rsidRPr="00C524C1">
        <w:rPr>
          <w:szCs w:val="24"/>
        </w:rPr>
      </w:r>
      <w:r w:rsidR="00C524C1" w:rsidRPr="00C524C1">
        <w:rPr>
          <w:szCs w:val="24"/>
        </w:rPr>
        <w:fldChar w:fldCharType="separate"/>
      </w:r>
      <w:r w:rsidR="00C524C1" w:rsidRPr="00C524C1">
        <w:rPr>
          <w:szCs w:val="24"/>
        </w:rPr>
        <w:t xml:space="preserve">Table </w:t>
      </w:r>
      <w:r w:rsidR="00C524C1" w:rsidRPr="00C524C1">
        <w:rPr>
          <w:noProof/>
          <w:szCs w:val="24"/>
        </w:rPr>
        <w:t>3</w:t>
      </w:r>
      <w:r w:rsidR="00C524C1" w:rsidRPr="00C524C1">
        <w:rPr>
          <w:szCs w:val="24"/>
        </w:rPr>
        <w:fldChar w:fldCharType="end"/>
      </w:r>
      <w:r w:rsidRPr="00C524C1">
        <w:rPr>
          <w:szCs w:val="24"/>
        </w:rPr>
        <w:t xml:space="preserve">), </w:t>
      </w:r>
      <w:r w:rsidR="00623EBD" w:rsidRPr="00C524C1">
        <w:rPr>
          <w:szCs w:val="24"/>
        </w:rPr>
        <w:t>the</w:t>
      </w:r>
      <w:r w:rsidR="00623EBD">
        <w:t xml:space="preserve"> resubmission </w:t>
      </w:r>
      <w:r w:rsidRPr="00FF5712">
        <w:t xml:space="preserve">suggested that for patients with COPD, relative to usual care, PR has superior effectiveness in terms of </w:t>
      </w:r>
      <w:r w:rsidR="00626199" w:rsidRPr="00626199">
        <w:rPr>
          <w:bCs/>
          <w:sz w:val="22"/>
          <w:szCs w:val="22"/>
        </w:rPr>
        <w:t xml:space="preserve">patient relevant outcomes of quality of life, dyspnoea, fatigue, emotional function, functional exercise capacity, </w:t>
      </w:r>
      <w:r w:rsidR="004A06B3">
        <w:rPr>
          <w:bCs/>
          <w:sz w:val="22"/>
          <w:szCs w:val="22"/>
        </w:rPr>
        <w:t>emergency d</w:t>
      </w:r>
      <w:r w:rsidR="004A06B3" w:rsidRPr="004A06B3">
        <w:rPr>
          <w:bCs/>
          <w:sz w:val="22"/>
          <w:szCs w:val="22"/>
        </w:rPr>
        <w:t>epartment (</w:t>
      </w:r>
      <w:r w:rsidR="00626199" w:rsidRPr="004A06B3">
        <w:rPr>
          <w:bCs/>
          <w:sz w:val="22"/>
          <w:szCs w:val="22"/>
        </w:rPr>
        <w:t>ED</w:t>
      </w:r>
      <w:r w:rsidR="004A06B3" w:rsidRPr="004A06B3">
        <w:rPr>
          <w:bCs/>
          <w:sz w:val="22"/>
          <w:szCs w:val="22"/>
        </w:rPr>
        <w:t>)</w:t>
      </w:r>
      <w:r w:rsidR="00626199" w:rsidRPr="004A06B3">
        <w:rPr>
          <w:bCs/>
          <w:sz w:val="22"/>
          <w:szCs w:val="22"/>
        </w:rPr>
        <w:t xml:space="preserve"> presentations,</w:t>
      </w:r>
      <w:r w:rsidR="00626199" w:rsidRPr="00626199">
        <w:rPr>
          <w:bCs/>
          <w:sz w:val="22"/>
          <w:szCs w:val="22"/>
        </w:rPr>
        <w:t xml:space="preserve"> hospital admissi</w:t>
      </w:r>
      <w:r w:rsidR="00975230">
        <w:rPr>
          <w:bCs/>
          <w:sz w:val="22"/>
          <w:szCs w:val="22"/>
        </w:rPr>
        <w:t>ons and hospital length of stay</w:t>
      </w:r>
      <w:r w:rsidR="004A06B3">
        <w:rPr>
          <w:bCs/>
          <w:sz w:val="22"/>
          <w:szCs w:val="22"/>
        </w:rPr>
        <w:t>.</w:t>
      </w:r>
      <w:r w:rsidR="003B3481">
        <w:rPr>
          <w:bCs/>
          <w:sz w:val="22"/>
          <w:szCs w:val="22"/>
        </w:rPr>
        <w:t xml:space="preserve"> </w:t>
      </w:r>
      <w:r w:rsidR="00320E91">
        <w:rPr>
          <w:rFonts w:ascii="Arial Narrow" w:hAnsi="Arial Narrow"/>
          <w:sz w:val="20"/>
        </w:rPr>
        <w:br w:type="page"/>
      </w:r>
    </w:p>
    <w:p w14:paraId="776A8823" w14:textId="2E3B8B83" w:rsidR="001622C9" w:rsidRPr="001622C9" w:rsidRDefault="001622C9" w:rsidP="001622C9">
      <w:pPr>
        <w:pStyle w:val="Caption"/>
        <w:rPr>
          <w:rFonts w:ascii="Arial" w:hAnsi="Arial"/>
          <w:color w:val="auto"/>
        </w:rPr>
      </w:pPr>
      <w:bookmarkStart w:id="2" w:name="_Ref5282332"/>
      <w:r w:rsidRPr="001622C9">
        <w:rPr>
          <w:rFonts w:ascii="Arial Narrow" w:hAnsi="Arial Narrow"/>
          <w:color w:val="auto"/>
          <w:sz w:val="20"/>
        </w:rPr>
        <w:lastRenderedPageBreak/>
        <w:t xml:space="preserve">Table </w:t>
      </w:r>
      <w:r w:rsidRPr="001622C9">
        <w:rPr>
          <w:rFonts w:ascii="Arial Narrow" w:hAnsi="Arial Narrow"/>
          <w:color w:val="auto"/>
          <w:sz w:val="20"/>
        </w:rPr>
        <w:fldChar w:fldCharType="begin"/>
      </w:r>
      <w:r w:rsidRPr="001622C9">
        <w:rPr>
          <w:rFonts w:ascii="Arial Narrow" w:hAnsi="Arial Narrow"/>
          <w:color w:val="auto"/>
          <w:sz w:val="20"/>
        </w:rPr>
        <w:instrText xml:space="preserve"> SEQ Table \* ARABIC </w:instrText>
      </w:r>
      <w:r w:rsidRPr="001622C9">
        <w:rPr>
          <w:rFonts w:ascii="Arial Narrow" w:hAnsi="Arial Narrow"/>
          <w:color w:val="auto"/>
          <w:sz w:val="20"/>
        </w:rPr>
        <w:fldChar w:fldCharType="separate"/>
      </w:r>
      <w:r w:rsidR="00EC58AB">
        <w:rPr>
          <w:rFonts w:ascii="Arial Narrow" w:hAnsi="Arial Narrow"/>
          <w:noProof/>
          <w:color w:val="auto"/>
          <w:sz w:val="20"/>
        </w:rPr>
        <w:t>3</w:t>
      </w:r>
      <w:r w:rsidRPr="001622C9">
        <w:rPr>
          <w:rFonts w:ascii="Arial Narrow" w:hAnsi="Arial Narrow"/>
          <w:color w:val="auto"/>
          <w:sz w:val="20"/>
        </w:rPr>
        <w:fldChar w:fldCharType="end"/>
      </w:r>
      <w:bookmarkEnd w:id="2"/>
      <w:r>
        <w:rPr>
          <w:rFonts w:ascii="Arial Narrow" w:hAnsi="Arial Narrow"/>
          <w:color w:val="auto"/>
          <w:sz w:val="20"/>
        </w:rPr>
        <w:t xml:space="preserve"> </w:t>
      </w:r>
      <w:bookmarkStart w:id="3" w:name="_Toc457928909"/>
      <w:r w:rsidRPr="001622C9">
        <w:rPr>
          <w:rFonts w:ascii="Arial Narrow" w:hAnsi="Arial Narrow"/>
          <w:snapToGrid w:val="0"/>
          <w:color w:val="auto"/>
          <w:sz w:val="20"/>
        </w:rPr>
        <w:t xml:space="preserve">Balance of clinical benefits and harms of pulmonary rehabilitation, relative to usual care, and as measured by the </w:t>
      </w:r>
      <w:r w:rsidRPr="001622C9">
        <w:rPr>
          <w:rFonts w:ascii="Arial Narrow" w:hAnsi="Arial Narrow"/>
          <w:snapToGrid w:val="0"/>
          <w:color w:val="auto"/>
          <w:sz w:val="20"/>
          <w:u w:val="single"/>
        </w:rPr>
        <w:t>critical</w:t>
      </w:r>
      <w:r w:rsidRPr="001622C9">
        <w:rPr>
          <w:rFonts w:ascii="Arial Narrow" w:hAnsi="Arial Narrow"/>
          <w:snapToGrid w:val="0"/>
          <w:color w:val="auto"/>
          <w:sz w:val="20"/>
        </w:rPr>
        <w:t xml:space="preserve"> patient-relevant outcomes in the key trials in COPD</w:t>
      </w:r>
      <w:bookmarkEnd w:id="3"/>
    </w:p>
    <w:tbl>
      <w:tblPr>
        <w:tblStyle w:val="TableGrid"/>
        <w:tblW w:w="0" w:type="auto"/>
        <w:tblLook w:val="04A0" w:firstRow="1" w:lastRow="0" w:firstColumn="1" w:lastColumn="0" w:noHBand="0" w:noVBand="1"/>
        <w:tblCaption w:val="Balance of clinical benefits and harms of pulmonary rehabilitation, relative to usual care, and as measured by the critical patient-relevant outcomes in the key trials in COPD"/>
        <w:tblDescription w:val="This table outlines the balance of clinical benefits and harms of pulmonary rehabilitation, relative to usual care, and as measured by the critical patient-relevant outcomes in the key studies in chronic obstructive pulmonary disease. "/>
      </w:tblPr>
      <w:tblGrid>
        <w:gridCol w:w="1743"/>
        <w:gridCol w:w="1800"/>
        <w:gridCol w:w="1675"/>
        <w:gridCol w:w="1788"/>
        <w:gridCol w:w="2010"/>
      </w:tblGrid>
      <w:tr w:rsidR="00CF70FE" w:rsidRPr="00DA3918" w14:paraId="319C2239" w14:textId="77777777" w:rsidTr="00AE4C08">
        <w:trPr>
          <w:trHeight w:val="960"/>
          <w:tblHeader/>
        </w:trPr>
        <w:tc>
          <w:tcPr>
            <w:tcW w:w="1765" w:type="dxa"/>
          </w:tcPr>
          <w:p w14:paraId="4CF58DF7" w14:textId="77777777" w:rsidR="00CF70FE" w:rsidRPr="00626199" w:rsidRDefault="00CF70FE" w:rsidP="002A62BE">
            <w:pPr>
              <w:pStyle w:val="TableHeading"/>
              <w:ind w:left="0" w:firstLine="0"/>
              <w:jc w:val="left"/>
              <w:rPr>
                <w:rFonts w:cs="Arial"/>
              </w:rPr>
            </w:pPr>
            <w:r w:rsidRPr="00626199">
              <w:rPr>
                <w:rFonts w:cs="Arial"/>
              </w:rPr>
              <w:t>Outcomes (units)</w:t>
            </w:r>
          </w:p>
          <w:p w14:paraId="03542243" w14:textId="77777777" w:rsidR="00CF70FE" w:rsidRPr="00626199" w:rsidRDefault="00CF70FE" w:rsidP="002A62BE">
            <w:pPr>
              <w:pStyle w:val="TableHeading"/>
              <w:jc w:val="left"/>
              <w:rPr>
                <w:rFonts w:cs="Arial"/>
              </w:rPr>
            </w:pPr>
            <w:r w:rsidRPr="00626199">
              <w:rPr>
                <w:rFonts w:cs="Arial"/>
              </w:rPr>
              <w:t>Follow-up</w:t>
            </w:r>
          </w:p>
        </w:tc>
        <w:tc>
          <w:tcPr>
            <w:tcW w:w="1800" w:type="dxa"/>
          </w:tcPr>
          <w:p w14:paraId="4DB31C89" w14:textId="77777777" w:rsidR="00CF70FE" w:rsidRPr="00626199" w:rsidRDefault="00CF70FE" w:rsidP="002A62BE">
            <w:pPr>
              <w:pStyle w:val="TableHeading"/>
              <w:ind w:left="13" w:hanging="13"/>
              <w:jc w:val="left"/>
              <w:rPr>
                <w:rFonts w:cs="Arial"/>
              </w:rPr>
            </w:pPr>
            <w:r w:rsidRPr="00626199">
              <w:rPr>
                <w:rFonts w:cs="Arial"/>
              </w:rPr>
              <w:t>Pooled participants</w:t>
            </w:r>
          </w:p>
          <w:p w14:paraId="6B5A9673" w14:textId="77777777" w:rsidR="00CF70FE" w:rsidRPr="00626199" w:rsidRDefault="00CF70FE" w:rsidP="002A62BE">
            <w:pPr>
              <w:pStyle w:val="TableHeading"/>
              <w:jc w:val="left"/>
              <w:rPr>
                <w:rFonts w:cs="Arial"/>
              </w:rPr>
            </w:pPr>
            <w:r w:rsidRPr="00626199">
              <w:rPr>
                <w:rFonts w:cs="Arial"/>
              </w:rPr>
              <w:t>(number of trials)</w:t>
            </w:r>
          </w:p>
        </w:tc>
        <w:tc>
          <w:tcPr>
            <w:tcW w:w="1761" w:type="dxa"/>
          </w:tcPr>
          <w:p w14:paraId="0D4AB317" w14:textId="77777777" w:rsidR="00CF70FE" w:rsidRPr="00626199" w:rsidRDefault="00CF70FE" w:rsidP="002A62BE">
            <w:pPr>
              <w:pStyle w:val="TableHeading"/>
              <w:ind w:left="-11" w:firstLine="11"/>
              <w:jc w:val="left"/>
              <w:rPr>
                <w:rFonts w:cs="Arial"/>
              </w:rPr>
            </w:pPr>
            <w:r w:rsidRPr="00626199">
              <w:rPr>
                <w:rFonts w:cs="Arial"/>
              </w:rPr>
              <w:t>Quality of evidence</w:t>
            </w:r>
          </w:p>
          <w:p w14:paraId="05C52FD5" w14:textId="77777777" w:rsidR="00CF70FE" w:rsidRPr="00626199" w:rsidRDefault="00CF70FE" w:rsidP="002A62BE">
            <w:pPr>
              <w:pStyle w:val="TableHeading"/>
              <w:ind w:left="-11" w:firstLine="11"/>
              <w:jc w:val="left"/>
              <w:rPr>
                <w:rFonts w:cs="Arial"/>
              </w:rPr>
            </w:pPr>
            <w:r w:rsidRPr="00626199">
              <w:rPr>
                <w:rFonts w:cs="Arial"/>
              </w:rPr>
              <w:t>(GRADE</w:t>
            </w:r>
            <w:r w:rsidRPr="00626199">
              <w:rPr>
                <w:rFonts w:cs="Arial"/>
                <w:vertAlign w:val="superscript"/>
              </w:rPr>
              <w:t xml:space="preserve"> a</w:t>
            </w:r>
            <w:r w:rsidRPr="00626199">
              <w:rPr>
                <w:rFonts w:cs="Arial"/>
              </w:rPr>
              <w:t>)</w:t>
            </w:r>
          </w:p>
        </w:tc>
        <w:tc>
          <w:tcPr>
            <w:tcW w:w="1745" w:type="dxa"/>
          </w:tcPr>
          <w:p w14:paraId="78C8B3E0" w14:textId="77777777" w:rsidR="00CF70FE" w:rsidRPr="00626199" w:rsidRDefault="00CF70FE" w:rsidP="002A62BE">
            <w:pPr>
              <w:pStyle w:val="TableHeading"/>
              <w:jc w:val="left"/>
              <w:rPr>
                <w:rFonts w:cs="Arial"/>
              </w:rPr>
            </w:pPr>
            <w:r w:rsidRPr="00626199">
              <w:rPr>
                <w:rFonts w:cs="Arial"/>
              </w:rPr>
              <w:t>Relative effect</w:t>
            </w:r>
          </w:p>
          <w:p w14:paraId="46A98CBD" w14:textId="77777777" w:rsidR="00CF70FE" w:rsidRPr="00626199" w:rsidRDefault="00CF70FE" w:rsidP="002A62BE">
            <w:pPr>
              <w:pStyle w:val="TableHeading"/>
              <w:ind w:left="0" w:firstLine="0"/>
              <w:jc w:val="left"/>
              <w:rPr>
                <w:rFonts w:cs="Arial"/>
              </w:rPr>
            </w:pPr>
            <w:r w:rsidRPr="00626199">
              <w:rPr>
                <w:rFonts w:cs="Arial"/>
              </w:rPr>
              <w:t>(95%CI)</w:t>
            </w:r>
          </w:p>
        </w:tc>
        <w:tc>
          <w:tcPr>
            <w:tcW w:w="2109" w:type="dxa"/>
          </w:tcPr>
          <w:p w14:paraId="71890BF1" w14:textId="77777777" w:rsidR="00CF70FE" w:rsidRPr="00626199" w:rsidRDefault="00CF70FE" w:rsidP="002A62BE">
            <w:pPr>
              <w:pStyle w:val="TableHeading"/>
              <w:ind w:left="0" w:firstLine="0"/>
              <w:jc w:val="left"/>
              <w:rPr>
                <w:rFonts w:cs="Arial"/>
              </w:rPr>
            </w:pPr>
            <w:r w:rsidRPr="00626199">
              <w:rPr>
                <w:rFonts w:cs="Arial"/>
              </w:rPr>
              <w:t>Comments</w:t>
            </w:r>
          </w:p>
        </w:tc>
      </w:tr>
      <w:tr w:rsidR="00626199" w:rsidRPr="00DA3918" w14:paraId="499667A0" w14:textId="77777777" w:rsidTr="00AE4C08">
        <w:trPr>
          <w:trHeight w:val="648"/>
        </w:trPr>
        <w:tc>
          <w:tcPr>
            <w:tcW w:w="1765" w:type="dxa"/>
          </w:tcPr>
          <w:p w14:paraId="4DD9C058"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CRQ – Fatigue </w:t>
            </w:r>
          </w:p>
        </w:tc>
        <w:tc>
          <w:tcPr>
            <w:tcW w:w="1800" w:type="dxa"/>
          </w:tcPr>
          <w:p w14:paraId="35B4CF6E"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749 PR / 675 control </w:t>
            </w:r>
          </w:p>
        </w:tc>
        <w:tc>
          <w:tcPr>
            <w:tcW w:w="1761" w:type="dxa"/>
          </w:tcPr>
          <w:p w14:paraId="7486722B" w14:textId="77777777" w:rsidR="00626199" w:rsidRDefault="00626199">
            <w:pPr>
              <w:pStyle w:val="Default"/>
              <w:rPr>
                <w:rFonts w:ascii="Arial" w:hAnsi="Arial" w:cs="Arial"/>
                <w:color w:val="C00000"/>
                <w:sz w:val="20"/>
                <w:szCs w:val="16"/>
              </w:rPr>
            </w:pPr>
            <w:r w:rsidRPr="00626199">
              <w:rPr>
                <w:rFonts w:ascii="Cambria Math" w:hAnsi="Cambria Math" w:cs="Cambria Math"/>
                <w:color w:val="00B050"/>
                <w:sz w:val="20"/>
                <w:szCs w:val="16"/>
              </w:rPr>
              <w:t>⨁</w:t>
            </w:r>
            <w:r w:rsidRPr="00626199">
              <w:rPr>
                <w:rFonts w:ascii="Cambria Math" w:hAnsi="Cambria Math" w:cs="Cambria Math"/>
                <w:color w:val="C00000"/>
                <w:sz w:val="20"/>
                <w:szCs w:val="16"/>
              </w:rPr>
              <w:t>⨀⨀⨀</w:t>
            </w:r>
            <w:r w:rsidRPr="00626199">
              <w:rPr>
                <w:rFonts w:ascii="Arial" w:hAnsi="Arial" w:cs="Arial"/>
                <w:color w:val="C00000"/>
                <w:sz w:val="20"/>
                <w:szCs w:val="16"/>
              </w:rPr>
              <w:t xml:space="preserve"> </w:t>
            </w:r>
          </w:p>
          <w:p w14:paraId="64D6D933" w14:textId="77777777" w:rsidR="00626199" w:rsidRPr="00626199" w:rsidRDefault="00626199">
            <w:pPr>
              <w:pStyle w:val="Default"/>
              <w:rPr>
                <w:rFonts w:ascii="Arial Narrow" w:hAnsi="Arial Narrow"/>
                <w:sz w:val="20"/>
                <w:szCs w:val="20"/>
              </w:rPr>
            </w:pPr>
            <w:r w:rsidRPr="00626199">
              <w:rPr>
                <w:rFonts w:ascii="Arial Narrow" w:hAnsi="Arial Narrow" w:cs="Arial"/>
                <w:b/>
                <w:bCs/>
                <w:sz w:val="20"/>
                <w:szCs w:val="16"/>
              </w:rPr>
              <w:t>Very low</w:t>
            </w:r>
          </w:p>
        </w:tc>
        <w:tc>
          <w:tcPr>
            <w:tcW w:w="1745" w:type="dxa"/>
          </w:tcPr>
          <w:p w14:paraId="215763DA"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0.65 (0.33, 0.97) </w:t>
            </w:r>
          </w:p>
        </w:tc>
        <w:tc>
          <w:tcPr>
            <w:tcW w:w="2109" w:type="dxa"/>
          </w:tcPr>
          <w:p w14:paraId="309E725F"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Mean difference exceeded MCID (statistical significance) </w:t>
            </w:r>
          </w:p>
        </w:tc>
      </w:tr>
      <w:tr w:rsidR="00626199" w:rsidRPr="00DA3918" w14:paraId="29AF922B" w14:textId="77777777" w:rsidTr="00AE4C08">
        <w:trPr>
          <w:trHeight w:val="533"/>
        </w:trPr>
        <w:tc>
          <w:tcPr>
            <w:tcW w:w="1765" w:type="dxa"/>
          </w:tcPr>
          <w:p w14:paraId="2A12390C"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CRQ – Emotional function </w:t>
            </w:r>
          </w:p>
        </w:tc>
        <w:tc>
          <w:tcPr>
            <w:tcW w:w="1800" w:type="dxa"/>
          </w:tcPr>
          <w:p w14:paraId="1823459F"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731 PR / 659 control </w:t>
            </w:r>
          </w:p>
        </w:tc>
        <w:tc>
          <w:tcPr>
            <w:tcW w:w="1761" w:type="dxa"/>
          </w:tcPr>
          <w:p w14:paraId="1C32AA73" w14:textId="77777777" w:rsidR="00626199" w:rsidRDefault="00626199" w:rsidP="00626199">
            <w:pPr>
              <w:pStyle w:val="Default"/>
              <w:rPr>
                <w:rFonts w:ascii="Arial" w:hAnsi="Arial" w:cs="Arial"/>
                <w:color w:val="C00000"/>
                <w:sz w:val="20"/>
                <w:szCs w:val="16"/>
              </w:rPr>
            </w:pPr>
            <w:r w:rsidRPr="00626199">
              <w:rPr>
                <w:rFonts w:ascii="Cambria Math" w:hAnsi="Cambria Math" w:cs="Cambria Math"/>
                <w:color w:val="00B050"/>
                <w:sz w:val="20"/>
                <w:szCs w:val="16"/>
              </w:rPr>
              <w:t>⨁</w:t>
            </w:r>
            <w:r w:rsidRPr="00626199">
              <w:rPr>
                <w:rFonts w:ascii="Cambria Math" w:hAnsi="Cambria Math" w:cs="Cambria Math"/>
                <w:color w:val="C00000"/>
                <w:sz w:val="20"/>
                <w:szCs w:val="16"/>
              </w:rPr>
              <w:t>⨀⨀⨀</w:t>
            </w:r>
            <w:r w:rsidRPr="00626199">
              <w:rPr>
                <w:rFonts w:ascii="Arial" w:hAnsi="Arial" w:cs="Arial"/>
                <w:color w:val="C00000"/>
                <w:sz w:val="20"/>
                <w:szCs w:val="16"/>
              </w:rPr>
              <w:t xml:space="preserve"> </w:t>
            </w:r>
          </w:p>
          <w:p w14:paraId="5EC1AE67" w14:textId="77777777" w:rsidR="00626199" w:rsidRPr="004A38D6" w:rsidRDefault="00626199" w:rsidP="00626199">
            <w:pPr>
              <w:pStyle w:val="Default"/>
              <w:rPr>
                <w:rFonts w:ascii="Arial" w:hAnsi="Arial" w:cs="Arial"/>
                <w:color w:val="C00000"/>
                <w:sz w:val="20"/>
                <w:szCs w:val="16"/>
              </w:rPr>
            </w:pPr>
            <w:r w:rsidRPr="00626199">
              <w:rPr>
                <w:rFonts w:ascii="Arial Narrow" w:hAnsi="Arial Narrow" w:cs="Arial"/>
                <w:b/>
                <w:bCs/>
                <w:sz w:val="20"/>
                <w:szCs w:val="16"/>
              </w:rPr>
              <w:t>Very low</w:t>
            </w:r>
          </w:p>
        </w:tc>
        <w:tc>
          <w:tcPr>
            <w:tcW w:w="1745" w:type="dxa"/>
          </w:tcPr>
          <w:p w14:paraId="474CA133"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0.84 (0.23, 1.46) </w:t>
            </w:r>
          </w:p>
        </w:tc>
        <w:tc>
          <w:tcPr>
            <w:tcW w:w="2109" w:type="dxa"/>
          </w:tcPr>
          <w:p w14:paraId="61D0FE10"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Mean difference exceeded MCID (statistical significance) </w:t>
            </w:r>
          </w:p>
        </w:tc>
      </w:tr>
      <w:tr w:rsidR="00626199" w:rsidRPr="00DA3918" w14:paraId="794E7B43" w14:textId="77777777" w:rsidTr="00AE4C08">
        <w:trPr>
          <w:trHeight w:val="856"/>
        </w:trPr>
        <w:tc>
          <w:tcPr>
            <w:tcW w:w="1765" w:type="dxa"/>
          </w:tcPr>
          <w:p w14:paraId="4F8733BE"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CRQ – Dyspnoea </w:t>
            </w:r>
          </w:p>
        </w:tc>
        <w:tc>
          <w:tcPr>
            <w:tcW w:w="1800" w:type="dxa"/>
          </w:tcPr>
          <w:p w14:paraId="10D8DBBD"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783 PR / 711 control </w:t>
            </w:r>
          </w:p>
        </w:tc>
        <w:tc>
          <w:tcPr>
            <w:tcW w:w="1761" w:type="dxa"/>
          </w:tcPr>
          <w:p w14:paraId="6A72A1B9" w14:textId="77777777" w:rsidR="00626199" w:rsidRDefault="00626199" w:rsidP="00626199">
            <w:pPr>
              <w:pStyle w:val="Default"/>
              <w:rPr>
                <w:rFonts w:ascii="Arial" w:hAnsi="Arial" w:cs="Arial"/>
                <w:color w:val="C00000"/>
                <w:sz w:val="20"/>
                <w:szCs w:val="16"/>
              </w:rPr>
            </w:pPr>
            <w:r w:rsidRPr="00626199">
              <w:rPr>
                <w:rFonts w:ascii="Cambria Math" w:hAnsi="Cambria Math" w:cs="Cambria Math"/>
                <w:color w:val="00B050"/>
                <w:sz w:val="20"/>
                <w:szCs w:val="16"/>
              </w:rPr>
              <w:t>⨁</w:t>
            </w:r>
            <w:r w:rsidRPr="00626199">
              <w:rPr>
                <w:rFonts w:ascii="Cambria Math" w:hAnsi="Cambria Math" w:cs="Cambria Math"/>
                <w:color w:val="C00000"/>
                <w:sz w:val="20"/>
                <w:szCs w:val="16"/>
              </w:rPr>
              <w:t>⨀⨀⨀</w:t>
            </w:r>
            <w:r w:rsidRPr="00626199">
              <w:rPr>
                <w:rFonts w:ascii="Arial" w:hAnsi="Arial" w:cs="Arial"/>
                <w:color w:val="C00000"/>
                <w:sz w:val="20"/>
                <w:szCs w:val="16"/>
              </w:rPr>
              <w:t xml:space="preserve"> </w:t>
            </w:r>
          </w:p>
          <w:p w14:paraId="4AB31BA9" w14:textId="77777777" w:rsidR="00626199" w:rsidRDefault="00626199" w:rsidP="00626199">
            <w:r w:rsidRPr="00626199">
              <w:rPr>
                <w:rFonts w:ascii="Arial Narrow" w:hAnsi="Arial Narrow" w:cs="Arial"/>
                <w:b/>
                <w:bCs/>
                <w:sz w:val="20"/>
                <w:szCs w:val="16"/>
              </w:rPr>
              <w:t>Very low</w:t>
            </w:r>
          </w:p>
        </w:tc>
        <w:tc>
          <w:tcPr>
            <w:tcW w:w="1745" w:type="dxa"/>
          </w:tcPr>
          <w:p w14:paraId="5438F9FC"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1.04 (0.71, 1.37) </w:t>
            </w:r>
          </w:p>
        </w:tc>
        <w:tc>
          <w:tcPr>
            <w:tcW w:w="2109" w:type="dxa"/>
          </w:tcPr>
          <w:p w14:paraId="28DB1F5A"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Mean difference and lower limit of CI exceeded MCID (statistical and clinical significance) </w:t>
            </w:r>
          </w:p>
        </w:tc>
      </w:tr>
      <w:tr w:rsidR="00626199" w:rsidRPr="00DA3918" w14:paraId="6053AD86" w14:textId="77777777" w:rsidTr="00AE4C08">
        <w:trPr>
          <w:trHeight w:val="828"/>
        </w:trPr>
        <w:tc>
          <w:tcPr>
            <w:tcW w:w="1765" w:type="dxa"/>
          </w:tcPr>
          <w:p w14:paraId="52DBA2B0"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SGRQ – Total </w:t>
            </w:r>
          </w:p>
        </w:tc>
        <w:tc>
          <w:tcPr>
            <w:tcW w:w="1800" w:type="dxa"/>
          </w:tcPr>
          <w:p w14:paraId="4EFD22C3"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649 PR / 599 control </w:t>
            </w:r>
          </w:p>
        </w:tc>
        <w:tc>
          <w:tcPr>
            <w:tcW w:w="1761" w:type="dxa"/>
          </w:tcPr>
          <w:p w14:paraId="602B7119" w14:textId="77777777" w:rsidR="00626199" w:rsidRDefault="00626199" w:rsidP="00626199">
            <w:pPr>
              <w:pStyle w:val="Default"/>
              <w:rPr>
                <w:rFonts w:ascii="Arial" w:hAnsi="Arial" w:cs="Arial"/>
                <w:color w:val="C00000"/>
                <w:sz w:val="20"/>
                <w:szCs w:val="16"/>
              </w:rPr>
            </w:pPr>
            <w:r w:rsidRPr="00626199">
              <w:rPr>
                <w:rFonts w:ascii="Cambria Math" w:hAnsi="Cambria Math" w:cs="Cambria Math"/>
                <w:color w:val="00B050"/>
                <w:sz w:val="20"/>
                <w:szCs w:val="16"/>
              </w:rPr>
              <w:t>⨁</w:t>
            </w:r>
            <w:r w:rsidRPr="00626199">
              <w:rPr>
                <w:rFonts w:ascii="Cambria Math" w:hAnsi="Cambria Math" w:cs="Cambria Math"/>
                <w:color w:val="C00000"/>
                <w:sz w:val="20"/>
                <w:szCs w:val="16"/>
              </w:rPr>
              <w:t>⨀⨀⨀</w:t>
            </w:r>
            <w:r w:rsidRPr="00626199">
              <w:rPr>
                <w:rFonts w:ascii="Arial" w:hAnsi="Arial" w:cs="Arial"/>
                <w:color w:val="C00000"/>
                <w:sz w:val="20"/>
                <w:szCs w:val="16"/>
              </w:rPr>
              <w:t xml:space="preserve"> </w:t>
            </w:r>
          </w:p>
          <w:p w14:paraId="7D9EB940" w14:textId="77777777" w:rsidR="00626199" w:rsidRPr="004A38D6" w:rsidRDefault="00626199" w:rsidP="00626199">
            <w:pPr>
              <w:pStyle w:val="Default"/>
              <w:rPr>
                <w:rFonts w:ascii="Arial" w:hAnsi="Arial" w:cs="Arial"/>
                <w:color w:val="C00000"/>
                <w:sz w:val="20"/>
                <w:szCs w:val="16"/>
              </w:rPr>
            </w:pPr>
            <w:r w:rsidRPr="00626199">
              <w:rPr>
                <w:rFonts w:ascii="Arial Narrow" w:hAnsi="Arial Narrow" w:cs="Arial"/>
                <w:b/>
                <w:bCs/>
                <w:sz w:val="20"/>
                <w:szCs w:val="16"/>
              </w:rPr>
              <w:t>Very low</w:t>
            </w:r>
          </w:p>
        </w:tc>
        <w:tc>
          <w:tcPr>
            <w:tcW w:w="1745" w:type="dxa"/>
          </w:tcPr>
          <w:p w14:paraId="4D35BF0A"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-8.16 (-10.31, -6.02) </w:t>
            </w:r>
          </w:p>
        </w:tc>
        <w:tc>
          <w:tcPr>
            <w:tcW w:w="2109" w:type="dxa"/>
          </w:tcPr>
          <w:p w14:paraId="21EEC6F7"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Mean difference and lower limit of CI exceeded MCID (statistical and clinical significance) </w:t>
            </w:r>
          </w:p>
        </w:tc>
      </w:tr>
      <w:tr w:rsidR="00626199" w:rsidRPr="00DA3918" w14:paraId="34141038" w14:textId="77777777" w:rsidTr="00AE4C08">
        <w:trPr>
          <w:trHeight w:val="960"/>
        </w:trPr>
        <w:tc>
          <w:tcPr>
            <w:tcW w:w="1765" w:type="dxa"/>
          </w:tcPr>
          <w:p w14:paraId="0534C593"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6MWT </w:t>
            </w:r>
          </w:p>
        </w:tc>
        <w:tc>
          <w:tcPr>
            <w:tcW w:w="1800" w:type="dxa"/>
          </w:tcPr>
          <w:p w14:paraId="548C4E5A"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839 PR / 737 control </w:t>
            </w:r>
          </w:p>
        </w:tc>
        <w:tc>
          <w:tcPr>
            <w:tcW w:w="1761" w:type="dxa"/>
          </w:tcPr>
          <w:p w14:paraId="25A6A425" w14:textId="77777777" w:rsidR="00626199" w:rsidRDefault="00626199" w:rsidP="00626199">
            <w:pPr>
              <w:pStyle w:val="Default"/>
              <w:rPr>
                <w:rFonts w:ascii="Arial" w:hAnsi="Arial" w:cs="Arial"/>
                <w:color w:val="C00000"/>
                <w:sz w:val="20"/>
                <w:szCs w:val="16"/>
              </w:rPr>
            </w:pPr>
            <w:r w:rsidRPr="00626199">
              <w:rPr>
                <w:rFonts w:ascii="Cambria Math" w:hAnsi="Cambria Math" w:cs="Cambria Math"/>
                <w:color w:val="00B050"/>
                <w:sz w:val="20"/>
                <w:szCs w:val="16"/>
              </w:rPr>
              <w:t>⨁</w:t>
            </w:r>
            <w:r w:rsidRPr="00626199">
              <w:rPr>
                <w:rFonts w:ascii="Cambria Math" w:hAnsi="Cambria Math" w:cs="Cambria Math"/>
                <w:color w:val="C00000"/>
                <w:sz w:val="20"/>
                <w:szCs w:val="16"/>
              </w:rPr>
              <w:t>⨀⨀⨀</w:t>
            </w:r>
            <w:r w:rsidRPr="00626199">
              <w:rPr>
                <w:rFonts w:ascii="Arial" w:hAnsi="Arial" w:cs="Arial"/>
                <w:color w:val="C00000"/>
                <w:sz w:val="20"/>
                <w:szCs w:val="16"/>
              </w:rPr>
              <w:t xml:space="preserve"> </w:t>
            </w:r>
          </w:p>
          <w:p w14:paraId="04F3E3EE" w14:textId="77777777" w:rsidR="00626199" w:rsidRDefault="00626199" w:rsidP="00626199">
            <w:r w:rsidRPr="00626199">
              <w:rPr>
                <w:rFonts w:ascii="Arial Narrow" w:hAnsi="Arial Narrow" w:cs="Arial"/>
                <w:b/>
                <w:bCs/>
                <w:sz w:val="20"/>
                <w:szCs w:val="16"/>
              </w:rPr>
              <w:t>Very low</w:t>
            </w:r>
          </w:p>
        </w:tc>
        <w:tc>
          <w:tcPr>
            <w:tcW w:w="1745" w:type="dxa"/>
          </w:tcPr>
          <w:p w14:paraId="1B7BD5B0"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51.42 (39.45, 63.40) </w:t>
            </w:r>
          </w:p>
        </w:tc>
        <w:tc>
          <w:tcPr>
            <w:tcW w:w="2109" w:type="dxa"/>
          </w:tcPr>
          <w:p w14:paraId="78C18B90"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Mean difference and lower limit of CI exceeded MCID (statistical and clinical significance) </w:t>
            </w:r>
          </w:p>
        </w:tc>
      </w:tr>
      <w:tr w:rsidR="00626199" w:rsidRPr="00DA3918" w14:paraId="449A79CC" w14:textId="77777777" w:rsidTr="00AE4C08">
        <w:trPr>
          <w:trHeight w:val="722"/>
        </w:trPr>
        <w:tc>
          <w:tcPr>
            <w:tcW w:w="1765" w:type="dxa"/>
          </w:tcPr>
          <w:p w14:paraId="00BF0665"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ED presentations </w:t>
            </w:r>
          </w:p>
        </w:tc>
        <w:tc>
          <w:tcPr>
            <w:tcW w:w="1800" w:type="dxa"/>
          </w:tcPr>
          <w:p w14:paraId="3B650032"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665 PR / 1228 control </w:t>
            </w:r>
          </w:p>
        </w:tc>
        <w:tc>
          <w:tcPr>
            <w:tcW w:w="1761" w:type="dxa"/>
          </w:tcPr>
          <w:p w14:paraId="2CC55E26" w14:textId="77777777" w:rsidR="00626199" w:rsidRDefault="00626199" w:rsidP="00626199">
            <w:pPr>
              <w:pStyle w:val="Default"/>
              <w:rPr>
                <w:rFonts w:ascii="Arial" w:hAnsi="Arial" w:cs="Arial"/>
                <w:color w:val="C00000"/>
                <w:sz w:val="20"/>
                <w:szCs w:val="16"/>
              </w:rPr>
            </w:pPr>
            <w:r w:rsidRPr="00626199">
              <w:rPr>
                <w:rFonts w:ascii="Cambria Math" w:hAnsi="Cambria Math" w:cs="Cambria Math"/>
                <w:color w:val="00B050"/>
                <w:sz w:val="20"/>
                <w:szCs w:val="16"/>
              </w:rPr>
              <w:t>⨁</w:t>
            </w:r>
            <w:r w:rsidRPr="00626199">
              <w:rPr>
                <w:rFonts w:ascii="Cambria Math" w:hAnsi="Cambria Math" w:cs="Cambria Math"/>
                <w:color w:val="C00000"/>
                <w:sz w:val="20"/>
                <w:szCs w:val="16"/>
              </w:rPr>
              <w:t>⨀⨀⨀</w:t>
            </w:r>
            <w:r w:rsidRPr="00626199">
              <w:rPr>
                <w:rFonts w:ascii="Arial" w:hAnsi="Arial" w:cs="Arial"/>
                <w:color w:val="C00000"/>
                <w:sz w:val="20"/>
                <w:szCs w:val="16"/>
              </w:rPr>
              <w:t xml:space="preserve"> </w:t>
            </w:r>
          </w:p>
          <w:p w14:paraId="2AB9B0E5" w14:textId="77777777" w:rsidR="00626199" w:rsidRPr="004A38D6" w:rsidRDefault="00626199" w:rsidP="00626199">
            <w:pPr>
              <w:pStyle w:val="Default"/>
              <w:rPr>
                <w:rFonts w:ascii="Arial" w:hAnsi="Arial" w:cs="Arial"/>
                <w:color w:val="C00000"/>
                <w:sz w:val="20"/>
                <w:szCs w:val="16"/>
              </w:rPr>
            </w:pPr>
            <w:r w:rsidRPr="00626199">
              <w:rPr>
                <w:rFonts w:ascii="Arial Narrow" w:hAnsi="Arial Narrow" w:cs="Arial"/>
                <w:b/>
                <w:bCs/>
                <w:sz w:val="20"/>
                <w:szCs w:val="16"/>
              </w:rPr>
              <w:t>Very low</w:t>
            </w:r>
          </w:p>
        </w:tc>
        <w:tc>
          <w:tcPr>
            <w:tcW w:w="1745" w:type="dxa"/>
          </w:tcPr>
          <w:p w14:paraId="30C419E8"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-0.58 (-1.61, 0.44) </w:t>
            </w:r>
          </w:p>
        </w:tc>
        <w:tc>
          <w:tcPr>
            <w:tcW w:w="2109" w:type="dxa"/>
          </w:tcPr>
          <w:p w14:paraId="6E22B584" w14:textId="360F5101" w:rsidR="00626199" w:rsidRPr="00F11FDB" w:rsidRDefault="00AA4E30" w:rsidP="00932F85">
            <w:pPr>
              <w:pStyle w:val="Default"/>
              <w:rPr>
                <w:rFonts w:ascii="Arial Narrow" w:hAnsi="Arial Narrow"/>
                <w:sz w:val="20"/>
                <w:szCs w:val="20"/>
              </w:rPr>
            </w:pPr>
            <w:r w:rsidRPr="00F11FDB">
              <w:rPr>
                <w:rFonts w:ascii="Arial Narrow" w:hAnsi="Arial Narrow"/>
                <w:sz w:val="20"/>
                <w:szCs w:val="20"/>
              </w:rPr>
              <w:t>Mean difference was not statistically significant. No MCID provided</w:t>
            </w:r>
            <w:r w:rsidR="00932F85" w:rsidRPr="00F11FDB">
              <w:rPr>
                <w:rFonts w:ascii="Arial Narrow" w:hAnsi="Arial Narrow"/>
                <w:sz w:val="20"/>
                <w:szCs w:val="20"/>
              </w:rPr>
              <w:t xml:space="preserve"> for this outcome</w:t>
            </w:r>
            <w:r w:rsidRPr="00F11FDB">
              <w:rPr>
                <w:rFonts w:ascii="Arial Narrow" w:hAnsi="Arial Narrow"/>
                <w:sz w:val="20"/>
                <w:szCs w:val="20"/>
              </w:rPr>
              <w:t xml:space="preserve">. </w:t>
            </w:r>
          </w:p>
        </w:tc>
      </w:tr>
      <w:tr w:rsidR="00626199" w:rsidRPr="00DA3918" w14:paraId="0ECE8701" w14:textId="77777777" w:rsidTr="00AE4C08">
        <w:trPr>
          <w:trHeight w:val="751"/>
        </w:trPr>
        <w:tc>
          <w:tcPr>
            <w:tcW w:w="1765" w:type="dxa"/>
          </w:tcPr>
          <w:p w14:paraId="753F4FDD"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Hospital admissions </w:t>
            </w:r>
          </w:p>
        </w:tc>
        <w:tc>
          <w:tcPr>
            <w:tcW w:w="1800" w:type="dxa"/>
          </w:tcPr>
          <w:p w14:paraId="18E7B970"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665 PR / 1228 control </w:t>
            </w:r>
          </w:p>
        </w:tc>
        <w:tc>
          <w:tcPr>
            <w:tcW w:w="1761" w:type="dxa"/>
          </w:tcPr>
          <w:p w14:paraId="0CC1C3C0" w14:textId="77777777" w:rsidR="00626199" w:rsidRDefault="00626199" w:rsidP="00626199">
            <w:pPr>
              <w:pStyle w:val="Default"/>
              <w:rPr>
                <w:rFonts w:ascii="Arial" w:hAnsi="Arial" w:cs="Arial"/>
                <w:color w:val="C00000"/>
                <w:sz w:val="20"/>
                <w:szCs w:val="16"/>
              </w:rPr>
            </w:pPr>
            <w:r w:rsidRPr="00626199">
              <w:rPr>
                <w:rFonts w:ascii="Cambria Math" w:hAnsi="Cambria Math" w:cs="Cambria Math"/>
                <w:color w:val="00B050"/>
                <w:sz w:val="20"/>
                <w:szCs w:val="16"/>
              </w:rPr>
              <w:t>⨁</w:t>
            </w:r>
            <w:r w:rsidRPr="00626199">
              <w:rPr>
                <w:rFonts w:ascii="Cambria Math" w:hAnsi="Cambria Math" w:cs="Cambria Math"/>
                <w:color w:val="C00000"/>
                <w:sz w:val="20"/>
                <w:szCs w:val="16"/>
              </w:rPr>
              <w:t>⨀⨀⨀</w:t>
            </w:r>
            <w:r w:rsidRPr="00626199">
              <w:rPr>
                <w:rFonts w:ascii="Arial" w:hAnsi="Arial" w:cs="Arial"/>
                <w:color w:val="C00000"/>
                <w:sz w:val="20"/>
                <w:szCs w:val="16"/>
              </w:rPr>
              <w:t xml:space="preserve"> </w:t>
            </w:r>
          </w:p>
          <w:p w14:paraId="007F49DC" w14:textId="77777777" w:rsidR="00626199" w:rsidRDefault="00626199" w:rsidP="00626199">
            <w:r w:rsidRPr="00626199">
              <w:rPr>
                <w:rFonts w:ascii="Arial Narrow" w:hAnsi="Arial Narrow" w:cs="Arial"/>
                <w:b/>
                <w:bCs/>
                <w:sz w:val="20"/>
                <w:szCs w:val="16"/>
              </w:rPr>
              <w:t>Very low</w:t>
            </w:r>
          </w:p>
        </w:tc>
        <w:tc>
          <w:tcPr>
            <w:tcW w:w="1745" w:type="dxa"/>
          </w:tcPr>
          <w:p w14:paraId="2E413DBC"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-0.62 (-1.60, 0.36) </w:t>
            </w:r>
          </w:p>
        </w:tc>
        <w:tc>
          <w:tcPr>
            <w:tcW w:w="2109" w:type="dxa"/>
          </w:tcPr>
          <w:p w14:paraId="17EA33B6" w14:textId="68A754A9" w:rsidR="00626199" w:rsidRPr="00F11FDB" w:rsidRDefault="00932F85" w:rsidP="00AA4E30">
            <w:pPr>
              <w:pStyle w:val="Default"/>
              <w:rPr>
                <w:rFonts w:ascii="Arial Narrow" w:hAnsi="Arial Narrow"/>
                <w:sz w:val="20"/>
                <w:szCs w:val="20"/>
              </w:rPr>
            </w:pPr>
            <w:r w:rsidRPr="00F11FDB">
              <w:rPr>
                <w:rFonts w:ascii="Arial Narrow" w:hAnsi="Arial Narrow"/>
                <w:sz w:val="20"/>
                <w:szCs w:val="20"/>
              </w:rPr>
              <w:t>Mean difference was not statistically significant. No MCID provided for this outcome</w:t>
            </w:r>
            <w:r w:rsidRPr="00F11FDB" w:rsidDel="00AA4E30">
              <w:rPr>
                <w:rFonts w:ascii="Arial Narrow" w:hAnsi="Arial Narrow"/>
                <w:sz w:val="20"/>
                <w:szCs w:val="20"/>
              </w:rPr>
              <w:t xml:space="preserve"> </w:t>
            </w:r>
            <w:r w:rsidR="00626199" w:rsidRPr="00F11FDB">
              <w:rPr>
                <w:rFonts w:ascii="Arial Narrow" w:hAnsi="Arial Narrow"/>
                <w:sz w:val="20"/>
                <w:szCs w:val="20"/>
              </w:rPr>
              <w:t xml:space="preserve"> </w:t>
            </w:r>
          </w:p>
        </w:tc>
      </w:tr>
      <w:tr w:rsidR="00626199" w:rsidRPr="00DA3918" w14:paraId="65B581A2" w14:textId="77777777" w:rsidTr="00AE4C08">
        <w:trPr>
          <w:trHeight w:val="779"/>
        </w:trPr>
        <w:tc>
          <w:tcPr>
            <w:tcW w:w="1765" w:type="dxa"/>
          </w:tcPr>
          <w:p w14:paraId="241DDDD6"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Hospital length of stay </w:t>
            </w:r>
          </w:p>
        </w:tc>
        <w:tc>
          <w:tcPr>
            <w:tcW w:w="1800" w:type="dxa"/>
          </w:tcPr>
          <w:p w14:paraId="28D419DF"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145 PR / 136 control </w:t>
            </w:r>
          </w:p>
        </w:tc>
        <w:tc>
          <w:tcPr>
            <w:tcW w:w="1761" w:type="dxa"/>
          </w:tcPr>
          <w:p w14:paraId="6BF147E7" w14:textId="77777777" w:rsidR="00626199" w:rsidRDefault="00626199" w:rsidP="00626199">
            <w:pPr>
              <w:pStyle w:val="Default"/>
              <w:rPr>
                <w:rFonts w:ascii="Arial" w:hAnsi="Arial" w:cs="Arial"/>
                <w:color w:val="C00000"/>
                <w:sz w:val="20"/>
                <w:szCs w:val="16"/>
              </w:rPr>
            </w:pPr>
            <w:r w:rsidRPr="00626199">
              <w:rPr>
                <w:rFonts w:ascii="Cambria Math" w:hAnsi="Cambria Math" w:cs="Cambria Math"/>
                <w:color w:val="00B050"/>
                <w:sz w:val="20"/>
                <w:szCs w:val="16"/>
              </w:rPr>
              <w:t>⨁</w:t>
            </w:r>
            <w:r w:rsidRPr="00626199">
              <w:rPr>
                <w:rFonts w:ascii="Cambria Math" w:hAnsi="Cambria Math" w:cs="Cambria Math"/>
                <w:color w:val="C00000"/>
                <w:sz w:val="20"/>
                <w:szCs w:val="16"/>
              </w:rPr>
              <w:t>⨀⨀⨀</w:t>
            </w:r>
            <w:r w:rsidRPr="00626199">
              <w:rPr>
                <w:rFonts w:ascii="Arial" w:hAnsi="Arial" w:cs="Arial"/>
                <w:color w:val="C00000"/>
                <w:sz w:val="20"/>
                <w:szCs w:val="16"/>
              </w:rPr>
              <w:t xml:space="preserve"> </w:t>
            </w:r>
          </w:p>
          <w:p w14:paraId="226060D8" w14:textId="77777777" w:rsidR="00626199" w:rsidRPr="004A38D6" w:rsidRDefault="00626199" w:rsidP="00626199">
            <w:pPr>
              <w:pStyle w:val="Default"/>
              <w:rPr>
                <w:rFonts w:ascii="Arial" w:hAnsi="Arial" w:cs="Arial"/>
                <w:color w:val="C00000"/>
                <w:sz w:val="20"/>
                <w:szCs w:val="16"/>
              </w:rPr>
            </w:pPr>
            <w:r w:rsidRPr="00626199">
              <w:rPr>
                <w:rFonts w:ascii="Arial Narrow" w:hAnsi="Arial Narrow" w:cs="Arial"/>
                <w:b/>
                <w:bCs/>
                <w:sz w:val="20"/>
                <w:szCs w:val="16"/>
              </w:rPr>
              <w:t>Very low</w:t>
            </w:r>
          </w:p>
        </w:tc>
        <w:tc>
          <w:tcPr>
            <w:tcW w:w="1745" w:type="dxa"/>
          </w:tcPr>
          <w:p w14:paraId="666FFA56" w14:textId="77777777" w:rsidR="00626199" w:rsidRPr="00626199" w:rsidRDefault="00626199">
            <w:pPr>
              <w:pStyle w:val="Default"/>
              <w:rPr>
                <w:rFonts w:ascii="Arial Narrow" w:hAnsi="Arial Narrow"/>
                <w:sz w:val="20"/>
                <w:szCs w:val="20"/>
              </w:rPr>
            </w:pPr>
            <w:r w:rsidRPr="00626199">
              <w:rPr>
                <w:rFonts w:ascii="Arial Narrow" w:hAnsi="Arial Narrow"/>
                <w:sz w:val="20"/>
                <w:szCs w:val="20"/>
              </w:rPr>
              <w:t xml:space="preserve">-5.32 (-15.52, 4.88) </w:t>
            </w:r>
          </w:p>
        </w:tc>
        <w:tc>
          <w:tcPr>
            <w:tcW w:w="2109" w:type="dxa"/>
          </w:tcPr>
          <w:p w14:paraId="70E39419" w14:textId="35289D63" w:rsidR="00626199" w:rsidRPr="00F11FDB" w:rsidRDefault="00932F85" w:rsidP="00AA4E30">
            <w:pPr>
              <w:pStyle w:val="Default"/>
              <w:rPr>
                <w:rFonts w:ascii="Arial Narrow" w:hAnsi="Arial Narrow"/>
                <w:sz w:val="20"/>
                <w:szCs w:val="20"/>
              </w:rPr>
            </w:pPr>
            <w:r w:rsidRPr="00F11FDB">
              <w:rPr>
                <w:rFonts w:ascii="Arial Narrow" w:hAnsi="Arial Narrow"/>
                <w:sz w:val="20"/>
                <w:szCs w:val="20"/>
              </w:rPr>
              <w:t>Mean difference was not statistically significant. No MCID provided for this outcome</w:t>
            </w:r>
            <w:r w:rsidRPr="00F11FDB" w:rsidDel="00AA4E30">
              <w:rPr>
                <w:rFonts w:ascii="Arial Narrow" w:hAnsi="Arial Narrow"/>
                <w:sz w:val="20"/>
                <w:szCs w:val="20"/>
              </w:rPr>
              <w:t xml:space="preserve"> </w:t>
            </w:r>
            <w:r w:rsidR="00626199" w:rsidRPr="00F11FDB">
              <w:rPr>
                <w:rFonts w:ascii="Arial Narrow" w:hAnsi="Arial Narrow"/>
                <w:sz w:val="20"/>
                <w:szCs w:val="20"/>
              </w:rPr>
              <w:t xml:space="preserve"> </w:t>
            </w:r>
          </w:p>
        </w:tc>
      </w:tr>
    </w:tbl>
    <w:p w14:paraId="7F3B1C1C" w14:textId="77777777" w:rsidR="001E611F" w:rsidRPr="00F11FDB" w:rsidRDefault="001E611F" w:rsidP="00CF70FE">
      <w:pPr>
        <w:rPr>
          <w:rFonts w:ascii="Arial Narrow" w:hAnsi="Arial Narrow" w:cs="Arial"/>
          <w:sz w:val="18"/>
          <w:szCs w:val="16"/>
        </w:rPr>
      </w:pPr>
      <w:r w:rsidRPr="001622C9">
        <w:rPr>
          <w:rFonts w:ascii="Arial Narrow" w:hAnsi="Arial Narrow" w:cs="Arial"/>
          <w:snapToGrid w:val="0"/>
          <w:sz w:val="18"/>
          <w:szCs w:val="16"/>
        </w:rPr>
        <w:t xml:space="preserve">6MWT = 6-minute walk test; </w:t>
      </w:r>
      <w:r>
        <w:rPr>
          <w:rFonts w:ascii="Arial Narrow" w:hAnsi="Arial Narrow" w:cs="Arial"/>
          <w:snapToGrid w:val="0"/>
          <w:sz w:val="18"/>
          <w:szCs w:val="16"/>
        </w:rPr>
        <w:t xml:space="preserve">ED = Emergency Department; </w:t>
      </w:r>
      <w:r w:rsidR="00623EBD">
        <w:rPr>
          <w:rFonts w:ascii="Arial Narrow" w:hAnsi="Arial Narrow" w:cs="Arial"/>
          <w:snapToGrid w:val="0"/>
          <w:sz w:val="18"/>
          <w:szCs w:val="16"/>
        </w:rPr>
        <w:t xml:space="preserve">CI = confidence interval; </w:t>
      </w:r>
      <w:r w:rsidRPr="001622C9">
        <w:rPr>
          <w:rFonts w:ascii="Arial Narrow" w:hAnsi="Arial Narrow" w:cs="Arial"/>
          <w:snapToGrid w:val="0"/>
          <w:sz w:val="18"/>
          <w:szCs w:val="16"/>
        </w:rPr>
        <w:t xml:space="preserve">CRQ = Chronic Respiratory Disease Questionnaire; </w:t>
      </w:r>
      <w:r>
        <w:rPr>
          <w:rFonts w:ascii="Arial Narrow" w:hAnsi="Arial Narrow" w:cs="Arial"/>
          <w:snapToGrid w:val="0"/>
          <w:sz w:val="18"/>
          <w:szCs w:val="16"/>
        </w:rPr>
        <w:t xml:space="preserve">MCID = </w:t>
      </w:r>
      <w:r w:rsidRPr="001622C9">
        <w:rPr>
          <w:rFonts w:ascii="Arial Narrow" w:hAnsi="Arial Narrow"/>
          <w:snapToGrid w:val="0"/>
          <w:sz w:val="20"/>
        </w:rPr>
        <w:t xml:space="preserve">minimal </w:t>
      </w:r>
      <w:r>
        <w:rPr>
          <w:rFonts w:ascii="Arial Narrow" w:hAnsi="Arial Narrow"/>
          <w:snapToGrid w:val="0"/>
          <w:sz w:val="20"/>
        </w:rPr>
        <w:t xml:space="preserve">clinically important difference; </w:t>
      </w:r>
      <w:r w:rsidRPr="001622C9">
        <w:rPr>
          <w:rFonts w:ascii="Arial Narrow" w:hAnsi="Arial Narrow" w:cs="Arial"/>
          <w:snapToGrid w:val="0"/>
          <w:sz w:val="18"/>
          <w:szCs w:val="16"/>
        </w:rPr>
        <w:t>SGRQ = St George’s Respiratory Questionnaire</w:t>
      </w:r>
    </w:p>
    <w:p w14:paraId="682C5974" w14:textId="66FEDEA8" w:rsidR="005E5E09" w:rsidRPr="00480EA7" w:rsidRDefault="00CF70FE" w:rsidP="00480EA7">
      <w:pPr>
        <w:spacing w:after="240"/>
        <w:rPr>
          <w:rFonts w:ascii="Arial Narrow" w:hAnsi="Arial Narrow" w:cs="Arial"/>
          <w:sz w:val="18"/>
          <w:szCs w:val="16"/>
        </w:rPr>
      </w:pPr>
      <w:proofErr w:type="gramStart"/>
      <w:r w:rsidRPr="00AC2CEB">
        <w:rPr>
          <w:rFonts w:ascii="Arial Narrow" w:hAnsi="Arial Narrow" w:cs="Arial"/>
          <w:sz w:val="18"/>
          <w:szCs w:val="16"/>
          <w:vertAlign w:val="superscript"/>
        </w:rPr>
        <w:t>a</w:t>
      </w:r>
      <w:proofErr w:type="gramEnd"/>
      <w:r w:rsidRPr="00AC2CEB">
        <w:rPr>
          <w:rFonts w:ascii="Arial Narrow" w:hAnsi="Arial Narrow" w:cs="Arial"/>
          <w:sz w:val="18"/>
          <w:szCs w:val="16"/>
          <w:vertAlign w:val="superscript"/>
        </w:rPr>
        <w:t xml:space="preserve"> </w:t>
      </w:r>
      <w:r w:rsidRPr="00AC2CEB">
        <w:rPr>
          <w:rFonts w:ascii="Arial Narrow" w:hAnsi="Arial Narrow" w:cs="Arial"/>
          <w:sz w:val="18"/>
          <w:szCs w:val="16"/>
        </w:rPr>
        <w:t>GRADE Working Group grades of evidence (</w:t>
      </w:r>
      <w:proofErr w:type="spellStart"/>
      <w:r w:rsidRPr="00AC2CEB">
        <w:rPr>
          <w:rFonts w:ascii="Arial Narrow" w:hAnsi="Arial Narrow" w:cs="Arial"/>
          <w:sz w:val="18"/>
          <w:szCs w:val="16"/>
        </w:rPr>
        <w:t>Guyatt</w:t>
      </w:r>
      <w:proofErr w:type="spellEnd"/>
      <w:r w:rsidRPr="00AC2CEB">
        <w:rPr>
          <w:rFonts w:ascii="Arial Narrow" w:hAnsi="Arial Narrow" w:cs="Arial"/>
          <w:sz w:val="18"/>
          <w:szCs w:val="16"/>
        </w:rPr>
        <w:t xml:space="preserve"> et al., 2013)</w:t>
      </w:r>
      <w:r w:rsidRPr="00AC2CEB">
        <w:rPr>
          <w:rFonts w:ascii="Arial Narrow" w:hAnsi="Arial Narrow" w:cs="Arial"/>
          <w:sz w:val="18"/>
          <w:szCs w:val="16"/>
        </w:rPr>
        <w:br/>
      </w:r>
      <w:r w:rsidRPr="00AC2CEB">
        <w:rPr>
          <w:rFonts w:ascii="Cambria Math" w:hAnsi="Cambria Math" w:cs="Cambria Math"/>
          <w:color w:val="00B050"/>
          <w:sz w:val="18"/>
          <w:szCs w:val="16"/>
        </w:rPr>
        <w:t>⨁⨁⨁⨁</w:t>
      </w:r>
      <w:r w:rsidRPr="00AC2CEB">
        <w:rPr>
          <w:rFonts w:ascii="Arial Narrow" w:hAnsi="Arial Narrow" w:cs="Arial"/>
          <w:color w:val="00B050"/>
          <w:sz w:val="18"/>
          <w:szCs w:val="16"/>
        </w:rPr>
        <w:t xml:space="preserve"> </w:t>
      </w:r>
      <w:r w:rsidRPr="00AC2CEB">
        <w:rPr>
          <w:rFonts w:ascii="Arial Narrow" w:hAnsi="Arial Narrow" w:cs="Arial"/>
          <w:b/>
          <w:bCs/>
          <w:sz w:val="18"/>
          <w:szCs w:val="16"/>
        </w:rPr>
        <w:t>High quality:</w:t>
      </w:r>
      <w:r w:rsidRPr="00AC2CEB">
        <w:rPr>
          <w:rFonts w:ascii="Arial Narrow" w:hAnsi="Arial Narrow" w:cs="Arial"/>
          <w:sz w:val="18"/>
          <w:szCs w:val="16"/>
        </w:rPr>
        <w:t xml:space="preserve"> We are very confident that the true effect lies close to that of the estimated effect. </w:t>
      </w:r>
      <w:r w:rsidRPr="00AC2CEB">
        <w:rPr>
          <w:rFonts w:ascii="Arial Narrow" w:hAnsi="Arial Narrow" w:cs="Arial"/>
          <w:sz w:val="18"/>
          <w:szCs w:val="16"/>
        </w:rPr>
        <w:br/>
      </w:r>
      <w:r w:rsidRPr="00AC2CEB">
        <w:rPr>
          <w:rFonts w:ascii="Cambria Math" w:hAnsi="Cambria Math" w:cs="Cambria Math"/>
          <w:color w:val="00B050"/>
          <w:sz w:val="18"/>
          <w:szCs w:val="16"/>
        </w:rPr>
        <w:t>⨁⨁⨁</w:t>
      </w:r>
      <w:r w:rsidRPr="00AC2CEB">
        <w:rPr>
          <w:rFonts w:ascii="Cambria Math" w:hAnsi="Cambria Math" w:cs="Cambria Math"/>
          <w:color w:val="C00000"/>
          <w:sz w:val="18"/>
          <w:szCs w:val="16"/>
        </w:rPr>
        <w:t>⨀</w:t>
      </w:r>
      <w:r w:rsidRPr="00AC2CEB">
        <w:rPr>
          <w:rFonts w:ascii="Arial Narrow" w:hAnsi="Arial Narrow" w:cs="Arial"/>
          <w:color w:val="C00000"/>
          <w:sz w:val="18"/>
          <w:szCs w:val="16"/>
        </w:rPr>
        <w:t xml:space="preserve"> </w:t>
      </w:r>
      <w:r w:rsidRPr="00AC2CEB">
        <w:rPr>
          <w:rFonts w:ascii="Arial Narrow" w:hAnsi="Arial Narrow" w:cs="Arial"/>
          <w:b/>
          <w:bCs/>
          <w:sz w:val="18"/>
          <w:szCs w:val="16"/>
        </w:rPr>
        <w:t>Moderate quality:</w:t>
      </w:r>
      <w:r w:rsidRPr="00AC2CEB">
        <w:rPr>
          <w:rFonts w:ascii="Arial Narrow" w:hAnsi="Arial Narrow" w:cs="Arial"/>
          <w:sz w:val="18"/>
          <w:szCs w:val="16"/>
        </w:rPr>
        <w:t xml:space="preserve"> We are moderately confident in the effect estimate: The true effect is likely to be close to the estimated effect, but there is a possibility that it is substantially different. </w:t>
      </w:r>
      <w:r w:rsidRPr="00AC2CEB">
        <w:rPr>
          <w:rFonts w:ascii="Arial Narrow" w:hAnsi="Arial Narrow" w:cs="Arial"/>
          <w:sz w:val="18"/>
          <w:szCs w:val="16"/>
        </w:rPr>
        <w:br/>
      </w:r>
      <w:r w:rsidRPr="00AC2CEB">
        <w:rPr>
          <w:rFonts w:ascii="Cambria Math" w:hAnsi="Cambria Math" w:cs="Cambria Math"/>
          <w:color w:val="00B050"/>
          <w:sz w:val="18"/>
          <w:szCs w:val="16"/>
        </w:rPr>
        <w:t>⨁⨁</w:t>
      </w:r>
      <w:r w:rsidRPr="00AC2CEB">
        <w:rPr>
          <w:rFonts w:ascii="Cambria Math" w:hAnsi="Cambria Math" w:cs="Cambria Math"/>
          <w:color w:val="C00000"/>
          <w:sz w:val="18"/>
          <w:szCs w:val="16"/>
        </w:rPr>
        <w:t>⨀⨀</w:t>
      </w:r>
      <w:r w:rsidRPr="00AC2CEB">
        <w:rPr>
          <w:rFonts w:ascii="Arial Narrow" w:hAnsi="Arial Narrow" w:cs="Arial"/>
          <w:color w:val="C00000"/>
          <w:sz w:val="18"/>
          <w:szCs w:val="16"/>
        </w:rPr>
        <w:t xml:space="preserve"> </w:t>
      </w:r>
      <w:r w:rsidRPr="00AC2CEB">
        <w:rPr>
          <w:rFonts w:ascii="Arial Narrow" w:hAnsi="Arial Narrow" w:cs="Arial"/>
          <w:b/>
          <w:bCs/>
          <w:sz w:val="18"/>
          <w:szCs w:val="16"/>
        </w:rPr>
        <w:t>Low quality:</w:t>
      </w:r>
      <w:r w:rsidRPr="00AC2CEB">
        <w:rPr>
          <w:rFonts w:ascii="Arial Narrow" w:hAnsi="Arial Narrow" w:cs="Arial"/>
          <w:sz w:val="18"/>
          <w:szCs w:val="16"/>
        </w:rPr>
        <w:t xml:space="preserve"> Our confidence in the effect estimate is limited: The true effect may be substantially different from the estimated effect.</w:t>
      </w:r>
      <w:r w:rsidRPr="00AC2CEB">
        <w:rPr>
          <w:rFonts w:ascii="Arial Narrow" w:hAnsi="Arial Narrow" w:cs="Arial"/>
          <w:sz w:val="18"/>
          <w:szCs w:val="16"/>
        </w:rPr>
        <w:br/>
      </w:r>
      <w:r w:rsidRPr="00AC2CEB">
        <w:rPr>
          <w:rFonts w:ascii="Cambria Math" w:hAnsi="Cambria Math" w:cs="Cambria Math"/>
          <w:color w:val="00B050"/>
          <w:sz w:val="18"/>
          <w:szCs w:val="16"/>
        </w:rPr>
        <w:t>⨁</w:t>
      </w:r>
      <w:r w:rsidRPr="00AC2CEB">
        <w:rPr>
          <w:rFonts w:ascii="Cambria Math" w:hAnsi="Cambria Math" w:cs="Cambria Math"/>
          <w:color w:val="C00000"/>
          <w:sz w:val="18"/>
          <w:szCs w:val="16"/>
        </w:rPr>
        <w:t>⨀⨀⨀</w:t>
      </w:r>
      <w:r w:rsidRPr="00AC2CEB">
        <w:rPr>
          <w:rFonts w:ascii="Arial Narrow" w:hAnsi="Arial Narrow" w:cs="Arial"/>
          <w:color w:val="C00000"/>
          <w:sz w:val="18"/>
          <w:szCs w:val="16"/>
        </w:rPr>
        <w:t xml:space="preserve"> </w:t>
      </w:r>
      <w:r w:rsidRPr="00AC2CEB">
        <w:rPr>
          <w:rFonts w:ascii="Arial Narrow" w:hAnsi="Arial Narrow" w:cs="Arial"/>
          <w:b/>
          <w:bCs/>
          <w:sz w:val="18"/>
          <w:szCs w:val="16"/>
        </w:rPr>
        <w:t>Very low quality:</w:t>
      </w:r>
      <w:r w:rsidRPr="00AC2CEB">
        <w:rPr>
          <w:rFonts w:ascii="Arial Narrow" w:hAnsi="Arial Narrow" w:cs="Arial"/>
          <w:sz w:val="18"/>
          <w:szCs w:val="16"/>
        </w:rPr>
        <w:t xml:space="preserve"> We have very little confidence in the effect estimate: The true effect is likely to be substantially different from the estimate of effect.</w:t>
      </w:r>
    </w:p>
    <w:p w14:paraId="0870AA62" w14:textId="77777777" w:rsidR="00954E7B" w:rsidRDefault="00954E7B" w:rsidP="00F11FDB">
      <w:pPr>
        <w:spacing w:after="120"/>
        <w:rPr>
          <w:i/>
        </w:rPr>
      </w:pPr>
      <w:r>
        <w:rPr>
          <w:i/>
        </w:rPr>
        <w:t>PR vs. usual care (ILD population)</w:t>
      </w:r>
    </w:p>
    <w:p w14:paraId="2AC2E9E2" w14:textId="79F13507" w:rsidR="00F144F0" w:rsidRPr="00480EA7" w:rsidRDefault="00CF70FE" w:rsidP="00954E7B">
      <w:proofErr w:type="gramStart"/>
      <w:r w:rsidRPr="00FF5712">
        <w:rPr>
          <w:szCs w:val="24"/>
        </w:rPr>
        <w:t>On the basis of</w:t>
      </w:r>
      <w:proofErr w:type="gramEnd"/>
      <w:r w:rsidRPr="00FF5712">
        <w:rPr>
          <w:szCs w:val="24"/>
        </w:rPr>
        <w:t xml:space="preserve"> the evidence </w:t>
      </w:r>
      <w:r w:rsidRPr="00D51AED">
        <w:rPr>
          <w:szCs w:val="24"/>
        </w:rPr>
        <w:t>profile (</w:t>
      </w:r>
      <w:r w:rsidR="00D51AED" w:rsidRPr="00D51AED">
        <w:rPr>
          <w:szCs w:val="24"/>
        </w:rPr>
        <w:fldChar w:fldCharType="begin"/>
      </w:r>
      <w:r w:rsidR="00D51AED" w:rsidRPr="00D51AED">
        <w:rPr>
          <w:szCs w:val="24"/>
        </w:rPr>
        <w:instrText xml:space="preserve"> REF _Ref5282573 \h </w:instrText>
      </w:r>
      <w:r w:rsidR="00D51AED" w:rsidRPr="00D51AED">
        <w:rPr>
          <w:szCs w:val="24"/>
        </w:rPr>
      </w:r>
      <w:r w:rsidR="00D51AED" w:rsidRPr="00D51AED">
        <w:rPr>
          <w:szCs w:val="24"/>
        </w:rPr>
        <w:instrText xml:space="preserve"> \* MERGEFORMAT </w:instrText>
      </w:r>
      <w:r w:rsidR="00D51AED" w:rsidRPr="00D51AED">
        <w:rPr>
          <w:szCs w:val="24"/>
        </w:rPr>
        <w:fldChar w:fldCharType="separate"/>
      </w:r>
      <w:r w:rsidR="00D51AED" w:rsidRPr="00D51AED">
        <w:rPr>
          <w:szCs w:val="24"/>
        </w:rPr>
        <w:t>Tab</w:t>
      </w:r>
      <w:r w:rsidR="00D51AED" w:rsidRPr="00D51AED">
        <w:rPr>
          <w:szCs w:val="24"/>
        </w:rPr>
        <w:t>l</w:t>
      </w:r>
      <w:r w:rsidR="00D51AED" w:rsidRPr="00D51AED">
        <w:rPr>
          <w:szCs w:val="24"/>
        </w:rPr>
        <w:t xml:space="preserve">e </w:t>
      </w:r>
      <w:r w:rsidR="00D51AED" w:rsidRPr="00D51AED">
        <w:rPr>
          <w:noProof/>
          <w:szCs w:val="24"/>
        </w:rPr>
        <w:t>4</w:t>
      </w:r>
      <w:r w:rsidR="00D51AED" w:rsidRPr="00D51AED">
        <w:rPr>
          <w:szCs w:val="24"/>
        </w:rPr>
        <w:fldChar w:fldCharType="end"/>
      </w:r>
      <w:r w:rsidRPr="00D51AED">
        <w:rPr>
          <w:szCs w:val="24"/>
        </w:rPr>
        <w:t xml:space="preserve">), </w:t>
      </w:r>
      <w:r w:rsidR="00623EBD" w:rsidRPr="00D51AED">
        <w:rPr>
          <w:szCs w:val="24"/>
        </w:rPr>
        <w:t>the resubmission</w:t>
      </w:r>
      <w:r w:rsidRPr="00D51AED">
        <w:rPr>
          <w:szCs w:val="24"/>
        </w:rPr>
        <w:t xml:space="preserve"> suggested that for patients with </w:t>
      </w:r>
      <w:r w:rsidR="00623EBD" w:rsidRPr="00D51AED">
        <w:rPr>
          <w:szCs w:val="24"/>
        </w:rPr>
        <w:t>ILD</w:t>
      </w:r>
      <w:r w:rsidRPr="00D51AED">
        <w:rPr>
          <w:szCs w:val="24"/>
        </w:rPr>
        <w:t xml:space="preserve"> relative to usual care, PR has non-inferior</w:t>
      </w:r>
      <w:r w:rsidRPr="00FF5712">
        <w:rPr>
          <w:szCs w:val="24"/>
        </w:rPr>
        <w:t xml:space="preserve"> effectiveness in terms of quality of life and dyspnoea, and superior effectiveness in terms of functional exercise </w:t>
      </w:r>
      <w:r w:rsidRPr="00975230">
        <w:t>capacity.</w:t>
      </w:r>
      <w:bookmarkStart w:id="4" w:name="_Ref457824798"/>
      <w:bookmarkStart w:id="5" w:name="_Ref469481723"/>
      <w:bookmarkStart w:id="6" w:name="_Toc457928910"/>
    </w:p>
    <w:p w14:paraId="12935D3E" w14:textId="77777777" w:rsidR="00CF70FE" w:rsidRPr="00975230" w:rsidRDefault="00CF70FE" w:rsidP="00320E91">
      <w:pPr>
        <w:pStyle w:val="Caption"/>
        <w:keepNext/>
        <w:keepLines/>
        <w:rPr>
          <w:rFonts w:ascii="Arial Narrow" w:hAnsi="Arial Narrow"/>
          <w:color w:val="auto"/>
          <w:sz w:val="20"/>
          <w:szCs w:val="20"/>
        </w:rPr>
      </w:pPr>
      <w:bookmarkStart w:id="7" w:name="_Ref5282573"/>
      <w:bookmarkStart w:id="8" w:name="_GoBack"/>
      <w:bookmarkEnd w:id="8"/>
      <w:r w:rsidRPr="00975230">
        <w:rPr>
          <w:rFonts w:ascii="Arial Narrow" w:hAnsi="Arial Narrow"/>
          <w:color w:val="auto"/>
          <w:sz w:val="20"/>
          <w:szCs w:val="20"/>
        </w:rPr>
        <w:lastRenderedPageBreak/>
        <w:t xml:space="preserve">Table </w:t>
      </w:r>
      <w:r w:rsidRPr="00975230">
        <w:rPr>
          <w:rFonts w:ascii="Arial Narrow" w:hAnsi="Arial Narrow"/>
          <w:color w:val="auto"/>
          <w:sz w:val="20"/>
          <w:szCs w:val="20"/>
        </w:rPr>
        <w:fldChar w:fldCharType="begin"/>
      </w:r>
      <w:r w:rsidRPr="00975230">
        <w:rPr>
          <w:rFonts w:ascii="Arial Narrow" w:hAnsi="Arial Narrow"/>
          <w:color w:val="auto"/>
          <w:sz w:val="20"/>
          <w:szCs w:val="20"/>
        </w:rPr>
        <w:instrText xml:space="preserve"> SEQ Table \* ARABIC </w:instrText>
      </w:r>
      <w:r w:rsidRPr="00975230">
        <w:rPr>
          <w:rFonts w:ascii="Arial Narrow" w:hAnsi="Arial Narrow"/>
          <w:color w:val="auto"/>
          <w:sz w:val="20"/>
          <w:szCs w:val="20"/>
        </w:rPr>
        <w:fldChar w:fldCharType="separate"/>
      </w:r>
      <w:r w:rsidR="00EC58AB">
        <w:rPr>
          <w:rFonts w:ascii="Arial Narrow" w:hAnsi="Arial Narrow"/>
          <w:noProof/>
          <w:color w:val="auto"/>
          <w:sz w:val="20"/>
          <w:szCs w:val="20"/>
        </w:rPr>
        <w:t>4</w:t>
      </w:r>
      <w:r w:rsidRPr="00975230">
        <w:rPr>
          <w:rFonts w:ascii="Arial Narrow" w:hAnsi="Arial Narrow"/>
          <w:color w:val="auto"/>
          <w:sz w:val="20"/>
          <w:szCs w:val="20"/>
        </w:rPr>
        <w:fldChar w:fldCharType="end"/>
      </w:r>
      <w:bookmarkEnd w:id="4"/>
      <w:bookmarkEnd w:id="5"/>
      <w:bookmarkEnd w:id="7"/>
      <w:r w:rsidR="004A06B3">
        <w:rPr>
          <w:rFonts w:ascii="Arial Narrow" w:hAnsi="Arial Narrow"/>
          <w:noProof/>
          <w:color w:val="auto"/>
          <w:sz w:val="20"/>
          <w:szCs w:val="20"/>
        </w:rPr>
        <w:tab/>
      </w:r>
      <w:r w:rsidRPr="00975230">
        <w:rPr>
          <w:rFonts w:ascii="Arial Narrow" w:hAnsi="Arial Narrow"/>
          <w:snapToGrid w:val="0"/>
          <w:color w:val="auto"/>
          <w:sz w:val="20"/>
          <w:szCs w:val="20"/>
        </w:rPr>
        <w:t xml:space="preserve">Balance of clinical benefits and harms of pulmonary rehabilitation, relative to usual care, and as measured by the </w:t>
      </w:r>
      <w:r w:rsidRPr="00975230">
        <w:rPr>
          <w:rFonts w:ascii="Arial Narrow" w:hAnsi="Arial Narrow"/>
          <w:snapToGrid w:val="0"/>
          <w:color w:val="auto"/>
          <w:sz w:val="20"/>
          <w:szCs w:val="20"/>
          <w:u w:val="single"/>
        </w:rPr>
        <w:t>critical</w:t>
      </w:r>
      <w:r w:rsidRPr="00975230">
        <w:rPr>
          <w:rFonts w:ascii="Arial Narrow" w:hAnsi="Arial Narrow"/>
          <w:snapToGrid w:val="0"/>
          <w:color w:val="auto"/>
          <w:sz w:val="20"/>
          <w:szCs w:val="20"/>
        </w:rPr>
        <w:t xml:space="preserve"> patient-relevant outcomes in the key trials in interstitial lung disease</w:t>
      </w:r>
      <w:bookmarkEnd w:id="6"/>
    </w:p>
    <w:tbl>
      <w:tblPr>
        <w:tblStyle w:val="TableGrid"/>
        <w:tblW w:w="5000" w:type="pct"/>
        <w:tblLook w:val="04A0" w:firstRow="1" w:lastRow="0" w:firstColumn="1" w:lastColumn="0" w:noHBand="0" w:noVBand="1"/>
        <w:tblCaption w:val="Balance of clinical benefits and harms of pulmonary rehabilitation, relative to usual care, and as measured by the critical patient-relevant outcomes in the key trials in interstitial lung disease"/>
        <w:tblDescription w:val="This table outlines the balance of clinical benefits and harms of pulmonary rehabilitation, relative to usual care, and as measured by the critical patient-relevant outcomes in the key studies in interstitial lung disease."/>
      </w:tblPr>
      <w:tblGrid>
        <w:gridCol w:w="1551"/>
        <w:gridCol w:w="1952"/>
        <w:gridCol w:w="913"/>
        <w:gridCol w:w="1788"/>
        <w:gridCol w:w="2812"/>
      </w:tblGrid>
      <w:tr w:rsidR="00626199" w:rsidRPr="001622C9" w14:paraId="6F3290B5" w14:textId="77777777" w:rsidTr="00AE4C08">
        <w:trPr>
          <w:trHeight w:val="848"/>
          <w:tblHeader/>
        </w:trPr>
        <w:tc>
          <w:tcPr>
            <w:tcW w:w="677" w:type="pct"/>
          </w:tcPr>
          <w:p w14:paraId="3A6CDAB5" w14:textId="77777777" w:rsidR="00626199" w:rsidRPr="001622C9" w:rsidRDefault="00626199" w:rsidP="00320E91">
            <w:pPr>
              <w:pStyle w:val="TableHeading"/>
              <w:keepLines/>
              <w:ind w:left="0" w:firstLine="0"/>
              <w:jc w:val="left"/>
              <w:rPr>
                <w:rFonts w:cs="Arial"/>
              </w:rPr>
            </w:pPr>
            <w:r w:rsidRPr="001622C9">
              <w:rPr>
                <w:rFonts w:cs="Arial"/>
              </w:rPr>
              <w:t>Outcomes (units)</w:t>
            </w:r>
          </w:p>
          <w:p w14:paraId="7D0F1AA8" w14:textId="77777777" w:rsidR="00626199" w:rsidRPr="001622C9" w:rsidRDefault="00626199" w:rsidP="00320E91">
            <w:pPr>
              <w:pStyle w:val="TableHeading"/>
              <w:keepLines/>
              <w:jc w:val="left"/>
              <w:rPr>
                <w:rFonts w:cs="Arial"/>
              </w:rPr>
            </w:pPr>
            <w:r w:rsidRPr="001622C9">
              <w:rPr>
                <w:rFonts w:cs="Arial"/>
              </w:rPr>
              <w:t>Follow-up</w:t>
            </w:r>
          </w:p>
        </w:tc>
        <w:tc>
          <w:tcPr>
            <w:tcW w:w="824" w:type="pct"/>
          </w:tcPr>
          <w:p w14:paraId="477E951E" w14:textId="77777777" w:rsidR="00626199" w:rsidRPr="001622C9" w:rsidRDefault="00626199" w:rsidP="00320E91">
            <w:pPr>
              <w:pStyle w:val="TableHeading"/>
              <w:keepLines/>
              <w:ind w:left="13" w:hanging="13"/>
              <w:jc w:val="left"/>
              <w:rPr>
                <w:rFonts w:cs="Arial"/>
              </w:rPr>
            </w:pPr>
            <w:r w:rsidRPr="001622C9">
              <w:rPr>
                <w:rFonts w:cs="Arial"/>
              </w:rPr>
              <w:t>Pooled participants</w:t>
            </w:r>
          </w:p>
          <w:p w14:paraId="5E2B83ED" w14:textId="77777777" w:rsidR="00626199" w:rsidRPr="001622C9" w:rsidRDefault="00626199" w:rsidP="00320E91">
            <w:pPr>
              <w:pStyle w:val="TableHeading"/>
              <w:keepLines/>
              <w:jc w:val="left"/>
              <w:rPr>
                <w:rFonts w:cs="Arial"/>
              </w:rPr>
            </w:pPr>
            <w:r w:rsidRPr="001622C9">
              <w:rPr>
                <w:rFonts w:cs="Arial"/>
              </w:rPr>
              <w:t>(number oftrials)</w:t>
            </w:r>
          </w:p>
        </w:tc>
        <w:tc>
          <w:tcPr>
            <w:tcW w:w="676" w:type="pct"/>
          </w:tcPr>
          <w:p w14:paraId="467107BE" w14:textId="77777777" w:rsidR="00626199" w:rsidRPr="001622C9" w:rsidRDefault="00626199" w:rsidP="00320E91">
            <w:pPr>
              <w:pStyle w:val="TableHeading"/>
              <w:keepLines/>
              <w:ind w:left="-11" w:firstLine="11"/>
              <w:jc w:val="left"/>
              <w:rPr>
                <w:rFonts w:cs="Arial"/>
              </w:rPr>
            </w:pPr>
            <w:r w:rsidRPr="001622C9">
              <w:rPr>
                <w:rFonts w:cs="Arial"/>
              </w:rPr>
              <w:t>Quality of evidence</w:t>
            </w:r>
          </w:p>
          <w:p w14:paraId="7942EC65" w14:textId="77777777" w:rsidR="00626199" w:rsidRPr="001622C9" w:rsidRDefault="00626199" w:rsidP="00320E91">
            <w:pPr>
              <w:pStyle w:val="TableHeading"/>
              <w:keepLines/>
              <w:ind w:left="-11" w:firstLine="11"/>
              <w:jc w:val="left"/>
              <w:rPr>
                <w:rFonts w:cs="Arial"/>
              </w:rPr>
            </w:pPr>
            <w:r w:rsidRPr="001622C9">
              <w:rPr>
                <w:rFonts w:cs="Arial"/>
              </w:rPr>
              <w:t>(GRADE</w:t>
            </w:r>
            <w:r w:rsidRPr="001622C9">
              <w:rPr>
                <w:rFonts w:cs="Arial"/>
                <w:vertAlign w:val="superscript"/>
              </w:rPr>
              <w:t xml:space="preserve"> a</w:t>
            </w:r>
            <w:r w:rsidRPr="001622C9">
              <w:rPr>
                <w:rFonts w:cs="Arial"/>
              </w:rPr>
              <w:t>)</w:t>
            </w:r>
          </w:p>
        </w:tc>
        <w:tc>
          <w:tcPr>
            <w:tcW w:w="726" w:type="pct"/>
          </w:tcPr>
          <w:p w14:paraId="1773DFDF" w14:textId="77777777" w:rsidR="00626199" w:rsidRPr="001622C9" w:rsidRDefault="00626199" w:rsidP="00320E91">
            <w:pPr>
              <w:pStyle w:val="TableHeading"/>
              <w:keepLines/>
              <w:jc w:val="left"/>
              <w:rPr>
                <w:rFonts w:cs="Arial"/>
              </w:rPr>
            </w:pPr>
            <w:r w:rsidRPr="001622C9">
              <w:rPr>
                <w:rFonts w:cs="Arial"/>
              </w:rPr>
              <w:t>Relative effect</w:t>
            </w:r>
          </w:p>
          <w:p w14:paraId="5360272E" w14:textId="77777777" w:rsidR="00626199" w:rsidRPr="001622C9" w:rsidRDefault="00626199" w:rsidP="00320E91">
            <w:pPr>
              <w:pStyle w:val="TableHeading"/>
              <w:keepLines/>
              <w:ind w:left="0" w:firstLine="0"/>
              <w:jc w:val="left"/>
              <w:rPr>
                <w:rFonts w:cs="Arial"/>
              </w:rPr>
            </w:pPr>
            <w:r w:rsidRPr="001622C9">
              <w:rPr>
                <w:rFonts w:cs="Arial"/>
              </w:rPr>
              <w:t>(95%CI)</w:t>
            </w:r>
          </w:p>
        </w:tc>
        <w:tc>
          <w:tcPr>
            <w:tcW w:w="2097" w:type="pct"/>
          </w:tcPr>
          <w:p w14:paraId="2ACC0041" w14:textId="77777777" w:rsidR="00626199" w:rsidRPr="001622C9" w:rsidRDefault="00626199" w:rsidP="00320E91">
            <w:pPr>
              <w:pStyle w:val="TableHeading"/>
              <w:keepLines/>
              <w:ind w:left="0" w:firstLine="0"/>
              <w:jc w:val="left"/>
              <w:rPr>
                <w:rFonts w:cs="Arial"/>
              </w:rPr>
            </w:pPr>
            <w:r w:rsidRPr="001622C9">
              <w:rPr>
                <w:rFonts w:cs="Arial"/>
              </w:rPr>
              <w:t>Comments</w:t>
            </w:r>
          </w:p>
        </w:tc>
      </w:tr>
      <w:tr w:rsidR="00626199" w:rsidRPr="001622C9" w14:paraId="7821195E" w14:textId="77777777" w:rsidTr="00AE4C08">
        <w:trPr>
          <w:trHeight w:val="808"/>
        </w:trPr>
        <w:tc>
          <w:tcPr>
            <w:tcW w:w="677" w:type="pct"/>
          </w:tcPr>
          <w:p w14:paraId="01E65A75" w14:textId="77777777" w:rsidR="00626199" w:rsidRPr="001622C9" w:rsidRDefault="00626199" w:rsidP="001622C9">
            <w:pPr>
              <w:pStyle w:val="Tabletext"/>
            </w:pPr>
            <w:r w:rsidRPr="001622C9">
              <w:t xml:space="preserve">SGRQ - Total </w:t>
            </w:r>
          </w:p>
        </w:tc>
        <w:tc>
          <w:tcPr>
            <w:tcW w:w="824" w:type="pct"/>
          </w:tcPr>
          <w:p w14:paraId="7D28E0CA" w14:textId="77777777" w:rsidR="00626199" w:rsidRPr="001622C9" w:rsidRDefault="00626199" w:rsidP="001622C9">
            <w:pPr>
              <w:pStyle w:val="Tabletext"/>
            </w:pPr>
            <w:r w:rsidRPr="001622C9">
              <w:t xml:space="preserve">40 PR / 42 Control </w:t>
            </w:r>
          </w:p>
        </w:tc>
        <w:tc>
          <w:tcPr>
            <w:tcW w:w="676" w:type="pct"/>
          </w:tcPr>
          <w:p w14:paraId="24449E9F" w14:textId="77777777" w:rsidR="00626199" w:rsidRPr="001622C9" w:rsidRDefault="00626199" w:rsidP="001622C9">
            <w:pPr>
              <w:pStyle w:val="Tabletext"/>
              <w:rPr>
                <w:rFonts w:cs="Arial"/>
                <w:color w:val="C00000"/>
                <w:szCs w:val="16"/>
              </w:rPr>
            </w:pPr>
            <w:r w:rsidRPr="001622C9">
              <w:rPr>
                <w:rFonts w:ascii="Cambria Math" w:hAnsi="Cambria Math" w:cs="Cambria Math"/>
                <w:color w:val="00B050"/>
                <w:szCs w:val="16"/>
              </w:rPr>
              <w:t>⨁</w:t>
            </w:r>
            <w:r w:rsidRPr="001622C9">
              <w:rPr>
                <w:rFonts w:ascii="Cambria Math" w:hAnsi="Cambria Math" w:cs="Cambria Math"/>
                <w:color w:val="C00000"/>
                <w:szCs w:val="16"/>
              </w:rPr>
              <w:t>⨀⨀⨀</w:t>
            </w:r>
            <w:r w:rsidRPr="001622C9">
              <w:rPr>
                <w:rFonts w:cs="Arial"/>
                <w:color w:val="C00000"/>
                <w:szCs w:val="16"/>
              </w:rPr>
              <w:t xml:space="preserve"> </w:t>
            </w:r>
          </w:p>
          <w:p w14:paraId="77860044" w14:textId="77777777" w:rsidR="00626199" w:rsidRPr="001622C9" w:rsidRDefault="00626199" w:rsidP="001622C9">
            <w:pPr>
              <w:pStyle w:val="Tabletext"/>
            </w:pPr>
            <w:r w:rsidRPr="001622C9">
              <w:rPr>
                <w:rFonts w:cs="Arial"/>
                <w:b/>
                <w:bCs/>
                <w:szCs w:val="16"/>
              </w:rPr>
              <w:t>Very low</w:t>
            </w:r>
          </w:p>
        </w:tc>
        <w:tc>
          <w:tcPr>
            <w:tcW w:w="726" w:type="pct"/>
          </w:tcPr>
          <w:p w14:paraId="6AC52DFB" w14:textId="77777777" w:rsidR="00626199" w:rsidRPr="001622C9" w:rsidRDefault="00626199" w:rsidP="001622C9">
            <w:pPr>
              <w:pStyle w:val="Tabletext"/>
            </w:pPr>
            <w:r w:rsidRPr="001622C9">
              <w:t xml:space="preserve">-12.52 (-23.19, 1.85) </w:t>
            </w:r>
          </w:p>
        </w:tc>
        <w:tc>
          <w:tcPr>
            <w:tcW w:w="2097" w:type="pct"/>
          </w:tcPr>
          <w:p w14:paraId="2981EB00" w14:textId="77777777" w:rsidR="00626199" w:rsidRPr="001622C9" w:rsidRDefault="00626199" w:rsidP="001622C9">
            <w:pPr>
              <w:pStyle w:val="Tabletext"/>
            </w:pPr>
            <w:r w:rsidRPr="001622C9">
              <w:t xml:space="preserve">Mean difference exceeded MCID; however lower limit did not exceed MCID; statistical significance only </w:t>
            </w:r>
          </w:p>
        </w:tc>
      </w:tr>
      <w:tr w:rsidR="00626199" w:rsidRPr="001622C9" w14:paraId="3AC9023A" w14:textId="77777777" w:rsidTr="00AE4C08">
        <w:trPr>
          <w:trHeight w:val="565"/>
        </w:trPr>
        <w:tc>
          <w:tcPr>
            <w:tcW w:w="677" w:type="pct"/>
          </w:tcPr>
          <w:p w14:paraId="28D71819" w14:textId="77777777" w:rsidR="00626199" w:rsidRPr="001622C9" w:rsidRDefault="00626199" w:rsidP="001622C9">
            <w:pPr>
              <w:pStyle w:val="Tabletext"/>
            </w:pPr>
            <w:r w:rsidRPr="001622C9">
              <w:t xml:space="preserve">6MWT </w:t>
            </w:r>
          </w:p>
        </w:tc>
        <w:tc>
          <w:tcPr>
            <w:tcW w:w="824" w:type="pct"/>
          </w:tcPr>
          <w:p w14:paraId="5EC42EC1" w14:textId="77777777" w:rsidR="00626199" w:rsidRPr="001622C9" w:rsidRDefault="00626199" w:rsidP="001622C9">
            <w:pPr>
              <w:pStyle w:val="Tabletext"/>
            </w:pPr>
            <w:r w:rsidRPr="001622C9">
              <w:t xml:space="preserve">57 PR / 59 Control </w:t>
            </w:r>
          </w:p>
        </w:tc>
        <w:tc>
          <w:tcPr>
            <w:tcW w:w="676" w:type="pct"/>
          </w:tcPr>
          <w:p w14:paraId="27427A61" w14:textId="77777777" w:rsidR="00626199" w:rsidRPr="001622C9" w:rsidRDefault="00626199" w:rsidP="001622C9">
            <w:pPr>
              <w:pStyle w:val="Tabletext"/>
              <w:rPr>
                <w:rFonts w:cs="Arial"/>
                <w:color w:val="C00000"/>
                <w:szCs w:val="16"/>
              </w:rPr>
            </w:pPr>
            <w:r w:rsidRPr="001622C9">
              <w:rPr>
                <w:rFonts w:ascii="Cambria Math" w:hAnsi="Cambria Math" w:cs="Cambria Math"/>
                <w:color w:val="00B050"/>
                <w:szCs w:val="16"/>
              </w:rPr>
              <w:t>⨁</w:t>
            </w:r>
            <w:r w:rsidRPr="001622C9">
              <w:rPr>
                <w:rFonts w:ascii="Cambria Math" w:hAnsi="Cambria Math" w:cs="Cambria Math"/>
                <w:color w:val="C00000"/>
                <w:szCs w:val="16"/>
              </w:rPr>
              <w:t>⨀⨀⨀</w:t>
            </w:r>
            <w:r w:rsidRPr="001622C9">
              <w:rPr>
                <w:rFonts w:cs="Arial"/>
                <w:color w:val="C00000"/>
                <w:szCs w:val="16"/>
              </w:rPr>
              <w:t xml:space="preserve"> </w:t>
            </w:r>
          </w:p>
          <w:p w14:paraId="3C5DB407" w14:textId="77777777" w:rsidR="00626199" w:rsidRPr="001622C9" w:rsidRDefault="00626199" w:rsidP="001622C9">
            <w:pPr>
              <w:pStyle w:val="Tabletext"/>
            </w:pPr>
            <w:r w:rsidRPr="001622C9">
              <w:rPr>
                <w:rFonts w:cs="Arial"/>
                <w:b/>
                <w:bCs/>
                <w:szCs w:val="16"/>
              </w:rPr>
              <w:t>Very low</w:t>
            </w:r>
          </w:p>
        </w:tc>
        <w:tc>
          <w:tcPr>
            <w:tcW w:w="726" w:type="pct"/>
          </w:tcPr>
          <w:p w14:paraId="71D053BF" w14:textId="77777777" w:rsidR="00626199" w:rsidRPr="001622C9" w:rsidRDefault="00626199" w:rsidP="001622C9">
            <w:pPr>
              <w:pStyle w:val="Tabletext"/>
            </w:pPr>
            <w:r w:rsidRPr="001622C9">
              <w:t xml:space="preserve">47.80 (30.97, 64.62) </w:t>
            </w:r>
          </w:p>
        </w:tc>
        <w:tc>
          <w:tcPr>
            <w:tcW w:w="2097" w:type="pct"/>
          </w:tcPr>
          <w:p w14:paraId="6029B31B" w14:textId="77777777" w:rsidR="00626199" w:rsidRPr="001622C9" w:rsidRDefault="00626199" w:rsidP="001622C9">
            <w:pPr>
              <w:pStyle w:val="Tabletext"/>
            </w:pPr>
            <w:r w:rsidRPr="001622C9">
              <w:t xml:space="preserve">Mean difference and lower limit of CI exceeded 30 metres; statistical and clinical significance </w:t>
            </w:r>
          </w:p>
        </w:tc>
      </w:tr>
    </w:tbl>
    <w:p w14:paraId="4C6748BB" w14:textId="77777777" w:rsidR="00B01A63" w:rsidRPr="00B01A63" w:rsidRDefault="00B01A63" w:rsidP="00B01A63">
      <w:pPr>
        <w:rPr>
          <w:rFonts w:ascii="Arial Narrow" w:hAnsi="Arial Narrow" w:cs="Arial"/>
          <w:sz w:val="18"/>
          <w:szCs w:val="16"/>
        </w:rPr>
      </w:pPr>
      <w:r>
        <w:rPr>
          <w:rFonts w:ascii="Arial Narrow" w:hAnsi="Arial Narrow" w:cs="Arial"/>
          <w:snapToGrid w:val="0"/>
          <w:sz w:val="18"/>
          <w:szCs w:val="16"/>
        </w:rPr>
        <w:t>6MWT = 6-minute walk test; CI = confidence interval</w:t>
      </w:r>
      <w:r w:rsidRPr="001622C9">
        <w:rPr>
          <w:rFonts w:ascii="Arial Narrow" w:hAnsi="Arial Narrow" w:cs="Arial"/>
          <w:snapToGrid w:val="0"/>
          <w:sz w:val="18"/>
          <w:szCs w:val="16"/>
        </w:rPr>
        <w:t xml:space="preserve">; </w:t>
      </w:r>
      <w:r>
        <w:rPr>
          <w:rFonts w:ascii="Arial Narrow" w:hAnsi="Arial Narrow" w:cs="Arial"/>
          <w:snapToGrid w:val="0"/>
          <w:sz w:val="18"/>
          <w:szCs w:val="16"/>
        </w:rPr>
        <w:t xml:space="preserve">MCID = </w:t>
      </w:r>
      <w:r w:rsidRPr="001622C9">
        <w:rPr>
          <w:rFonts w:ascii="Arial Narrow" w:hAnsi="Arial Narrow"/>
          <w:snapToGrid w:val="0"/>
          <w:sz w:val="20"/>
        </w:rPr>
        <w:t xml:space="preserve">minimal </w:t>
      </w:r>
      <w:r>
        <w:rPr>
          <w:rFonts w:ascii="Arial Narrow" w:hAnsi="Arial Narrow"/>
          <w:snapToGrid w:val="0"/>
          <w:sz w:val="20"/>
        </w:rPr>
        <w:t xml:space="preserve">clinically important difference; </w:t>
      </w:r>
      <w:r w:rsidRPr="001622C9">
        <w:rPr>
          <w:rFonts w:ascii="Arial Narrow" w:hAnsi="Arial Narrow" w:cs="Arial"/>
          <w:snapToGrid w:val="0"/>
          <w:sz w:val="18"/>
          <w:szCs w:val="16"/>
        </w:rPr>
        <w:t>SGRQ = St George’s Respiratory Questionnaire</w:t>
      </w:r>
    </w:p>
    <w:p w14:paraId="315E09B9" w14:textId="77777777" w:rsidR="00CF70FE" w:rsidRPr="00C867F5" w:rsidRDefault="00CF70FE" w:rsidP="00CF70FE">
      <w:pPr>
        <w:spacing w:after="240"/>
        <w:rPr>
          <w:rFonts w:ascii="Arial" w:hAnsi="Arial" w:cs="Arial"/>
          <w:sz w:val="16"/>
          <w:szCs w:val="18"/>
        </w:rPr>
      </w:pPr>
      <w:proofErr w:type="gramStart"/>
      <w:r w:rsidRPr="00AC2CEB">
        <w:rPr>
          <w:rFonts w:ascii="Arial Narrow" w:hAnsi="Arial Narrow" w:cs="Arial"/>
          <w:sz w:val="18"/>
          <w:szCs w:val="18"/>
          <w:vertAlign w:val="superscript"/>
        </w:rPr>
        <w:t>a</w:t>
      </w:r>
      <w:proofErr w:type="gramEnd"/>
      <w:r w:rsidRPr="00AC2CEB">
        <w:rPr>
          <w:rFonts w:ascii="Arial Narrow" w:hAnsi="Arial Narrow" w:cs="Arial"/>
          <w:sz w:val="18"/>
          <w:szCs w:val="18"/>
          <w:vertAlign w:val="superscript"/>
        </w:rPr>
        <w:t xml:space="preserve"> </w:t>
      </w:r>
      <w:r w:rsidRPr="00AC2CEB">
        <w:rPr>
          <w:rFonts w:ascii="Arial Narrow" w:hAnsi="Arial Narrow" w:cs="Arial"/>
          <w:sz w:val="18"/>
          <w:szCs w:val="18"/>
        </w:rPr>
        <w:t>GRADE Working Group grades of evidence (</w:t>
      </w:r>
      <w:proofErr w:type="spellStart"/>
      <w:r w:rsidRPr="00AC2CEB">
        <w:rPr>
          <w:rFonts w:ascii="Arial Narrow" w:hAnsi="Arial Narrow" w:cs="Arial"/>
          <w:sz w:val="18"/>
          <w:szCs w:val="18"/>
        </w:rPr>
        <w:t>Guyatt</w:t>
      </w:r>
      <w:proofErr w:type="spellEnd"/>
      <w:r w:rsidRPr="00AC2CEB">
        <w:rPr>
          <w:rFonts w:ascii="Arial Narrow" w:hAnsi="Arial Narrow" w:cs="Arial"/>
          <w:sz w:val="18"/>
          <w:szCs w:val="18"/>
        </w:rPr>
        <w:t xml:space="preserve"> et al., 2013)</w:t>
      </w:r>
      <w:r w:rsidRPr="00AC2CEB">
        <w:rPr>
          <w:rFonts w:ascii="Arial Narrow" w:hAnsi="Arial Narrow" w:cs="Arial"/>
          <w:sz w:val="18"/>
          <w:szCs w:val="18"/>
        </w:rPr>
        <w:br/>
      </w:r>
      <w:r w:rsidRPr="00AC2CEB">
        <w:rPr>
          <w:rFonts w:ascii="Cambria Math" w:hAnsi="Cambria Math" w:cs="Cambria Math"/>
          <w:color w:val="00B050"/>
          <w:sz w:val="18"/>
          <w:szCs w:val="18"/>
        </w:rPr>
        <w:t>⨁⨁⨁⨁</w:t>
      </w:r>
      <w:r w:rsidRPr="00AC2CEB">
        <w:rPr>
          <w:rFonts w:ascii="Arial Narrow" w:hAnsi="Arial Narrow" w:cs="Arial"/>
          <w:color w:val="00B050"/>
          <w:sz w:val="18"/>
          <w:szCs w:val="18"/>
        </w:rPr>
        <w:t xml:space="preserve"> </w:t>
      </w:r>
      <w:r w:rsidRPr="00AC2CEB">
        <w:rPr>
          <w:rFonts w:ascii="Arial Narrow" w:hAnsi="Arial Narrow" w:cs="Arial"/>
          <w:b/>
          <w:bCs/>
          <w:sz w:val="18"/>
          <w:szCs w:val="18"/>
        </w:rPr>
        <w:t>High quality:</w:t>
      </w:r>
      <w:r w:rsidRPr="00AC2CEB">
        <w:rPr>
          <w:rFonts w:ascii="Arial Narrow" w:hAnsi="Arial Narrow" w:cs="Arial"/>
          <w:sz w:val="18"/>
          <w:szCs w:val="18"/>
        </w:rPr>
        <w:t xml:space="preserve"> We are very confident that the true effect lies close to that of the estimated effect. </w:t>
      </w:r>
      <w:r w:rsidRPr="00AC2CEB">
        <w:rPr>
          <w:rFonts w:ascii="Arial Narrow" w:hAnsi="Arial Narrow" w:cs="Arial"/>
          <w:sz w:val="18"/>
          <w:szCs w:val="18"/>
        </w:rPr>
        <w:br/>
      </w:r>
      <w:r w:rsidRPr="00AC2CEB">
        <w:rPr>
          <w:rFonts w:ascii="Cambria Math" w:hAnsi="Cambria Math" w:cs="Cambria Math"/>
          <w:color w:val="00B050"/>
          <w:sz w:val="18"/>
          <w:szCs w:val="18"/>
        </w:rPr>
        <w:t>⨁⨁⨁</w:t>
      </w:r>
      <w:r w:rsidRPr="00AC2CEB">
        <w:rPr>
          <w:rFonts w:ascii="Cambria Math" w:hAnsi="Cambria Math" w:cs="Cambria Math"/>
          <w:color w:val="C00000"/>
          <w:sz w:val="18"/>
          <w:szCs w:val="18"/>
        </w:rPr>
        <w:t>⨀</w:t>
      </w:r>
      <w:r w:rsidRPr="00AC2CEB">
        <w:rPr>
          <w:rFonts w:ascii="Arial Narrow" w:hAnsi="Arial Narrow" w:cs="Arial"/>
          <w:color w:val="C00000"/>
          <w:sz w:val="18"/>
          <w:szCs w:val="18"/>
        </w:rPr>
        <w:t xml:space="preserve"> </w:t>
      </w:r>
      <w:r w:rsidRPr="00AC2CEB">
        <w:rPr>
          <w:rFonts w:ascii="Arial Narrow" w:hAnsi="Arial Narrow" w:cs="Arial"/>
          <w:b/>
          <w:bCs/>
          <w:sz w:val="18"/>
          <w:szCs w:val="18"/>
        </w:rPr>
        <w:t>Moderate quality:</w:t>
      </w:r>
      <w:r w:rsidRPr="00AC2CEB">
        <w:rPr>
          <w:rFonts w:ascii="Arial Narrow" w:hAnsi="Arial Narrow" w:cs="Arial"/>
          <w:sz w:val="18"/>
          <w:szCs w:val="18"/>
        </w:rPr>
        <w:t xml:space="preserve"> We are moderately confident in the effect estimate: The true effect is likely to be close to the estimated effect, but there is a possibility that it is substantially different. </w:t>
      </w:r>
      <w:r w:rsidRPr="00AC2CEB">
        <w:rPr>
          <w:rFonts w:ascii="Arial Narrow" w:hAnsi="Arial Narrow" w:cs="Arial"/>
          <w:sz w:val="18"/>
          <w:szCs w:val="18"/>
        </w:rPr>
        <w:br/>
      </w:r>
      <w:r w:rsidRPr="00AC2CEB">
        <w:rPr>
          <w:rFonts w:ascii="Cambria Math" w:hAnsi="Cambria Math" w:cs="Cambria Math"/>
          <w:color w:val="00B050"/>
          <w:sz w:val="18"/>
          <w:szCs w:val="18"/>
        </w:rPr>
        <w:t>⨁⨁</w:t>
      </w:r>
      <w:r w:rsidRPr="00AC2CEB">
        <w:rPr>
          <w:rFonts w:ascii="Cambria Math" w:hAnsi="Cambria Math" w:cs="Cambria Math"/>
          <w:color w:val="C00000"/>
          <w:sz w:val="18"/>
          <w:szCs w:val="18"/>
        </w:rPr>
        <w:t>⨀⨀</w:t>
      </w:r>
      <w:r w:rsidRPr="00AC2CEB">
        <w:rPr>
          <w:rFonts w:ascii="Arial Narrow" w:hAnsi="Arial Narrow" w:cs="Arial"/>
          <w:color w:val="C00000"/>
          <w:sz w:val="18"/>
          <w:szCs w:val="18"/>
        </w:rPr>
        <w:t xml:space="preserve"> </w:t>
      </w:r>
      <w:r w:rsidRPr="00AC2CEB">
        <w:rPr>
          <w:rFonts w:ascii="Arial Narrow" w:hAnsi="Arial Narrow" w:cs="Arial"/>
          <w:b/>
          <w:bCs/>
          <w:sz w:val="18"/>
          <w:szCs w:val="18"/>
        </w:rPr>
        <w:t>Low quality:</w:t>
      </w:r>
      <w:r w:rsidRPr="00AC2CEB">
        <w:rPr>
          <w:rFonts w:ascii="Arial Narrow" w:hAnsi="Arial Narrow" w:cs="Arial"/>
          <w:sz w:val="18"/>
          <w:szCs w:val="18"/>
        </w:rPr>
        <w:t xml:space="preserve"> Our confidence in the effect estimate is limited: The true effect may be substantially different from the estimated effect.</w:t>
      </w:r>
      <w:r w:rsidRPr="00AC2CEB">
        <w:rPr>
          <w:rFonts w:ascii="Arial Narrow" w:hAnsi="Arial Narrow" w:cs="Arial"/>
          <w:sz w:val="18"/>
          <w:szCs w:val="18"/>
        </w:rPr>
        <w:br/>
      </w:r>
      <w:r w:rsidRPr="00AC2CEB">
        <w:rPr>
          <w:rFonts w:ascii="Cambria Math" w:hAnsi="Cambria Math" w:cs="Cambria Math"/>
          <w:color w:val="00B050"/>
          <w:sz w:val="18"/>
          <w:szCs w:val="18"/>
        </w:rPr>
        <w:t>⨁</w:t>
      </w:r>
      <w:r w:rsidRPr="00AC2CEB">
        <w:rPr>
          <w:rFonts w:ascii="Cambria Math" w:hAnsi="Cambria Math" w:cs="Cambria Math"/>
          <w:color w:val="C00000"/>
          <w:sz w:val="18"/>
          <w:szCs w:val="18"/>
        </w:rPr>
        <w:t>⨀⨀⨀</w:t>
      </w:r>
      <w:r w:rsidRPr="00AC2CEB">
        <w:rPr>
          <w:rFonts w:ascii="Arial Narrow" w:hAnsi="Arial Narrow" w:cs="Arial"/>
          <w:color w:val="C00000"/>
          <w:sz w:val="18"/>
          <w:szCs w:val="18"/>
        </w:rPr>
        <w:t xml:space="preserve"> </w:t>
      </w:r>
      <w:r w:rsidRPr="00AC2CEB">
        <w:rPr>
          <w:rFonts w:ascii="Arial Narrow" w:hAnsi="Arial Narrow" w:cs="Arial"/>
          <w:b/>
          <w:bCs/>
          <w:sz w:val="18"/>
          <w:szCs w:val="18"/>
        </w:rPr>
        <w:t>Very low quality:</w:t>
      </w:r>
      <w:r w:rsidRPr="00AC2CEB">
        <w:rPr>
          <w:rFonts w:ascii="Arial Narrow" w:hAnsi="Arial Narrow" w:cs="Arial"/>
          <w:sz w:val="18"/>
          <w:szCs w:val="18"/>
        </w:rPr>
        <w:t xml:space="preserve"> We have very little confidence in the effect estimate: The true effect is likely to be substantially different from the estimate of effect</w:t>
      </w:r>
      <w:r w:rsidRPr="00C867F5">
        <w:rPr>
          <w:rFonts w:ascii="Arial" w:hAnsi="Arial" w:cs="Arial"/>
          <w:sz w:val="16"/>
          <w:szCs w:val="18"/>
        </w:rPr>
        <w:t>.</w:t>
      </w:r>
    </w:p>
    <w:p w14:paraId="7FA7C53C" w14:textId="77777777" w:rsidR="00954E7B" w:rsidRPr="00954E7B" w:rsidRDefault="00954E7B" w:rsidP="00F11FDB">
      <w:pPr>
        <w:spacing w:after="120"/>
        <w:rPr>
          <w:i/>
        </w:rPr>
      </w:pPr>
      <w:r w:rsidRPr="00954E7B">
        <w:rPr>
          <w:i/>
        </w:rPr>
        <w:t>PR vs. usual care (bronchiectasis population)</w:t>
      </w:r>
    </w:p>
    <w:p w14:paraId="6246967E" w14:textId="77777777" w:rsidR="00CF70FE" w:rsidRPr="00FF5712" w:rsidRDefault="00CF70FE" w:rsidP="00CF70FE">
      <w:proofErr w:type="gramStart"/>
      <w:r w:rsidRPr="00FF5712">
        <w:t>On the basis of</w:t>
      </w:r>
      <w:proofErr w:type="gramEnd"/>
      <w:r w:rsidRPr="00FF5712">
        <w:t xml:space="preserve"> the evidence profile (</w:t>
      </w:r>
      <w:r>
        <w:fldChar w:fldCharType="begin"/>
      </w:r>
      <w:r>
        <w:instrText xml:space="preserve"> REF _Ref457824812 \h  \* MERGEFORMAT </w:instrText>
      </w:r>
      <w:r>
        <w:fldChar w:fldCharType="separate"/>
      </w:r>
      <w:r w:rsidRPr="00C867F5">
        <w:t>Table 5</w:t>
      </w:r>
      <w:r>
        <w:fldChar w:fldCharType="end"/>
      </w:r>
      <w:r>
        <w:t>)</w:t>
      </w:r>
      <w:r w:rsidRPr="00FF5712">
        <w:t xml:space="preserve">, </w:t>
      </w:r>
      <w:r w:rsidR="00623EBD">
        <w:t>the resubmission</w:t>
      </w:r>
      <w:r w:rsidRPr="00FF5712">
        <w:t xml:space="preserve"> suggested that for patients with bronchiectasis, relative to usual care, PR has non-inferior effectiveness in terms of quality of life, and superior effectiveness in terms of functional exercise capacity.</w:t>
      </w:r>
      <w:r w:rsidR="00B01A63">
        <w:t xml:space="preserve"> </w:t>
      </w:r>
    </w:p>
    <w:p w14:paraId="5B5210CF" w14:textId="77777777" w:rsidR="00CF70FE" w:rsidRPr="00CF70FE" w:rsidRDefault="00CF70FE" w:rsidP="00320E91">
      <w:pPr>
        <w:pStyle w:val="Caption"/>
        <w:keepNext/>
        <w:keepLines/>
        <w:spacing w:before="240"/>
        <w:rPr>
          <w:rFonts w:ascii="Arial" w:hAnsi="Arial"/>
          <w:color w:val="auto"/>
        </w:rPr>
      </w:pPr>
      <w:bookmarkStart w:id="9" w:name="_Ref457824812"/>
      <w:bookmarkStart w:id="10" w:name="_Toc457928911"/>
      <w:r w:rsidRPr="00CF70FE">
        <w:rPr>
          <w:rFonts w:ascii="Arial" w:hAnsi="Arial"/>
          <w:color w:val="auto"/>
        </w:rPr>
        <w:t xml:space="preserve">Table </w:t>
      </w:r>
      <w:r w:rsidRPr="00CF70FE">
        <w:rPr>
          <w:rFonts w:ascii="Arial" w:hAnsi="Arial"/>
          <w:color w:val="auto"/>
        </w:rPr>
        <w:fldChar w:fldCharType="begin"/>
      </w:r>
      <w:r w:rsidRPr="00CF70FE">
        <w:rPr>
          <w:rFonts w:ascii="Arial" w:hAnsi="Arial"/>
          <w:color w:val="auto"/>
        </w:rPr>
        <w:instrText xml:space="preserve"> SEQ Table \* ARABIC </w:instrText>
      </w:r>
      <w:r w:rsidRPr="00CF70FE">
        <w:rPr>
          <w:rFonts w:ascii="Arial" w:hAnsi="Arial"/>
          <w:color w:val="auto"/>
        </w:rPr>
        <w:fldChar w:fldCharType="separate"/>
      </w:r>
      <w:r w:rsidR="00EC58AB">
        <w:rPr>
          <w:rFonts w:ascii="Arial" w:hAnsi="Arial"/>
          <w:noProof/>
          <w:color w:val="auto"/>
        </w:rPr>
        <w:t>5</w:t>
      </w:r>
      <w:r w:rsidRPr="00CF70FE">
        <w:rPr>
          <w:rFonts w:ascii="Arial" w:hAnsi="Arial"/>
          <w:color w:val="auto"/>
        </w:rPr>
        <w:fldChar w:fldCharType="end"/>
      </w:r>
      <w:bookmarkEnd w:id="9"/>
      <w:r w:rsidR="004A06B3">
        <w:rPr>
          <w:rFonts w:ascii="Arial" w:hAnsi="Arial"/>
          <w:color w:val="auto"/>
        </w:rPr>
        <w:tab/>
      </w:r>
      <w:r w:rsidRPr="004A06B3">
        <w:rPr>
          <w:rFonts w:ascii="Arial Narrow" w:hAnsi="Arial Narrow"/>
          <w:snapToGrid w:val="0"/>
          <w:color w:val="auto"/>
          <w:sz w:val="20"/>
        </w:rPr>
        <w:t xml:space="preserve">Balance of clinical benefits and harms of pulmonary rehabilitation, relative to usual care, and as measured by the </w:t>
      </w:r>
      <w:r w:rsidRPr="004A06B3">
        <w:rPr>
          <w:rFonts w:ascii="Arial Narrow" w:hAnsi="Arial Narrow"/>
          <w:snapToGrid w:val="0"/>
          <w:color w:val="auto"/>
          <w:sz w:val="20"/>
          <w:u w:val="single"/>
        </w:rPr>
        <w:t>critical</w:t>
      </w:r>
      <w:r w:rsidRPr="004A06B3">
        <w:rPr>
          <w:rFonts w:ascii="Arial Narrow" w:hAnsi="Arial Narrow"/>
          <w:snapToGrid w:val="0"/>
          <w:color w:val="auto"/>
          <w:sz w:val="20"/>
        </w:rPr>
        <w:t xml:space="preserve"> patient-relevant outcomes in the key trial in bronchiectasis</w:t>
      </w:r>
      <w:bookmarkEnd w:id="10"/>
    </w:p>
    <w:tbl>
      <w:tblPr>
        <w:tblStyle w:val="TableGrid"/>
        <w:tblW w:w="9322" w:type="dxa"/>
        <w:tblLook w:val="04A0" w:firstRow="1" w:lastRow="0" w:firstColumn="1" w:lastColumn="0" w:noHBand="0" w:noVBand="1"/>
        <w:tblCaption w:val="Balance of clinical benefits and harms of pulmonary rehabilitation, relative to usual care, and as measured by the critical patient-relevant outcomes in the key trial in bronchiectasis"/>
        <w:tblDescription w:val="This table outlines the balance of clinical benefits and harms of pulmonary rehabilitation, relative to usual care, and as measured by the critical patient-relevant outcomes in the key studies in bronchiectasis."/>
      </w:tblPr>
      <w:tblGrid>
        <w:gridCol w:w="1551"/>
        <w:gridCol w:w="1905"/>
        <w:gridCol w:w="1128"/>
        <w:gridCol w:w="2504"/>
        <w:gridCol w:w="2234"/>
      </w:tblGrid>
      <w:tr w:rsidR="00CF70FE" w:rsidRPr="00975230" w14:paraId="013B82EE" w14:textId="77777777" w:rsidTr="00AE4C08">
        <w:trPr>
          <w:trHeight w:val="395"/>
          <w:tblHeader/>
        </w:trPr>
        <w:tc>
          <w:tcPr>
            <w:tcW w:w="1442" w:type="dxa"/>
          </w:tcPr>
          <w:p w14:paraId="765BC4C4" w14:textId="77777777" w:rsidR="00CF70FE" w:rsidRPr="00975230" w:rsidRDefault="00CF70FE" w:rsidP="00320E91">
            <w:pPr>
              <w:pStyle w:val="TableHeading"/>
              <w:keepLines/>
              <w:ind w:left="0" w:firstLine="0"/>
              <w:jc w:val="left"/>
              <w:rPr>
                <w:rFonts w:cs="Arial"/>
              </w:rPr>
            </w:pPr>
            <w:r w:rsidRPr="00975230">
              <w:rPr>
                <w:rFonts w:cs="Arial"/>
              </w:rPr>
              <w:t>Outcomes (units)</w:t>
            </w:r>
          </w:p>
          <w:p w14:paraId="39987ECD" w14:textId="77777777" w:rsidR="00CF70FE" w:rsidRPr="00975230" w:rsidRDefault="00CF70FE" w:rsidP="00320E91">
            <w:pPr>
              <w:pStyle w:val="TableHeading"/>
              <w:keepLines/>
              <w:jc w:val="left"/>
              <w:rPr>
                <w:rFonts w:cs="Arial"/>
              </w:rPr>
            </w:pPr>
            <w:r w:rsidRPr="00975230">
              <w:rPr>
                <w:rFonts w:cs="Arial"/>
              </w:rPr>
              <w:t>Follow-up</w:t>
            </w:r>
          </w:p>
        </w:tc>
        <w:tc>
          <w:tcPr>
            <w:tcW w:w="1927" w:type="dxa"/>
          </w:tcPr>
          <w:p w14:paraId="2A455205" w14:textId="77777777" w:rsidR="00CF70FE" w:rsidRPr="00975230" w:rsidRDefault="00CF70FE" w:rsidP="00320E91">
            <w:pPr>
              <w:pStyle w:val="TableHeading"/>
              <w:keepLines/>
              <w:ind w:left="0" w:firstLine="0"/>
              <w:jc w:val="left"/>
              <w:rPr>
                <w:rFonts w:cs="Arial"/>
              </w:rPr>
            </w:pPr>
            <w:r w:rsidRPr="00975230">
              <w:rPr>
                <w:rFonts w:cs="Arial"/>
              </w:rPr>
              <w:t>Pooled participants</w:t>
            </w:r>
          </w:p>
          <w:p w14:paraId="40685199" w14:textId="77777777" w:rsidR="00CF70FE" w:rsidRPr="00975230" w:rsidRDefault="00CF70FE" w:rsidP="00320E91">
            <w:pPr>
              <w:pStyle w:val="TableHeading"/>
              <w:keepLines/>
              <w:ind w:left="-8" w:firstLine="8"/>
              <w:jc w:val="left"/>
              <w:rPr>
                <w:rFonts w:cs="Arial"/>
              </w:rPr>
            </w:pPr>
            <w:r w:rsidRPr="00975230">
              <w:rPr>
                <w:rFonts w:cs="Arial"/>
              </w:rPr>
              <w:t>(number of trials)</w:t>
            </w:r>
          </w:p>
        </w:tc>
        <w:tc>
          <w:tcPr>
            <w:tcW w:w="1134" w:type="dxa"/>
          </w:tcPr>
          <w:p w14:paraId="7D0F34DE" w14:textId="77777777" w:rsidR="00CF70FE" w:rsidRPr="00975230" w:rsidRDefault="00CF70FE" w:rsidP="00320E91">
            <w:pPr>
              <w:pStyle w:val="TableHeading"/>
              <w:keepLines/>
              <w:ind w:left="0" w:firstLine="0"/>
              <w:jc w:val="left"/>
              <w:rPr>
                <w:rFonts w:cs="Arial"/>
              </w:rPr>
            </w:pPr>
            <w:r w:rsidRPr="00975230">
              <w:rPr>
                <w:rFonts w:cs="Arial"/>
              </w:rPr>
              <w:t>Qualityof evidence (GRADE</w:t>
            </w:r>
            <w:r w:rsidRPr="00975230">
              <w:rPr>
                <w:rFonts w:cs="Arial"/>
                <w:vertAlign w:val="superscript"/>
              </w:rPr>
              <w:t xml:space="preserve"> a</w:t>
            </w:r>
            <w:r w:rsidRPr="00975230">
              <w:rPr>
                <w:rFonts w:cs="Arial"/>
              </w:rPr>
              <w:t>)</w:t>
            </w:r>
          </w:p>
        </w:tc>
        <w:tc>
          <w:tcPr>
            <w:tcW w:w="2551" w:type="dxa"/>
          </w:tcPr>
          <w:p w14:paraId="4B6C2421" w14:textId="77777777" w:rsidR="00CF70FE" w:rsidRPr="00975230" w:rsidRDefault="00CF70FE" w:rsidP="00320E91">
            <w:pPr>
              <w:pStyle w:val="TableHeading"/>
              <w:keepLines/>
              <w:ind w:left="0" w:firstLine="0"/>
              <w:jc w:val="left"/>
              <w:rPr>
                <w:rFonts w:cs="Arial"/>
              </w:rPr>
            </w:pPr>
            <w:r w:rsidRPr="00975230">
              <w:rPr>
                <w:rFonts w:cs="Arial"/>
              </w:rPr>
              <w:t>Absolute effect (95%CI)</w:t>
            </w:r>
          </w:p>
        </w:tc>
        <w:tc>
          <w:tcPr>
            <w:tcW w:w="2268" w:type="dxa"/>
          </w:tcPr>
          <w:p w14:paraId="0EB2ED05" w14:textId="77777777" w:rsidR="00CF70FE" w:rsidRPr="00975230" w:rsidRDefault="00CF70FE" w:rsidP="00320E91">
            <w:pPr>
              <w:pStyle w:val="TableHeading"/>
              <w:keepLines/>
              <w:ind w:left="0" w:firstLine="0"/>
              <w:jc w:val="left"/>
              <w:rPr>
                <w:rFonts w:cs="Arial"/>
              </w:rPr>
            </w:pPr>
            <w:r w:rsidRPr="00975230">
              <w:rPr>
                <w:rFonts w:cs="Arial"/>
              </w:rPr>
              <w:t>Comments</w:t>
            </w:r>
          </w:p>
        </w:tc>
      </w:tr>
      <w:tr w:rsidR="00CF70FE" w:rsidRPr="00975230" w14:paraId="29AC34E0" w14:textId="77777777" w:rsidTr="00AE4C08">
        <w:trPr>
          <w:trHeight w:val="980"/>
        </w:trPr>
        <w:tc>
          <w:tcPr>
            <w:tcW w:w="1442" w:type="dxa"/>
          </w:tcPr>
          <w:p w14:paraId="631A9B15" w14:textId="77777777" w:rsidR="00CF70FE" w:rsidRPr="00975230" w:rsidRDefault="00CF70FE" w:rsidP="00DB7F60">
            <w:pPr>
              <w:spacing w:before="40" w:after="40"/>
              <w:rPr>
                <w:rFonts w:ascii="Arial Narrow" w:hAnsi="Arial Narrow" w:cs="Arial"/>
                <w:sz w:val="20"/>
              </w:rPr>
            </w:pPr>
            <w:r w:rsidRPr="00975230">
              <w:rPr>
                <w:rFonts w:ascii="Arial Narrow" w:hAnsi="Arial Narrow" w:cs="Arial"/>
                <w:sz w:val="20"/>
              </w:rPr>
              <w:t xml:space="preserve">SGRQ </w:t>
            </w:r>
            <w:r w:rsidR="00DB7F60">
              <w:rPr>
                <w:rFonts w:ascii="Arial Narrow" w:hAnsi="Arial Narrow" w:cs="Arial"/>
                <w:snapToGrid w:val="0"/>
                <w:sz w:val="18"/>
                <w:szCs w:val="16"/>
              </w:rPr>
              <w:t>(</w:t>
            </w:r>
            <w:r w:rsidR="00DB7F60" w:rsidRPr="001622C9">
              <w:rPr>
                <w:rFonts w:ascii="Arial Narrow" w:hAnsi="Arial Narrow" w:cs="Arial"/>
                <w:snapToGrid w:val="0"/>
                <w:sz w:val="18"/>
                <w:szCs w:val="16"/>
              </w:rPr>
              <w:t>St George’s Respiratory Questionnaire</w:t>
            </w:r>
            <w:r w:rsidR="00DB7F60">
              <w:rPr>
                <w:rFonts w:ascii="Arial Narrow" w:hAnsi="Arial Narrow" w:cs="Arial"/>
                <w:snapToGrid w:val="0"/>
                <w:sz w:val="18"/>
                <w:szCs w:val="16"/>
              </w:rPr>
              <w:t>)</w:t>
            </w:r>
          </w:p>
        </w:tc>
        <w:tc>
          <w:tcPr>
            <w:tcW w:w="1927" w:type="dxa"/>
          </w:tcPr>
          <w:p w14:paraId="0EBC5E6F" w14:textId="77777777" w:rsidR="00CF70FE" w:rsidRPr="00975230" w:rsidRDefault="00CF70FE" w:rsidP="002A62BE">
            <w:pPr>
              <w:spacing w:before="40" w:after="40"/>
              <w:rPr>
                <w:rFonts w:ascii="Arial Narrow" w:hAnsi="Arial Narrow" w:cs="Arial"/>
                <w:sz w:val="20"/>
              </w:rPr>
            </w:pPr>
            <w:r w:rsidRPr="00975230">
              <w:rPr>
                <w:rFonts w:ascii="Arial Narrow" w:hAnsi="Arial Narrow" w:cs="Arial"/>
                <w:sz w:val="20"/>
              </w:rPr>
              <w:t>PR-SHAM, n=11 / PR-IMT, n=12 / control n=9</w:t>
            </w:r>
          </w:p>
        </w:tc>
        <w:tc>
          <w:tcPr>
            <w:tcW w:w="1134" w:type="dxa"/>
          </w:tcPr>
          <w:p w14:paraId="6B7F732E" w14:textId="77777777" w:rsidR="00CF70FE" w:rsidRPr="00975230" w:rsidRDefault="00CF70FE" w:rsidP="002A62BE">
            <w:pPr>
              <w:pStyle w:val="Tabletext"/>
              <w:rPr>
                <w:rFonts w:cs="Arial"/>
                <w:color w:val="C00000"/>
                <w:szCs w:val="20"/>
              </w:rPr>
            </w:pPr>
            <w:r w:rsidRPr="00975230">
              <w:rPr>
                <w:rFonts w:ascii="Cambria Math" w:hAnsi="Cambria Math" w:cs="Cambria Math"/>
                <w:color w:val="00B050"/>
                <w:szCs w:val="20"/>
              </w:rPr>
              <w:t>⨁</w:t>
            </w:r>
            <w:r w:rsidRPr="00975230">
              <w:rPr>
                <w:rFonts w:ascii="Cambria Math" w:hAnsi="Cambria Math" w:cs="Cambria Math"/>
                <w:color w:val="C00000"/>
                <w:szCs w:val="20"/>
              </w:rPr>
              <w:t>⨀⨀⨀</w:t>
            </w:r>
          </w:p>
          <w:p w14:paraId="1372A805" w14:textId="77777777" w:rsidR="00CF70FE" w:rsidRPr="00975230" w:rsidRDefault="00CF70FE" w:rsidP="002A62BE">
            <w:pPr>
              <w:pStyle w:val="Tabletext"/>
              <w:rPr>
                <w:rFonts w:cs="Arial"/>
                <w:szCs w:val="20"/>
              </w:rPr>
            </w:pPr>
            <w:r w:rsidRPr="00975230">
              <w:rPr>
                <w:rFonts w:cs="Arial"/>
                <w:b/>
                <w:szCs w:val="20"/>
              </w:rPr>
              <w:t>Very Low</w:t>
            </w:r>
          </w:p>
        </w:tc>
        <w:tc>
          <w:tcPr>
            <w:tcW w:w="2551" w:type="dxa"/>
          </w:tcPr>
          <w:p w14:paraId="30A4887B" w14:textId="77777777" w:rsidR="00CF70FE" w:rsidRPr="00975230" w:rsidRDefault="00CF70FE" w:rsidP="002A62BE">
            <w:pPr>
              <w:spacing w:before="40" w:after="40"/>
              <w:rPr>
                <w:rFonts w:ascii="Arial Narrow" w:hAnsi="Arial Narrow" w:cs="Arial"/>
                <w:sz w:val="20"/>
              </w:rPr>
            </w:pPr>
            <w:r w:rsidRPr="00975230">
              <w:rPr>
                <w:rFonts w:ascii="Arial Narrow" w:hAnsi="Arial Narrow" w:cs="Arial"/>
                <w:sz w:val="20"/>
              </w:rPr>
              <w:t>PR-SHAM = 2.3 (-2.9, 7.4)</w:t>
            </w:r>
          </w:p>
          <w:p w14:paraId="3314A728" w14:textId="77777777" w:rsidR="00CF70FE" w:rsidRPr="00975230" w:rsidRDefault="00CF70FE" w:rsidP="002A62BE">
            <w:pPr>
              <w:spacing w:before="40" w:after="40"/>
              <w:rPr>
                <w:rFonts w:ascii="Arial Narrow" w:hAnsi="Arial Narrow" w:cs="Arial"/>
                <w:sz w:val="20"/>
              </w:rPr>
            </w:pPr>
            <w:r w:rsidRPr="00975230">
              <w:rPr>
                <w:rFonts w:ascii="Arial Narrow" w:hAnsi="Arial Narrow" w:cs="Arial"/>
                <w:sz w:val="20"/>
              </w:rPr>
              <w:t>PR-IMT = -7.7 (-16.6, 1.1)</w:t>
            </w:r>
          </w:p>
          <w:p w14:paraId="3A5D8685" w14:textId="77777777" w:rsidR="00CF70FE" w:rsidRPr="00975230" w:rsidRDefault="00CF70FE" w:rsidP="002A62BE">
            <w:pPr>
              <w:spacing w:before="40" w:after="40"/>
              <w:rPr>
                <w:rFonts w:ascii="Arial Narrow" w:hAnsi="Arial Narrow" w:cs="Arial"/>
                <w:sz w:val="20"/>
              </w:rPr>
            </w:pPr>
            <w:r w:rsidRPr="00975230">
              <w:rPr>
                <w:rFonts w:ascii="Arial Narrow" w:hAnsi="Arial Narrow" w:cs="Arial"/>
                <w:sz w:val="20"/>
              </w:rPr>
              <w:t>Control = -10.0 (-21.3, 1.3)</w:t>
            </w:r>
          </w:p>
        </w:tc>
        <w:tc>
          <w:tcPr>
            <w:tcW w:w="2268" w:type="dxa"/>
          </w:tcPr>
          <w:p w14:paraId="30FE5FC1" w14:textId="77777777" w:rsidR="00CF70FE" w:rsidRPr="00975230" w:rsidRDefault="00CF70FE" w:rsidP="002A62BE">
            <w:pPr>
              <w:spacing w:before="40" w:after="40"/>
              <w:rPr>
                <w:rFonts w:ascii="Arial Narrow" w:hAnsi="Arial Narrow" w:cs="Arial"/>
                <w:sz w:val="20"/>
              </w:rPr>
            </w:pPr>
            <w:r w:rsidRPr="00975230">
              <w:rPr>
                <w:rFonts w:ascii="Arial Narrow" w:hAnsi="Arial Narrow" w:cs="Arial"/>
                <w:sz w:val="20"/>
              </w:rPr>
              <w:t>PR-SHAM, PR-IMT and control not statistically significant; PR-IMT and control clinically significant</w:t>
            </w:r>
          </w:p>
        </w:tc>
      </w:tr>
      <w:tr w:rsidR="00CF70FE" w:rsidRPr="00975230" w14:paraId="752AEBA8" w14:textId="77777777" w:rsidTr="00AE4C08">
        <w:trPr>
          <w:trHeight w:val="12"/>
        </w:trPr>
        <w:tc>
          <w:tcPr>
            <w:tcW w:w="1442" w:type="dxa"/>
          </w:tcPr>
          <w:p w14:paraId="4E752CF9" w14:textId="77777777" w:rsidR="00CF70FE" w:rsidRPr="00975230" w:rsidRDefault="00CF70FE" w:rsidP="002A62BE">
            <w:pPr>
              <w:spacing w:before="40" w:after="40"/>
              <w:rPr>
                <w:rFonts w:ascii="Arial Narrow" w:hAnsi="Arial Narrow" w:cs="Arial"/>
                <w:sz w:val="20"/>
              </w:rPr>
            </w:pPr>
            <w:r w:rsidRPr="00975230">
              <w:rPr>
                <w:rFonts w:ascii="Arial Narrow" w:hAnsi="Arial Narrow" w:cs="Arial"/>
                <w:sz w:val="20"/>
              </w:rPr>
              <w:t>ISWT (Incremental shuttle walk test)</w:t>
            </w:r>
          </w:p>
        </w:tc>
        <w:tc>
          <w:tcPr>
            <w:tcW w:w="1927" w:type="dxa"/>
          </w:tcPr>
          <w:p w14:paraId="004B1DC2" w14:textId="77777777" w:rsidR="00CF70FE" w:rsidRPr="00975230" w:rsidRDefault="00CF70FE" w:rsidP="002A62BE">
            <w:pPr>
              <w:spacing w:before="40" w:after="40"/>
              <w:rPr>
                <w:rFonts w:ascii="Arial Narrow" w:hAnsi="Arial Narrow" w:cs="Arial"/>
                <w:sz w:val="20"/>
              </w:rPr>
            </w:pPr>
            <w:r w:rsidRPr="00975230">
              <w:rPr>
                <w:rFonts w:ascii="Arial Narrow" w:hAnsi="Arial Narrow" w:cs="Arial"/>
                <w:sz w:val="20"/>
              </w:rPr>
              <w:t>PR-SHAM, n=11 / PR-IMT, n=12 / control n=9</w:t>
            </w:r>
          </w:p>
        </w:tc>
        <w:tc>
          <w:tcPr>
            <w:tcW w:w="1134" w:type="dxa"/>
          </w:tcPr>
          <w:p w14:paraId="5CC15206" w14:textId="77777777" w:rsidR="00CF70FE" w:rsidRPr="00975230" w:rsidRDefault="00CF70FE" w:rsidP="002A62BE">
            <w:pPr>
              <w:pStyle w:val="Tabletext"/>
              <w:rPr>
                <w:rFonts w:cs="Arial"/>
                <w:color w:val="C00000"/>
                <w:szCs w:val="20"/>
              </w:rPr>
            </w:pPr>
            <w:r w:rsidRPr="00975230">
              <w:rPr>
                <w:rFonts w:ascii="Cambria Math" w:hAnsi="Cambria Math" w:cs="Cambria Math"/>
                <w:color w:val="00B050"/>
                <w:szCs w:val="20"/>
              </w:rPr>
              <w:t>⨁</w:t>
            </w:r>
            <w:r w:rsidRPr="00975230">
              <w:rPr>
                <w:rFonts w:ascii="Cambria Math" w:hAnsi="Cambria Math" w:cs="Cambria Math"/>
                <w:color w:val="C00000"/>
                <w:szCs w:val="20"/>
              </w:rPr>
              <w:t>⨀⨀⨀</w:t>
            </w:r>
          </w:p>
          <w:p w14:paraId="7F749302" w14:textId="77777777" w:rsidR="00CF70FE" w:rsidRPr="00975230" w:rsidRDefault="00CF70FE" w:rsidP="002A62BE">
            <w:pPr>
              <w:pStyle w:val="Tabletext"/>
              <w:rPr>
                <w:rFonts w:cs="Arial"/>
                <w:szCs w:val="20"/>
              </w:rPr>
            </w:pPr>
            <w:r w:rsidRPr="00975230">
              <w:rPr>
                <w:rFonts w:cs="Arial"/>
                <w:b/>
                <w:szCs w:val="20"/>
              </w:rPr>
              <w:t>Very Low</w:t>
            </w:r>
          </w:p>
        </w:tc>
        <w:tc>
          <w:tcPr>
            <w:tcW w:w="2551" w:type="dxa"/>
          </w:tcPr>
          <w:p w14:paraId="3638B25B" w14:textId="77777777" w:rsidR="00CF70FE" w:rsidRPr="00975230" w:rsidRDefault="00975230" w:rsidP="002A62BE">
            <w:pPr>
              <w:spacing w:before="40" w:after="40"/>
              <w:rPr>
                <w:rFonts w:ascii="Arial Narrow" w:hAnsi="Arial Narrow" w:cs="Arial"/>
                <w:sz w:val="20"/>
              </w:rPr>
            </w:pPr>
            <w:r>
              <w:rPr>
                <w:rFonts w:ascii="Arial Narrow" w:hAnsi="Arial Narrow" w:cs="Arial"/>
                <w:sz w:val="20"/>
              </w:rPr>
              <w:t xml:space="preserve">PR-SHAM = 96.7 </w:t>
            </w:r>
            <w:r w:rsidR="00CF70FE" w:rsidRPr="00975230">
              <w:rPr>
                <w:rFonts w:ascii="Arial Narrow" w:hAnsi="Arial Narrow" w:cs="Arial"/>
                <w:sz w:val="20"/>
              </w:rPr>
              <w:t>(59.6, 133.7)</w:t>
            </w:r>
          </w:p>
          <w:p w14:paraId="381F2600" w14:textId="77777777" w:rsidR="00CF70FE" w:rsidRPr="00975230" w:rsidRDefault="00975230" w:rsidP="002A62BE">
            <w:pPr>
              <w:spacing w:before="40" w:after="40"/>
              <w:rPr>
                <w:rFonts w:ascii="Arial Narrow" w:hAnsi="Arial Narrow" w:cs="Arial"/>
                <w:sz w:val="20"/>
              </w:rPr>
            </w:pPr>
            <w:r>
              <w:rPr>
                <w:rFonts w:ascii="Arial Narrow" w:hAnsi="Arial Narrow" w:cs="Arial"/>
                <w:sz w:val="20"/>
              </w:rPr>
              <w:t xml:space="preserve">PR-IMT = 124.5 </w:t>
            </w:r>
            <w:r w:rsidR="00CF70FE" w:rsidRPr="00975230">
              <w:rPr>
                <w:rFonts w:ascii="Arial Narrow" w:hAnsi="Arial Narrow" w:cs="Arial"/>
                <w:sz w:val="20"/>
              </w:rPr>
              <w:t>(63.2, 185.9)</w:t>
            </w:r>
          </w:p>
          <w:p w14:paraId="1E0198C8" w14:textId="77777777" w:rsidR="00CF70FE" w:rsidRPr="00975230" w:rsidRDefault="00975230" w:rsidP="002A62BE">
            <w:pPr>
              <w:spacing w:before="40" w:after="40"/>
              <w:rPr>
                <w:rFonts w:ascii="Arial Narrow" w:hAnsi="Arial Narrow" w:cs="Arial"/>
                <w:sz w:val="20"/>
              </w:rPr>
            </w:pPr>
            <w:r>
              <w:rPr>
                <w:rFonts w:ascii="Arial Narrow" w:hAnsi="Arial Narrow" w:cs="Arial"/>
                <w:sz w:val="20"/>
              </w:rPr>
              <w:t xml:space="preserve">Control = 11.0 </w:t>
            </w:r>
            <w:r w:rsidR="00CF70FE" w:rsidRPr="00975230">
              <w:rPr>
                <w:rFonts w:ascii="Arial Narrow" w:hAnsi="Arial Narrow" w:cs="Arial"/>
                <w:sz w:val="20"/>
              </w:rPr>
              <w:t>(-16.9, 38.9)</w:t>
            </w:r>
          </w:p>
        </w:tc>
        <w:tc>
          <w:tcPr>
            <w:tcW w:w="2268" w:type="dxa"/>
          </w:tcPr>
          <w:p w14:paraId="3E4EEEC6" w14:textId="77777777" w:rsidR="00CF70FE" w:rsidRPr="00975230" w:rsidRDefault="00CF70FE" w:rsidP="002A62BE">
            <w:pPr>
              <w:spacing w:before="40" w:after="40"/>
              <w:rPr>
                <w:rFonts w:ascii="Arial Narrow" w:hAnsi="Arial Narrow" w:cs="Arial"/>
                <w:sz w:val="20"/>
              </w:rPr>
            </w:pPr>
            <w:r w:rsidRPr="00975230">
              <w:rPr>
                <w:rFonts w:ascii="Arial Narrow" w:hAnsi="Arial Narrow" w:cs="Arial"/>
                <w:sz w:val="20"/>
              </w:rPr>
              <w:t>PR-SHAM and PR-IMT clinically and statistically significant, control not statistically or clinically significant</w:t>
            </w:r>
          </w:p>
        </w:tc>
      </w:tr>
    </w:tbl>
    <w:p w14:paraId="0A9F820C" w14:textId="77777777" w:rsidR="00DB7F60" w:rsidRPr="00DB7F60" w:rsidRDefault="00DB7F60" w:rsidP="00CF70FE">
      <w:pPr>
        <w:rPr>
          <w:rFonts w:ascii="Arial Narrow" w:hAnsi="Arial Narrow" w:cs="Arial"/>
          <w:sz w:val="18"/>
          <w:szCs w:val="16"/>
        </w:rPr>
      </w:pPr>
      <w:r>
        <w:rPr>
          <w:rFonts w:ascii="Arial Narrow" w:hAnsi="Arial Narrow" w:cs="Arial"/>
          <w:sz w:val="18"/>
          <w:szCs w:val="16"/>
        </w:rPr>
        <w:t xml:space="preserve">IMT = inspiratory muscle training; </w:t>
      </w:r>
      <w:r w:rsidRPr="00DB7F60">
        <w:rPr>
          <w:rFonts w:ascii="Arial Narrow" w:hAnsi="Arial Narrow" w:cs="Arial"/>
          <w:sz w:val="18"/>
          <w:szCs w:val="16"/>
        </w:rPr>
        <w:t>PR = pulmonary rehabilitation</w:t>
      </w:r>
    </w:p>
    <w:p w14:paraId="2F0092BA" w14:textId="224AA594" w:rsidR="00CF70FE" w:rsidRPr="00480EA7" w:rsidRDefault="00CF70FE" w:rsidP="00480EA7">
      <w:pPr>
        <w:spacing w:after="240"/>
        <w:rPr>
          <w:rFonts w:ascii="Arial Narrow" w:hAnsi="Arial Narrow" w:cs="Arial"/>
          <w:sz w:val="18"/>
          <w:szCs w:val="16"/>
        </w:rPr>
      </w:pPr>
      <w:proofErr w:type="gramStart"/>
      <w:r w:rsidRPr="00AC2CEB">
        <w:rPr>
          <w:rFonts w:ascii="Arial Narrow" w:hAnsi="Arial Narrow" w:cs="Arial"/>
          <w:sz w:val="18"/>
          <w:szCs w:val="16"/>
          <w:vertAlign w:val="superscript"/>
        </w:rPr>
        <w:t>a</w:t>
      </w:r>
      <w:proofErr w:type="gramEnd"/>
      <w:r w:rsidRPr="00AC2CEB">
        <w:rPr>
          <w:rFonts w:ascii="Arial Narrow" w:hAnsi="Arial Narrow" w:cs="Arial"/>
          <w:sz w:val="18"/>
          <w:szCs w:val="16"/>
          <w:vertAlign w:val="superscript"/>
        </w:rPr>
        <w:t xml:space="preserve"> </w:t>
      </w:r>
      <w:r w:rsidRPr="00AC2CEB">
        <w:rPr>
          <w:rFonts w:ascii="Arial Narrow" w:hAnsi="Arial Narrow" w:cs="Arial"/>
          <w:sz w:val="18"/>
          <w:szCs w:val="16"/>
        </w:rPr>
        <w:t>GRADE Working Group grades of evidence (</w:t>
      </w:r>
      <w:proofErr w:type="spellStart"/>
      <w:r w:rsidRPr="00AC2CEB">
        <w:rPr>
          <w:rFonts w:ascii="Arial Narrow" w:hAnsi="Arial Narrow" w:cs="Arial"/>
          <w:sz w:val="18"/>
          <w:szCs w:val="16"/>
        </w:rPr>
        <w:t>Guyatt</w:t>
      </w:r>
      <w:proofErr w:type="spellEnd"/>
      <w:r w:rsidRPr="00AC2CEB">
        <w:rPr>
          <w:rFonts w:ascii="Arial Narrow" w:hAnsi="Arial Narrow" w:cs="Arial"/>
          <w:sz w:val="18"/>
          <w:szCs w:val="16"/>
        </w:rPr>
        <w:t xml:space="preserve"> et al., 2013)</w:t>
      </w:r>
      <w:r w:rsidRPr="00AC2CEB">
        <w:rPr>
          <w:rFonts w:ascii="Arial Narrow" w:hAnsi="Arial Narrow" w:cs="Arial"/>
          <w:sz w:val="18"/>
          <w:szCs w:val="16"/>
        </w:rPr>
        <w:br/>
      </w:r>
      <w:r w:rsidRPr="00AC2CEB">
        <w:rPr>
          <w:rFonts w:ascii="Cambria Math" w:hAnsi="Cambria Math" w:cs="Cambria Math"/>
          <w:color w:val="00B050"/>
          <w:sz w:val="18"/>
          <w:szCs w:val="16"/>
        </w:rPr>
        <w:t>⨁⨁⨁⨁</w:t>
      </w:r>
      <w:r w:rsidRPr="00AC2CEB">
        <w:rPr>
          <w:rFonts w:ascii="Arial Narrow" w:hAnsi="Arial Narrow" w:cs="Arial"/>
          <w:color w:val="00B050"/>
          <w:sz w:val="18"/>
          <w:szCs w:val="16"/>
        </w:rPr>
        <w:t xml:space="preserve"> </w:t>
      </w:r>
      <w:r w:rsidRPr="00AC2CEB">
        <w:rPr>
          <w:rFonts w:ascii="Arial Narrow" w:hAnsi="Arial Narrow" w:cs="Arial"/>
          <w:b/>
          <w:bCs/>
          <w:sz w:val="18"/>
          <w:szCs w:val="16"/>
        </w:rPr>
        <w:t>High quality:</w:t>
      </w:r>
      <w:r w:rsidRPr="00AC2CEB">
        <w:rPr>
          <w:rFonts w:ascii="Arial Narrow" w:hAnsi="Arial Narrow" w:cs="Arial"/>
          <w:sz w:val="18"/>
          <w:szCs w:val="16"/>
        </w:rPr>
        <w:t xml:space="preserve"> We are very confident that the true effect lies close to that of the estimated effect. </w:t>
      </w:r>
      <w:r w:rsidRPr="00AC2CEB">
        <w:rPr>
          <w:rFonts w:ascii="Arial Narrow" w:hAnsi="Arial Narrow" w:cs="Arial"/>
          <w:sz w:val="18"/>
          <w:szCs w:val="16"/>
        </w:rPr>
        <w:br/>
      </w:r>
      <w:r w:rsidRPr="00AC2CEB">
        <w:rPr>
          <w:rFonts w:ascii="Cambria Math" w:hAnsi="Cambria Math" w:cs="Cambria Math"/>
          <w:color w:val="00B050"/>
          <w:sz w:val="18"/>
          <w:szCs w:val="16"/>
        </w:rPr>
        <w:t>⨁⨁⨁</w:t>
      </w:r>
      <w:r w:rsidRPr="00AC2CEB">
        <w:rPr>
          <w:rFonts w:ascii="Cambria Math" w:hAnsi="Cambria Math" w:cs="Cambria Math"/>
          <w:color w:val="C00000"/>
          <w:sz w:val="18"/>
          <w:szCs w:val="16"/>
        </w:rPr>
        <w:t>⨀</w:t>
      </w:r>
      <w:r w:rsidRPr="00AC2CEB">
        <w:rPr>
          <w:rFonts w:ascii="Arial Narrow" w:hAnsi="Arial Narrow" w:cs="Arial"/>
          <w:color w:val="C00000"/>
          <w:sz w:val="18"/>
          <w:szCs w:val="16"/>
        </w:rPr>
        <w:t xml:space="preserve"> </w:t>
      </w:r>
      <w:r w:rsidRPr="00AC2CEB">
        <w:rPr>
          <w:rFonts w:ascii="Arial Narrow" w:hAnsi="Arial Narrow" w:cs="Arial"/>
          <w:b/>
          <w:bCs/>
          <w:sz w:val="18"/>
          <w:szCs w:val="16"/>
        </w:rPr>
        <w:t>Moderate quality:</w:t>
      </w:r>
      <w:r w:rsidRPr="00AC2CEB">
        <w:rPr>
          <w:rFonts w:ascii="Arial Narrow" w:hAnsi="Arial Narrow" w:cs="Arial"/>
          <w:sz w:val="18"/>
          <w:szCs w:val="16"/>
        </w:rPr>
        <w:t xml:space="preserve"> We are moderately confident in the effect estimate: The true effect is likely to be close to the estimated effect, but there is a possibility that it is substantially different. </w:t>
      </w:r>
      <w:r w:rsidRPr="00AC2CEB">
        <w:rPr>
          <w:rFonts w:ascii="Arial Narrow" w:hAnsi="Arial Narrow" w:cs="Arial"/>
          <w:sz w:val="18"/>
          <w:szCs w:val="16"/>
        </w:rPr>
        <w:br/>
      </w:r>
      <w:r w:rsidRPr="00AC2CEB">
        <w:rPr>
          <w:rFonts w:ascii="Cambria Math" w:hAnsi="Cambria Math" w:cs="Cambria Math"/>
          <w:color w:val="00B050"/>
          <w:sz w:val="18"/>
          <w:szCs w:val="16"/>
        </w:rPr>
        <w:t>⨁⨁</w:t>
      </w:r>
      <w:r w:rsidRPr="00AC2CEB">
        <w:rPr>
          <w:rFonts w:ascii="Cambria Math" w:hAnsi="Cambria Math" w:cs="Cambria Math"/>
          <w:color w:val="C00000"/>
          <w:sz w:val="18"/>
          <w:szCs w:val="16"/>
        </w:rPr>
        <w:t>⨀⨀</w:t>
      </w:r>
      <w:r w:rsidRPr="00AC2CEB">
        <w:rPr>
          <w:rFonts w:ascii="Arial Narrow" w:hAnsi="Arial Narrow" w:cs="Arial"/>
          <w:color w:val="C00000"/>
          <w:sz w:val="18"/>
          <w:szCs w:val="16"/>
        </w:rPr>
        <w:t xml:space="preserve"> </w:t>
      </w:r>
      <w:r w:rsidRPr="00AC2CEB">
        <w:rPr>
          <w:rFonts w:ascii="Arial Narrow" w:hAnsi="Arial Narrow" w:cs="Arial"/>
          <w:b/>
          <w:bCs/>
          <w:sz w:val="18"/>
          <w:szCs w:val="16"/>
        </w:rPr>
        <w:t>Low quality:</w:t>
      </w:r>
      <w:r w:rsidRPr="00AC2CEB">
        <w:rPr>
          <w:rFonts w:ascii="Arial Narrow" w:hAnsi="Arial Narrow" w:cs="Arial"/>
          <w:sz w:val="18"/>
          <w:szCs w:val="16"/>
        </w:rPr>
        <w:t xml:space="preserve"> Our confidence in the effect estimate is limited: The true effect may be substantially different from the estimated effect.</w:t>
      </w:r>
      <w:r w:rsidRPr="00AC2CEB">
        <w:rPr>
          <w:rFonts w:ascii="Arial Narrow" w:hAnsi="Arial Narrow" w:cs="Arial"/>
          <w:sz w:val="18"/>
          <w:szCs w:val="16"/>
        </w:rPr>
        <w:br/>
      </w:r>
      <w:r w:rsidRPr="00AC2CEB">
        <w:rPr>
          <w:rFonts w:ascii="Cambria Math" w:hAnsi="Cambria Math" w:cs="Cambria Math"/>
          <w:color w:val="00B050"/>
          <w:sz w:val="18"/>
          <w:szCs w:val="16"/>
        </w:rPr>
        <w:t>⨁</w:t>
      </w:r>
      <w:r w:rsidRPr="00AC2CEB">
        <w:rPr>
          <w:rFonts w:ascii="Cambria Math" w:hAnsi="Cambria Math" w:cs="Cambria Math"/>
          <w:color w:val="C00000"/>
          <w:sz w:val="18"/>
          <w:szCs w:val="16"/>
        </w:rPr>
        <w:t>⨀⨀⨀</w:t>
      </w:r>
      <w:r w:rsidRPr="00AC2CEB">
        <w:rPr>
          <w:rFonts w:ascii="Arial Narrow" w:hAnsi="Arial Narrow" w:cs="Arial"/>
          <w:color w:val="C00000"/>
          <w:sz w:val="18"/>
          <w:szCs w:val="16"/>
        </w:rPr>
        <w:t xml:space="preserve"> </w:t>
      </w:r>
      <w:r w:rsidRPr="00AC2CEB">
        <w:rPr>
          <w:rFonts w:ascii="Arial Narrow" w:hAnsi="Arial Narrow" w:cs="Arial"/>
          <w:b/>
          <w:bCs/>
          <w:sz w:val="18"/>
          <w:szCs w:val="16"/>
        </w:rPr>
        <w:t>Very low quality:</w:t>
      </w:r>
      <w:r w:rsidRPr="00AC2CEB">
        <w:rPr>
          <w:rFonts w:ascii="Arial Narrow" w:hAnsi="Arial Narrow" w:cs="Arial"/>
          <w:sz w:val="18"/>
          <w:szCs w:val="16"/>
        </w:rPr>
        <w:t xml:space="preserve"> We have very little confidence in the effect estimate: The true effect is likely to be substantially different from the estimated effect.</w:t>
      </w:r>
    </w:p>
    <w:p w14:paraId="4409A716" w14:textId="77777777" w:rsidR="00F37B9C" w:rsidRDefault="00F37B9C" w:rsidP="00F11FDB">
      <w:pPr>
        <w:keepNext/>
        <w:tabs>
          <w:tab w:val="left" w:pos="720"/>
          <w:tab w:val="left" w:pos="1140"/>
        </w:tabs>
        <w:spacing w:after="120"/>
        <w:rPr>
          <w:b/>
          <w:szCs w:val="24"/>
        </w:rPr>
      </w:pPr>
      <w:r w:rsidRPr="00F37B9C">
        <w:rPr>
          <w:b/>
          <w:szCs w:val="24"/>
        </w:rPr>
        <w:t>Clinical Claim</w:t>
      </w:r>
    </w:p>
    <w:p w14:paraId="415BD5B4" w14:textId="358EFA75" w:rsidR="00CF2079" w:rsidRPr="00CF2079" w:rsidRDefault="00CF2079" w:rsidP="00F715D1">
      <w:pPr>
        <w:tabs>
          <w:tab w:val="left" w:pos="720"/>
          <w:tab w:val="left" w:pos="1140"/>
        </w:tabs>
        <w:spacing w:after="240"/>
        <w:rPr>
          <w:szCs w:val="24"/>
        </w:rPr>
      </w:pPr>
      <w:r w:rsidRPr="00CF2079">
        <w:rPr>
          <w:szCs w:val="24"/>
        </w:rPr>
        <w:t xml:space="preserve">The </w:t>
      </w:r>
      <w:proofErr w:type="gramStart"/>
      <w:r w:rsidR="00DB7F60">
        <w:rPr>
          <w:szCs w:val="24"/>
        </w:rPr>
        <w:t>resubmission’s</w:t>
      </w:r>
      <w:proofErr w:type="gramEnd"/>
      <w:r w:rsidR="00DB7F60">
        <w:rPr>
          <w:szCs w:val="24"/>
        </w:rPr>
        <w:t xml:space="preserve"> </w:t>
      </w:r>
      <w:r w:rsidRPr="00CF2079">
        <w:rPr>
          <w:szCs w:val="24"/>
        </w:rPr>
        <w:t>proposed clinical claim is that PR in the community setting will be superior to no PR in patients with chronic lung diseases, and PR in the community setting will be at least as safe as no PR.</w:t>
      </w:r>
    </w:p>
    <w:p w14:paraId="7B2224A4" w14:textId="77777777" w:rsidR="00BC1364" w:rsidRPr="00F715D1" w:rsidRDefault="00BC1364" w:rsidP="00F715D1">
      <w:pPr>
        <w:pStyle w:val="Heading1"/>
      </w:pPr>
      <w:r w:rsidRPr="00F715D1">
        <w:lastRenderedPageBreak/>
        <w:t>Economic evaluation</w:t>
      </w:r>
    </w:p>
    <w:p w14:paraId="4A0E1517" w14:textId="17637904" w:rsidR="00FA4ABE" w:rsidRPr="00FA4ABE" w:rsidRDefault="00ED6AAD" w:rsidP="00480EA7">
      <w:pPr>
        <w:spacing w:after="240"/>
      </w:pPr>
      <w:r w:rsidRPr="00ED6AAD">
        <w:t xml:space="preserve">Since outcomes </w:t>
      </w:r>
      <w:proofErr w:type="gramStart"/>
      <w:r w:rsidRPr="00ED6AAD">
        <w:t>were assessed</w:t>
      </w:r>
      <w:proofErr w:type="gramEnd"/>
      <w:r w:rsidRPr="00ED6AAD">
        <w:t xml:space="preserve"> as having non-inferior safety compared with usual care, and likely superior effectiveness for </w:t>
      </w:r>
      <w:r w:rsidR="00227CC8">
        <w:t>PR</w:t>
      </w:r>
      <w:r w:rsidRPr="00ED6AAD">
        <w:t xml:space="preserve">, a cost utility analysis was </w:t>
      </w:r>
      <w:r w:rsidR="00227CC8">
        <w:t>undertaken</w:t>
      </w:r>
      <w:r w:rsidRPr="00ED6AAD">
        <w:t xml:space="preserve"> for the economic evaluation.</w:t>
      </w:r>
      <w:r w:rsidR="00FA4ABE" w:rsidRPr="00FA4ABE">
        <w:t xml:space="preserve"> The base case of the economic evaluation </w:t>
      </w:r>
      <w:proofErr w:type="gramStart"/>
      <w:r w:rsidR="00FA4ABE" w:rsidRPr="00FA4ABE">
        <w:t>was generated</w:t>
      </w:r>
      <w:proofErr w:type="gramEnd"/>
      <w:r w:rsidR="00FA4ABE" w:rsidRPr="00FA4ABE">
        <w:t xml:space="preserve"> using a stepped process derived from the evidence. The model is a simple decision analytic model utilising a decision tree approach and a microsimulation where a hypothetical cohort of </w:t>
      </w:r>
      <w:r w:rsidR="00954E7B" w:rsidRPr="00FA4ABE">
        <w:t>individual</w:t>
      </w:r>
      <w:r w:rsidR="00FA4ABE" w:rsidRPr="00FA4ABE">
        <w:t xml:space="preserve"> patients in the intervention and comparator arms are randomly assigned costs and a </w:t>
      </w:r>
      <w:proofErr w:type="gramStart"/>
      <w:r w:rsidR="00FA4ABE" w:rsidRPr="00FA4ABE">
        <w:t xml:space="preserve">benefit which declines </w:t>
      </w:r>
      <w:r w:rsidR="00FA4ABE">
        <w:t>until the next treatment</w:t>
      </w:r>
      <w:proofErr w:type="gramEnd"/>
      <w:r w:rsidR="00FA4ABE">
        <w:t xml:space="preserve"> occur</w:t>
      </w:r>
      <w:r w:rsidR="00FA4ABE" w:rsidRPr="00FA4ABE">
        <w:t xml:space="preserve">s </w:t>
      </w:r>
      <w:r w:rsidR="00FA4ABE">
        <w:t>(</w:t>
      </w:r>
      <w:r w:rsidR="00FA4ABE" w:rsidRPr="00FA4ABE">
        <w:fldChar w:fldCharType="begin"/>
      </w:r>
      <w:r w:rsidR="00FA4ABE" w:rsidRPr="00FA4ABE">
        <w:instrText xml:space="preserve"> REF _Ref529265581 \h </w:instrText>
      </w:r>
      <w:r w:rsidR="00FA4ABE">
        <w:instrText xml:space="preserve"> \* MERGEFORMAT </w:instrText>
      </w:r>
      <w:r w:rsidR="00FA4ABE" w:rsidRPr="00FA4ABE">
        <w:fldChar w:fldCharType="separate"/>
      </w:r>
      <w:r w:rsidR="00FA4ABE" w:rsidRPr="00FA4ABE">
        <w:t>Table 6</w:t>
      </w:r>
      <w:r w:rsidR="00FA4ABE" w:rsidRPr="00FA4ABE">
        <w:fldChar w:fldCharType="end"/>
      </w:r>
      <w:r w:rsidR="00FA4ABE">
        <w:t>).</w:t>
      </w:r>
    </w:p>
    <w:p w14:paraId="194BEE52" w14:textId="77777777" w:rsidR="00FA4ABE" w:rsidRPr="00FA4ABE" w:rsidRDefault="00FA4ABE" w:rsidP="00FA4ABE">
      <w:pPr>
        <w:pStyle w:val="Caption"/>
        <w:keepNext/>
        <w:rPr>
          <w:rFonts w:ascii="Arial Narrow" w:hAnsi="Arial Narrow"/>
          <w:color w:val="auto"/>
          <w:sz w:val="20"/>
        </w:rPr>
      </w:pPr>
      <w:bookmarkStart w:id="11" w:name="_Ref529265581"/>
      <w:r w:rsidRPr="00FA4ABE">
        <w:rPr>
          <w:rFonts w:ascii="Arial Narrow" w:hAnsi="Arial Narrow"/>
          <w:color w:val="auto"/>
          <w:sz w:val="20"/>
        </w:rPr>
        <w:t xml:space="preserve">Table </w:t>
      </w:r>
      <w:r w:rsidRPr="00FA4ABE">
        <w:rPr>
          <w:rFonts w:ascii="Arial Narrow" w:hAnsi="Arial Narrow"/>
          <w:color w:val="auto"/>
          <w:sz w:val="20"/>
        </w:rPr>
        <w:fldChar w:fldCharType="begin"/>
      </w:r>
      <w:r w:rsidRPr="00FA4ABE">
        <w:rPr>
          <w:rFonts w:ascii="Arial Narrow" w:hAnsi="Arial Narrow"/>
          <w:color w:val="auto"/>
          <w:sz w:val="20"/>
        </w:rPr>
        <w:instrText xml:space="preserve"> SEQ Table \* ARABIC </w:instrText>
      </w:r>
      <w:r w:rsidRPr="00FA4ABE">
        <w:rPr>
          <w:rFonts w:ascii="Arial Narrow" w:hAnsi="Arial Narrow"/>
          <w:color w:val="auto"/>
          <w:sz w:val="20"/>
        </w:rPr>
        <w:fldChar w:fldCharType="separate"/>
      </w:r>
      <w:r w:rsidR="00EC58AB">
        <w:rPr>
          <w:rFonts w:ascii="Arial Narrow" w:hAnsi="Arial Narrow"/>
          <w:noProof/>
          <w:color w:val="auto"/>
          <w:sz w:val="20"/>
        </w:rPr>
        <w:t>6</w:t>
      </w:r>
      <w:r w:rsidRPr="00FA4ABE">
        <w:rPr>
          <w:rFonts w:ascii="Arial Narrow" w:hAnsi="Arial Narrow"/>
          <w:color w:val="auto"/>
          <w:sz w:val="20"/>
        </w:rPr>
        <w:fldChar w:fldCharType="end"/>
      </w:r>
      <w:bookmarkEnd w:id="11"/>
      <w:r>
        <w:rPr>
          <w:rFonts w:ascii="Arial Narrow" w:hAnsi="Arial Narrow"/>
          <w:color w:val="auto"/>
          <w:sz w:val="20"/>
        </w:rPr>
        <w:t xml:space="preserve"> Summary of the economic evaluation</w:t>
      </w:r>
    </w:p>
    <w:tbl>
      <w:tblPr>
        <w:tblStyle w:val="TableGrid"/>
        <w:tblW w:w="5000" w:type="pct"/>
        <w:tblLook w:val="0000" w:firstRow="0" w:lastRow="0" w:firstColumn="0" w:lastColumn="0" w:noHBand="0" w:noVBand="0"/>
        <w:tblCaption w:val="Summary of the economic evaluation"/>
        <w:tblDescription w:val="Description of economic evaluation (stepped)"/>
      </w:tblPr>
      <w:tblGrid>
        <w:gridCol w:w="3017"/>
        <w:gridCol w:w="5999"/>
      </w:tblGrid>
      <w:tr w:rsidR="00FA4ABE" w:rsidRPr="00DB7F60" w14:paraId="2FA6A09F" w14:textId="77777777" w:rsidTr="00AE4C08">
        <w:trPr>
          <w:trHeight w:val="93"/>
          <w:tblHeader/>
        </w:trPr>
        <w:tc>
          <w:tcPr>
            <w:tcW w:w="1673" w:type="pct"/>
          </w:tcPr>
          <w:p w14:paraId="110286E6" w14:textId="77777777" w:rsidR="00FA4ABE" w:rsidRPr="00DB7F60" w:rsidRDefault="00FA4ABE" w:rsidP="00DB7F60">
            <w:pPr>
              <w:pStyle w:val="Tabletext"/>
              <w:spacing w:before="40" w:after="40"/>
              <w:rPr>
                <w:rFonts w:eastAsia="Calibri"/>
              </w:rPr>
            </w:pPr>
            <w:r w:rsidRPr="00DB7F60">
              <w:rPr>
                <w:rFonts w:eastAsia="Calibri"/>
              </w:rPr>
              <w:t xml:space="preserve">Perspective </w:t>
            </w:r>
          </w:p>
        </w:tc>
        <w:tc>
          <w:tcPr>
            <w:tcW w:w="3327" w:type="pct"/>
          </w:tcPr>
          <w:p w14:paraId="28FDE77E" w14:textId="77777777" w:rsidR="00FA4ABE" w:rsidRPr="00DB7F60" w:rsidRDefault="00FA4ABE" w:rsidP="00DB7F60">
            <w:pPr>
              <w:pStyle w:val="Tabletext"/>
              <w:spacing w:before="40" w:after="40"/>
              <w:rPr>
                <w:rFonts w:eastAsia="Calibri"/>
              </w:rPr>
            </w:pPr>
            <w:r w:rsidRPr="00DB7F60">
              <w:rPr>
                <w:rFonts w:eastAsia="Calibri"/>
              </w:rPr>
              <w:t xml:space="preserve">Healthcare payer </w:t>
            </w:r>
          </w:p>
        </w:tc>
      </w:tr>
      <w:tr w:rsidR="00FA4ABE" w:rsidRPr="00DB7F60" w14:paraId="1E271473" w14:textId="77777777" w:rsidTr="00AE4C08">
        <w:trPr>
          <w:trHeight w:val="93"/>
        </w:trPr>
        <w:tc>
          <w:tcPr>
            <w:tcW w:w="1673" w:type="pct"/>
          </w:tcPr>
          <w:p w14:paraId="266CB10E" w14:textId="77777777" w:rsidR="00FA4ABE" w:rsidRPr="00DB7F60" w:rsidRDefault="00FA4ABE" w:rsidP="00DB7F60">
            <w:pPr>
              <w:pStyle w:val="Tabletext"/>
              <w:spacing w:before="40" w:after="40"/>
              <w:rPr>
                <w:rFonts w:eastAsia="Calibri"/>
              </w:rPr>
            </w:pPr>
            <w:r w:rsidRPr="00DB7F60">
              <w:rPr>
                <w:rFonts w:eastAsia="Calibri"/>
              </w:rPr>
              <w:t xml:space="preserve">Comparator </w:t>
            </w:r>
          </w:p>
        </w:tc>
        <w:tc>
          <w:tcPr>
            <w:tcW w:w="3327" w:type="pct"/>
          </w:tcPr>
          <w:p w14:paraId="32D12FE4" w14:textId="77777777" w:rsidR="00FA4ABE" w:rsidRPr="00DB7F60" w:rsidRDefault="00FA4ABE" w:rsidP="00DB7F60">
            <w:pPr>
              <w:pStyle w:val="Tabletext"/>
              <w:spacing w:before="40" w:after="40"/>
              <w:rPr>
                <w:rFonts w:eastAsia="Calibri"/>
              </w:rPr>
            </w:pPr>
            <w:r w:rsidRPr="00DB7F60">
              <w:rPr>
                <w:rFonts w:eastAsia="Calibri"/>
              </w:rPr>
              <w:t xml:space="preserve">PR versus usual care </w:t>
            </w:r>
          </w:p>
        </w:tc>
      </w:tr>
      <w:tr w:rsidR="00FA4ABE" w:rsidRPr="00DB7F60" w14:paraId="6F8DD138" w14:textId="77777777" w:rsidTr="00AE4C08">
        <w:trPr>
          <w:trHeight w:val="93"/>
        </w:trPr>
        <w:tc>
          <w:tcPr>
            <w:tcW w:w="1673" w:type="pct"/>
          </w:tcPr>
          <w:p w14:paraId="5C48325A" w14:textId="77777777" w:rsidR="00FA4ABE" w:rsidRPr="00DB7F60" w:rsidRDefault="00FA4ABE" w:rsidP="00DB7F60">
            <w:pPr>
              <w:pStyle w:val="Tabletext"/>
              <w:spacing w:before="40" w:after="40"/>
              <w:rPr>
                <w:rFonts w:eastAsia="Calibri"/>
              </w:rPr>
            </w:pPr>
            <w:r w:rsidRPr="00DB7F60">
              <w:rPr>
                <w:rFonts w:eastAsia="Calibri"/>
              </w:rPr>
              <w:t xml:space="preserve">Type of economic evaluation </w:t>
            </w:r>
          </w:p>
        </w:tc>
        <w:tc>
          <w:tcPr>
            <w:tcW w:w="3327" w:type="pct"/>
          </w:tcPr>
          <w:p w14:paraId="58C097D6" w14:textId="77777777" w:rsidR="00FA4ABE" w:rsidRPr="00DB7F60" w:rsidRDefault="00FA4ABE" w:rsidP="00DB7F60">
            <w:pPr>
              <w:pStyle w:val="Tabletext"/>
              <w:spacing w:before="40" w:after="40"/>
              <w:rPr>
                <w:rFonts w:eastAsia="Calibri"/>
              </w:rPr>
            </w:pPr>
            <w:r w:rsidRPr="00DB7F60">
              <w:rPr>
                <w:rFonts w:eastAsia="Calibri"/>
              </w:rPr>
              <w:t xml:space="preserve">Cost utility </w:t>
            </w:r>
          </w:p>
        </w:tc>
      </w:tr>
      <w:tr w:rsidR="00FA4ABE" w:rsidRPr="00DB7F60" w14:paraId="443A014E" w14:textId="77777777" w:rsidTr="00AE4C08">
        <w:trPr>
          <w:trHeight w:val="93"/>
        </w:trPr>
        <w:tc>
          <w:tcPr>
            <w:tcW w:w="1673" w:type="pct"/>
          </w:tcPr>
          <w:p w14:paraId="2EA04170" w14:textId="77777777" w:rsidR="00FA4ABE" w:rsidRPr="00DB7F60" w:rsidRDefault="00FA4ABE" w:rsidP="00DB7F60">
            <w:pPr>
              <w:pStyle w:val="Tabletext"/>
              <w:spacing w:before="40" w:after="40"/>
              <w:rPr>
                <w:rFonts w:eastAsia="Calibri"/>
              </w:rPr>
            </w:pPr>
            <w:r w:rsidRPr="00DB7F60">
              <w:rPr>
                <w:rFonts w:eastAsia="Calibri"/>
              </w:rPr>
              <w:t xml:space="preserve">Sources of evidence </w:t>
            </w:r>
          </w:p>
        </w:tc>
        <w:tc>
          <w:tcPr>
            <w:tcW w:w="3327" w:type="pct"/>
          </w:tcPr>
          <w:p w14:paraId="54FB3556" w14:textId="77777777" w:rsidR="00FA4ABE" w:rsidRPr="00DB7F60" w:rsidRDefault="00FA4ABE" w:rsidP="00DB7F60">
            <w:pPr>
              <w:pStyle w:val="Tabletext"/>
              <w:spacing w:before="40" w:after="40"/>
              <w:rPr>
                <w:rFonts w:eastAsia="Calibri"/>
              </w:rPr>
            </w:pPr>
            <w:r w:rsidRPr="00DB7F60">
              <w:rPr>
                <w:rFonts w:eastAsia="Calibri"/>
              </w:rPr>
              <w:t xml:space="preserve">Selective review of literature and evidence in section B (systematic review) </w:t>
            </w:r>
          </w:p>
        </w:tc>
      </w:tr>
      <w:tr w:rsidR="00FA4ABE" w:rsidRPr="00DB7F60" w14:paraId="6EF012BA" w14:textId="77777777" w:rsidTr="00AE4C08">
        <w:trPr>
          <w:trHeight w:val="93"/>
        </w:trPr>
        <w:tc>
          <w:tcPr>
            <w:tcW w:w="1673" w:type="pct"/>
          </w:tcPr>
          <w:p w14:paraId="0050D7BE" w14:textId="77777777" w:rsidR="00FA4ABE" w:rsidRPr="00DB7F60" w:rsidRDefault="00FA4ABE" w:rsidP="00DB7F60">
            <w:pPr>
              <w:pStyle w:val="Tabletext"/>
              <w:spacing w:before="40" w:after="40"/>
              <w:rPr>
                <w:rFonts w:eastAsia="Calibri"/>
              </w:rPr>
            </w:pPr>
            <w:r w:rsidRPr="00DB7F60">
              <w:rPr>
                <w:rFonts w:eastAsia="Calibri"/>
              </w:rPr>
              <w:t xml:space="preserve">Time horizon </w:t>
            </w:r>
          </w:p>
        </w:tc>
        <w:tc>
          <w:tcPr>
            <w:tcW w:w="3327" w:type="pct"/>
          </w:tcPr>
          <w:p w14:paraId="387155A9" w14:textId="77777777" w:rsidR="00FA4ABE" w:rsidRPr="00DB7F60" w:rsidRDefault="00FA4ABE" w:rsidP="00DB7F60">
            <w:pPr>
              <w:pStyle w:val="Tabletext"/>
              <w:spacing w:before="40" w:after="40"/>
              <w:rPr>
                <w:rFonts w:eastAsia="Calibri"/>
              </w:rPr>
            </w:pPr>
            <w:r w:rsidRPr="00DB7F60">
              <w:rPr>
                <w:rFonts w:eastAsia="Calibri"/>
              </w:rPr>
              <w:t xml:space="preserve">10 years, including 2 years and 6 years </w:t>
            </w:r>
          </w:p>
        </w:tc>
      </w:tr>
      <w:tr w:rsidR="00FA4ABE" w:rsidRPr="00DB7F60" w14:paraId="122859B1" w14:textId="77777777" w:rsidTr="00AE4C08">
        <w:trPr>
          <w:trHeight w:val="93"/>
        </w:trPr>
        <w:tc>
          <w:tcPr>
            <w:tcW w:w="1673" w:type="pct"/>
          </w:tcPr>
          <w:p w14:paraId="0B0B6C19" w14:textId="77777777" w:rsidR="00FA4ABE" w:rsidRPr="00DB7F60" w:rsidRDefault="00FA4ABE" w:rsidP="00DB7F60">
            <w:pPr>
              <w:pStyle w:val="Tabletext"/>
              <w:spacing w:before="40" w:after="40"/>
              <w:rPr>
                <w:rFonts w:eastAsia="Calibri"/>
              </w:rPr>
            </w:pPr>
            <w:r w:rsidRPr="00DB7F60">
              <w:rPr>
                <w:rFonts w:eastAsia="Calibri"/>
              </w:rPr>
              <w:t xml:space="preserve">Outcomes </w:t>
            </w:r>
          </w:p>
        </w:tc>
        <w:tc>
          <w:tcPr>
            <w:tcW w:w="3327" w:type="pct"/>
          </w:tcPr>
          <w:p w14:paraId="503EBEBE" w14:textId="77777777" w:rsidR="00FA4ABE" w:rsidRPr="00DB7F60" w:rsidRDefault="00FA4ABE" w:rsidP="00DB7F60">
            <w:pPr>
              <w:pStyle w:val="Tabletext"/>
              <w:spacing w:before="40" w:after="40"/>
              <w:rPr>
                <w:rFonts w:eastAsia="Calibri"/>
              </w:rPr>
            </w:pPr>
            <w:r w:rsidRPr="00DB7F60">
              <w:rPr>
                <w:rFonts w:eastAsia="Calibri"/>
              </w:rPr>
              <w:t xml:space="preserve">Life years gained (QALYs), reduction in healthcare resource use </w:t>
            </w:r>
          </w:p>
        </w:tc>
      </w:tr>
      <w:tr w:rsidR="00FA4ABE" w:rsidRPr="00DB7F60" w14:paraId="74D21225" w14:textId="77777777" w:rsidTr="00AE4C08">
        <w:trPr>
          <w:trHeight w:val="93"/>
        </w:trPr>
        <w:tc>
          <w:tcPr>
            <w:tcW w:w="1673" w:type="pct"/>
          </w:tcPr>
          <w:p w14:paraId="31058689" w14:textId="77777777" w:rsidR="00FA4ABE" w:rsidRPr="00DB7F60" w:rsidRDefault="00FA4ABE" w:rsidP="00DB7F60">
            <w:pPr>
              <w:pStyle w:val="Tabletext"/>
              <w:spacing w:before="40" w:after="40"/>
              <w:rPr>
                <w:rFonts w:eastAsia="Calibri"/>
              </w:rPr>
            </w:pPr>
            <w:r w:rsidRPr="00DB7F60">
              <w:rPr>
                <w:rFonts w:eastAsia="Calibri"/>
              </w:rPr>
              <w:t xml:space="preserve">Methods used to generate results </w:t>
            </w:r>
          </w:p>
        </w:tc>
        <w:tc>
          <w:tcPr>
            <w:tcW w:w="3327" w:type="pct"/>
          </w:tcPr>
          <w:p w14:paraId="3C070831" w14:textId="77777777" w:rsidR="00FA4ABE" w:rsidRPr="00DB7F60" w:rsidRDefault="00FA4ABE" w:rsidP="00DB7F60">
            <w:pPr>
              <w:pStyle w:val="Tabletext"/>
              <w:spacing w:before="40" w:after="40"/>
              <w:rPr>
                <w:rFonts w:eastAsia="Calibri"/>
              </w:rPr>
            </w:pPr>
            <w:r w:rsidRPr="00DB7F60">
              <w:rPr>
                <w:rFonts w:eastAsia="Calibri"/>
              </w:rPr>
              <w:t xml:space="preserve">Decision analytic model using a decision tree. </w:t>
            </w:r>
          </w:p>
        </w:tc>
      </w:tr>
      <w:tr w:rsidR="00FA4ABE" w:rsidRPr="00DB7F60" w14:paraId="4AB24745" w14:textId="77777777" w:rsidTr="00AE4C08">
        <w:trPr>
          <w:trHeight w:val="93"/>
        </w:trPr>
        <w:tc>
          <w:tcPr>
            <w:tcW w:w="1673" w:type="pct"/>
          </w:tcPr>
          <w:p w14:paraId="3A0F072F" w14:textId="77777777" w:rsidR="00FA4ABE" w:rsidRPr="00DB7F60" w:rsidRDefault="00FA4ABE" w:rsidP="00DB7F60">
            <w:pPr>
              <w:pStyle w:val="Tabletext"/>
              <w:spacing w:before="40" w:after="40"/>
              <w:rPr>
                <w:rFonts w:eastAsia="Calibri"/>
              </w:rPr>
            </w:pPr>
            <w:r w:rsidRPr="00DB7F60">
              <w:rPr>
                <w:rFonts w:eastAsia="Calibri"/>
              </w:rPr>
              <w:t xml:space="preserve">Cycle length </w:t>
            </w:r>
          </w:p>
        </w:tc>
        <w:tc>
          <w:tcPr>
            <w:tcW w:w="3327" w:type="pct"/>
          </w:tcPr>
          <w:p w14:paraId="6D9365B8" w14:textId="77777777" w:rsidR="00FA4ABE" w:rsidRPr="00DB7F60" w:rsidRDefault="00FA4ABE" w:rsidP="00DB7F60">
            <w:pPr>
              <w:pStyle w:val="Tabletext"/>
              <w:spacing w:before="40" w:after="40"/>
              <w:rPr>
                <w:rFonts w:eastAsia="Calibri"/>
              </w:rPr>
            </w:pPr>
            <w:r w:rsidRPr="00DB7F60">
              <w:rPr>
                <w:rFonts w:eastAsia="Calibri"/>
              </w:rPr>
              <w:t xml:space="preserve">2 years </w:t>
            </w:r>
          </w:p>
        </w:tc>
      </w:tr>
      <w:tr w:rsidR="00FA4ABE" w:rsidRPr="00DB7F60" w14:paraId="21143C56" w14:textId="77777777" w:rsidTr="00AE4C08">
        <w:trPr>
          <w:trHeight w:val="93"/>
        </w:trPr>
        <w:tc>
          <w:tcPr>
            <w:tcW w:w="1673" w:type="pct"/>
          </w:tcPr>
          <w:p w14:paraId="3464EC9F" w14:textId="77777777" w:rsidR="00FA4ABE" w:rsidRPr="00DB7F60" w:rsidRDefault="00FA4ABE" w:rsidP="00DB7F60">
            <w:pPr>
              <w:pStyle w:val="Tabletext"/>
              <w:spacing w:before="40" w:after="40"/>
              <w:rPr>
                <w:rFonts w:eastAsia="Calibri"/>
              </w:rPr>
            </w:pPr>
            <w:r w:rsidRPr="00DB7F60">
              <w:rPr>
                <w:rFonts w:eastAsia="Calibri"/>
              </w:rPr>
              <w:t xml:space="preserve">Discount rate </w:t>
            </w:r>
          </w:p>
        </w:tc>
        <w:tc>
          <w:tcPr>
            <w:tcW w:w="3327" w:type="pct"/>
          </w:tcPr>
          <w:p w14:paraId="1ED65F57" w14:textId="77777777" w:rsidR="00FA4ABE" w:rsidRPr="00DB7F60" w:rsidRDefault="00FA4ABE" w:rsidP="00DB7F60">
            <w:pPr>
              <w:pStyle w:val="Tabletext"/>
              <w:spacing w:before="40" w:after="40"/>
              <w:rPr>
                <w:rFonts w:eastAsia="Calibri"/>
              </w:rPr>
            </w:pPr>
            <w:r w:rsidRPr="00DB7F60">
              <w:rPr>
                <w:rFonts w:eastAsia="Calibri"/>
              </w:rPr>
              <w:t xml:space="preserve">5% default, sensitivity at 0% and 10% </w:t>
            </w:r>
          </w:p>
        </w:tc>
      </w:tr>
      <w:tr w:rsidR="00FA4ABE" w:rsidRPr="00DB7F60" w14:paraId="760A39DE" w14:textId="77777777" w:rsidTr="00AE4C08">
        <w:trPr>
          <w:trHeight w:val="93"/>
        </w:trPr>
        <w:tc>
          <w:tcPr>
            <w:tcW w:w="1673" w:type="pct"/>
          </w:tcPr>
          <w:p w14:paraId="205B7DC5" w14:textId="77777777" w:rsidR="00FA4ABE" w:rsidRPr="00DB7F60" w:rsidRDefault="00FA4ABE" w:rsidP="00DB7F60">
            <w:pPr>
              <w:pStyle w:val="Tabletext"/>
              <w:spacing w:before="40" w:after="40"/>
              <w:rPr>
                <w:rFonts w:eastAsia="Calibri"/>
              </w:rPr>
            </w:pPr>
            <w:r w:rsidRPr="00DB7F60">
              <w:rPr>
                <w:rFonts w:eastAsia="Calibri"/>
              </w:rPr>
              <w:t xml:space="preserve">Software packages used </w:t>
            </w:r>
          </w:p>
        </w:tc>
        <w:tc>
          <w:tcPr>
            <w:tcW w:w="3327" w:type="pct"/>
          </w:tcPr>
          <w:p w14:paraId="70F4AFD4" w14:textId="77777777" w:rsidR="00FA4ABE" w:rsidRPr="00DB7F60" w:rsidRDefault="00FA4ABE" w:rsidP="00DB7F60">
            <w:pPr>
              <w:pStyle w:val="Tabletext"/>
              <w:spacing w:before="40" w:after="40"/>
              <w:rPr>
                <w:rFonts w:eastAsia="Calibri"/>
              </w:rPr>
            </w:pPr>
            <w:r w:rsidRPr="00DB7F60">
              <w:rPr>
                <w:rFonts w:eastAsia="Calibri"/>
              </w:rPr>
              <w:t xml:space="preserve">Microsoft Excel 2016 16.0.4549.1000 </w:t>
            </w:r>
          </w:p>
        </w:tc>
      </w:tr>
    </w:tbl>
    <w:p w14:paraId="1B7D62F1" w14:textId="5F09F288" w:rsidR="00FA4ABE" w:rsidRPr="00480EA7" w:rsidRDefault="00954E7B" w:rsidP="00480EA7">
      <w:pPr>
        <w:pStyle w:val="Tabletext"/>
        <w:spacing w:after="240"/>
        <w:rPr>
          <w:sz w:val="18"/>
        </w:rPr>
      </w:pPr>
      <w:r>
        <w:rPr>
          <w:sz w:val="18"/>
        </w:rPr>
        <w:t>PR = pulmonary rehabilitation; QALY = quality-adjusted life year</w:t>
      </w:r>
    </w:p>
    <w:p w14:paraId="03AF39C6" w14:textId="2E753BCE" w:rsidR="00FA4ABE" w:rsidRDefault="00FA4ABE" w:rsidP="00480EA7">
      <w:pPr>
        <w:spacing w:after="240"/>
      </w:pPr>
      <w:r w:rsidRPr="00FA4ABE">
        <w:t xml:space="preserve">Three economic evaluations </w:t>
      </w:r>
      <w:proofErr w:type="gramStart"/>
      <w:r w:rsidRPr="00FA4ABE">
        <w:t>were undertaken</w:t>
      </w:r>
      <w:proofErr w:type="gramEnd"/>
      <w:r w:rsidRPr="00FA4ABE">
        <w:t xml:space="preserve"> for this assessment: patients with stable COPD at the start of PR compared with usual care; patients with a recent exacerbation of COPD at the start of PR compared with usual care</w:t>
      </w:r>
      <w:r>
        <w:t>;</w:t>
      </w:r>
      <w:r w:rsidRPr="00FA4ABE">
        <w:t xml:space="preserve"> and patients with ILD at the start of PR compared with usual </w:t>
      </w:r>
      <w:r w:rsidRPr="00046EBB">
        <w:t>care</w:t>
      </w:r>
      <w:r w:rsidR="00F144F0">
        <w:t>.</w:t>
      </w:r>
      <w:r w:rsidR="00046EBB" w:rsidRPr="00046EBB">
        <w:t xml:space="preserve"> </w:t>
      </w:r>
      <w:r w:rsidR="00F144F0">
        <w:t xml:space="preserve">Cost and benefits </w:t>
      </w:r>
      <w:proofErr w:type="gramStart"/>
      <w:r w:rsidR="00F144F0">
        <w:t>were assessed</w:t>
      </w:r>
      <w:proofErr w:type="gramEnd"/>
      <w:r w:rsidR="00F144F0">
        <w:t xml:space="preserve"> over a period of 10 years (</w:t>
      </w:r>
      <w:r w:rsidR="00F144F0" w:rsidRPr="00046EBB">
        <w:fldChar w:fldCharType="begin"/>
      </w:r>
      <w:r w:rsidR="00F144F0" w:rsidRPr="00046EBB">
        <w:instrText xml:space="preserve"> REF _Ref529266049 \h </w:instrText>
      </w:r>
      <w:r w:rsidR="00F144F0">
        <w:instrText xml:space="preserve"> \* MERGEFORMAT </w:instrText>
      </w:r>
      <w:r w:rsidR="00F144F0" w:rsidRPr="00046EBB">
        <w:fldChar w:fldCharType="separate"/>
      </w:r>
      <w:r w:rsidR="00F144F0" w:rsidRPr="00046EBB">
        <w:t>Table 7</w:t>
      </w:r>
      <w:r w:rsidR="00F144F0" w:rsidRPr="00046EBB">
        <w:fldChar w:fldCharType="end"/>
      </w:r>
      <w:r w:rsidR="00F144F0">
        <w:t>)</w:t>
      </w:r>
      <w:r w:rsidR="00F144F0" w:rsidRPr="00046EBB">
        <w:t>.</w:t>
      </w:r>
    </w:p>
    <w:p w14:paraId="744822D4" w14:textId="77777777" w:rsidR="00046EBB" w:rsidRPr="00046EBB" w:rsidRDefault="00046EBB" w:rsidP="00046EBB">
      <w:pPr>
        <w:pStyle w:val="Caption"/>
        <w:keepNext/>
        <w:rPr>
          <w:rFonts w:ascii="Arial Narrow" w:hAnsi="Arial Narrow"/>
          <w:color w:val="auto"/>
          <w:sz w:val="20"/>
        </w:rPr>
      </w:pPr>
      <w:bookmarkStart w:id="12" w:name="_Ref529266049"/>
      <w:r w:rsidRPr="00046EBB">
        <w:rPr>
          <w:rFonts w:ascii="Arial Narrow" w:hAnsi="Arial Narrow"/>
          <w:color w:val="auto"/>
          <w:sz w:val="20"/>
        </w:rPr>
        <w:t xml:space="preserve">Table </w:t>
      </w:r>
      <w:r w:rsidRPr="00046EBB">
        <w:rPr>
          <w:rFonts w:ascii="Arial Narrow" w:hAnsi="Arial Narrow"/>
          <w:color w:val="auto"/>
          <w:sz w:val="20"/>
        </w:rPr>
        <w:fldChar w:fldCharType="begin"/>
      </w:r>
      <w:r w:rsidRPr="00046EBB">
        <w:rPr>
          <w:rFonts w:ascii="Arial Narrow" w:hAnsi="Arial Narrow"/>
          <w:color w:val="auto"/>
          <w:sz w:val="20"/>
        </w:rPr>
        <w:instrText xml:space="preserve"> SEQ Table \* ARABIC </w:instrText>
      </w:r>
      <w:r w:rsidRPr="00046EBB">
        <w:rPr>
          <w:rFonts w:ascii="Arial Narrow" w:hAnsi="Arial Narrow"/>
          <w:color w:val="auto"/>
          <w:sz w:val="20"/>
        </w:rPr>
        <w:fldChar w:fldCharType="separate"/>
      </w:r>
      <w:r w:rsidR="00EC58AB">
        <w:rPr>
          <w:rFonts w:ascii="Arial Narrow" w:hAnsi="Arial Narrow"/>
          <w:noProof/>
          <w:color w:val="auto"/>
          <w:sz w:val="20"/>
        </w:rPr>
        <w:t>7</w:t>
      </w:r>
      <w:r w:rsidRPr="00046EBB">
        <w:rPr>
          <w:rFonts w:ascii="Arial Narrow" w:hAnsi="Arial Narrow"/>
          <w:color w:val="auto"/>
          <w:sz w:val="20"/>
        </w:rPr>
        <w:fldChar w:fldCharType="end"/>
      </w:r>
      <w:bookmarkEnd w:id="12"/>
      <w:r w:rsidRPr="00046EBB">
        <w:t xml:space="preserve"> </w:t>
      </w:r>
      <w:r w:rsidRPr="00046EBB">
        <w:rPr>
          <w:rFonts w:ascii="Arial Narrow" w:hAnsi="Arial Narrow"/>
          <w:color w:val="auto"/>
          <w:sz w:val="20"/>
        </w:rPr>
        <w:t>Incremental costs and effectiveness for treatment of COPD and ILD, horizon 10 years</w:t>
      </w:r>
    </w:p>
    <w:tbl>
      <w:tblPr>
        <w:tblStyle w:val="TableGrid"/>
        <w:tblW w:w="5000" w:type="pct"/>
        <w:tblLook w:val="0000" w:firstRow="0" w:lastRow="0" w:firstColumn="0" w:lastColumn="0" w:noHBand="0" w:noVBand="0"/>
        <w:tblCaption w:val="Incremental costs and effectiveness for treatment of COPD and ILD, horizon 10 years"/>
        <w:tblDescription w:val="Summary of results of three economic evaluations for PR versus usual care"/>
      </w:tblPr>
      <w:tblGrid>
        <w:gridCol w:w="2041"/>
        <w:gridCol w:w="1937"/>
        <w:gridCol w:w="2876"/>
        <w:gridCol w:w="2162"/>
      </w:tblGrid>
      <w:tr w:rsidR="00046EBB" w:rsidRPr="00FA4ABE" w14:paraId="6F9B0114" w14:textId="77777777" w:rsidTr="00AE4C08">
        <w:trPr>
          <w:trHeight w:val="417"/>
          <w:tblHeader/>
        </w:trPr>
        <w:tc>
          <w:tcPr>
            <w:tcW w:w="1132" w:type="pct"/>
          </w:tcPr>
          <w:p w14:paraId="0E6D0290" w14:textId="77777777" w:rsidR="00046EBB" w:rsidRPr="00FA4ABE" w:rsidRDefault="00046EBB" w:rsidP="00DB7F60">
            <w:pPr>
              <w:autoSpaceDE w:val="0"/>
              <w:autoSpaceDN w:val="0"/>
              <w:adjustRightInd w:val="0"/>
              <w:spacing w:before="40" w:after="40"/>
              <w:rPr>
                <w:rFonts w:ascii="Arial" w:eastAsia="Calibri" w:hAnsi="Arial" w:cs="Arial"/>
                <w:color w:val="000000"/>
                <w:sz w:val="20"/>
              </w:rPr>
            </w:pPr>
          </w:p>
        </w:tc>
        <w:tc>
          <w:tcPr>
            <w:tcW w:w="1074" w:type="pct"/>
          </w:tcPr>
          <w:p w14:paraId="0707FA99" w14:textId="77777777" w:rsidR="00046EBB" w:rsidRPr="00DB7F60" w:rsidRDefault="00046EBB" w:rsidP="00DB7F60">
            <w:pPr>
              <w:pStyle w:val="Default"/>
              <w:spacing w:before="40" w:after="40"/>
              <w:rPr>
                <w:rFonts w:ascii="Arial Narrow" w:hAnsi="Arial Narrow"/>
                <w:sz w:val="20"/>
              </w:rPr>
            </w:pPr>
            <w:r w:rsidRPr="00046EBB">
              <w:rPr>
                <w:rFonts w:ascii="Arial Narrow" w:hAnsi="Arial Narrow"/>
                <w:b/>
                <w:bCs/>
                <w:sz w:val="20"/>
                <w:szCs w:val="20"/>
              </w:rPr>
              <w:t xml:space="preserve">Incremental cost ($) </w:t>
            </w:r>
          </w:p>
        </w:tc>
        <w:tc>
          <w:tcPr>
            <w:tcW w:w="1595" w:type="pct"/>
          </w:tcPr>
          <w:p w14:paraId="58258078" w14:textId="77777777" w:rsidR="00046EBB" w:rsidRPr="00FA4ABE" w:rsidRDefault="00046EBB" w:rsidP="00DB7F60">
            <w:pPr>
              <w:autoSpaceDE w:val="0"/>
              <w:autoSpaceDN w:val="0"/>
              <w:adjustRightInd w:val="0"/>
              <w:spacing w:before="40" w:after="40"/>
              <w:rPr>
                <w:rFonts w:ascii="Arial Narrow" w:eastAsia="Calibri" w:hAnsi="Arial Narrow" w:cs="Arial"/>
                <w:color w:val="000000"/>
                <w:sz w:val="20"/>
              </w:rPr>
            </w:pPr>
            <w:r w:rsidRPr="00FA4ABE">
              <w:rPr>
                <w:rFonts w:ascii="Arial Narrow" w:eastAsia="Calibri" w:hAnsi="Arial Narrow" w:cs="Arial"/>
                <w:b/>
                <w:bCs/>
                <w:color w:val="000000"/>
                <w:sz w:val="20"/>
              </w:rPr>
              <w:t xml:space="preserve">Incremental effectiveness (QALYs) </w:t>
            </w:r>
          </w:p>
        </w:tc>
        <w:tc>
          <w:tcPr>
            <w:tcW w:w="1199" w:type="pct"/>
          </w:tcPr>
          <w:p w14:paraId="31BE60F9" w14:textId="77777777" w:rsidR="00046EBB" w:rsidRPr="00FA4ABE" w:rsidRDefault="00046EBB" w:rsidP="00DB7F60">
            <w:pPr>
              <w:autoSpaceDE w:val="0"/>
              <w:autoSpaceDN w:val="0"/>
              <w:adjustRightInd w:val="0"/>
              <w:spacing w:before="40" w:after="40"/>
              <w:rPr>
                <w:rFonts w:ascii="Arial Narrow" w:eastAsia="Calibri" w:hAnsi="Arial Narrow" w:cs="Arial"/>
                <w:color w:val="000000"/>
                <w:sz w:val="20"/>
              </w:rPr>
            </w:pPr>
            <w:r w:rsidRPr="00FA4ABE">
              <w:rPr>
                <w:rFonts w:ascii="Arial Narrow" w:eastAsia="Calibri" w:hAnsi="Arial Narrow" w:cs="Arial"/>
                <w:b/>
                <w:bCs/>
                <w:color w:val="000000"/>
                <w:sz w:val="20"/>
              </w:rPr>
              <w:t xml:space="preserve">ICER ($/QALY) </w:t>
            </w:r>
          </w:p>
        </w:tc>
      </w:tr>
      <w:tr w:rsidR="00FA4ABE" w:rsidRPr="00FA4ABE" w14:paraId="11467814" w14:textId="77777777" w:rsidTr="00AE4C08">
        <w:trPr>
          <w:trHeight w:val="93"/>
        </w:trPr>
        <w:tc>
          <w:tcPr>
            <w:tcW w:w="1132" w:type="pct"/>
          </w:tcPr>
          <w:p w14:paraId="28854731" w14:textId="77777777" w:rsidR="00FA4ABE" w:rsidRPr="00FA4ABE" w:rsidRDefault="00FA4ABE" w:rsidP="00DB7F60">
            <w:pPr>
              <w:autoSpaceDE w:val="0"/>
              <w:autoSpaceDN w:val="0"/>
              <w:adjustRightInd w:val="0"/>
              <w:spacing w:before="40" w:after="40"/>
              <w:rPr>
                <w:rFonts w:ascii="Arial Narrow" w:eastAsia="Calibri" w:hAnsi="Arial Narrow" w:cs="Arial"/>
                <w:color w:val="000000"/>
                <w:sz w:val="20"/>
              </w:rPr>
            </w:pPr>
            <w:r w:rsidRPr="00FA4ABE">
              <w:rPr>
                <w:rFonts w:ascii="Arial Narrow" w:eastAsia="Calibri" w:hAnsi="Arial Narrow" w:cs="Arial"/>
                <w:color w:val="000000"/>
                <w:sz w:val="20"/>
              </w:rPr>
              <w:t xml:space="preserve">Stable COPD - PR </w:t>
            </w:r>
          </w:p>
        </w:tc>
        <w:tc>
          <w:tcPr>
            <w:tcW w:w="1074" w:type="pct"/>
          </w:tcPr>
          <w:p w14:paraId="1C08DE12" w14:textId="77777777" w:rsidR="00FA4ABE" w:rsidRPr="00FA4ABE" w:rsidRDefault="00FA4ABE" w:rsidP="00DB7F60">
            <w:pPr>
              <w:autoSpaceDE w:val="0"/>
              <w:autoSpaceDN w:val="0"/>
              <w:adjustRightInd w:val="0"/>
              <w:spacing w:before="40" w:after="40"/>
              <w:rPr>
                <w:rFonts w:ascii="Arial Narrow" w:eastAsia="Calibri" w:hAnsi="Arial Narrow" w:cs="Arial"/>
                <w:color w:val="000000"/>
                <w:sz w:val="20"/>
              </w:rPr>
            </w:pPr>
            <w:r w:rsidRPr="00FA4ABE">
              <w:rPr>
                <w:rFonts w:ascii="Arial Narrow" w:eastAsia="Calibri" w:hAnsi="Arial Narrow" w:cs="Arial"/>
                <w:color w:val="000000"/>
                <w:sz w:val="20"/>
              </w:rPr>
              <w:t xml:space="preserve">-8,311 </w:t>
            </w:r>
          </w:p>
        </w:tc>
        <w:tc>
          <w:tcPr>
            <w:tcW w:w="1595" w:type="pct"/>
          </w:tcPr>
          <w:p w14:paraId="1B3C2604" w14:textId="77777777" w:rsidR="00FA4ABE" w:rsidRPr="00FA4ABE" w:rsidRDefault="00FA4ABE" w:rsidP="00DB7F60">
            <w:pPr>
              <w:autoSpaceDE w:val="0"/>
              <w:autoSpaceDN w:val="0"/>
              <w:adjustRightInd w:val="0"/>
              <w:spacing w:before="40" w:after="40"/>
              <w:rPr>
                <w:rFonts w:ascii="Arial Narrow" w:eastAsia="Calibri" w:hAnsi="Arial Narrow" w:cs="Arial"/>
                <w:color w:val="000000"/>
                <w:sz w:val="20"/>
              </w:rPr>
            </w:pPr>
            <w:r w:rsidRPr="00FA4ABE">
              <w:rPr>
                <w:rFonts w:ascii="Arial Narrow" w:eastAsia="Calibri" w:hAnsi="Arial Narrow" w:cs="Arial"/>
                <w:color w:val="000000"/>
                <w:sz w:val="20"/>
              </w:rPr>
              <w:t xml:space="preserve">0.147 </w:t>
            </w:r>
          </w:p>
        </w:tc>
        <w:tc>
          <w:tcPr>
            <w:tcW w:w="1199" w:type="pct"/>
          </w:tcPr>
          <w:p w14:paraId="6D8B3A3F" w14:textId="77777777" w:rsidR="00FA4ABE" w:rsidRPr="00FA4ABE" w:rsidRDefault="00FA4ABE" w:rsidP="00DB7F60">
            <w:pPr>
              <w:autoSpaceDE w:val="0"/>
              <w:autoSpaceDN w:val="0"/>
              <w:adjustRightInd w:val="0"/>
              <w:spacing w:before="40" w:after="40"/>
              <w:rPr>
                <w:rFonts w:ascii="Arial Narrow" w:eastAsia="Calibri" w:hAnsi="Arial Narrow" w:cs="Arial"/>
                <w:color w:val="000000"/>
                <w:sz w:val="20"/>
              </w:rPr>
            </w:pPr>
            <w:r w:rsidRPr="00FA4ABE">
              <w:rPr>
                <w:rFonts w:ascii="Arial Narrow" w:eastAsia="Calibri" w:hAnsi="Arial Narrow" w:cs="Arial"/>
                <w:color w:val="000000"/>
                <w:sz w:val="20"/>
              </w:rPr>
              <w:t xml:space="preserve">Dominant </w:t>
            </w:r>
          </w:p>
        </w:tc>
      </w:tr>
      <w:tr w:rsidR="00FA4ABE" w:rsidRPr="00FA4ABE" w14:paraId="01D1CA0E" w14:textId="77777777" w:rsidTr="00AE4C08">
        <w:trPr>
          <w:trHeight w:val="93"/>
        </w:trPr>
        <w:tc>
          <w:tcPr>
            <w:tcW w:w="1132" w:type="pct"/>
          </w:tcPr>
          <w:p w14:paraId="57794E09" w14:textId="77777777" w:rsidR="00FA4ABE" w:rsidRPr="00FA4ABE" w:rsidRDefault="00FA4ABE" w:rsidP="00DB7F60">
            <w:pPr>
              <w:autoSpaceDE w:val="0"/>
              <w:autoSpaceDN w:val="0"/>
              <w:adjustRightInd w:val="0"/>
              <w:spacing w:before="40" w:after="40"/>
              <w:rPr>
                <w:rFonts w:ascii="Arial Narrow" w:eastAsia="Calibri" w:hAnsi="Arial Narrow" w:cs="Arial"/>
                <w:color w:val="000000"/>
                <w:sz w:val="20"/>
              </w:rPr>
            </w:pPr>
            <w:r w:rsidRPr="00FA4ABE">
              <w:rPr>
                <w:rFonts w:ascii="Arial Narrow" w:eastAsia="Calibri" w:hAnsi="Arial Narrow" w:cs="Arial"/>
                <w:color w:val="000000"/>
                <w:sz w:val="20"/>
              </w:rPr>
              <w:t xml:space="preserve">Exacerbated COPD - PR </w:t>
            </w:r>
          </w:p>
        </w:tc>
        <w:tc>
          <w:tcPr>
            <w:tcW w:w="1074" w:type="pct"/>
          </w:tcPr>
          <w:p w14:paraId="63B3A701" w14:textId="77777777" w:rsidR="00FA4ABE" w:rsidRPr="00FA4ABE" w:rsidRDefault="00FA4ABE" w:rsidP="00DB7F60">
            <w:pPr>
              <w:autoSpaceDE w:val="0"/>
              <w:autoSpaceDN w:val="0"/>
              <w:adjustRightInd w:val="0"/>
              <w:spacing w:before="40" w:after="40"/>
              <w:rPr>
                <w:rFonts w:ascii="Arial Narrow" w:eastAsia="Calibri" w:hAnsi="Arial Narrow" w:cs="Arial"/>
                <w:color w:val="000000"/>
                <w:sz w:val="20"/>
              </w:rPr>
            </w:pPr>
            <w:r w:rsidRPr="00FA4ABE">
              <w:rPr>
                <w:rFonts w:ascii="Arial Narrow" w:eastAsia="Calibri" w:hAnsi="Arial Narrow" w:cs="Arial"/>
                <w:color w:val="000000"/>
                <w:sz w:val="20"/>
              </w:rPr>
              <w:t xml:space="preserve">-8,311 </w:t>
            </w:r>
          </w:p>
        </w:tc>
        <w:tc>
          <w:tcPr>
            <w:tcW w:w="1595" w:type="pct"/>
          </w:tcPr>
          <w:p w14:paraId="7E1AB53D" w14:textId="77777777" w:rsidR="00FA4ABE" w:rsidRPr="00FA4ABE" w:rsidRDefault="00FA4ABE" w:rsidP="00DB7F60">
            <w:pPr>
              <w:autoSpaceDE w:val="0"/>
              <w:autoSpaceDN w:val="0"/>
              <w:adjustRightInd w:val="0"/>
              <w:spacing w:before="40" w:after="40"/>
              <w:rPr>
                <w:rFonts w:ascii="Arial Narrow" w:eastAsia="Calibri" w:hAnsi="Arial Narrow" w:cs="Arial"/>
                <w:color w:val="000000"/>
                <w:sz w:val="20"/>
              </w:rPr>
            </w:pPr>
            <w:r w:rsidRPr="00FA4ABE">
              <w:rPr>
                <w:rFonts w:ascii="Arial Narrow" w:eastAsia="Calibri" w:hAnsi="Arial Narrow" w:cs="Arial"/>
                <w:color w:val="000000"/>
                <w:sz w:val="20"/>
              </w:rPr>
              <w:t xml:space="preserve">0.296 </w:t>
            </w:r>
          </w:p>
        </w:tc>
        <w:tc>
          <w:tcPr>
            <w:tcW w:w="1199" w:type="pct"/>
          </w:tcPr>
          <w:p w14:paraId="61A7EA3B" w14:textId="77777777" w:rsidR="00FA4ABE" w:rsidRPr="00FA4ABE" w:rsidRDefault="00FA4ABE" w:rsidP="00DB7F60">
            <w:pPr>
              <w:autoSpaceDE w:val="0"/>
              <w:autoSpaceDN w:val="0"/>
              <w:adjustRightInd w:val="0"/>
              <w:spacing w:before="40" w:after="40"/>
              <w:rPr>
                <w:rFonts w:ascii="Arial Narrow" w:eastAsia="Calibri" w:hAnsi="Arial Narrow" w:cs="Arial"/>
                <w:color w:val="000000"/>
                <w:sz w:val="20"/>
              </w:rPr>
            </w:pPr>
            <w:r w:rsidRPr="00FA4ABE">
              <w:rPr>
                <w:rFonts w:ascii="Arial Narrow" w:eastAsia="Calibri" w:hAnsi="Arial Narrow" w:cs="Arial"/>
                <w:color w:val="000000"/>
                <w:sz w:val="20"/>
              </w:rPr>
              <w:t xml:space="preserve">Dominant </w:t>
            </w:r>
          </w:p>
        </w:tc>
      </w:tr>
      <w:tr w:rsidR="00FA4ABE" w:rsidRPr="00FA4ABE" w14:paraId="639AC4CD" w14:textId="77777777" w:rsidTr="00AE4C08">
        <w:trPr>
          <w:trHeight w:val="93"/>
        </w:trPr>
        <w:tc>
          <w:tcPr>
            <w:tcW w:w="1132" w:type="pct"/>
          </w:tcPr>
          <w:p w14:paraId="68412EC9" w14:textId="77777777" w:rsidR="00FA4ABE" w:rsidRPr="00FA4ABE" w:rsidRDefault="00FA4ABE" w:rsidP="00DB7F60">
            <w:pPr>
              <w:autoSpaceDE w:val="0"/>
              <w:autoSpaceDN w:val="0"/>
              <w:adjustRightInd w:val="0"/>
              <w:spacing w:before="40" w:after="40"/>
              <w:rPr>
                <w:rFonts w:ascii="Arial Narrow" w:eastAsia="Calibri" w:hAnsi="Arial Narrow" w:cs="Arial"/>
                <w:color w:val="000000"/>
                <w:sz w:val="20"/>
              </w:rPr>
            </w:pPr>
            <w:r w:rsidRPr="00FA4ABE">
              <w:rPr>
                <w:rFonts w:ascii="Arial Narrow" w:eastAsia="Calibri" w:hAnsi="Arial Narrow" w:cs="Arial"/>
                <w:color w:val="000000"/>
                <w:sz w:val="20"/>
              </w:rPr>
              <w:t xml:space="preserve">ILD - PR </w:t>
            </w:r>
          </w:p>
        </w:tc>
        <w:tc>
          <w:tcPr>
            <w:tcW w:w="1074" w:type="pct"/>
          </w:tcPr>
          <w:p w14:paraId="27ACBB9A" w14:textId="77777777" w:rsidR="00FA4ABE" w:rsidRPr="00FA4ABE" w:rsidRDefault="00FA4ABE" w:rsidP="00DB7F60">
            <w:pPr>
              <w:autoSpaceDE w:val="0"/>
              <w:autoSpaceDN w:val="0"/>
              <w:adjustRightInd w:val="0"/>
              <w:spacing w:before="40" w:after="40"/>
              <w:rPr>
                <w:rFonts w:ascii="Arial Narrow" w:eastAsia="Calibri" w:hAnsi="Arial Narrow" w:cs="Arial"/>
                <w:color w:val="000000"/>
                <w:sz w:val="20"/>
              </w:rPr>
            </w:pPr>
            <w:r w:rsidRPr="00FA4ABE">
              <w:rPr>
                <w:rFonts w:ascii="Arial Narrow" w:eastAsia="Calibri" w:hAnsi="Arial Narrow" w:cs="Arial"/>
                <w:color w:val="000000"/>
                <w:sz w:val="20"/>
              </w:rPr>
              <w:t xml:space="preserve">2,282 </w:t>
            </w:r>
          </w:p>
        </w:tc>
        <w:tc>
          <w:tcPr>
            <w:tcW w:w="1595" w:type="pct"/>
          </w:tcPr>
          <w:p w14:paraId="28A5C09D" w14:textId="77777777" w:rsidR="00FA4ABE" w:rsidRPr="00FA4ABE" w:rsidRDefault="00FA4ABE" w:rsidP="00DB7F60">
            <w:pPr>
              <w:autoSpaceDE w:val="0"/>
              <w:autoSpaceDN w:val="0"/>
              <w:adjustRightInd w:val="0"/>
              <w:spacing w:before="40" w:after="40"/>
              <w:rPr>
                <w:rFonts w:ascii="Arial Narrow" w:eastAsia="Calibri" w:hAnsi="Arial Narrow" w:cs="Arial"/>
                <w:color w:val="000000"/>
                <w:sz w:val="20"/>
              </w:rPr>
            </w:pPr>
            <w:r w:rsidRPr="00FA4ABE">
              <w:rPr>
                <w:rFonts w:ascii="Arial Narrow" w:eastAsia="Calibri" w:hAnsi="Arial Narrow" w:cs="Arial"/>
                <w:color w:val="000000"/>
                <w:sz w:val="20"/>
              </w:rPr>
              <w:t xml:space="preserve">0.525 </w:t>
            </w:r>
          </w:p>
        </w:tc>
        <w:tc>
          <w:tcPr>
            <w:tcW w:w="1199" w:type="pct"/>
          </w:tcPr>
          <w:p w14:paraId="79DB0D51" w14:textId="77777777" w:rsidR="00FA4ABE" w:rsidRPr="00FA4ABE" w:rsidRDefault="00FA4ABE" w:rsidP="00DB7F60">
            <w:pPr>
              <w:autoSpaceDE w:val="0"/>
              <w:autoSpaceDN w:val="0"/>
              <w:adjustRightInd w:val="0"/>
              <w:spacing w:before="40" w:after="40"/>
              <w:rPr>
                <w:rFonts w:ascii="Arial Narrow" w:eastAsia="Calibri" w:hAnsi="Arial Narrow" w:cs="Arial"/>
                <w:color w:val="000000"/>
                <w:sz w:val="20"/>
              </w:rPr>
            </w:pPr>
            <w:r w:rsidRPr="00FA4ABE">
              <w:rPr>
                <w:rFonts w:ascii="Arial Narrow" w:eastAsia="Calibri" w:hAnsi="Arial Narrow" w:cs="Arial"/>
                <w:color w:val="000000"/>
                <w:sz w:val="20"/>
              </w:rPr>
              <w:t xml:space="preserve">$4,347 </w:t>
            </w:r>
          </w:p>
        </w:tc>
      </w:tr>
    </w:tbl>
    <w:p w14:paraId="24F8FAED" w14:textId="01CF5261" w:rsidR="00046EBB" w:rsidRPr="00046EBB" w:rsidRDefault="00954E7B" w:rsidP="00480EA7">
      <w:pPr>
        <w:pStyle w:val="Tabletext"/>
        <w:spacing w:after="240"/>
        <w:rPr>
          <w:sz w:val="18"/>
        </w:rPr>
      </w:pPr>
      <w:r>
        <w:rPr>
          <w:sz w:val="18"/>
        </w:rPr>
        <w:t xml:space="preserve">COPD = chronic obstructive pulmonary disease; ILD = interstitial lung disease; </w:t>
      </w:r>
      <w:r w:rsidR="00046EBB">
        <w:rPr>
          <w:sz w:val="18"/>
        </w:rPr>
        <w:t>ICER = incremental cost-effectiveness ratio</w:t>
      </w:r>
      <w:r>
        <w:rPr>
          <w:sz w:val="18"/>
        </w:rPr>
        <w:t>; PR = pulmonary rehabilitation; QALY = quality-adjusted life year</w:t>
      </w:r>
    </w:p>
    <w:p w14:paraId="04A7FE01" w14:textId="06E8A290" w:rsidR="00E42836" w:rsidRPr="00046EBB" w:rsidRDefault="00046EBB" w:rsidP="00046EBB">
      <w:pPr>
        <w:rPr>
          <w:rFonts w:eastAsia="Calibri"/>
        </w:rPr>
      </w:pPr>
      <w:r w:rsidRPr="00046EBB">
        <w:rPr>
          <w:rFonts w:eastAsia="Calibri"/>
        </w:rPr>
        <w:t>The results of the economic modelling indicate that PR is cost-effective for patients for both COPD and ILD. Incremental cost per QALY for stable and exacerbated COPD patients was dominant and $4,347 for ILD patients. The results of the model were most sensitive to the estimates of the effect size, the benefit decay function, the time horizon and the treatment costs.</w:t>
      </w:r>
    </w:p>
    <w:p w14:paraId="0362BC01" w14:textId="77777777" w:rsidR="00BC1364" w:rsidRPr="00F715D1" w:rsidRDefault="00BC1364" w:rsidP="00F715D1">
      <w:pPr>
        <w:pStyle w:val="Heading1"/>
      </w:pPr>
      <w:r w:rsidRPr="00F715D1">
        <w:t>Financial/budgetary impacts</w:t>
      </w:r>
    </w:p>
    <w:p w14:paraId="2AFD3CA5" w14:textId="647917F6" w:rsidR="00322A9F" w:rsidRDefault="006E6ED0" w:rsidP="00480EA7">
      <w:pPr>
        <w:spacing w:after="240"/>
      </w:pPr>
      <w:r w:rsidRPr="006E6ED0">
        <w:t xml:space="preserve">An epidemiological approach </w:t>
      </w:r>
      <w:proofErr w:type="gramStart"/>
      <w:r w:rsidRPr="006E6ED0">
        <w:t>has been used</w:t>
      </w:r>
      <w:proofErr w:type="gramEnd"/>
      <w:r w:rsidRPr="006E6ED0">
        <w:t xml:space="preserve"> to estimate the financial implica</w:t>
      </w:r>
      <w:r>
        <w:t>tions of the introduction of PR</w:t>
      </w:r>
      <w:r w:rsidR="00322A9F">
        <w:t xml:space="preserve"> to the </w:t>
      </w:r>
      <w:r w:rsidR="00322A9F" w:rsidRPr="00322A9F">
        <w:t>MBS (</w:t>
      </w:r>
      <w:r w:rsidR="00322A9F" w:rsidRPr="00322A9F">
        <w:fldChar w:fldCharType="begin"/>
      </w:r>
      <w:r w:rsidR="00322A9F" w:rsidRPr="00322A9F">
        <w:instrText xml:space="preserve"> REF _Ref529268220 \h </w:instrText>
      </w:r>
      <w:r w:rsidR="00322A9F">
        <w:instrText xml:space="preserve"> \* MERGEFORMAT </w:instrText>
      </w:r>
      <w:r w:rsidR="00322A9F" w:rsidRPr="00322A9F">
        <w:fldChar w:fldCharType="separate"/>
      </w:r>
      <w:r w:rsidR="00322A9F" w:rsidRPr="00322A9F">
        <w:t>Table 8</w:t>
      </w:r>
      <w:r w:rsidR="00322A9F" w:rsidRPr="00322A9F">
        <w:fldChar w:fldCharType="end"/>
      </w:r>
      <w:r w:rsidR="00322A9F" w:rsidRPr="00322A9F">
        <w:t>).</w:t>
      </w:r>
      <w:r w:rsidR="00322A9F">
        <w:t xml:space="preserve"> </w:t>
      </w:r>
      <w:r w:rsidR="00322A9F" w:rsidRPr="00322A9F">
        <w:t xml:space="preserve">The total cost of PR services </w:t>
      </w:r>
      <w:proofErr w:type="gramStart"/>
      <w:r w:rsidR="00322A9F" w:rsidRPr="00322A9F">
        <w:t>was estimated</w:t>
      </w:r>
      <w:proofErr w:type="gramEnd"/>
      <w:r w:rsidR="00322A9F" w:rsidRPr="00322A9F">
        <w:t xml:space="preserve"> to be $530.00 per patient. The MBS cost is 85% of the total fee, or $450.50.</w:t>
      </w:r>
    </w:p>
    <w:p w14:paraId="500C5E48" w14:textId="77777777" w:rsidR="00322A9F" w:rsidRPr="00322A9F" w:rsidRDefault="00322A9F" w:rsidP="00322A9F">
      <w:pPr>
        <w:pStyle w:val="Caption"/>
        <w:keepNext/>
        <w:rPr>
          <w:rFonts w:ascii="Arial Narrow" w:hAnsi="Arial Narrow"/>
          <w:color w:val="auto"/>
          <w:sz w:val="20"/>
        </w:rPr>
      </w:pPr>
      <w:bookmarkStart w:id="13" w:name="_Ref529268220"/>
      <w:r w:rsidRPr="00322A9F">
        <w:rPr>
          <w:rFonts w:ascii="Arial Narrow" w:hAnsi="Arial Narrow"/>
          <w:color w:val="auto"/>
          <w:sz w:val="20"/>
        </w:rPr>
        <w:lastRenderedPageBreak/>
        <w:t xml:space="preserve">Table </w:t>
      </w:r>
      <w:r w:rsidRPr="00322A9F">
        <w:rPr>
          <w:rFonts w:ascii="Arial Narrow" w:hAnsi="Arial Narrow"/>
          <w:color w:val="auto"/>
          <w:sz w:val="20"/>
        </w:rPr>
        <w:fldChar w:fldCharType="begin"/>
      </w:r>
      <w:r w:rsidRPr="00322A9F">
        <w:rPr>
          <w:rFonts w:ascii="Arial Narrow" w:hAnsi="Arial Narrow"/>
          <w:color w:val="auto"/>
          <w:sz w:val="20"/>
        </w:rPr>
        <w:instrText xml:space="preserve"> SEQ Table \* ARABIC </w:instrText>
      </w:r>
      <w:r w:rsidRPr="00322A9F">
        <w:rPr>
          <w:rFonts w:ascii="Arial Narrow" w:hAnsi="Arial Narrow"/>
          <w:color w:val="auto"/>
          <w:sz w:val="20"/>
        </w:rPr>
        <w:fldChar w:fldCharType="separate"/>
      </w:r>
      <w:r w:rsidR="00EC58AB">
        <w:rPr>
          <w:rFonts w:ascii="Arial Narrow" w:hAnsi="Arial Narrow"/>
          <w:noProof/>
          <w:color w:val="auto"/>
          <w:sz w:val="20"/>
        </w:rPr>
        <w:t>8</w:t>
      </w:r>
      <w:r w:rsidRPr="00322A9F">
        <w:rPr>
          <w:rFonts w:ascii="Arial Narrow" w:hAnsi="Arial Narrow"/>
          <w:color w:val="auto"/>
          <w:sz w:val="20"/>
        </w:rPr>
        <w:fldChar w:fldCharType="end"/>
      </w:r>
      <w:bookmarkEnd w:id="13"/>
      <w:r>
        <w:rPr>
          <w:rFonts w:ascii="Arial Narrow" w:hAnsi="Arial Narrow"/>
          <w:color w:val="auto"/>
          <w:sz w:val="20"/>
        </w:rPr>
        <w:t xml:space="preserve"> </w:t>
      </w:r>
      <w:r w:rsidRPr="00322A9F">
        <w:rPr>
          <w:rFonts w:ascii="Arial Narrow" w:hAnsi="Arial Narrow"/>
          <w:bCs w:val="0"/>
          <w:color w:val="auto"/>
          <w:sz w:val="20"/>
          <w:szCs w:val="20"/>
        </w:rPr>
        <w:t xml:space="preserve">Total costs to the MBS associated with </w:t>
      </w:r>
      <w:r>
        <w:rPr>
          <w:rFonts w:ascii="Arial Narrow" w:hAnsi="Arial Narrow"/>
          <w:bCs w:val="0"/>
          <w:color w:val="auto"/>
          <w:sz w:val="20"/>
          <w:szCs w:val="20"/>
        </w:rPr>
        <w:t>pulmonary rehabilitation (</w:t>
      </w:r>
      <w:r w:rsidRPr="00322A9F">
        <w:rPr>
          <w:rFonts w:ascii="Arial Narrow" w:hAnsi="Arial Narrow"/>
          <w:bCs w:val="0"/>
          <w:color w:val="auto"/>
          <w:sz w:val="20"/>
          <w:szCs w:val="20"/>
        </w:rPr>
        <w:t>PR</w:t>
      </w:r>
      <w:r>
        <w:rPr>
          <w:rFonts w:ascii="Arial Narrow" w:hAnsi="Arial Narrow"/>
          <w:bCs w:val="0"/>
          <w:color w:val="auto"/>
          <w:sz w:val="20"/>
          <w:szCs w:val="20"/>
        </w:rPr>
        <w:t>)</w:t>
      </w:r>
      <w:r w:rsidRPr="00322A9F">
        <w:rPr>
          <w:rFonts w:ascii="Arial Narrow" w:hAnsi="Arial Narrow"/>
          <w:bCs w:val="0"/>
          <w:color w:val="auto"/>
          <w:sz w:val="20"/>
          <w:szCs w:val="20"/>
        </w:rPr>
        <w:t xml:space="preserve"> services, base case</w:t>
      </w:r>
    </w:p>
    <w:tbl>
      <w:tblPr>
        <w:tblStyle w:val="TableGrid"/>
        <w:tblW w:w="5000" w:type="pct"/>
        <w:tblLook w:val="0000" w:firstRow="0" w:lastRow="0" w:firstColumn="0" w:lastColumn="0" w:noHBand="0" w:noVBand="0"/>
        <w:tblCaption w:val="Total costs to the MBS associated with pulmonary rehabilitation (PR) services, base case"/>
        <w:tblDescription w:val="Summary of financial implication of listing PR to MBS, over the next 5 years"/>
      </w:tblPr>
      <w:tblGrid>
        <w:gridCol w:w="3236"/>
        <w:gridCol w:w="1156"/>
        <w:gridCol w:w="1156"/>
        <w:gridCol w:w="1156"/>
        <w:gridCol w:w="1156"/>
        <w:gridCol w:w="1156"/>
      </w:tblGrid>
      <w:tr w:rsidR="00322A9F" w:rsidRPr="00322A9F" w14:paraId="4B493E5A" w14:textId="77777777" w:rsidTr="00AE4C08">
        <w:trPr>
          <w:trHeight w:val="93"/>
          <w:tblHeader/>
        </w:trPr>
        <w:tc>
          <w:tcPr>
            <w:tcW w:w="1795" w:type="pct"/>
          </w:tcPr>
          <w:p w14:paraId="0589CFEB"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b/>
                <w:bCs/>
                <w:color w:val="000000"/>
                <w:sz w:val="20"/>
              </w:rPr>
              <w:t xml:space="preserve">- </w:t>
            </w:r>
          </w:p>
        </w:tc>
        <w:tc>
          <w:tcPr>
            <w:tcW w:w="641" w:type="pct"/>
          </w:tcPr>
          <w:p w14:paraId="12FA2318"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b/>
                <w:bCs/>
                <w:color w:val="000000"/>
                <w:sz w:val="20"/>
              </w:rPr>
              <w:t xml:space="preserve">2017-18 </w:t>
            </w:r>
          </w:p>
        </w:tc>
        <w:tc>
          <w:tcPr>
            <w:tcW w:w="641" w:type="pct"/>
          </w:tcPr>
          <w:p w14:paraId="21211674"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b/>
                <w:bCs/>
                <w:color w:val="000000"/>
                <w:sz w:val="20"/>
              </w:rPr>
              <w:t xml:space="preserve">2018-19 </w:t>
            </w:r>
          </w:p>
        </w:tc>
        <w:tc>
          <w:tcPr>
            <w:tcW w:w="641" w:type="pct"/>
          </w:tcPr>
          <w:p w14:paraId="0D67259A"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b/>
                <w:bCs/>
                <w:color w:val="000000"/>
                <w:sz w:val="20"/>
              </w:rPr>
              <w:t xml:space="preserve">2019-20 </w:t>
            </w:r>
          </w:p>
        </w:tc>
        <w:tc>
          <w:tcPr>
            <w:tcW w:w="641" w:type="pct"/>
          </w:tcPr>
          <w:p w14:paraId="491A4708"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b/>
                <w:bCs/>
                <w:color w:val="000000"/>
                <w:sz w:val="20"/>
              </w:rPr>
              <w:t xml:space="preserve">2020-21 </w:t>
            </w:r>
          </w:p>
        </w:tc>
        <w:tc>
          <w:tcPr>
            <w:tcW w:w="641" w:type="pct"/>
          </w:tcPr>
          <w:p w14:paraId="1023DFB1"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b/>
                <w:bCs/>
                <w:color w:val="000000"/>
                <w:sz w:val="20"/>
              </w:rPr>
              <w:t xml:space="preserve">2021-22 </w:t>
            </w:r>
          </w:p>
        </w:tc>
      </w:tr>
      <w:tr w:rsidR="00322A9F" w:rsidRPr="00322A9F" w14:paraId="0B7CC21E" w14:textId="77777777" w:rsidTr="00AE4C08">
        <w:trPr>
          <w:trHeight w:val="93"/>
        </w:trPr>
        <w:tc>
          <w:tcPr>
            <w:tcW w:w="1795" w:type="pct"/>
          </w:tcPr>
          <w:p w14:paraId="53E9CD40"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color w:val="000000"/>
                <w:sz w:val="20"/>
              </w:rPr>
              <w:t xml:space="preserve">Number of services </w:t>
            </w:r>
          </w:p>
        </w:tc>
        <w:tc>
          <w:tcPr>
            <w:tcW w:w="641" w:type="pct"/>
          </w:tcPr>
          <w:p w14:paraId="4B73DFD3"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color w:val="000000"/>
                <w:sz w:val="20"/>
              </w:rPr>
              <w:t xml:space="preserve">99,019 </w:t>
            </w:r>
          </w:p>
        </w:tc>
        <w:tc>
          <w:tcPr>
            <w:tcW w:w="641" w:type="pct"/>
          </w:tcPr>
          <w:p w14:paraId="375E77BF"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color w:val="000000"/>
                <w:sz w:val="20"/>
              </w:rPr>
              <w:t xml:space="preserve">107,048 </w:t>
            </w:r>
          </w:p>
        </w:tc>
        <w:tc>
          <w:tcPr>
            <w:tcW w:w="641" w:type="pct"/>
          </w:tcPr>
          <w:p w14:paraId="3E24A8E9"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color w:val="000000"/>
                <w:sz w:val="20"/>
              </w:rPr>
              <w:t xml:space="preserve">114,520 </w:t>
            </w:r>
          </w:p>
        </w:tc>
        <w:tc>
          <w:tcPr>
            <w:tcW w:w="641" w:type="pct"/>
          </w:tcPr>
          <w:p w14:paraId="1F70DA46"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color w:val="000000"/>
                <w:sz w:val="20"/>
              </w:rPr>
              <w:t xml:space="preserve">122,260 </w:t>
            </w:r>
          </w:p>
        </w:tc>
        <w:tc>
          <w:tcPr>
            <w:tcW w:w="641" w:type="pct"/>
          </w:tcPr>
          <w:p w14:paraId="47726AEC"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color w:val="000000"/>
                <w:sz w:val="20"/>
              </w:rPr>
              <w:t xml:space="preserve">130,338 </w:t>
            </w:r>
          </w:p>
        </w:tc>
      </w:tr>
      <w:tr w:rsidR="00322A9F" w:rsidRPr="00322A9F" w14:paraId="09EAC4B4" w14:textId="77777777" w:rsidTr="00AE4C08">
        <w:trPr>
          <w:trHeight w:val="94"/>
        </w:trPr>
        <w:tc>
          <w:tcPr>
            <w:tcW w:w="1795" w:type="pct"/>
          </w:tcPr>
          <w:p w14:paraId="4C2FBF55"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color w:val="000000"/>
                <w:sz w:val="20"/>
              </w:rPr>
              <w:t xml:space="preserve">Sub-total cost </w:t>
            </w:r>
            <w:r w:rsidR="001B2D7F">
              <w:rPr>
                <w:rFonts w:ascii="Arial Narrow" w:eastAsia="Calibri" w:hAnsi="Arial Narrow" w:cs="Arial"/>
                <w:color w:val="000000"/>
                <w:sz w:val="20"/>
              </w:rPr>
              <w:t>($m)</w:t>
            </w:r>
          </w:p>
        </w:tc>
        <w:tc>
          <w:tcPr>
            <w:tcW w:w="641" w:type="pct"/>
          </w:tcPr>
          <w:p w14:paraId="5ECBEFD3"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color w:val="000000"/>
                <w:sz w:val="20"/>
              </w:rPr>
              <w:t xml:space="preserve">52.5 </w:t>
            </w:r>
          </w:p>
        </w:tc>
        <w:tc>
          <w:tcPr>
            <w:tcW w:w="641" w:type="pct"/>
          </w:tcPr>
          <w:p w14:paraId="50BC6A96"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color w:val="000000"/>
                <w:sz w:val="20"/>
              </w:rPr>
              <w:t xml:space="preserve">56.7 </w:t>
            </w:r>
          </w:p>
        </w:tc>
        <w:tc>
          <w:tcPr>
            <w:tcW w:w="641" w:type="pct"/>
          </w:tcPr>
          <w:p w14:paraId="6751DCC6"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color w:val="000000"/>
                <w:sz w:val="20"/>
              </w:rPr>
              <w:t xml:space="preserve">60.7 </w:t>
            </w:r>
          </w:p>
        </w:tc>
        <w:tc>
          <w:tcPr>
            <w:tcW w:w="641" w:type="pct"/>
          </w:tcPr>
          <w:p w14:paraId="4A8F816E"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color w:val="000000"/>
                <w:sz w:val="20"/>
              </w:rPr>
              <w:t xml:space="preserve">64.8 </w:t>
            </w:r>
          </w:p>
        </w:tc>
        <w:tc>
          <w:tcPr>
            <w:tcW w:w="641" w:type="pct"/>
          </w:tcPr>
          <w:p w14:paraId="7E652935"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color w:val="000000"/>
                <w:sz w:val="20"/>
              </w:rPr>
              <w:t xml:space="preserve">69.1 </w:t>
            </w:r>
          </w:p>
        </w:tc>
      </w:tr>
      <w:tr w:rsidR="00322A9F" w:rsidRPr="00322A9F" w14:paraId="1288498B" w14:textId="77777777" w:rsidTr="00AE4C08">
        <w:trPr>
          <w:trHeight w:val="207"/>
        </w:trPr>
        <w:tc>
          <w:tcPr>
            <w:tcW w:w="1795" w:type="pct"/>
          </w:tcPr>
          <w:p w14:paraId="0E88D6FB"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b/>
                <w:bCs/>
                <w:color w:val="000000"/>
                <w:sz w:val="20"/>
              </w:rPr>
              <w:t xml:space="preserve">Total cost of services ($m) </w:t>
            </w:r>
          </w:p>
        </w:tc>
        <w:tc>
          <w:tcPr>
            <w:tcW w:w="641" w:type="pct"/>
          </w:tcPr>
          <w:p w14:paraId="32AC0764"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color w:val="000000"/>
                <w:sz w:val="20"/>
              </w:rPr>
              <w:t xml:space="preserve">44.6 </w:t>
            </w:r>
          </w:p>
        </w:tc>
        <w:tc>
          <w:tcPr>
            <w:tcW w:w="641" w:type="pct"/>
          </w:tcPr>
          <w:p w14:paraId="0CA4679D"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color w:val="000000"/>
                <w:sz w:val="20"/>
              </w:rPr>
              <w:t xml:space="preserve">48.2 </w:t>
            </w:r>
          </w:p>
        </w:tc>
        <w:tc>
          <w:tcPr>
            <w:tcW w:w="641" w:type="pct"/>
          </w:tcPr>
          <w:p w14:paraId="1A27B52C"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color w:val="000000"/>
                <w:sz w:val="20"/>
              </w:rPr>
              <w:t xml:space="preserve">51.6 </w:t>
            </w:r>
          </w:p>
        </w:tc>
        <w:tc>
          <w:tcPr>
            <w:tcW w:w="641" w:type="pct"/>
          </w:tcPr>
          <w:p w14:paraId="005E293D"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color w:val="000000"/>
                <w:sz w:val="20"/>
              </w:rPr>
              <w:t xml:space="preserve">55.1 </w:t>
            </w:r>
          </w:p>
        </w:tc>
        <w:tc>
          <w:tcPr>
            <w:tcW w:w="641" w:type="pct"/>
          </w:tcPr>
          <w:p w14:paraId="3760AAE1" w14:textId="77777777" w:rsidR="00322A9F" w:rsidRPr="00322A9F" w:rsidRDefault="00322A9F" w:rsidP="00DB7F60">
            <w:pPr>
              <w:autoSpaceDE w:val="0"/>
              <w:autoSpaceDN w:val="0"/>
              <w:adjustRightInd w:val="0"/>
              <w:spacing w:before="40" w:after="40"/>
              <w:rPr>
                <w:rFonts w:ascii="Arial Narrow" w:eastAsia="Calibri" w:hAnsi="Arial Narrow" w:cs="Arial"/>
                <w:color w:val="000000"/>
                <w:sz w:val="20"/>
              </w:rPr>
            </w:pPr>
            <w:r w:rsidRPr="00322A9F">
              <w:rPr>
                <w:rFonts w:ascii="Arial Narrow" w:eastAsia="Calibri" w:hAnsi="Arial Narrow" w:cs="Arial"/>
                <w:color w:val="000000"/>
                <w:sz w:val="20"/>
              </w:rPr>
              <w:t xml:space="preserve">58.7 </w:t>
            </w:r>
          </w:p>
        </w:tc>
      </w:tr>
    </w:tbl>
    <w:p w14:paraId="01FBED55" w14:textId="5B851B8F" w:rsidR="00322A9F" w:rsidRDefault="00322A9F" w:rsidP="00480EA7">
      <w:pPr>
        <w:spacing w:before="240" w:after="240"/>
      </w:pPr>
      <w:r w:rsidRPr="00322A9F">
        <w:t xml:space="preserve">It </w:t>
      </w:r>
      <w:proofErr w:type="gramStart"/>
      <w:r w:rsidRPr="00322A9F">
        <w:t>is recognised</w:t>
      </w:r>
      <w:proofErr w:type="gramEnd"/>
      <w:r w:rsidRPr="00322A9F">
        <w:t xml:space="preserve"> that implementing PR services may have financial implications for other parts of the Australian Government’s health budget. This includes potential flow on effects for hospitals, other MBS services, potential medication usage and the like. Evidence was only available to assess the impact of PR on emergency department presentations and hospit</w:t>
      </w:r>
      <w:r>
        <w:t>al admissions for COPD patients (</w:t>
      </w:r>
      <w:r w:rsidR="002A62BE" w:rsidRPr="002A62BE">
        <w:fldChar w:fldCharType="begin"/>
      </w:r>
      <w:r w:rsidR="002A62BE" w:rsidRPr="002A62BE">
        <w:instrText xml:space="preserve"> REF _Ref529268650 \h </w:instrText>
      </w:r>
      <w:r w:rsidR="002A62BE">
        <w:instrText xml:space="preserve"> \* MERGEFORMAT </w:instrText>
      </w:r>
      <w:r w:rsidR="002A62BE" w:rsidRPr="002A62BE">
        <w:fldChar w:fldCharType="separate"/>
      </w:r>
      <w:r w:rsidR="002A62BE" w:rsidRPr="002A62BE">
        <w:t>Table 9</w:t>
      </w:r>
      <w:r w:rsidR="002A62BE" w:rsidRPr="002A62BE">
        <w:fldChar w:fldCharType="end"/>
      </w:r>
      <w:r>
        <w:t>)</w:t>
      </w:r>
      <w:r w:rsidRPr="00322A9F">
        <w:t>.</w:t>
      </w:r>
    </w:p>
    <w:p w14:paraId="38CC8203" w14:textId="77777777" w:rsidR="000F441C" w:rsidRPr="000F441C" w:rsidRDefault="000F441C" w:rsidP="000F441C">
      <w:pPr>
        <w:pStyle w:val="Caption"/>
        <w:keepNext/>
        <w:rPr>
          <w:rFonts w:ascii="Arial Narrow" w:hAnsi="Arial Narrow"/>
          <w:color w:val="auto"/>
          <w:sz w:val="22"/>
        </w:rPr>
      </w:pPr>
      <w:bookmarkStart w:id="14" w:name="_Ref529268650"/>
      <w:r w:rsidRPr="000F441C">
        <w:rPr>
          <w:rFonts w:ascii="Arial Narrow" w:hAnsi="Arial Narrow"/>
          <w:color w:val="auto"/>
          <w:sz w:val="20"/>
        </w:rPr>
        <w:t xml:space="preserve">Table </w:t>
      </w:r>
      <w:r w:rsidRPr="000F441C">
        <w:rPr>
          <w:rFonts w:ascii="Arial Narrow" w:hAnsi="Arial Narrow"/>
          <w:color w:val="auto"/>
          <w:sz w:val="20"/>
        </w:rPr>
        <w:fldChar w:fldCharType="begin"/>
      </w:r>
      <w:r w:rsidRPr="000F441C">
        <w:rPr>
          <w:rFonts w:ascii="Arial Narrow" w:hAnsi="Arial Narrow"/>
          <w:color w:val="auto"/>
          <w:sz w:val="20"/>
        </w:rPr>
        <w:instrText xml:space="preserve"> SEQ Table \* ARABIC </w:instrText>
      </w:r>
      <w:r w:rsidRPr="000F441C">
        <w:rPr>
          <w:rFonts w:ascii="Arial Narrow" w:hAnsi="Arial Narrow"/>
          <w:color w:val="auto"/>
          <w:sz w:val="20"/>
        </w:rPr>
        <w:fldChar w:fldCharType="separate"/>
      </w:r>
      <w:r w:rsidR="00EC58AB">
        <w:rPr>
          <w:rFonts w:ascii="Arial Narrow" w:hAnsi="Arial Narrow"/>
          <w:noProof/>
          <w:color w:val="auto"/>
          <w:sz w:val="20"/>
        </w:rPr>
        <w:t>9</w:t>
      </w:r>
      <w:r w:rsidRPr="000F441C">
        <w:rPr>
          <w:rFonts w:ascii="Arial Narrow" w:hAnsi="Arial Narrow"/>
          <w:color w:val="auto"/>
          <w:sz w:val="20"/>
        </w:rPr>
        <w:fldChar w:fldCharType="end"/>
      </w:r>
      <w:bookmarkEnd w:id="14"/>
      <w:r w:rsidRPr="000F441C">
        <w:t xml:space="preserve"> </w:t>
      </w:r>
      <w:r w:rsidRPr="000F441C">
        <w:rPr>
          <w:rFonts w:ascii="Arial Narrow" w:hAnsi="Arial Narrow"/>
          <w:color w:val="auto"/>
          <w:sz w:val="20"/>
        </w:rPr>
        <w:t>Reduction in Emergency Department and Hospital Admissions costs</w:t>
      </w:r>
    </w:p>
    <w:tbl>
      <w:tblPr>
        <w:tblStyle w:val="TableGrid"/>
        <w:tblW w:w="5000" w:type="pct"/>
        <w:tblLook w:val="0000" w:firstRow="0" w:lastRow="0" w:firstColumn="0" w:lastColumn="0" w:noHBand="0" w:noVBand="0"/>
        <w:tblCaption w:val="Reduction in Emergency Department and Hospital Admissions costs"/>
        <w:tblDescription w:val="Five year forward summary of reduction in Emergency Department and hospital admissions costs"/>
      </w:tblPr>
      <w:tblGrid>
        <w:gridCol w:w="3937"/>
        <w:gridCol w:w="1015"/>
        <w:gridCol w:w="1015"/>
        <w:gridCol w:w="1017"/>
        <w:gridCol w:w="1015"/>
        <w:gridCol w:w="1017"/>
      </w:tblGrid>
      <w:tr w:rsidR="00322A9F" w:rsidRPr="00322A9F" w14:paraId="69CF4AC6" w14:textId="77777777" w:rsidTr="00AE4C08">
        <w:trPr>
          <w:trHeight w:val="93"/>
          <w:tblHeader/>
        </w:trPr>
        <w:tc>
          <w:tcPr>
            <w:tcW w:w="2183" w:type="pct"/>
          </w:tcPr>
          <w:p w14:paraId="18A48669" w14:textId="77777777" w:rsidR="00322A9F" w:rsidRPr="00322A9F" w:rsidRDefault="00322A9F" w:rsidP="00DB7F60">
            <w:pPr>
              <w:pStyle w:val="Tabletext"/>
              <w:spacing w:before="40" w:after="40"/>
              <w:rPr>
                <w:rFonts w:eastAsia="Calibri"/>
                <w:b/>
              </w:rPr>
            </w:pPr>
            <w:r w:rsidRPr="00322A9F">
              <w:rPr>
                <w:rFonts w:eastAsia="Calibri"/>
                <w:b/>
              </w:rPr>
              <w:t xml:space="preserve">- </w:t>
            </w:r>
          </w:p>
        </w:tc>
        <w:tc>
          <w:tcPr>
            <w:tcW w:w="563" w:type="pct"/>
          </w:tcPr>
          <w:p w14:paraId="7AC5220A" w14:textId="77777777" w:rsidR="00322A9F" w:rsidRPr="00322A9F" w:rsidRDefault="00322A9F" w:rsidP="00DB7F60">
            <w:pPr>
              <w:pStyle w:val="Tabletext"/>
              <w:spacing w:before="40" w:after="40"/>
              <w:rPr>
                <w:rFonts w:eastAsia="Calibri"/>
                <w:b/>
              </w:rPr>
            </w:pPr>
            <w:r w:rsidRPr="00322A9F">
              <w:rPr>
                <w:rFonts w:eastAsia="Calibri"/>
                <w:b/>
              </w:rPr>
              <w:t xml:space="preserve">2017-18 </w:t>
            </w:r>
          </w:p>
        </w:tc>
        <w:tc>
          <w:tcPr>
            <w:tcW w:w="563" w:type="pct"/>
          </w:tcPr>
          <w:p w14:paraId="77B7C6CD" w14:textId="77777777" w:rsidR="00322A9F" w:rsidRPr="00322A9F" w:rsidRDefault="00322A9F" w:rsidP="00DB7F60">
            <w:pPr>
              <w:pStyle w:val="Tabletext"/>
              <w:spacing w:before="40" w:after="40"/>
              <w:rPr>
                <w:rFonts w:eastAsia="Calibri"/>
                <w:b/>
              </w:rPr>
            </w:pPr>
            <w:r w:rsidRPr="00322A9F">
              <w:rPr>
                <w:rFonts w:eastAsia="Calibri"/>
                <w:b/>
              </w:rPr>
              <w:t xml:space="preserve">2018-19 </w:t>
            </w:r>
          </w:p>
        </w:tc>
        <w:tc>
          <w:tcPr>
            <w:tcW w:w="564" w:type="pct"/>
          </w:tcPr>
          <w:p w14:paraId="60529956" w14:textId="77777777" w:rsidR="00322A9F" w:rsidRPr="00322A9F" w:rsidRDefault="00322A9F" w:rsidP="00DB7F60">
            <w:pPr>
              <w:pStyle w:val="Tabletext"/>
              <w:spacing w:before="40" w:after="40"/>
              <w:rPr>
                <w:rFonts w:eastAsia="Calibri"/>
                <w:b/>
              </w:rPr>
            </w:pPr>
            <w:r w:rsidRPr="00322A9F">
              <w:rPr>
                <w:rFonts w:eastAsia="Calibri"/>
                <w:b/>
              </w:rPr>
              <w:t xml:space="preserve">2019-20 </w:t>
            </w:r>
          </w:p>
        </w:tc>
        <w:tc>
          <w:tcPr>
            <w:tcW w:w="563" w:type="pct"/>
          </w:tcPr>
          <w:p w14:paraId="5BD1639D" w14:textId="77777777" w:rsidR="00322A9F" w:rsidRPr="00322A9F" w:rsidRDefault="00322A9F" w:rsidP="00DB7F60">
            <w:pPr>
              <w:pStyle w:val="Tabletext"/>
              <w:spacing w:before="40" w:after="40"/>
              <w:rPr>
                <w:rFonts w:eastAsia="Calibri"/>
                <w:b/>
              </w:rPr>
            </w:pPr>
            <w:r w:rsidRPr="00322A9F">
              <w:rPr>
                <w:rFonts w:eastAsia="Calibri"/>
                <w:b/>
              </w:rPr>
              <w:t xml:space="preserve">2020-21 </w:t>
            </w:r>
          </w:p>
        </w:tc>
        <w:tc>
          <w:tcPr>
            <w:tcW w:w="564" w:type="pct"/>
          </w:tcPr>
          <w:p w14:paraId="0AE7630B" w14:textId="77777777" w:rsidR="00322A9F" w:rsidRPr="00322A9F" w:rsidRDefault="00322A9F" w:rsidP="00DB7F60">
            <w:pPr>
              <w:pStyle w:val="Tabletext"/>
              <w:spacing w:before="40" w:after="40"/>
              <w:rPr>
                <w:rFonts w:eastAsia="Calibri"/>
                <w:b/>
              </w:rPr>
            </w:pPr>
            <w:r w:rsidRPr="00322A9F">
              <w:rPr>
                <w:rFonts w:eastAsia="Calibri"/>
                <w:b/>
              </w:rPr>
              <w:t xml:space="preserve">2021-22 </w:t>
            </w:r>
          </w:p>
        </w:tc>
      </w:tr>
      <w:tr w:rsidR="00322A9F" w:rsidRPr="000F441C" w14:paraId="569FC840" w14:textId="77777777" w:rsidTr="00AE4C08">
        <w:trPr>
          <w:trHeight w:val="208"/>
        </w:trPr>
        <w:tc>
          <w:tcPr>
            <w:tcW w:w="2183" w:type="pct"/>
          </w:tcPr>
          <w:p w14:paraId="50748D75" w14:textId="77777777" w:rsidR="00322A9F" w:rsidRPr="000F441C" w:rsidRDefault="000F441C" w:rsidP="00DB7F60">
            <w:pPr>
              <w:pStyle w:val="Tabletext"/>
              <w:spacing w:before="40" w:after="40"/>
              <w:rPr>
                <w:rFonts w:eastAsia="Calibri"/>
                <w:b/>
              </w:rPr>
            </w:pPr>
            <w:r w:rsidRPr="000F441C">
              <w:rPr>
                <w:rFonts w:eastAsia="Calibri"/>
                <w:b/>
              </w:rPr>
              <w:t>Base case</w:t>
            </w:r>
          </w:p>
        </w:tc>
        <w:tc>
          <w:tcPr>
            <w:tcW w:w="563" w:type="pct"/>
          </w:tcPr>
          <w:p w14:paraId="2263A131" w14:textId="77777777" w:rsidR="00322A9F" w:rsidRPr="000F441C" w:rsidRDefault="00322A9F" w:rsidP="00DB7F60">
            <w:pPr>
              <w:pStyle w:val="Tabletext"/>
              <w:spacing w:before="40" w:after="40"/>
              <w:rPr>
                <w:rFonts w:eastAsia="Calibri" w:cs="Calibri"/>
                <w:b/>
              </w:rPr>
            </w:pPr>
          </w:p>
        </w:tc>
        <w:tc>
          <w:tcPr>
            <w:tcW w:w="563" w:type="pct"/>
          </w:tcPr>
          <w:p w14:paraId="632B868D" w14:textId="77777777" w:rsidR="00322A9F" w:rsidRPr="000F441C" w:rsidRDefault="00322A9F" w:rsidP="00DB7F60">
            <w:pPr>
              <w:pStyle w:val="Tabletext"/>
              <w:spacing w:before="40" w:after="40"/>
              <w:rPr>
                <w:rFonts w:eastAsia="Calibri" w:cs="Calibri"/>
                <w:b/>
              </w:rPr>
            </w:pPr>
          </w:p>
        </w:tc>
        <w:tc>
          <w:tcPr>
            <w:tcW w:w="564" w:type="pct"/>
          </w:tcPr>
          <w:p w14:paraId="17D5C071" w14:textId="77777777" w:rsidR="00322A9F" w:rsidRPr="000F441C" w:rsidRDefault="00322A9F" w:rsidP="00DB7F60">
            <w:pPr>
              <w:pStyle w:val="Tabletext"/>
              <w:spacing w:before="40" w:after="40"/>
              <w:rPr>
                <w:rFonts w:eastAsia="Calibri" w:cs="Calibri"/>
                <w:b/>
              </w:rPr>
            </w:pPr>
          </w:p>
        </w:tc>
        <w:tc>
          <w:tcPr>
            <w:tcW w:w="563" w:type="pct"/>
          </w:tcPr>
          <w:p w14:paraId="7E447422" w14:textId="77777777" w:rsidR="00322A9F" w:rsidRPr="000F441C" w:rsidRDefault="00322A9F" w:rsidP="00DB7F60">
            <w:pPr>
              <w:pStyle w:val="Tabletext"/>
              <w:spacing w:before="40" w:after="40"/>
              <w:rPr>
                <w:rFonts w:eastAsia="Calibri" w:cs="Calibri"/>
                <w:b/>
              </w:rPr>
            </w:pPr>
          </w:p>
        </w:tc>
        <w:tc>
          <w:tcPr>
            <w:tcW w:w="564" w:type="pct"/>
          </w:tcPr>
          <w:p w14:paraId="23282853" w14:textId="77777777" w:rsidR="00322A9F" w:rsidRPr="000F441C" w:rsidRDefault="00322A9F" w:rsidP="00DB7F60">
            <w:pPr>
              <w:pStyle w:val="Tabletext"/>
              <w:spacing w:before="40" w:after="40"/>
              <w:rPr>
                <w:rFonts w:eastAsia="Calibri" w:cs="Calibri"/>
                <w:b/>
              </w:rPr>
            </w:pPr>
          </w:p>
        </w:tc>
      </w:tr>
      <w:tr w:rsidR="00322A9F" w:rsidRPr="00322A9F" w14:paraId="5C7C99A4" w14:textId="77777777" w:rsidTr="00AE4C08">
        <w:trPr>
          <w:trHeight w:val="208"/>
        </w:trPr>
        <w:tc>
          <w:tcPr>
            <w:tcW w:w="2183" w:type="pct"/>
          </w:tcPr>
          <w:p w14:paraId="4AD21FC2" w14:textId="77777777" w:rsidR="00322A9F" w:rsidRPr="00DB7F60" w:rsidRDefault="00322A9F" w:rsidP="00DB7F60">
            <w:pPr>
              <w:pStyle w:val="Tabletext"/>
              <w:spacing w:before="40" w:after="40"/>
              <w:rPr>
                <w:rFonts w:eastAsia="Calibri"/>
                <w:vertAlign w:val="superscript"/>
              </w:rPr>
            </w:pPr>
            <w:r w:rsidRPr="00322A9F">
              <w:rPr>
                <w:rFonts w:eastAsia="Calibri"/>
              </w:rPr>
              <w:t xml:space="preserve">Reduction in </w:t>
            </w:r>
            <w:r w:rsidR="000F441C">
              <w:rPr>
                <w:rFonts w:eastAsia="Calibri"/>
              </w:rPr>
              <w:t>Emergency Department</w:t>
            </w:r>
            <w:r w:rsidRPr="00322A9F">
              <w:rPr>
                <w:rFonts w:eastAsia="Calibri"/>
              </w:rPr>
              <w:t xml:space="preserve"> costs ($m) </w:t>
            </w:r>
            <w:r w:rsidR="00DB7F60">
              <w:rPr>
                <w:rFonts w:eastAsia="Calibri"/>
                <w:vertAlign w:val="superscript"/>
              </w:rPr>
              <w:t>a</w:t>
            </w:r>
          </w:p>
        </w:tc>
        <w:tc>
          <w:tcPr>
            <w:tcW w:w="563" w:type="pct"/>
          </w:tcPr>
          <w:p w14:paraId="7A192D84" w14:textId="77777777" w:rsidR="00322A9F" w:rsidRPr="00322A9F" w:rsidRDefault="00322A9F" w:rsidP="00DB7F60">
            <w:pPr>
              <w:pStyle w:val="Tabletext"/>
              <w:spacing w:before="40" w:after="40"/>
              <w:rPr>
                <w:rFonts w:eastAsia="Calibri" w:cs="Calibri"/>
              </w:rPr>
            </w:pPr>
            <w:r w:rsidRPr="00322A9F">
              <w:rPr>
                <w:rFonts w:eastAsia="Calibri" w:cs="Calibri"/>
              </w:rPr>
              <w:t xml:space="preserve">18.9 </w:t>
            </w:r>
          </w:p>
        </w:tc>
        <w:tc>
          <w:tcPr>
            <w:tcW w:w="563" w:type="pct"/>
          </w:tcPr>
          <w:p w14:paraId="32F40B34" w14:textId="77777777" w:rsidR="00322A9F" w:rsidRPr="00322A9F" w:rsidRDefault="00322A9F" w:rsidP="00DB7F60">
            <w:pPr>
              <w:pStyle w:val="Tabletext"/>
              <w:spacing w:before="40" w:after="40"/>
              <w:rPr>
                <w:rFonts w:eastAsia="Calibri" w:cs="Calibri"/>
              </w:rPr>
            </w:pPr>
            <w:r w:rsidRPr="00322A9F">
              <w:rPr>
                <w:rFonts w:eastAsia="Calibri" w:cs="Calibri"/>
              </w:rPr>
              <w:t xml:space="preserve">19.2 </w:t>
            </w:r>
          </w:p>
        </w:tc>
        <w:tc>
          <w:tcPr>
            <w:tcW w:w="564" w:type="pct"/>
          </w:tcPr>
          <w:p w14:paraId="575E933F" w14:textId="77777777" w:rsidR="00322A9F" w:rsidRPr="00322A9F" w:rsidRDefault="00322A9F" w:rsidP="00DB7F60">
            <w:pPr>
              <w:pStyle w:val="Tabletext"/>
              <w:spacing w:before="40" w:after="40"/>
              <w:rPr>
                <w:rFonts w:eastAsia="Calibri" w:cs="Calibri"/>
              </w:rPr>
            </w:pPr>
            <w:r w:rsidRPr="00322A9F">
              <w:rPr>
                <w:rFonts w:eastAsia="Calibri" w:cs="Calibri"/>
              </w:rPr>
              <w:t xml:space="preserve">19.6 </w:t>
            </w:r>
          </w:p>
        </w:tc>
        <w:tc>
          <w:tcPr>
            <w:tcW w:w="563" w:type="pct"/>
          </w:tcPr>
          <w:p w14:paraId="6243AB0E" w14:textId="77777777" w:rsidR="00322A9F" w:rsidRPr="00322A9F" w:rsidRDefault="00322A9F" w:rsidP="00DB7F60">
            <w:pPr>
              <w:pStyle w:val="Tabletext"/>
              <w:spacing w:before="40" w:after="40"/>
              <w:rPr>
                <w:rFonts w:eastAsia="Calibri" w:cs="Calibri"/>
              </w:rPr>
            </w:pPr>
            <w:r w:rsidRPr="00322A9F">
              <w:rPr>
                <w:rFonts w:eastAsia="Calibri" w:cs="Calibri"/>
              </w:rPr>
              <w:t xml:space="preserve">20.0 </w:t>
            </w:r>
          </w:p>
        </w:tc>
        <w:tc>
          <w:tcPr>
            <w:tcW w:w="564" w:type="pct"/>
          </w:tcPr>
          <w:p w14:paraId="590629C0" w14:textId="77777777" w:rsidR="00322A9F" w:rsidRPr="00322A9F" w:rsidRDefault="00322A9F" w:rsidP="00DB7F60">
            <w:pPr>
              <w:pStyle w:val="Tabletext"/>
              <w:spacing w:before="40" w:after="40"/>
              <w:rPr>
                <w:rFonts w:eastAsia="Calibri" w:cs="Calibri"/>
              </w:rPr>
            </w:pPr>
            <w:r w:rsidRPr="00322A9F">
              <w:rPr>
                <w:rFonts w:eastAsia="Calibri" w:cs="Calibri"/>
              </w:rPr>
              <w:t xml:space="preserve">20.3 </w:t>
            </w:r>
          </w:p>
        </w:tc>
      </w:tr>
      <w:tr w:rsidR="00322A9F" w:rsidRPr="00322A9F" w14:paraId="3BC6762F" w14:textId="77777777" w:rsidTr="00AE4C08">
        <w:trPr>
          <w:trHeight w:val="207"/>
        </w:trPr>
        <w:tc>
          <w:tcPr>
            <w:tcW w:w="2183" w:type="pct"/>
          </w:tcPr>
          <w:p w14:paraId="331F2230" w14:textId="77777777" w:rsidR="00322A9F" w:rsidRPr="00DB7F60" w:rsidRDefault="00322A9F" w:rsidP="00DB7F60">
            <w:pPr>
              <w:pStyle w:val="Tabletext"/>
              <w:spacing w:before="40" w:after="40"/>
              <w:rPr>
                <w:rFonts w:eastAsia="Calibri"/>
                <w:vertAlign w:val="superscript"/>
              </w:rPr>
            </w:pPr>
            <w:r w:rsidRPr="00322A9F">
              <w:rPr>
                <w:rFonts w:eastAsia="Calibri"/>
              </w:rPr>
              <w:t xml:space="preserve">Reduction in Hospital Admission costs ($m) </w:t>
            </w:r>
            <w:r w:rsidR="00DB7F60">
              <w:rPr>
                <w:rFonts w:eastAsia="Calibri"/>
                <w:vertAlign w:val="superscript"/>
              </w:rPr>
              <w:t>a</w:t>
            </w:r>
          </w:p>
        </w:tc>
        <w:tc>
          <w:tcPr>
            <w:tcW w:w="563" w:type="pct"/>
          </w:tcPr>
          <w:p w14:paraId="4C6F5DB5" w14:textId="77777777" w:rsidR="00322A9F" w:rsidRPr="00322A9F" w:rsidRDefault="00322A9F" w:rsidP="00DB7F60">
            <w:pPr>
              <w:pStyle w:val="Tabletext"/>
              <w:spacing w:before="40" w:after="40"/>
              <w:rPr>
                <w:rFonts w:eastAsia="Calibri"/>
              </w:rPr>
            </w:pPr>
            <w:r w:rsidRPr="00322A9F">
              <w:rPr>
                <w:rFonts w:eastAsia="Calibri"/>
              </w:rPr>
              <w:t xml:space="preserve">148.2 </w:t>
            </w:r>
          </w:p>
        </w:tc>
        <w:tc>
          <w:tcPr>
            <w:tcW w:w="563" w:type="pct"/>
          </w:tcPr>
          <w:p w14:paraId="676AD386" w14:textId="77777777" w:rsidR="00322A9F" w:rsidRPr="00322A9F" w:rsidRDefault="00322A9F" w:rsidP="00DB7F60">
            <w:pPr>
              <w:pStyle w:val="Tabletext"/>
              <w:spacing w:before="40" w:after="40"/>
              <w:rPr>
                <w:rFonts w:eastAsia="Calibri"/>
              </w:rPr>
            </w:pPr>
            <w:r w:rsidRPr="00322A9F">
              <w:rPr>
                <w:rFonts w:eastAsia="Calibri"/>
              </w:rPr>
              <w:t xml:space="preserve">150.9 </w:t>
            </w:r>
          </w:p>
        </w:tc>
        <w:tc>
          <w:tcPr>
            <w:tcW w:w="564" w:type="pct"/>
          </w:tcPr>
          <w:p w14:paraId="0841B5AB" w14:textId="77777777" w:rsidR="00322A9F" w:rsidRPr="00322A9F" w:rsidRDefault="00322A9F" w:rsidP="00DB7F60">
            <w:pPr>
              <w:pStyle w:val="Tabletext"/>
              <w:spacing w:before="40" w:after="40"/>
              <w:rPr>
                <w:rFonts w:eastAsia="Calibri"/>
              </w:rPr>
            </w:pPr>
            <w:r w:rsidRPr="00322A9F">
              <w:rPr>
                <w:rFonts w:eastAsia="Calibri"/>
              </w:rPr>
              <w:t xml:space="preserve">153.6 </w:t>
            </w:r>
          </w:p>
        </w:tc>
        <w:tc>
          <w:tcPr>
            <w:tcW w:w="563" w:type="pct"/>
          </w:tcPr>
          <w:p w14:paraId="5BE30982" w14:textId="77777777" w:rsidR="00322A9F" w:rsidRPr="00322A9F" w:rsidRDefault="00322A9F" w:rsidP="00DB7F60">
            <w:pPr>
              <w:pStyle w:val="Tabletext"/>
              <w:spacing w:before="40" w:after="40"/>
              <w:rPr>
                <w:rFonts w:eastAsia="Calibri"/>
              </w:rPr>
            </w:pPr>
            <w:r w:rsidRPr="00322A9F">
              <w:rPr>
                <w:rFonts w:eastAsia="Calibri"/>
              </w:rPr>
              <w:t xml:space="preserve">156.6 </w:t>
            </w:r>
          </w:p>
        </w:tc>
        <w:tc>
          <w:tcPr>
            <w:tcW w:w="564" w:type="pct"/>
          </w:tcPr>
          <w:p w14:paraId="2FF09665" w14:textId="77777777" w:rsidR="00322A9F" w:rsidRPr="00322A9F" w:rsidRDefault="00322A9F" w:rsidP="00DB7F60">
            <w:pPr>
              <w:pStyle w:val="Tabletext"/>
              <w:spacing w:before="40" w:after="40"/>
              <w:rPr>
                <w:rFonts w:eastAsia="Calibri"/>
              </w:rPr>
            </w:pPr>
            <w:r w:rsidRPr="00322A9F">
              <w:rPr>
                <w:rFonts w:eastAsia="Calibri"/>
              </w:rPr>
              <w:t xml:space="preserve">159.6 </w:t>
            </w:r>
          </w:p>
        </w:tc>
      </w:tr>
      <w:tr w:rsidR="00322A9F" w:rsidRPr="00322A9F" w14:paraId="0B7B0507" w14:textId="77777777" w:rsidTr="00AE4C08">
        <w:trPr>
          <w:trHeight w:val="207"/>
        </w:trPr>
        <w:tc>
          <w:tcPr>
            <w:tcW w:w="2183" w:type="pct"/>
          </w:tcPr>
          <w:p w14:paraId="47B0CC94" w14:textId="77777777" w:rsidR="00322A9F" w:rsidRPr="00322A9F" w:rsidRDefault="00322A9F" w:rsidP="00DB7F60">
            <w:pPr>
              <w:pStyle w:val="Tabletext"/>
              <w:spacing w:before="40" w:after="40"/>
              <w:rPr>
                <w:rFonts w:eastAsia="Calibri"/>
              </w:rPr>
            </w:pPr>
            <w:r w:rsidRPr="00322A9F">
              <w:rPr>
                <w:rFonts w:eastAsia="Calibri"/>
              </w:rPr>
              <w:t xml:space="preserve">Total reduction in costs ($m) </w:t>
            </w:r>
          </w:p>
        </w:tc>
        <w:tc>
          <w:tcPr>
            <w:tcW w:w="563" w:type="pct"/>
          </w:tcPr>
          <w:p w14:paraId="64A52BFF" w14:textId="77777777" w:rsidR="00322A9F" w:rsidRPr="00322A9F" w:rsidRDefault="00322A9F" w:rsidP="00DB7F60">
            <w:pPr>
              <w:pStyle w:val="Tabletext"/>
              <w:spacing w:before="40" w:after="40"/>
              <w:rPr>
                <w:rFonts w:eastAsia="Calibri" w:cs="Calibri"/>
              </w:rPr>
            </w:pPr>
            <w:r w:rsidRPr="00322A9F">
              <w:rPr>
                <w:rFonts w:eastAsia="Calibri" w:cs="Calibri"/>
              </w:rPr>
              <w:t xml:space="preserve">167.12 </w:t>
            </w:r>
          </w:p>
        </w:tc>
        <w:tc>
          <w:tcPr>
            <w:tcW w:w="563" w:type="pct"/>
          </w:tcPr>
          <w:p w14:paraId="2F95B47F" w14:textId="77777777" w:rsidR="00322A9F" w:rsidRPr="00322A9F" w:rsidRDefault="00322A9F" w:rsidP="00DB7F60">
            <w:pPr>
              <w:pStyle w:val="Tabletext"/>
              <w:spacing w:before="40" w:after="40"/>
              <w:rPr>
                <w:rFonts w:eastAsia="Calibri" w:cs="Calibri"/>
              </w:rPr>
            </w:pPr>
            <w:r w:rsidRPr="00322A9F">
              <w:rPr>
                <w:rFonts w:eastAsia="Calibri" w:cs="Calibri"/>
              </w:rPr>
              <w:t xml:space="preserve">170.12 </w:t>
            </w:r>
          </w:p>
        </w:tc>
        <w:tc>
          <w:tcPr>
            <w:tcW w:w="564" w:type="pct"/>
          </w:tcPr>
          <w:p w14:paraId="1D3A4454" w14:textId="77777777" w:rsidR="00322A9F" w:rsidRPr="00322A9F" w:rsidRDefault="00322A9F" w:rsidP="00DB7F60">
            <w:pPr>
              <w:pStyle w:val="Tabletext"/>
              <w:spacing w:before="40" w:after="40"/>
              <w:rPr>
                <w:rFonts w:eastAsia="Calibri" w:cs="Calibri"/>
              </w:rPr>
            </w:pPr>
            <w:r w:rsidRPr="00322A9F">
              <w:rPr>
                <w:rFonts w:eastAsia="Calibri" w:cs="Calibri"/>
              </w:rPr>
              <w:t xml:space="preserve">173.22 </w:t>
            </w:r>
          </w:p>
        </w:tc>
        <w:tc>
          <w:tcPr>
            <w:tcW w:w="563" w:type="pct"/>
          </w:tcPr>
          <w:p w14:paraId="5F5C1C56" w14:textId="77777777" w:rsidR="00322A9F" w:rsidRPr="00322A9F" w:rsidRDefault="00322A9F" w:rsidP="00DB7F60">
            <w:pPr>
              <w:pStyle w:val="Tabletext"/>
              <w:spacing w:before="40" w:after="40"/>
              <w:rPr>
                <w:rFonts w:eastAsia="Calibri" w:cs="Calibri"/>
              </w:rPr>
            </w:pPr>
            <w:r w:rsidRPr="00322A9F">
              <w:rPr>
                <w:rFonts w:eastAsia="Calibri" w:cs="Calibri"/>
              </w:rPr>
              <w:t xml:space="preserve">176.51 </w:t>
            </w:r>
          </w:p>
        </w:tc>
        <w:tc>
          <w:tcPr>
            <w:tcW w:w="564" w:type="pct"/>
          </w:tcPr>
          <w:p w14:paraId="6BB7F691" w14:textId="77777777" w:rsidR="00322A9F" w:rsidRPr="00322A9F" w:rsidRDefault="00322A9F" w:rsidP="00DB7F60">
            <w:pPr>
              <w:pStyle w:val="Tabletext"/>
              <w:spacing w:before="40" w:after="40"/>
              <w:rPr>
                <w:rFonts w:eastAsia="Calibri" w:cs="Calibri"/>
              </w:rPr>
            </w:pPr>
            <w:r w:rsidRPr="00322A9F">
              <w:rPr>
                <w:rFonts w:eastAsia="Calibri" w:cs="Calibri"/>
              </w:rPr>
              <w:t xml:space="preserve">179.90 </w:t>
            </w:r>
          </w:p>
        </w:tc>
      </w:tr>
      <w:tr w:rsidR="00322A9F" w:rsidRPr="000F441C" w14:paraId="0426268E" w14:textId="77777777" w:rsidTr="00AE4C08">
        <w:trPr>
          <w:trHeight w:val="207"/>
        </w:trPr>
        <w:tc>
          <w:tcPr>
            <w:tcW w:w="2183" w:type="pct"/>
          </w:tcPr>
          <w:p w14:paraId="097C83D6" w14:textId="77777777" w:rsidR="00322A9F" w:rsidRPr="000F441C" w:rsidRDefault="000F441C" w:rsidP="00DB7F60">
            <w:pPr>
              <w:pStyle w:val="Tabletext"/>
              <w:spacing w:before="40" w:after="40"/>
              <w:rPr>
                <w:rFonts w:eastAsia="Calibri"/>
                <w:b/>
              </w:rPr>
            </w:pPr>
            <w:r w:rsidRPr="000F441C">
              <w:rPr>
                <w:rFonts w:eastAsia="Calibri"/>
                <w:b/>
              </w:rPr>
              <w:t>Medical costs 20% higher</w:t>
            </w:r>
          </w:p>
        </w:tc>
        <w:tc>
          <w:tcPr>
            <w:tcW w:w="563" w:type="pct"/>
          </w:tcPr>
          <w:p w14:paraId="08DA5541" w14:textId="77777777" w:rsidR="00322A9F" w:rsidRPr="000F441C" w:rsidRDefault="00322A9F" w:rsidP="00DB7F60">
            <w:pPr>
              <w:pStyle w:val="Tabletext"/>
              <w:spacing w:before="40" w:after="40"/>
              <w:rPr>
                <w:rFonts w:eastAsia="Calibri" w:cs="Calibri"/>
                <w:b/>
              </w:rPr>
            </w:pPr>
          </w:p>
        </w:tc>
        <w:tc>
          <w:tcPr>
            <w:tcW w:w="563" w:type="pct"/>
          </w:tcPr>
          <w:p w14:paraId="3B054E0B" w14:textId="77777777" w:rsidR="00322A9F" w:rsidRPr="000F441C" w:rsidRDefault="00322A9F" w:rsidP="00DB7F60">
            <w:pPr>
              <w:pStyle w:val="Tabletext"/>
              <w:spacing w:before="40" w:after="40"/>
              <w:rPr>
                <w:rFonts w:eastAsia="Calibri" w:cs="Calibri"/>
                <w:b/>
              </w:rPr>
            </w:pPr>
          </w:p>
        </w:tc>
        <w:tc>
          <w:tcPr>
            <w:tcW w:w="564" w:type="pct"/>
          </w:tcPr>
          <w:p w14:paraId="558FD503" w14:textId="77777777" w:rsidR="00322A9F" w:rsidRPr="000F441C" w:rsidRDefault="00322A9F" w:rsidP="00DB7F60">
            <w:pPr>
              <w:pStyle w:val="Tabletext"/>
              <w:spacing w:before="40" w:after="40"/>
              <w:rPr>
                <w:rFonts w:eastAsia="Calibri" w:cs="Calibri"/>
                <w:b/>
              </w:rPr>
            </w:pPr>
          </w:p>
        </w:tc>
        <w:tc>
          <w:tcPr>
            <w:tcW w:w="563" w:type="pct"/>
          </w:tcPr>
          <w:p w14:paraId="09EBA5D7" w14:textId="77777777" w:rsidR="00322A9F" w:rsidRPr="000F441C" w:rsidRDefault="00322A9F" w:rsidP="00DB7F60">
            <w:pPr>
              <w:pStyle w:val="Tabletext"/>
              <w:spacing w:before="40" w:after="40"/>
              <w:rPr>
                <w:rFonts w:eastAsia="Calibri" w:cs="Calibri"/>
                <w:b/>
              </w:rPr>
            </w:pPr>
          </w:p>
        </w:tc>
        <w:tc>
          <w:tcPr>
            <w:tcW w:w="564" w:type="pct"/>
          </w:tcPr>
          <w:p w14:paraId="3045E31A" w14:textId="77777777" w:rsidR="00322A9F" w:rsidRPr="000F441C" w:rsidRDefault="00322A9F" w:rsidP="00DB7F60">
            <w:pPr>
              <w:pStyle w:val="Tabletext"/>
              <w:spacing w:before="40" w:after="40"/>
              <w:rPr>
                <w:rFonts w:eastAsia="Calibri" w:cs="Calibri"/>
                <w:b/>
              </w:rPr>
            </w:pPr>
          </w:p>
        </w:tc>
      </w:tr>
      <w:tr w:rsidR="00322A9F" w:rsidRPr="00322A9F" w14:paraId="3E774E8B" w14:textId="77777777" w:rsidTr="00AE4C08">
        <w:trPr>
          <w:trHeight w:val="207"/>
        </w:trPr>
        <w:tc>
          <w:tcPr>
            <w:tcW w:w="2183" w:type="pct"/>
          </w:tcPr>
          <w:p w14:paraId="46A1BB5A" w14:textId="77777777" w:rsidR="00322A9F" w:rsidRPr="00322A9F" w:rsidRDefault="00322A9F" w:rsidP="00DB7F60">
            <w:pPr>
              <w:pStyle w:val="Tabletext"/>
              <w:spacing w:before="40" w:after="40"/>
              <w:rPr>
                <w:rFonts w:eastAsia="Calibri"/>
              </w:rPr>
            </w:pPr>
            <w:r w:rsidRPr="00322A9F">
              <w:rPr>
                <w:rFonts w:eastAsia="Calibri"/>
              </w:rPr>
              <w:t xml:space="preserve">Reduction in </w:t>
            </w:r>
            <w:r w:rsidR="000F441C">
              <w:rPr>
                <w:rFonts w:eastAsia="Calibri"/>
              </w:rPr>
              <w:t>Emergency Department</w:t>
            </w:r>
            <w:r w:rsidR="000F441C" w:rsidRPr="00322A9F">
              <w:rPr>
                <w:rFonts w:eastAsia="Calibri"/>
              </w:rPr>
              <w:t xml:space="preserve"> </w:t>
            </w:r>
            <w:r w:rsidRPr="00322A9F">
              <w:rPr>
                <w:rFonts w:eastAsia="Calibri"/>
              </w:rPr>
              <w:t xml:space="preserve">costs ($m) </w:t>
            </w:r>
          </w:p>
        </w:tc>
        <w:tc>
          <w:tcPr>
            <w:tcW w:w="563" w:type="pct"/>
          </w:tcPr>
          <w:p w14:paraId="459D3427" w14:textId="77777777" w:rsidR="00322A9F" w:rsidRPr="00322A9F" w:rsidRDefault="00322A9F" w:rsidP="00DB7F60">
            <w:pPr>
              <w:pStyle w:val="Tabletext"/>
              <w:spacing w:before="40" w:after="40"/>
              <w:rPr>
                <w:rFonts w:eastAsia="Calibri" w:cs="Calibri"/>
              </w:rPr>
            </w:pPr>
            <w:r w:rsidRPr="00322A9F">
              <w:rPr>
                <w:rFonts w:eastAsia="Calibri" w:cs="Calibri"/>
              </w:rPr>
              <w:t xml:space="preserve">22.7 </w:t>
            </w:r>
          </w:p>
        </w:tc>
        <w:tc>
          <w:tcPr>
            <w:tcW w:w="563" w:type="pct"/>
          </w:tcPr>
          <w:p w14:paraId="3AE68872" w14:textId="77777777" w:rsidR="00322A9F" w:rsidRPr="00322A9F" w:rsidRDefault="00322A9F" w:rsidP="00DB7F60">
            <w:pPr>
              <w:pStyle w:val="Tabletext"/>
              <w:spacing w:before="40" w:after="40"/>
              <w:rPr>
                <w:rFonts w:eastAsia="Calibri" w:cs="Calibri"/>
              </w:rPr>
            </w:pPr>
            <w:r w:rsidRPr="00322A9F">
              <w:rPr>
                <w:rFonts w:eastAsia="Calibri" w:cs="Calibri"/>
              </w:rPr>
              <w:t xml:space="preserve">23.1 </w:t>
            </w:r>
          </w:p>
        </w:tc>
        <w:tc>
          <w:tcPr>
            <w:tcW w:w="564" w:type="pct"/>
          </w:tcPr>
          <w:p w14:paraId="390D53CF" w14:textId="77777777" w:rsidR="00322A9F" w:rsidRPr="00322A9F" w:rsidRDefault="00322A9F" w:rsidP="00DB7F60">
            <w:pPr>
              <w:pStyle w:val="Tabletext"/>
              <w:spacing w:before="40" w:after="40"/>
              <w:rPr>
                <w:rFonts w:eastAsia="Calibri" w:cs="Calibri"/>
              </w:rPr>
            </w:pPr>
            <w:r w:rsidRPr="00322A9F">
              <w:rPr>
                <w:rFonts w:eastAsia="Calibri" w:cs="Calibri"/>
              </w:rPr>
              <w:t xml:space="preserve">23.5 </w:t>
            </w:r>
          </w:p>
        </w:tc>
        <w:tc>
          <w:tcPr>
            <w:tcW w:w="563" w:type="pct"/>
          </w:tcPr>
          <w:p w14:paraId="4F54F03C" w14:textId="77777777" w:rsidR="00322A9F" w:rsidRPr="00322A9F" w:rsidRDefault="00322A9F" w:rsidP="00DB7F60">
            <w:pPr>
              <w:pStyle w:val="Tabletext"/>
              <w:spacing w:before="40" w:after="40"/>
              <w:rPr>
                <w:rFonts w:eastAsia="Calibri" w:cs="Calibri"/>
              </w:rPr>
            </w:pPr>
            <w:r w:rsidRPr="00322A9F">
              <w:rPr>
                <w:rFonts w:eastAsia="Calibri" w:cs="Calibri"/>
              </w:rPr>
              <w:t xml:space="preserve">23.9 </w:t>
            </w:r>
          </w:p>
        </w:tc>
        <w:tc>
          <w:tcPr>
            <w:tcW w:w="564" w:type="pct"/>
          </w:tcPr>
          <w:p w14:paraId="089104F1" w14:textId="77777777" w:rsidR="00322A9F" w:rsidRPr="00322A9F" w:rsidRDefault="00322A9F" w:rsidP="00DB7F60">
            <w:pPr>
              <w:pStyle w:val="Tabletext"/>
              <w:spacing w:before="40" w:after="40"/>
              <w:rPr>
                <w:rFonts w:eastAsia="Calibri" w:cs="Calibri"/>
              </w:rPr>
            </w:pPr>
            <w:r w:rsidRPr="00322A9F">
              <w:rPr>
                <w:rFonts w:eastAsia="Calibri" w:cs="Calibri"/>
              </w:rPr>
              <w:t xml:space="preserve">24.4 </w:t>
            </w:r>
          </w:p>
        </w:tc>
      </w:tr>
      <w:tr w:rsidR="00322A9F" w:rsidRPr="00322A9F" w14:paraId="1BD0F777" w14:textId="77777777" w:rsidTr="00AE4C08">
        <w:trPr>
          <w:trHeight w:val="207"/>
        </w:trPr>
        <w:tc>
          <w:tcPr>
            <w:tcW w:w="2183" w:type="pct"/>
          </w:tcPr>
          <w:p w14:paraId="020CFECB" w14:textId="77777777" w:rsidR="00322A9F" w:rsidRPr="00322A9F" w:rsidRDefault="00322A9F" w:rsidP="00DB7F60">
            <w:pPr>
              <w:pStyle w:val="Tabletext"/>
              <w:spacing w:before="40" w:after="40"/>
              <w:rPr>
                <w:rFonts w:eastAsia="Calibri"/>
              </w:rPr>
            </w:pPr>
            <w:r w:rsidRPr="00322A9F">
              <w:rPr>
                <w:rFonts w:eastAsia="Calibri"/>
              </w:rPr>
              <w:t xml:space="preserve">Reduction in Hospital Admission costs ($m) </w:t>
            </w:r>
          </w:p>
        </w:tc>
        <w:tc>
          <w:tcPr>
            <w:tcW w:w="563" w:type="pct"/>
          </w:tcPr>
          <w:p w14:paraId="4797727C" w14:textId="77777777" w:rsidR="00322A9F" w:rsidRPr="00322A9F" w:rsidRDefault="00322A9F" w:rsidP="00DB7F60">
            <w:pPr>
              <w:pStyle w:val="Tabletext"/>
              <w:spacing w:before="40" w:after="40"/>
              <w:rPr>
                <w:rFonts w:eastAsia="Calibri"/>
              </w:rPr>
            </w:pPr>
            <w:r w:rsidRPr="00322A9F">
              <w:rPr>
                <w:rFonts w:eastAsia="Calibri"/>
              </w:rPr>
              <w:t xml:space="preserve">177.9 </w:t>
            </w:r>
          </w:p>
        </w:tc>
        <w:tc>
          <w:tcPr>
            <w:tcW w:w="563" w:type="pct"/>
          </w:tcPr>
          <w:p w14:paraId="180FD67E" w14:textId="77777777" w:rsidR="00322A9F" w:rsidRPr="00322A9F" w:rsidRDefault="00322A9F" w:rsidP="00DB7F60">
            <w:pPr>
              <w:pStyle w:val="Tabletext"/>
              <w:spacing w:before="40" w:after="40"/>
              <w:rPr>
                <w:rFonts w:eastAsia="Calibri"/>
              </w:rPr>
            </w:pPr>
            <w:r w:rsidRPr="00322A9F">
              <w:rPr>
                <w:rFonts w:eastAsia="Calibri"/>
              </w:rPr>
              <w:t xml:space="preserve">181.1 </w:t>
            </w:r>
          </w:p>
        </w:tc>
        <w:tc>
          <w:tcPr>
            <w:tcW w:w="564" w:type="pct"/>
          </w:tcPr>
          <w:p w14:paraId="32A46947" w14:textId="77777777" w:rsidR="00322A9F" w:rsidRPr="00322A9F" w:rsidRDefault="00322A9F" w:rsidP="00DB7F60">
            <w:pPr>
              <w:pStyle w:val="Tabletext"/>
              <w:spacing w:before="40" w:after="40"/>
              <w:rPr>
                <w:rFonts w:eastAsia="Calibri"/>
              </w:rPr>
            </w:pPr>
            <w:r w:rsidRPr="00322A9F">
              <w:rPr>
                <w:rFonts w:eastAsia="Calibri"/>
              </w:rPr>
              <w:t xml:space="preserve">184.4 </w:t>
            </w:r>
          </w:p>
        </w:tc>
        <w:tc>
          <w:tcPr>
            <w:tcW w:w="563" w:type="pct"/>
          </w:tcPr>
          <w:p w14:paraId="6867A9E6" w14:textId="77777777" w:rsidR="00322A9F" w:rsidRPr="00322A9F" w:rsidRDefault="00322A9F" w:rsidP="00DB7F60">
            <w:pPr>
              <w:pStyle w:val="Tabletext"/>
              <w:spacing w:before="40" w:after="40"/>
              <w:rPr>
                <w:rFonts w:eastAsia="Calibri"/>
              </w:rPr>
            </w:pPr>
            <w:r w:rsidRPr="00322A9F">
              <w:rPr>
                <w:rFonts w:eastAsia="Calibri"/>
              </w:rPr>
              <w:t xml:space="preserve">187.9 </w:t>
            </w:r>
          </w:p>
        </w:tc>
        <w:tc>
          <w:tcPr>
            <w:tcW w:w="564" w:type="pct"/>
          </w:tcPr>
          <w:p w14:paraId="6BEDC5FA" w14:textId="77777777" w:rsidR="00322A9F" w:rsidRPr="00322A9F" w:rsidRDefault="00322A9F" w:rsidP="00DB7F60">
            <w:pPr>
              <w:pStyle w:val="Tabletext"/>
              <w:spacing w:before="40" w:after="40"/>
              <w:rPr>
                <w:rFonts w:eastAsia="Calibri"/>
              </w:rPr>
            </w:pPr>
            <w:r w:rsidRPr="00322A9F">
              <w:rPr>
                <w:rFonts w:eastAsia="Calibri"/>
              </w:rPr>
              <w:t xml:space="preserve">191.5 </w:t>
            </w:r>
          </w:p>
        </w:tc>
      </w:tr>
      <w:tr w:rsidR="00322A9F" w:rsidRPr="00322A9F" w14:paraId="4630E833" w14:textId="77777777" w:rsidTr="00AE4C08">
        <w:trPr>
          <w:trHeight w:val="208"/>
        </w:trPr>
        <w:tc>
          <w:tcPr>
            <w:tcW w:w="2183" w:type="pct"/>
          </w:tcPr>
          <w:p w14:paraId="3AB25C95" w14:textId="77777777" w:rsidR="00322A9F" w:rsidRPr="00322A9F" w:rsidRDefault="00322A9F" w:rsidP="00DB7F60">
            <w:pPr>
              <w:pStyle w:val="Tabletext"/>
              <w:spacing w:before="40" w:after="40"/>
              <w:rPr>
                <w:rFonts w:eastAsia="Calibri"/>
              </w:rPr>
            </w:pPr>
            <w:r w:rsidRPr="00322A9F">
              <w:rPr>
                <w:rFonts w:eastAsia="Calibri"/>
              </w:rPr>
              <w:t xml:space="preserve">Total reduction in costs ($m) </w:t>
            </w:r>
          </w:p>
        </w:tc>
        <w:tc>
          <w:tcPr>
            <w:tcW w:w="563" w:type="pct"/>
          </w:tcPr>
          <w:p w14:paraId="67969D7D" w14:textId="77777777" w:rsidR="00322A9F" w:rsidRPr="00322A9F" w:rsidRDefault="00322A9F" w:rsidP="00DB7F60">
            <w:pPr>
              <w:pStyle w:val="Tabletext"/>
              <w:spacing w:before="40" w:after="40"/>
              <w:rPr>
                <w:rFonts w:eastAsia="Calibri" w:cs="Calibri"/>
              </w:rPr>
            </w:pPr>
            <w:r w:rsidRPr="00322A9F">
              <w:rPr>
                <w:rFonts w:eastAsia="Calibri" w:cs="Calibri"/>
              </w:rPr>
              <w:t xml:space="preserve">200.54 </w:t>
            </w:r>
          </w:p>
        </w:tc>
        <w:tc>
          <w:tcPr>
            <w:tcW w:w="563" w:type="pct"/>
          </w:tcPr>
          <w:p w14:paraId="1824AAB1" w14:textId="77777777" w:rsidR="00322A9F" w:rsidRPr="00322A9F" w:rsidRDefault="00322A9F" w:rsidP="00DB7F60">
            <w:pPr>
              <w:pStyle w:val="Tabletext"/>
              <w:spacing w:before="40" w:after="40"/>
              <w:rPr>
                <w:rFonts w:eastAsia="Calibri" w:cs="Calibri"/>
              </w:rPr>
            </w:pPr>
            <w:r w:rsidRPr="00322A9F">
              <w:rPr>
                <w:rFonts w:eastAsia="Calibri" w:cs="Calibri"/>
              </w:rPr>
              <w:t xml:space="preserve">204.14 </w:t>
            </w:r>
          </w:p>
        </w:tc>
        <w:tc>
          <w:tcPr>
            <w:tcW w:w="564" w:type="pct"/>
          </w:tcPr>
          <w:p w14:paraId="51B4F974" w14:textId="77777777" w:rsidR="00322A9F" w:rsidRPr="00322A9F" w:rsidRDefault="00322A9F" w:rsidP="00DB7F60">
            <w:pPr>
              <w:pStyle w:val="Tabletext"/>
              <w:spacing w:before="40" w:after="40"/>
              <w:rPr>
                <w:rFonts w:eastAsia="Calibri" w:cs="Calibri"/>
              </w:rPr>
            </w:pPr>
            <w:r w:rsidRPr="00322A9F">
              <w:rPr>
                <w:rFonts w:eastAsia="Calibri" w:cs="Calibri"/>
              </w:rPr>
              <w:t xml:space="preserve">207.87 </w:t>
            </w:r>
          </w:p>
        </w:tc>
        <w:tc>
          <w:tcPr>
            <w:tcW w:w="563" w:type="pct"/>
          </w:tcPr>
          <w:p w14:paraId="26D2B6FA" w14:textId="77777777" w:rsidR="00322A9F" w:rsidRPr="00322A9F" w:rsidRDefault="00322A9F" w:rsidP="00DB7F60">
            <w:pPr>
              <w:pStyle w:val="Tabletext"/>
              <w:spacing w:before="40" w:after="40"/>
              <w:rPr>
                <w:rFonts w:eastAsia="Calibri" w:cs="Calibri"/>
              </w:rPr>
            </w:pPr>
            <w:r w:rsidRPr="00322A9F">
              <w:rPr>
                <w:rFonts w:eastAsia="Calibri" w:cs="Calibri"/>
              </w:rPr>
              <w:t xml:space="preserve">211.81 </w:t>
            </w:r>
          </w:p>
        </w:tc>
        <w:tc>
          <w:tcPr>
            <w:tcW w:w="564" w:type="pct"/>
          </w:tcPr>
          <w:p w14:paraId="7CC25482" w14:textId="77777777" w:rsidR="00322A9F" w:rsidRPr="00322A9F" w:rsidRDefault="00322A9F" w:rsidP="00DB7F60">
            <w:pPr>
              <w:pStyle w:val="Tabletext"/>
              <w:spacing w:before="40" w:after="40"/>
              <w:rPr>
                <w:rFonts w:eastAsia="Calibri" w:cs="Calibri"/>
              </w:rPr>
            </w:pPr>
            <w:r w:rsidRPr="00322A9F">
              <w:rPr>
                <w:rFonts w:eastAsia="Calibri" w:cs="Calibri"/>
              </w:rPr>
              <w:t xml:space="preserve">215.89 </w:t>
            </w:r>
          </w:p>
        </w:tc>
      </w:tr>
      <w:tr w:rsidR="000F441C" w:rsidRPr="000F441C" w14:paraId="25E16D6C" w14:textId="77777777" w:rsidTr="00AE4C08">
        <w:trPr>
          <w:trHeight w:val="207"/>
        </w:trPr>
        <w:tc>
          <w:tcPr>
            <w:tcW w:w="2183" w:type="pct"/>
          </w:tcPr>
          <w:p w14:paraId="5D48D8CC" w14:textId="77777777" w:rsidR="000F441C" w:rsidRPr="000F441C" w:rsidRDefault="000F441C" w:rsidP="00DB7F60">
            <w:pPr>
              <w:pStyle w:val="Tabletext"/>
              <w:spacing w:before="40" w:after="40"/>
              <w:rPr>
                <w:rFonts w:eastAsia="Calibri"/>
                <w:b/>
              </w:rPr>
            </w:pPr>
            <w:r w:rsidRPr="000F441C">
              <w:rPr>
                <w:rFonts w:eastAsia="Calibri"/>
                <w:b/>
              </w:rPr>
              <w:t>Medical costs 20% lower</w:t>
            </w:r>
          </w:p>
        </w:tc>
        <w:tc>
          <w:tcPr>
            <w:tcW w:w="563" w:type="pct"/>
          </w:tcPr>
          <w:p w14:paraId="4EB1F601" w14:textId="77777777" w:rsidR="000F441C" w:rsidRPr="000F441C" w:rsidRDefault="000F441C" w:rsidP="00DB7F60">
            <w:pPr>
              <w:pStyle w:val="Tabletext"/>
              <w:spacing w:before="40" w:after="40"/>
              <w:rPr>
                <w:rFonts w:eastAsia="Calibri" w:cs="Calibri"/>
                <w:b/>
              </w:rPr>
            </w:pPr>
          </w:p>
        </w:tc>
        <w:tc>
          <w:tcPr>
            <w:tcW w:w="563" w:type="pct"/>
          </w:tcPr>
          <w:p w14:paraId="1C3773C9" w14:textId="77777777" w:rsidR="000F441C" w:rsidRPr="000F441C" w:rsidRDefault="000F441C" w:rsidP="00DB7F60">
            <w:pPr>
              <w:pStyle w:val="Tabletext"/>
              <w:spacing w:before="40" w:after="40"/>
              <w:rPr>
                <w:rFonts w:eastAsia="Calibri" w:cs="Calibri"/>
                <w:b/>
              </w:rPr>
            </w:pPr>
          </w:p>
        </w:tc>
        <w:tc>
          <w:tcPr>
            <w:tcW w:w="564" w:type="pct"/>
          </w:tcPr>
          <w:p w14:paraId="16619D52" w14:textId="77777777" w:rsidR="000F441C" w:rsidRPr="000F441C" w:rsidRDefault="000F441C" w:rsidP="00DB7F60">
            <w:pPr>
              <w:pStyle w:val="Tabletext"/>
              <w:spacing w:before="40" w:after="40"/>
              <w:rPr>
                <w:rFonts w:eastAsia="Calibri" w:cs="Calibri"/>
                <w:b/>
              </w:rPr>
            </w:pPr>
          </w:p>
        </w:tc>
        <w:tc>
          <w:tcPr>
            <w:tcW w:w="563" w:type="pct"/>
          </w:tcPr>
          <w:p w14:paraId="39DD0837" w14:textId="77777777" w:rsidR="000F441C" w:rsidRPr="000F441C" w:rsidRDefault="000F441C" w:rsidP="00DB7F60">
            <w:pPr>
              <w:pStyle w:val="Tabletext"/>
              <w:spacing w:before="40" w:after="40"/>
              <w:rPr>
                <w:rFonts w:eastAsia="Calibri" w:cs="Calibri"/>
                <w:b/>
              </w:rPr>
            </w:pPr>
          </w:p>
        </w:tc>
        <w:tc>
          <w:tcPr>
            <w:tcW w:w="564" w:type="pct"/>
          </w:tcPr>
          <w:p w14:paraId="6F90ED03" w14:textId="77777777" w:rsidR="000F441C" w:rsidRPr="000F441C" w:rsidRDefault="000F441C" w:rsidP="00DB7F60">
            <w:pPr>
              <w:pStyle w:val="Tabletext"/>
              <w:spacing w:before="40" w:after="40"/>
              <w:rPr>
                <w:rFonts w:eastAsia="Calibri" w:cs="Calibri"/>
                <w:b/>
              </w:rPr>
            </w:pPr>
          </w:p>
        </w:tc>
      </w:tr>
      <w:tr w:rsidR="00322A9F" w:rsidRPr="00322A9F" w14:paraId="6616488B" w14:textId="77777777" w:rsidTr="00AE4C08">
        <w:trPr>
          <w:trHeight w:val="207"/>
        </w:trPr>
        <w:tc>
          <w:tcPr>
            <w:tcW w:w="2183" w:type="pct"/>
          </w:tcPr>
          <w:p w14:paraId="542FA046" w14:textId="77777777" w:rsidR="00322A9F" w:rsidRPr="00322A9F" w:rsidRDefault="00322A9F" w:rsidP="00DB7F60">
            <w:pPr>
              <w:pStyle w:val="Tabletext"/>
              <w:spacing w:before="40" w:after="40"/>
              <w:rPr>
                <w:rFonts w:eastAsia="Calibri"/>
              </w:rPr>
            </w:pPr>
            <w:r w:rsidRPr="00322A9F">
              <w:rPr>
                <w:rFonts w:eastAsia="Calibri"/>
              </w:rPr>
              <w:t xml:space="preserve">Reduction in </w:t>
            </w:r>
            <w:r w:rsidR="000F441C">
              <w:rPr>
                <w:rFonts w:eastAsia="Calibri"/>
              </w:rPr>
              <w:t>Emergency Department</w:t>
            </w:r>
            <w:r w:rsidRPr="00322A9F">
              <w:rPr>
                <w:rFonts w:eastAsia="Calibri"/>
              </w:rPr>
              <w:t xml:space="preserve"> costs ($m) </w:t>
            </w:r>
          </w:p>
        </w:tc>
        <w:tc>
          <w:tcPr>
            <w:tcW w:w="563" w:type="pct"/>
          </w:tcPr>
          <w:p w14:paraId="422487AE" w14:textId="77777777" w:rsidR="00322A9F" w:rsidRPr="00322A9F" w:rsidRDefault="00322A9F" w:rsidP="00DB7F60">
            <w:pPr>
              <w:pStyle w:val="Tabletext"/>
              <w:spacing w:before="40" w:after="40"/>
              <w:rPr>
                <w:rFonts w:eastAsia="Calibri" w:cs="Calibri"/>
              </w:rPr>
            </w:pPr>
            <w:r w:rsidRPr="00322A9F">
              <w:rPr>
                <w:rFonts w:eastAsia="Calibri" w:cs="Calibri"/>
              </w:rPr>
              <w:t xml:space="preserve">15.1 </w:t>
            </w:r>
          </w:p>
        </w:tc>
        <w:tc>
          <w:tcPr>
            <w:tcW w:w="563" w:type="pct"/>
          </w:tcPr>
          <w:p w14:paraId="0E75E76B" w14:textId="77777777" w:rsidR="00322A9F" w:rsidRPr="00322A9F" w:rsidRDefault="00322A9F" w:rsidP="00DB7F60">
            <w:pPr>
              <w:pStyle w:val="Tabletext"/>
              <w:spacing w:before="40" w:after="40"/>
              <w:rPr>
                <w:rFonts w:eastAsia="Calibri" w:cs="Calibri"/>
              </w:rPr>
            </w:pPr>
            <w:r w:rsidRPr="00322A9F">
              <w:rPr>
                <w:rFonts w:eastAsia="Calibri" w:cs="Calibri"/>
              </w:rPr>
              <w:t xml:space="preserve">15.4 </w:t>
            </w:r>
          </w:p>
        </w:tc>
        <w:tc>
          <w:tcPr>
            <w:tcW w:w="564" w:type="pct"/>
          </w:tcPr>
          <w:p w14:paraId="5C3BB91A" w14:textId="77777777" w:rsidR="00322A9F" w:rsidRPr="00322A9F" w:rsidRDefault="00322A9F" w:rsidP="00DB7F60">
            <w:pPr>
              <w:pStyle w:val="Tabletext"/>
              <w:spacing w:before="40" w:after="40"/>
              <w:rPr>
                <w:rFonts w:eastAsia="Calibri" w:cs="Calibri"/>
              </w:rPr>
            </w:pPr>
            <w:r w:rsidRPr="00322A9F">
              <w:rPr>
                <w:rFonts w:eastAsia="Calibri" w:cs="Calibri"/>
              </w:rPr>
              <w:t xml:space="preserve">15.7 </w:t>
            </w:r>
          </w:p>
        </w:tc>
        <w:tc>
          <w:tcPr>
            <w:tcW w:w="563" w:type="pct"/>
          </w:tcPr>
          <w:p w14:paraId="7A39145A" w14:textId="77777777" w:rsidR="00322A9F" w:rsidRPr="00322A9F" w:rsidRDefault="00322A9F" w:rsidP="00DB7F60">
            <w:pPr>
              <w:pStyle w:val="Tabletext"/>
              <w:spacing w:before="40" w:after="40"/>
              <w:rPr>
                <w:rFonts w:eastAsia="Calibri" w:cs="Calibri"/>
              </w:rPr>
            </w:pPr>
            <w:r w:rsidRPr="00322A9F">
              <w:rPr>
                <w:rFonts w:eastAsia="Calibri" w:cs="Calibri"/>
              </w:rPr>
              <w:t xml:space="preserve">16.0 </w:t>
            </w:r>
          </w:p>
        </w:tc>
        <w:tc>
          <w:tcPr>
            <w:tcW w:w="564" w:type="pct"/>
          </w:tcPr>
          <w:p w14:paraId="7ACEAED6" w14:textId="77777777" w:rsidR="00322A9F" w:rsidRPr="00322A9F" w:rsidRDefault="00322A9F" w:rsidP="00DB7F60">
            <w:pPr>
              <w:pStyle w:val="Tabletext"/>
              <w:spacing w:before="40" w:after="40"/>
              <w:rPr>
                <w:rFonts w:eastAsia="Calibri" w:cs="Calibri"/>
              </w:rPr>
            </w:pPr>
            <w:r w:rsidRPr="00322A9F">
              <w:rPr>
                <w:rFonts w:eastAsia="Calibri" w:cs="Calibri"/>
              </w:rPr>
              <w:t xml:space="preserve">16.3 </w:t>
            </w:r>
          </w:p>
        </w:tc>
      </w:tr>
      <w:tr w:rsidR="00322A9F" w:rsidRPr="00322A9F" w14:paraId="35CB9889" w14:textId="77777777" w:rsidTr="00AE4C08">
        <w:trPr>
          <w:trHeight w:val="208"/>
        </w:trPr>
        <w:tc>
          <w:tcPr>
            <w:tcW w:w="2183" w:type="pct"/>
          </w:tcPr>
          <w:p w14:paraId="7FE9DF9F" w14:textId="77777777" w:rsidR="00322A9F" w:rsidRPr="00322A9F" w:rsidRDefault="00322A9F" w:rsidP="00DB7F60">
            <w:pPr>
              <w:pStyle w:val="Tabletext"/>
              <w:spacing w:before="40" w:after="40"/>
              <w:rPr>
                <w:rFonts w:eastAsia="Calibri"/>
              </w:rPr>
            </w:pPr>
            <w:r w:rsidRPr="00322A9F">
              <w:rPr>
                <w:rFonts w:eastAsia="Calibri"/>
              </w:rPr>
              <w:t xml:space="preserve">Reduction in Hospital Admission costs ($m) </w:t>
            </w:r>
          </w:p>
        </w:tc>
        <w:tc>
          <w:tcPr>
            <w:tcW w:w="563" w:type="pct"/>
          </w:tcPr>
          <w:p w14:paraId="4A34E2E1" w14:textId="77777777" w:rsidR="00322A9F" w:rsidRPr="00322A9F" w:rsidRDefault="00322A9F" w:rsidP="00DB7F60">
            <w:pPr>
              <w:pStyle w:val="Tabletext"/>
              <w:spacing w:before="40" w:after="40"/>
              <w:rPr>
                <w:rFonts w:eastAsia="Calibri"/>
              </w:rPr>
            </w:pPr>
            <w:r w:rsidRPr="00322A9F">
              <w:rPr>
                <w:rFonts w:eastAsia="Calibri"/>
              </w:rPr>
              <w:t xml:space="preserve">118.6 </w:t>
            </w:r>
          </w:p>
        </w:tc>
        <w:tc>
          <w:tcPr>
            <w:tcW w:w="563" w:type="pct"/>
          </w:tcPr>
          <w:p w14:paraId="69F09EFD" w14:textId="77777777" w:rsidR="00322A9F" w:rsidRPr="00322A9F" w:rsidRDefault="00322A9F" w:rsidP="00DB7F60">
            <w:pPr>
              <w:pStyle w:val="Tabletext"/>
              <w:spacing w:before="40" w:after="40"/>
              <w:rPr>
                <w:rFonts w:eastAsia="Calibri"/>
              </w:rPr>
            </w:pPr>
            <w:r w:rsidRPr="00322A9F">
              <w:rPr>
                <w:rFonts w:eastAsia="Calibri"/>
              </w:rPr>
              <w:t xml:space="preserve">120.7 </w:t>
            </w:r>
          </w:p>
        </w:tc>
        <w:tc>
          <w:tcPr>
            <w:tcW w:w="564" w:type="pct"/>
          </w:tcPr>
          <w:p w14:paraId="4F10342A" w14:textId="77777777" w:rsidR="00322A9F" w:rsidRPr="00322A9F" w:rsidRDefault="00322A9F" w:rsidP="00DB7F60">
            <w:pPr>
              <w:pStyle w:val="Tabletext"/>
              <w:spacing w:before="40" w:after="40"/>
              <w:rPr>
                <w:rFonts w:eastAsia="Calibri"/>
              </w:rPr>
            </w:pPr>
            <w:r w:rsidRPr="00322A9F">
              <w:rPr>
                <w:rFonts w:eastAsia="Calibri"/>
              </w:rPr>
              <w:t xml:space="preserve">122.9 </w:t>
            </w:r>
          </w:p>
        </w:tc>
        <w:tc>
          <w:tcPr>
            <w:tcW w:w="563" w:type="pct"/>
          </w:tcPr>
          <w:p w14:paraId="3BAE0A72" w14:textId="77777777" w:rsidR="00322A9F" w:rsidRPr="00322A9F" w:rsidRDefault="00322A9F" w:rsidP="00DB7F60">
            <w:pPr>
              <w:pStyle w:val="Tabletext"/>
              <w:spacing w:before="40" w:after="40"/>
              <w:rPr>
                <w:rFonts w:eastAsia="Calibri"/>
              </w:rPr>
            </w:pPr>
            <w:r w:rsidRPr="00322A9F">
              <w:rPr>
                <w:rFonts w:eastAsia="Calibri"/>
              </w:rPr>
              <w:t xml:space="preserve">125.2 </w:t>
            </w:r>
          </w:p>
        </w:tc>
        <w:tc>
          <w:tcPr>
            <w:tcW w:w="564" w:type="pct"/>
          </w:tcPr>
          <w:p w14:paraId="1ED3936E" w14:textId="77777777" w:rsidR="00322A9F" w:rsidRPr="00322A9F" w:rsidRDefault="00322A9F" w:rsidP="00DB7F60">
            <w:pPr>
              <w:pStyle w:val="Tabletext"/>
              <w:spacing w:before="40" w:after="40"/>
              <w:rPr>
                <w:rFonts w:eastAsia="Calibri"/>
              </w:rPr>
            </w:pPr>
            <w:r w:rsidRPr="00322A9F">
              <w:rPr>
                <w:rFonts w:eastAsia="Calibri"/>
              </w:rPr>
              <w:t xml:space="preserve">127.7 </w:t>
            </w:r>
          </w:p>
        </w:tc>
      </w:tr>
      <w:tr w:rsidR="00322A9F" w:rsidRPr="00322A9F" w14:paraId="74C6FE70" w14:textId="77777777" w:rsidTr="00AE4C08">
        <w:trPr>
          <w:trHeight w:val="207"/>
        </w:trPr>
        <w:tc>
          <w:tcPr>
            <w:tcW w:w="2183" w:type="pct"/>
          </w:tcPr>
          <w:p w14:paraId="5EA794BD" w14:textId="77777777" w:rsidR="00322A9F" w:rsidRPr="00322A9F" w:rsidRDefault="00322A9F" w:rsidP="00DB7F60">
            <w:pPr>
              <w:pStyle w:val="Tabletext"/>
              <w:spacing w:before="40" w:after="40"/>
              <w:rPr>
                <w:rFonts w:eastAsia="Calibri"/>
              </w:rPr>
            </w:pPr>
            <w:r w:rsidRPr="00322A9F">
              <w:rPr>
                <w:rFonts w:eastAsia="Calibri"/>
              </w:rPr>
              <w:t xml:space="preserve">Total reduction in costs ($m) </w:t>
            </w:r>
          </w:p>
        </w:tc>
        <w:tc>
          <w:tcPr>
            <w:tcW w:w="563" w:type="pct"/>
          </w:tcPr>
          <w:p w14:paraId="5E01EFC0" w14:textId="77777777" w:rsidR="00322A9F" w:rsidRPr="00322A9F" w:rsidRDefault="00322A9F" w:rsidP="00DB7F60">
            <w:pPr>
              <w:pStyle w:val="Tabletext"/>
              <w:spacing w:before="40" w:after="40"/>
              <w:rPr>
                <w:rFonts w:eastAsia="Calibri" w:cs="Calibri"/>
              </w:rPr>
            </w:pPr>
            <w:r w:rsidRPr="00322A9F">
              <w:rPr>
                <w:rFonts w:eastAsia="Calibri" w:cs="Calibri"/>
              </w:rPr>
              <w:t xml:space="preserve">133.70 </w:t>
            </w:r>
          </w:p>
        </w:tc>
        <w:tc>
          <w:tcPr>
            <w:tcW w:w="563" w:type="pct"/>
          </w:tcPr>
          <w:p w14:paraId="0B577178" w14:textId="77777777" w:rsidR="00322A9F" w:rsidRPr="00322A9F" w:rsidRDefault="00322A9F" w:rsidP="00DB7F60">
            <w:pPr>
              <w:pStyle w:val="Tabletext"/>
              <w:spacing w:before="40" w:after="40"/>
              <w:rPr>
                <w:rFonts w:eastAsia="Calibri" w:cs="Calibri"/>
              </w:rPr>
            </w:pPr>
            <w:r w:rsidRPr="00322A9F">
              <w:rPr>
                <w:rFonts w:eastAsia="Calibri" w:cs="Calibri"/>
              </w:rPr>
              <w:t xml:space="preserve">136.10 </w:t>
            </w:r>
          </w:p>
        </w:tc>
        <w:tc>
          <w:tcPr>
            <w:tcW w:w="564" w:type="pct"/>
          </w:tcPr>
          <w:p w14:paraId="34A8BE78" w14:textId="77777777" w:rsidR="00322A9F" w:rsidRPr="00322A9F" w:rsidRDefault="00322A9F" w:rsidP="00DB7F60">
            <w:pPr>
              <w:pStyle w:val="Tabletext"/>
              <w:spacing w:before="40" w:after="40"/>
              <w:rPr>
                <w:rFonts w:eastAsia="Calibri" w:cs="Calibri"/>
              </w:rPr>
            </w:pPr>
            <w:r w:rsidRPr="00322A9F">
              <w:rPr>
                <w:rFonts w:eastAsia="Calibri" w:cs="Calibri"/>
              </w:rPr>
              <w:t xml:space="preserve">138.58 </w:t>
            </w:r>
          </w:p>
        </w:tc>
        <w:tc>
          <w:tcPr>
            <w:tcW w:w="563" w:type="pct"/>
          </w:tcPr>
          <w:p w14:paraId="489FCC13" w14:textId="77777777" w:rsidR="00322A9F" w:rsidRPr="00322A9F" w:rsidRDefault="00322A9F" w:rsidP="00DB7F60">
            <w:pPr>
              <w:pStyle w:val="Tabletext"/>
              <w:spacing w:before="40" w:after="40"/>
              <w:rPr>
                <w:rFonts w:eastAsia="Calibri" w:cs="Calibri"/>
              </w:rPr>
            </w:pPr>
            <w:r w:rsidRPr="00322A9F">
              <w:rPr>
                <w:rFonts w:eastAsia="Calibri" w:cs="Calibri"/>
              </w:rPr>
              <w:t xml:space="preserve">141.21 </w:t>
            </w:r>
          </w:p>
        </w:tc>
        <w:tc>
          <w:tcPr>
            <w:tcW w:w="564" w:type="pct"/>
          </w:tcPr>
          <w:p w14:paraId="3564BD82" w14:textId="77777777" w:rsidR="00322A9F" w:rsidRPr="00322A9F" w:rsidRDefault="00322A9F" w:rsidP="00DB7F60">
            <w:pPr>
              <w:pStyle w:val="Tabletext"/>
              <w:spacing w:before="40" w:after="40"/>
              <w:rPr>
                <w:rFonts w:eastAsia="Calibri" w:cs="Calibri"/>
              </w:rPr>
            </w:pPr>
            <w:r w:rsidRPr="00322A9F">
              <w:rPr>
                <w:rFonts w:eastAsia="Calibri" w:cs="Calibri"/>
              </w:rPr>
              <w:t xml:space="preserve">143.92 </w:t>
            </w:r>
          </w:p>
        </w:tc>
      </w:tr>
    </w:tbl>
    <w:p w14:paraId="111C0334" w14:textId="77777777" w:rsidR="000F441C" w:rsidRPr="00DB7F60" w:rsidRDefault="00DB7F60" w:rsidP="00DB7F60">
      <w:pPr>
        <w:pStyle w:val="Tabletext"/>
        <w:spacing w:after="240"/>
        <w:rPr>
          <w:sz w:val="18"/>
        </w:rPr>
      </w:pPr>
      <w:proofErr w:type="gramStart"/>
      <w:r w:rsidRPr="001F7F37">
        <w:rPr>
          <w:vertAlign w:val="superscript"/>
        </w:rPr>
        <w:t>a</w:t>
      </w:r>
      <w:proofErr w:type="gramEnd"/>
      <w:r w:rsidRPr="001F7F37">
        <w:rPr>
          <w:vertAlign w:val="superscript"/>
        </w:rPr>
        <w:t xml:space="preserve"> </w:t>
      </w:r>
      <w:r w:rsidRPr="001F7F37">
        <w:rPr>
          <w:sz w:val="18"/>
        </w:rPr>
        <w:t xml:space="preserve">Pooled results were not statistically significant </w:t>
      </w:r>
      <w:r w:rsidR="007A0C96" w:rsidRPr="001F7F37">
        <w:rPr>
          <w:sz w:val="18"/>
        </w:rPr>
        <w:t>(COPD population)</w:t>
      </w:r>
    </w:p>
    <w:p w14:paraId="5E0E075D" w14:textId="0951E621" w:rsidR="00320E91" w:rsidRPr="00480EA7" w:rsidRDefault="002A62BE">
      <w:proofErr w:type="gramStart"/>
      <w:r w:rsidRPr="002A62BE">
        <w:t>There is a high degree of uncertainty surrounding the utilisation and uptake of PR services, which is characterised by uncertainty surrounding the number of patients that would be eligible due to comorbidities, the uptake of PR services, as well as the ability of PR providers to respond to the introduction of the new services.</w:t>
      </w:r>
      <w:proofErr w:type="gramEnd"/>
      <w:r w:rsidRPr="002A62BE">
        <w:t xml:space="preserve"> </w:t>
      </w:r>
      <w:r w:rsidR="007A0C96">
        <w:t xml:space="preserve">The resubmission stated that the evidence was only available to assess the impact of PR on ED presentations and hospital admissions for patients with COPD. </w:t>
      </w:r>
      <w:r w:rsidRPr="002A62BE">
        <w:t xml:space="preserve">Sensitivity analyses showed that the average annual cost of PR services </w:t>
      </w:r>
      <w:proofErr w:type="gramStart"/>
      <w:r w:rsidRPr="002A62BE">
        <w:t>may</w:t>
      </w:r>
      <w:proofErr w:type="gramEnd"/>
      <w:r w:rsidRPr="002A62BE">
        <w:t xml:space="preserve"> range between $30.4 million to $121.5 million. Capacity constrained scenarios where the number of patients accessing the services was limited based on the existing number of PR providers suggested that the average annual cost to the MBS of PR services may be around $59.4 million to $124.0 million.</w:t>
      </w:r>
      <w:r w:rsidR="00320E91">
        <w:br w:type="page"/>
      </w:r>
    </w:p>
    <w:p w14:paraId="0A090539" w14:textId="309BA4CD" w:rsidR="00EC58AB" w:rsidRPr="001F7F37" w:rsidRDefault="006A0D97" w:rsidP="00EC58AB">
      <w:pPr>
        <w:pStyle w:val="Heading1"/>
      </w:pPr>
      <w:r w:rsidRPr="00F715D1">
        <w:lastRenderedPageBreak/>
        <w:t>Key issues from ESC for MSAC</w:t>
      </w:r>
    </w:p>
    <w:tbl>
      <w:tblPr>
        <w:tblStyle w:val="TableGrid"/>
        <w:tblW w:w="0" w:type="auto"/>
        <w:tblLook w:val="04A0" w:firstRow="1" w:lastRow="0" w:firstColumn="1" w:lastColumn="0" w:noHBand="0" w:noVBand="1"/>
        <w:tblCaption w:val="Key issues from ESC to MSAC"/>
        <w:tblDescription w:val="Summary of key issues from ESC to MSAC"/>
      </w:tblPr>
      <w:tblGrid>
        <w:gridCol w:w="2392"/>
        <w:gridCol w:w="6624"/>
      </w:tblGrid>
      <w:tr w:rsidR="002A62BE" w:rsidRPr="001F7F37" w14:paraId="072BA4C8" w14:textId="77777777" w:rsidTr="002D10CE">
        <w:trPr>
          <w:tblHeader/>
        </w:trPr>
        <w:tc>
          <w:tcPr>
            <w:tcW w:w="0" w:type="auto"/>
          </w:tcPr>
          <w:p w14:paraId="171A13FB" w14:textId="77777777" w:rsidR="002A62BE" w:rsidRPr="001F7F37" w:rsidRDefault="002A62BE" w:rsidP="007A0C96">
            <w:pPr>
              <w:pStyle w:val="Tabletext"/>
              <w:spacing w:before="40" w:after="40"/>
              <w:rPr>
                <w:rFonts w:ascii="Times New Roman" w:hAnsi="Times New Roman" w:cs="Times New Roman"/>
                <w:b/>
                <w:sz w:val="24"/>
              </w:rPr>
            </w:pPr>
            <w:r w:rsidRPr="001F7F37">
              <w:rPr>
                <w:rFonts w:ascii="Times New Roman" w:hAnsi="Times New Roman" w:cs="Times New Roman"/>
                <w:b/>
                <w:sz w:val="24"/>
              </w:rPr>
              <w:t>ESC key issue</w:t>
            </w:r>
          </w:p>
        </w:tc>
        <w:tc>
          <w:tcPr>
            <w:tcW w:w="0" w:type="auto"/>
          </w:tcPr>
          <w:p w14:paraId="5E7D4778" w14:textId="77777777" w:rsidR="002A62BE" w:rsidRPr="001F7F37" w:rsidRDefault="002A62BE" w:rsidP="007A0C96">
            <w:pPr>
              <w:pStyle w:val="Tabletext"/>
              <w:spacing w:before="40" w:after="40"/>
              <w:rPr>
                <w:rFonts w:ascii="Times New Roman" w:hAnsi="Times New Roman" w:cs="Times New Roman"/>
                <w:b/>
                <w:sz w:val="24"/>
              </w:rPr>
            </w:pPr>
            <w:r w:rsidRPr="001F7F37">
              <w:rPr>
                <w:rFonts w:ascii="Times New Roman" w:hAnsi="Times New Roman" w:cs="Times New Roman"/>
                <w:b/>
                <w:sz w:val="24"/>
              </w:rPr>
              <w:t>ESC advice to MSAC</w:t>
            </w:r>
          </w:p>
        </w:tc>
      </w:tr>
      <w:tr w:rsidR="002A62BE" w:rsidRPr="001F7F37" w14:paraId="3E254187" w14:textId="77777777" w:rsidTr="002D10CE">
        <w:tc>
          <w:tcPr>
            <w:tcW w:w="0" w:type="auto"/>
          </w:tcPr>
          <w:p w14:paraId="305D4C7F" w14:textId="77777777" w:rsidR="002A62BE" w:rsidRPr="001F7F37" w:rsidRDefault="002A62BE" w:rsidP="007A0C96">
            <w:pPr>
              <w:pStyle w:val="Tabletext"/>
              <w:spacing w:before="40" w:after="40"/>
              <w:rPr>
                <w:rFonts w:ascii="Times New Roman" w:hAnsi="Times New Roman" w:cs="Times New Roman"/>
                <w:sz w:val="24"/>
              </w:rPr>
            </w:pPr>
            <w:r w:rsidRPr="001F7F37">
              <w:rPr>
                <w:rFonts w:ascii="Times New Roman" w:hAnsi="Times New Roman" w:cs="Times New Roman"/>
                <w:sz w:val="24"/>
              </w:rPr>
              <w:t>Narrowed patient population and intervention</w:t>
            </w:r>
          </w:p>
        </w:tc>
        <w:tc>
          <w:tcPr>
            <w:tcW w:w="0" w:type="auto"/>
          </w:tcPr>
          <w:p w14:paraId="064C74B0" w14:textId="77777777" w:rsidR="002A62BE" w:rsidRPr="001F7F37" w:rsidRDefault="002A62BE" w:rsidP="007A0C96">
            <w:pPr>
              <w:pStyle w:val="Tabletext"/>
              <w:spacing w:before="40" w:after="40"/>
              <w:rPr>
                <w:rFonts w:ascii="Times New Roman" w:hAnsi="Times New Roman" w:cs="Times New Roman"/>
                <w:sz w:val="24"/>
              </w:rPr>
            </w:pPr>
            <w:r w:rsidRPr="001F7F37">
              <w:rPr>
                <w:rFonts w:ascii="Times New Roman" w:hAnsi="Times New Roman" w:cs="Times New Roman"/>
                <w:sz w:val="24"/>
              </w:rPr>
              <w:t>Compared with the original application, the removal of the pulmonary maintenance exercise component mitigates some of MSAC’s previous concerns regarding the strength of the evidence supporting the application.</w:t>
            </w:r>
          </w:p>
        </w:tc>
      </w:tr>
      <w:tr w:rsidR="002A62BE" w:rsidRPr="001F7F37" w14:paraId="36CE1818" w14:textId="77777777" w:rsidTr="002D10CE">
        <w:tc>
          <w:tcPr>
            <w:tcW w:w="0" w:type="auto"/>
          </w:tcPr>
          <w:p w14:paraId="364FBDB9" w14:textId="77777777" w:rsidR="002A62BE" w:rsidRPr="001F7F37" w:rsidRDefault="002A62BE" w:rsidP="007A0C96">
            <w:pPr>
              <w:pStyle w:val="Tabletext"/>
              <w:spacing w:before="40" w:after="40"/>
              <w:rPr>
                <w:rFonts w:ascii="Times New Roman" w:hAnsi="Times New Roman" w:cs="Times New Roman"/>
                <w:sz w:val="24"/>
              </w:rPr>
            </w:pPr>
            <w:r w:rsidRPr="001F7F37">
              <w:rPr>
                <w:rFonts w:ascii="Times New Roman" w:hAnsi="Times New Roman" w:cs="Times New Roman"/>
                <w:sz w:val="24"/>
              </w:rPr>
              <w:t xml:space="preserve">Evidence of </w:t>
            </w:r>
            <w:r w:rsidR="002D10CE" w:rsidRPr="001F7F37">
              <w:rPr>
                <w:rFonts w:ascii="Times New Roman" w:hAnsi="Times New Roman" w:cs="Times New Roman"/>
                <w:sz w:val="24"/>
              </w:rPr>
              <w:t>pulmonary rehabilitation (</w:t>
            </w:r>
            <w:r w:rsidRPr="001F7F37">
              <w:rPr>
                <w:rFonts w:ascii="Times New Roman" w:hAnsi="Times New Roman" w:cs="Times New Roman"/>
                <w:sz w:val="24"/>
              </w:rPr>
              <w:t>PR</w:t>
            </w:r>
            <w:r w:rsidR="002D10CE" w:rsidRPr="001F7F37">
              <w:rPr>
                <w:rFonts w:ascii="Times New Roman" w:hAnsi="Times New Roman" w:cs="Times New Roman"/>
                <w:sz w:val="24"/>
              </w:rPr>
              <w:t>)</w:t>
            </w:r>
            <w:r w:rsidRPr="001F7F37">
              <w:rPr>
                <w:rFonts w:ascii="Times New Roman" w:hAnsi="Times New Roman" w:cs="Times New Roman"/>
                <w:sz w:val="24"/>
              </w:rPr>
              <w:t xml:space="preserve"> effectiveness</w:t>
            </w:r>
          </w:p>
        </w:tc>
        <w:tc>
          <w:tcPr>
            <w:tcW w:w="0" w:type="auto"/>
          </w:tcPr>
          <w:p w14:paraId="2C2E2857" w14:textId="77777777" w:rsidR="002A62BE" w:rsidRPr="001F7F37" w:rsidRDefault="002A62BE" w:rsidP="007A0C96">
            <w:pPr>
              <w:pStyle w:val="Tabletext"/>
              <w:spacing w:before="40" w:after="40"/>
              <w:rPr>
                <w:rFonts w:ascii="Times New Roman" w:hAnsi="Times New Roman" w:cs="Times New Roman"/>
                <w:sz w:val="24"/>
              </w:rPr>
            </w:pPr>
            <w:r w:rsidRPr="001F7F37">
              <w:rPr>
                <w:rFonts w:ascii="Times New Roman" w:hAnsi="Times New Roman" w:cs="Times New Roman"/>
                <w:sz w:val="24"/>
              </w:rPr>
              <w:t xml:space="preserve">There is good evidence for effectiveness of pulmonary rehabilitation (PR) in patients with chronic obstructive pulmonary disease (COPD), but relatively limited evidence on its effectiveness for patients with bronchiectasis and interstitial lung disease (ILD). </w:t>
            </w:r>
          </w:p>
          <w:p w14:paraId="01CE6C0C" w14:textId="77777777" w:rsidR="002A62BE" w:rsidRPr="001F7F37" w:rsidRDefault="002A62BE" w:rsidP="007A0C96">
            <w:pPr>
              <w:pStyle w:val="Tabletext"/>
              <w:spacing w:before="40" w:after="40"/>
              <w:rPr>
                <w:rFonts w:ascii="Times New Roman" w:hAnsi="Times New Roman" w:cs="Times New Roman"/>
                <w:sz w:val="24"/>
              </w:rPr>
            </w:pPr>
            <w:r w:rsidRPr="001F7F37">
              <w:rPr>
                <w:rFonts w:ascii="Times New Roman" w:hAnsi="Times New Roman" w:cs="Times New Roman"/>
                <w:sz w:val="24"/>
              </w:rPr>
              <w:t xml:space="preserve">The effectiveness of PR for bronchiectasis and ILD patient populations was deemed </w:t>
            </w:r>
            <w:proofErr w:type="gramStart"/>
            <w:r w:rsidRPr="001F7F37">
              <w:rPr>
                <w:rFonts w:ascii="Times New Roman" w:hAnsi="Times New Roman" w:cs="Times New Roman"/>
                <w:sz w:val="24"/>
              </w:rPr>
              <w:t>to be at</w:t>
            </w:r>
            <w:proofErr w:type="gramEnd"/>
            <w:r w:rsidRPr="001F7F37">
              <w:rPr>
                <w:rFonts w:ascii="Times New Roman" w:hAnsi="Times New Roman" w:cs="Times New Roman"/>
                <w:sz w:val="24"/>
              </w:rPr>
              <w:t xml:space="preserve"> least non-</w:t>
            </w:r>
            <w:bookmarkStart w:id="15" w:name="Editing"/>
            <w:bookmarkEnd w:id="15"/>
            <w:r w:rsidRPr="001F7F37">
              <w:rPr>
                <w:rFonts w:ascii="Times New Roman" w:hAnsi="Times New Roman" w:cs="Times New Roman"/>
                <w:sz w:val="24"/>
              </w:rPr>
              <w:t>inferior relative to usual care.</w:t>
            </w:r>
          </w:p>
          <w:p w14:paraId="6713C50D" w14:textId="77777777" w:rsidR="002A62BE" w:rsidRPr="001F7F37" w:rsidRDefault="002A62BE" w:rsidP="007A0C96">
            <w:pPr>
              <w:pStyle w:val="Tabletext"/>
              <w:spacing w:before="40" w:after="40"/>
              <w:rPr>
                <w:rFonts w:ascii="Times New Roman" w:hAnsi="Times New Roman" w:cs="Times New Roman"/>
                <w:sz w:val="24"/>
              </w:rPr>
            </w:pPr>
            <w:r w:rsidRPr="001F7F37">
              <w:rPr>
                <w:rFonts w:ascii="Times New Roman" w:hAnsi="Times New Roman" w:cs="Times New Roman"/>
                <w:sz w:val="24"/>
              </w:rPr>
              <w:t>Separating the COPD, bronchiectasis and ILD populations may not be practicable or clinically desirable.</w:t>
            </w:r>
          </w:p>
          <w:p w14:paraId="7C7B6282" w14:textId="77777777" w:rsidR="002A62BE" w:rsidRPr="001F7F37" w:rsidRDefault="002A62BE" w:rsidP="007A0C96">
            <w:pPr>
              <w:pStyle w:val="Tabletext"/>
              <w:spacing w:before="40" w:after="40"/>
              <w:rPr>
                <w:rFonts w:ascii="Times New Roman" w:hAnsi="Times New Roman" w:cs="Times New Roman"/>
                <w:sz w:val="24"/>
              </w:rPr>
            </w:pPr>
            <w:r w:rsidRPr="001F7F37">
              <w:rPr>
                <w:rFonts w:ascii="Times New Roman" w:hAnsi="Times New Roman" w:cs="Times New Roman"/>
                <w:sz w:val="24"/>
              </w:rPr>
              <w:t>Although evidence is scant, it is likely that PR benefits COPD patients regardless of whether they have stable disease or a recent exacerbation.</w:t>
            </w:r>
          </w:p>
          <w:p w14:paraId="247EFD74" w14:textId="77777777" w:rsidR="002A62BE" w:rsidRPr="001F7F37" w:rsidRDefault="002A62BE" w:rsidP="007A0C96">
            <w:pPr>
              <w:pStyle w:val="Tabletext"/>
              <w:spacing w:before="40" w:after="40"/>
              <w:rPr>
                <w:rFonts w:ascii="Times New Roman" w:hAnsi="Times New Roman" w:cs="Times New Roman"/>
                <w:sz w:val="24"/>
              </w:rPr>
            </w:pPr>
            <w:r w:rsidRPr="001F7F37">
              <w:rPr>
                <w:rFonts w:ascii="Times New Roman" w:hAnsi="Times New Roman" w:cs="Times New Roman"/>
                <w:sz w:val="24"/>
              </w:rPr>
              <w:t>Based on evidence, 8 weeks is likely to be an appropriate duration of PR for COPD.</w:t>
            </w:r>
          </w:p>
        </w:tc>
      </w:tr>
      <w:tr w:rsidR="002A62BE" w:rsidRPr="001F7F37" w14:paraId="7CB329A0" w14:textId="77777777" w:rsidTr="002D10CE">
        <w:tc>
          <w:tcPr>
            <w:tcW w:w="0" w:type="auto"/>
          </w:tcPr>
          <w:p w14:paraId="1B7F191A" w14:textId="77777777" w:rsidR="002A62BE" w:rsidRPr="001F7F37" w:rsidRDefault="002A62BE" w:rsidP="007A0C96">
            <w:pPr>
              <w:pStyle w:val="Tabletext"/>
              <w:spacing w:before="40" w:after="40"/>
              <w:rPr>
                <w:rFonts w:ascii="Times New Roman" w:hAnsi="Times New Roman" w:cs="Times New Roman"/>
                <w:sz w:val="24"/>
              </w:rPr>
            </w:pPr>
            <w:r w:rsidRPr="001F7F37">
              <w:rPr>
                <w:rFonts w:ascii="Times New Roman" w:hAnsi="Times New Roman" w:cs="Times New Roman"/>
                <w:sz w:val="24"/>
              </w:rPr>
              <w:t>Safety</w:t>
            </w:r>
          </w:p>
        </w:tc>
        <w:tc>
          <w:tcPr>
            <w:tcW w:w="0" w:type="auto"/>
          </w:tcPr>
          <w:p w14:paraId="75F2BFC0" w14:textId="77777777" w:rsidR="002A62BE" w:rsidRPr="001F7F37" w:rsidRDefault="002A62BE" w:rsidP="007A0C96">
            <w:pPr>
              <w:pStyle w:val="Tabletext"/>
              <w:spacing w:before="40" w:after="40"/>
              <w:rPr>
                <w:rFonts w:ascii="Times New Roman" w:hAnsi="Times New Roman" w:cs="Times New Roman"/>
                <w:sz w:val="24"/>
              </w:rPr>
            </w:pPr>
            <w:r w:rsidRPr="001F7F37">
              <w:rPr>
                <w:rFonts w:ascii="Times New Roman" w:hAnsi="Times New Roman" w:cs="Times New Roman"/>
                <w:sz w:val="24"/>
              </w:rPr>
              <w:t>It is highly unlikely that safety will be an issue if proper clinical governance is in place.</w:t>
            </w:r>
          </w:p>
        </w:tc>
      </w:tr>
      <w:tr w:rsidR="002A62BE" w:rsidRPr="001F7F37" w14:paraId="0C795A11" w14:textId="77777777" w:rsidTr="002D10CE">
        <w:tc>
          <w:tcPr>
            <w:tcW w:w="0" w:type="auto"/>
          </w:tcPr>
          <w:p w14:paraId="0050C927" w14:textId="77777777" w:rsidR="002A62BE" w:rsidRPr="001F7F37" w:rsidRDefault="002A62BE" w:rsidP="007A0C96">
            <w:pPr>
              <w:pStyle w:val="Tabletext"/>
              <w:spacing w:before="40" w:after="40"/>
              <w:rPr>
                <w:rFonts w:ascii="Times New Roman" w:hAnsi="Times New Roman" w:cs="Times New Roman"/>
                <w:sz w:val="24"/>
              </w:rPr>
            </w:pPr>
            <w:r w:rsidRPr="001F7F37">
              <w:rPr>
                <w:rFonts w:ascii="Times New Roman" w:hAnsi="Times New Roman" w:cs="Times New Roman"/>
                <w:sz w:val="24"/>
              </w:rPr>
              <w:t>MBS item descriptor</w:t>
            </w:r>
          </w:p>
        </w:tc>
        <w:tc>
          <w:tcPr>
            <w:tcW w:w="0" w:type="auto"/>
          </w:tcPr>
          <w:p w14:paraId="3641918B" w14:textId="77777777" w:rsidR="002A62BE" w:rsidRPr="001F7F37" w:rsidRDefault="002A62BE" w:rsidP="007A0C96">
            <w:pPr>
              <w:pStyle w:val="Tabletext"/>
              <w:spacing w:before="40" w:after="40"/>
              <w:rPr>
                <w:rFonts w:ascii="Times New Roman" w:hAnsi="Times New Roman" w:cs="Times New Roman"/>
                <w:sz w:val="24"/>
              </w:rPr>
            </w:pPr>
            <w:r w:rsidRPr="001F7F37">
              <w:rPr>
                <w:rFonts w:ascii="Times New Roman" w:hAnsi="Times New Roman" w:cs="Times New Roman"/>
                <w:sz w:val="24"/>
              </w:rPr>
              <w:t>The proposed structure is an appropriate template for the further development of MBS PR items for people with chronic lung disease.</w:t>
            </w:r>
          </w:p>
        </w:tc>
      </w:tr>
      <w:tr w:rsidR="002A62BE" w:rsidRPr="001F7F37" w14:paraId="30874BD7" w14:textId="77777777" w:rsidTr="002D10CE">
        <w:tc>
          <w:tcPr>
            <w:tcW w:w="0" w:type="auto"/>
          </w:tcPr>
          <w:p w14:paraId="2680F480" w14:textId="77777777" w:rsidR="002A62BE" w:rsidRPr="001F7F37" w:rsidRDefault="002A62BE" w:rsidP="007A0C96">
            <w:pPr>
              <w:pStyle w:val="Tabletext"/>
              <w:spacing w:before="40" w:after="40"/>
              <w:rPr>
                <w:rFonts w:ascii="Times New Roman" w:hAnsi="Times New Roman" w:cs="Times New Roman"/>
                <w:sz w:val="24"/>
              </w:rPr>
            </w:pPr>
            <w:r w:rsidRPr="001F7F37">
              <w:rPr>
                <w:rFonts w:ascii="Times New Roman" w:hAnsi="Times New Roman" w:cs="Times New Roman"/>
                <w:sz w:val="24"/>
              </w:rPr>
              <w:t>Uptake</w:t>
            </w:r>
          </w:p>
        </w:tc>
        <w:tc>
          <w:tcPr>
            <w:tcW w:w="0" w:type="auto"/>
          </w:tcPr>
          <w:p w14:paraId="3C30A06D" w14:textId="77777777" w:rsidR="002A62BE" w:rsidRPr="001F7F37" w:rsidRDefault="002A62BE" w:rsidP="007A0C96">
            <w:pPr>
              <w:pStyle w:val="Tabletext"/>
              <w:spacing w:before="40" w:after="40"/>
              <w:rPr>
                <w:rFonts w:ascii="Times New Roman" w:hAnsi="Times New Roman" w:cs="Times New Roman"/>
                <w:sz w:val="24"/>
              </w:rPr>
            </w:pPr>
            <w:r w:rsidRPr="001F7F37">
              <w:rPr>
                <w:rFonts w:ascii="Times New Roman" w:hAnsi="Times New Roman" w:cs="Times New Roman"/>
                <w:sz w:val="24"/>
              </w:rPr>
              <w:t>It is unclear whether uptake will increase with increased capacity following MBS listing.</w:t>
            </w:r>
          </w:p>
        </w:tc>
      </w:tr>
      <w:tr w:rsidR="002A62BE" w:rsidRPr="001F7F37" w14:paraId="19E23F0F" w14:textId="77777777" w:rsidTr="002D10CE">
        <w:tc>
          <w:tcPr>
            <w:tcW w:w="0" w:type="auto"/>
          </w:tcPr>
          <w:p w14:paraId="51755391" w14:textId="77777777" w:rsidR="002A62BE" w:rsidRPr="001F7F37" w:rsidRDefault="002A62BE" w:rsidP="007A0C96">
            <w:pPr>
              <w:pStyle w:val="Tabletext"/>
              <w:spacing w:before="40" w:after="40"/>
              <w:rPr>
                <w:rFonts w:ascii="Times New Roman" w:hAnsi="Times New Roman" w:cs="Times New Roman"/>
                <w:sz w:val="24"/>
              </w:rPr>
            </w:pPr>
            <w:r w:rsidRPr="001F7F37">
              <w:rPr>
                <w:rFonts w:ascii="Times New Roman" w:hAnsi="Times New Roman" w:cs="Times New Roman"/>
                <w:sz w:val="24"/>
              </w:rPr>
              <w:t>Leakage</w:t>
            </w:r>
          </w:p>
        </w:tc>
        <w:tc>
          <w:tcPr>
            <w:tcW w:w="0" w:type="auto"/>
          </w:tcPr>
          <w:p w14:paraId="1D13C110" w14:textId="77777777" w:rsidR="002A62BE" w:rsidRPr="001F7F37" w:rsidRDefault="002A62BE" w:rsidP="007A0C96">
            <w:pPr>
              <w:pStyle w:val="Tabletext"/>
              <w:spacing w:before="40" w:after="40"/>
              <w:rPr>
                <w:rFonts w:ascii="Times New Roman" w:hAnsi="Times New Roman" w:cs="Times New Roman"/>
                <w:sz w:val="24"/>
              </w:rPr>
            </w:pPr>
            <w:r w:rsidRPr="001F7F37">
              <w:rPr>
                <w:rFonts w:ascii="Times New Roman" w:hAnsi="Times New Roman" w:cs="Times New Roman"/>
                <w:sz w:val="24"/>
              </w:rPr>
              <w:t>The potential for leakage is low due to capacity restraints.</w:t>
            </w:r>
          </w:p>
        </w:tc>
      </w:tr>
      <w:tr w:rsidR="002A62BE" w:rsidRPr="001F7F37" w14:paraId="4AE0C2C5" w14:textId="77777777" w:rsidTr="002D10CE">
        <w:tc>
          <w:tcPr>
            <w:tcW w:w="0" w:type="auto"/>
          </w:tcPr>
          <w:p w14:paraId="1799D76D" w14:textId="77777777" w:rsidR="002A62BE" w:rsidRPr="001F7F37" w:rsidRDefault="002A62BE" w:rsidP="007A0C96">
            <w:pPr>
              <w:pStyle w:val="Tabletext"/>
              <w:spacing w:before="40" w:after="40"/>
              <w:rPr>
                <w:rFonts w:ascii="Times New Roman" w:hAnsi="Times New Roman" w:cs="Times New Roman"/>
                <w:sz w:val="24"/>
              </w:rPr>
            </w:pPr>
            <w:r w:rsidRPr="001F7F37">
              <w:rPr>
                <w:rFonts w:ascii="Times New Roman" w:hAnsi="Times New Roman" w:cs="Times New Roman"/>
                <w:sz w:val="24"/>
              </w:rPr>
              <w:t>Retreatment</w:t>
            </w:r>
          </w:p>
        </w:tc>
        <w:tc>
          <w:tcPr>
            <w:tcW w:w="0" w:type="auto"/>
          </w:tcPr>
          <w:p w14:paraId="03EA3430" w14:textId="77777777" w:rsidR="002A62BE" w:rsidRPr="001F7F37" w:rsidRDefault="002A62BE" w:rsidP="007A0C96">
            <w:pPr>
              <w:pStyle w:val="Tabletext"/>
              <w:spacing w:before="40" w:after="40"/>
              <w:rPr>
                <w:rFonts w:ascii="Times New Roman" w:hAnsi="Times New Roman" w:cs="Times New Roman"/>
                <w:sz w:val="24"/>
              </w:rPr>
            </w:pPr>
            <w:r w:rsidRPr="001F7F37">
              <w:rPr>
                <w:rFonts w:ascii="Times New Roman" w:hAnsi="Times New Roman" w:cs="Times New Roman"/>
                <w:sz w:val="24"/>
              </w:rPr>
              <w:t xml:space="preserve">It is unclear whether retreatment </w:t>
            </w:r>
            <w:proofErr w:type="gramStart"/>
            <w:r w:rsidRPr="001F7F37">
              <w:rPr>
                <w:rFonts w:ascii="Times New Roman" w:hAnsi="Times New Roman" w:cs="Times New Roman"/>
                <w:sz w:val="24"/>
              </w:rPr>
              <w:t>is accounted for</w:t>
            </w:r>
            <w:proofErr w:type="gramEnd"/>
            <w:r w:rsidRPr="001F7F37">
              <w:rPr>
                <w:rFonts w:ascii="Times New Roman" w:hAnsi="Times New Roman" w:cs="Times New Roman"/>
                <w:sz w:val="24"/>
              </w:rPr>
              <w:t xml:space="preserve"> in eligible patients (this should be clarified by the applicant before the MSAC meeting).</w:t>
            </w:r>
          </w:p>
        </w:tc>
      </w:tr>
      <w:tr w:rsidR="002A62BE" w:rsidRPr="001F7F37" w14:paraId="6BF4478B" w14:textId="77777777" w:rsidTr="002D10CE">
        <w:tc>
          <w:tcPr>
            <w:tcW w:w="0" w:type="auto"/>
          </w:tcPr>
          <w:p w14:paraId="2B9CD549" w14:textId="77777777" w:rsidR="002A62BE" w:rsidRPr="001F7F37" w:rsidRDefault="002A62BE" w:rsidP="007A0C96">
            <w:pPr>
              <w:pStyle w:val="Tabletext"/>
              <w:spacing w:before="40" w:after="40"/>
              <w:rPr>
                <w:rFonts w:ascii="Times New Roman" w:hAnsi="Times New Roman" w:cs="Times New Roman"/>
                <w:sz w:val="24"/>
              </w:rPr>
            </w:pPr>
            <w:r w:rsidRPr="001F7F37">
              <w:rPr>
                <w:rFonts w:ascii="Times New Roman" w:hAnsi="Times New Roman" w:cs="Times New Roman"/>
                <w:sz w:val="24"/>
              </w:rPr>
              <w:t>Cost savings</w:t>
            </w:r>
          </w:p>
        </w:tc>
        <w:tc>
          <w:tcPr>
            <w:tcW w:w="0" w:type="auto"/>
          </w:tcPr>
          <w:p w14:paraId="3AAF2391" w14:textId="77777777" w:rsidR="002A62BE" w:rsidRPr="001F7F37" w:rsidRDefault="002A62BE" w:rsidP="007A0C96">
            <w:pPr>
              <w:pStyle w:val="Tabletext"/>
              <w:spacing w:before="40" w:after="40"/>
              <w:rPr>
                <w:rFonts w:ascii="Times New Roman" w:hAnsi="Times New Roman" w:cs="Times New Roman"/>
                <w:sz w:val="24"/>
              </w:rPr>
            </w:pPr>
            <w:r w:rsidRPr="001F7F37">
              <w:rPr>
                <w:rFonts w:ascii="Times New Roman" w:hAnsi="Times New Roman" w:cs="Times New Roman"/>
                <w:sz w:val="24"/>
              </w:rPr>
              <w:t>Cost savings due to reduced emergency department and hospital admissions may be lower than estimated in the long term due to retreatment.</w:t>
            </w:r>
          </w:p>
        </w:tc>
      </w:tr>
    </w:tbl>
    <w:p w14:paraId="0BF41A4E" w14:textId="557AE4E4" w:rsidR="00F90796" w:rsidRPr="00450815" w:rsidRDefault="00F90796" w:rsidP="00480EA7">
      <w:pPr>
        <w:spacing w:before="240" w:after="240"/>
        <w:rPr>
          <w:b/>
          <w:u w:val="single"/>
        </w:rPr>
      </w:pPr>
      <w:r>
        <w:rPr>
          <w:b/>
          <w:u w:val="single"/>
        </w:rPr>
        <w:t>ESC Discussion</w:t>
      </w:r>
    </w:p>
    <w:p w14:paraId="13D3445F" w14:textId="467D9ABD" w:rsidR="00F90796" w:rsidRDefault="00F90796" w:rsidP="00480EA7">
      <w:pPr>
        <w:spacing w:after="240"/>
      </w:pPr>
      <w:r>
        <w:t>ESC noted that Application 1405.1 is a resubmission that proposes Medicare Benefits Schedule (</w:t>
      </w:r>
      <w:r w:rsidRPr="009A144B">
        <w:t>MBS</w:t>
      </w:r>
      <w:r>
        <w:t>)</w:t>
      </w:r>
      <w:r w:rsidRPr="009A144B">
        <w:t xml:space="preserve"> listing of a PR program for patients with chronic lung disease, including COPD, bronchiectasis and ILD</w:t>
      </w:r>
      <w:r w:rsidR="00480EA7">
        <w:t>.</w:t>
      </w:r>
    </w:p>
    <w:p w14:paraId="3C6F9137" w14:textId="61F3079F" w:rsidR="00F90796" w:rsidRDefault="00F90796" w:rsidP="00480EA7">
      <w:pPr>
        <w:spacing w:after="240"/>
      </w:pPr>
      <w:r>
        <w:t xml:space="preserve">Application 1405 requested public funding for PR for the management of lung cancer, and </w:t>
      </w:r>
      <w:r w:rsidR="007A0C96">
        <w:t>PME</w:t>
      </w:r>
      <w:r w:rsidR="00A34590">
        <w:t xml:space="preserve"> </w:t>
      </w:r>
      <w:r>
        <w:t>for the management of COPD, bronchiectasis, ILD and lung cancer. MSAC did not support the application d</w:t>
      </w:r>
      <w:r w:rsidRPr="009A144B">
        <w:t>ue to limited evidence to support the clinical effectiveness of the services in these populations and uncertain cost-effectiveness</w:t>
      </w:r>
      <w:r>
        <w:t xml:space="preserve">. In addition, the assessment report </w:t>
      </w:r>
      <w:r w:rsidRPr="00A21055">
        <w:t>only considered the impact of these services in patients with stable dis</w:t>
      </w:r>
      <w:r>
        <w:t>ease and excluded those who had</w:t>
      </w:r>
      <w:r w:rsidRPr="00A21055">
        <w:t xml:space="preserve"> had a recent exacerbation (the population with potentially the </w:t>
      </w:r>
      <w:r w:rsidRPr="00A21055">
        <w:lastRenderedPageBreak/>
        <w:t>greatest benefit from the proposed services)</w:t>
      </w:r>
      <w:r>
        <w:t>. MSAC requested additional information for the resubmission.</w:t>
      </w:r>
    </w:p>
    <w:p w14:paraId="1577EBDC" w14:textId="6F32B9EB" w:rsidR="00F90796" w:rsidRDefault="00F90796" w:rsidP="00480EA7">
      <w:pPr>
        <w:spacing w:after="240"/>
      </w:pPr>
      <w:r>
        <w:t xml:space="preserve">ESC noted that the resubmission is for patients with COPD, bronchiectasis or ILD (not lung cancer). It includes PR only, not PME, </w:t>
      </w:r>
      <w:proofErr w:type="gramStart"/>
      <w:r>
        <w:t>and also</w:t>
      </w:r>
      <w:proofErr w:type="gramEnd"/>
      <w:r>
        <w:t xml:space="preserve"> includes patients who have had a recent exacerbation. Group sessions </w:t>
      </w:r>
      <w:proofErr w:type="gramStart"/>
      <w:r>
        <w:t>would be run</w:t>
      </w:r>
      <w:proofErr w:type="gramEnd"/>
      <w:r>
        <w:t xml:space="preserve"> with up to eight patients; ESC noted a lack of clinical evidence to support this group size but accepted that it was based on efficiencies of staff to patient ratios.</w:t>
      </w:r>
    </w:p>
    <w:p w14:paraId="34A00873" w14:textId="77777777" w:rsidR="00F90796" w:rsidRDefault="00F90796" w:rsidP="00F90796">
      <w:r>
        <w:t xml:space="preserve">ESC reviewed the patient population, intervention and proposed MBS item descriptors, as per the original application (with the exclusion of lung cancer patients). ESC noted the significant unmet need for these populations, and the importance of including GP referral rather than specialist-only referral to avoid issues of access and inequity. ESC recalled that </w:t>
      </w:r>
      <w:r w:rsidRPr="00DB3ACF">
        <w:t>there was limited evidence to support the comparative safety of the proposed services</w:t>
      </w:r>
      <w:r>
        <w:t>,</w:t>
      </w:r>
      <w:r w:rsidRPr="00DB3ACF">
        <w:t xml:space="preserve"> </w:t>
      </w:r>
      <w:r>
        <w:t>but the risk of harm is</w:t>
      </w:r>
      <w:r w:rsidRPr="00DB3ACF">
        <w:t xml:space="preserve"> low given the nature of the interventions</w:t>
      </w:r>
      <w:r>
        <w:t>.</w:t>
      </w:r>
      <w:r w:rsidRPr="00DB3ACF">
        <w:t xml:space="preserve"> </w:t>
      </w:r>
      <w:r>
        <w:t>ESC</w:t>
      </w:r>
      <w:r w:rsidRPr="00DB3ACF">
        <w:t xml:space="preserve"> noted that </w:t>
      </w:r>
      <w:proofErr w:type="gramStart"/>
      <w:r w:rsidRPr="00DB3ACF">
        <w:t xml:space="preserve">the services should be delivered by accredited and clinically competent </w:t>
      </w:r>
      <w:r>
        <w:t>practitioners</w:t>
      </w:r>
      <w:r w:rsidRPr="00DB3ACF">
        <w:t xml:space="preserve"> to maintain patient safety</w:t>
      </w:r>
      <w:proofErr w:type="gramEnd"/>
      <w:r w:rsidRPr="00DB3ACF">
        <w:t>.</w:t>
      </w:r>
    </w:p>
    <w:p w14:paraId="5C1D43CD" w14:textId="15D3BDD2" w:rsidR="00F90796" w:rsidRDefault="00F90796" w:rsidP="00480EA7">
      <w:pPr>
        <w:spacing w:after="240"/>
      </w:pPr>
      <w:r>
        <w:t>The resubmission included 12 additional studies on COPD and 3 additional studies on ILD. No additional studies were available for bronchiectasis.</w:t>
      </w:r>
    </w:p>
    <w:p w14:paraId="5E98D63F" w14:textId="20EC5929" w:rsidR="00F90796" w:rsidRDefault="00F90796" w:rsidP="00480EA7">
      <w:pPr>
        <w:spacing w:after="240"/>
      </w:pPr>
      <w:r>
        <w:t xml:space="preserve">ESC noted the data on comparative effectiveness for patients with COPD. ESC noted that the level of evidence using GRADE methodology was very low in the assessment, but the applicant had stated that the same body of evidence referred to in published guidelines </w:t>
      </w:r>
      <w:proofErr w:type="gramStart"/>
      <w:r>
        <w:t>was assessed</w:t>
      </w:r>
      <w:proofErr w:type="gramEnd"/>
      <w:r>
        <w:t xml:space="preserve"> as moderate quality. ESC considered that GRADE assessments can vary depending on their purpose, and that the actual quality of evidence was likely to be somewhere</w:t>
      </w:r>
      <w:r w:rsidR="00480EA7">
        <w:t xml:space="preserve"> between very low and moderate.</w:t>
      </w:r>
    </w:p>
    <w:p w14:paraId="28601BC2" w14:textId="77777777" w:rsidR="00F90796" w:rsidRDefault="00F90796" w:rsidP="00F90796">
      <w:r>
        <w:t xml:space="preserve">ESC noted that the point estimates of PR effectiveness were clinically relevant and indicated that PR had a beneficial effect, although there was substantial heterogeneity between studies. There was also substantial heterogeneity between studies in the subgroup analyses, leading to wide effect estimates, particularly for program duration and disease severity. However, ESC considered that the effect was consistent regardless of COPD severity. ESC concluded that program duration of 8 weeks would be appropriate. Studies on patients with ILD and bronchiectasis showed improvements in functional status but not quality of life. ESC noted several translation issues but acknowledged that the applicant had included studies </w:t>
      </w:r>
      <w:proofErr w:type="gramStart"/>
      <w:r>
        <w:t>to adequately address</w:t>
      </w:r>
      <w:proofErr w:type="gramEnd"/>
      <w:r>
        <w:t xml:space="preserve"> these.</w:t>
      </w:r>
    </w:p>
    <w:p w14:paraId="55E44ABC" w14:textId="0696D080" w:rsidR="00F90796" w:rsidRDefault="00F90796" w:rsidP="00480EA7">
      <w:pPr>
        <w:spacing w:before="240" w:after="240"/>
      </w:pPr>
      <w:r>
        <w:t xml:space="preserve">In the economic evaluation, revisions to the model for the resubmission included changing the base case to reflect changes to the PICO, considering transitions for severity after 2 years, and including cost savings due to reduced emergency department and hospital admissions. ESC considered these changes </w:t>
      </w:r>
      <w:proofErr w:type="gramStart"/>
      <w:r>
        <w:t>to be appropriate</w:t>
      </w:r>
      <w:proofErr w:type="gramEnd"/>
      <w:r>
        <w:t xml:space="preserve">. When cost savings are included, PR becomes dominant for both stable disease and recent exacerbations. ESC discussed whether the proportion of patients with severe disease </w:t>
      </w:r>
      <w:proofErr w:type="gramStart"/>
      <w:r>
        <w:t>may</w:t>
      </w:r>
      <w:proofErr w:type="gramEnd"/>
      <w:r>
        <w:t xml:space="preserve"> be more likely to be treated in a hospital outpatient program, but this was not considered likely (estimated to be 1-2 in 12 patients), so the severe group should remain in the model. ESC noted that effectiveness data do not support a long-term model, and a 2-year model </w:t>
      </w:r>
      <w:proofErr w:type="gramStart"/>
      <w:r>
        <w:t>should be considered</w:t>
      </w:r>
      <w:proofErr w:type="gramEnd"/>
      <w:r>
        <w:t xml:space="preserve">. ESC noted that it was unclear how the applicant had incorporated retreatment rates and effectiveness over time – this </w:t>
      </w:r>
      <w:proofErr w:type="gramStart"/>
      <w:r>
        <w:t>should be clarified</w:t>
      </w:r>
      <w:proofErr w:type="gramEnd"/>
      <w:r>
        <w:t xml:space="preserve"> with the applicant before proceeding to MS</w:t>
      </w:r>
      <w:r w:rsidR="00480EA7">
        <w:t>AC, as it may affect the costs.</w:t>
      </w:r>
    </w:p>
    <w:p w14:paraId="4294C32D" w14:textId="670F6CBD" w:rsidR="00F90796" w:rsidRDefault="00F90796" w:rsidP="00480EA7">
      <w:pPr>
        <w:spacing w:after="240"/>
      </w:pPr>
      <w:r>
        <w:t xml:space="preserve">ESC noted that the resubmission provided an updated financial analysis, which also included large cost savings due to reduced hospital and emergency department admissions. However, it is unclear how this was calculated and whether the inputs were consistent with the economic model. Specifically, rates of retreatment need to </w:t>
      </w:r>
      <w:proofErr w:type="gramStart"/>
      <w:r>
        <w:t>be clarified</w:t>
      </w:r>
      <w:proofErr w:type="gramEnd"/>
      <w:r>
        <w:t xml:space="preserve"> with the applicant for the financial estimates as well as the economic model. Cost savings may be lower than </w:t>
      </w:r>
      <w:r>
        <w:lastRenderedPageBreak/>
        <w:t xml:space="preserve">estimated in the long term due to retreatment. It </w:t>
      </w:r>
      <w:proofErr w:type="gramStart"/>
      <w:r>
        <w:t>was noted</w:t>
      </w:r>
      <w:proofErr w:type="gramEnd"/>
      <w:r>
        <w:t xml:space="preserve"> that retreatment is an important consideration, given that the effects of PR wane after 2 years due to deconditioning of skeletal muscle, but chronic lung disease is a long-term condition so retreatment is likely. ESC noted that existing MBS items for chronic care do not include group treatment, so retreatment would require its own MBS item.</w:t>
      </w:r>
    </w:p>
    <w:p w14:paraId="73A87D89" w14:textId="133600DC" w:rsidR="00F90796" w:rsidRDefault="00F90796" w:rsidP="00480EA7">
      <w:pPr>
        <w:spacing w:after="240"/>
      </w:pPr>
      <w:r>
        <w:t>ESC noted that the potential for leakage is low due to capacity constraints. It is unclear whether current services would be able to quickly scale up to meet demand, and whether uptake will increase following increased capacity after listing.</w:t>
      </w:r>
    </w:p>
    <w:p w14:paraId="64906E23" w14:textId="6E1BEAC7" w:rsidR="00F90796" w:rsidRDefault="00F90796" w:rsidP="00480EA7">
      <w:pPr>
        <w:spacing w:after="240"/>
      </w:pPr>
      <w:r>
        <w:t xml:space="preserve">ESC noted that consumer input </w:t>
      </w:r>
      <w:proofErr w:type="gramStart"/>
      <w:r>
        <w:t>had been provided</w:t>
      </w:r>
      <w:proofErr w:type="gramEnd"/>
      <w:r>
        <w:t xml:space="preserve"> in the resubmission. ESC also noted that many patients with COPD have comorbidities that may make it difficult for them to follow the PR program diligently in order to avoid exacerbations. However, ESC also noted that PR is tailored to the individual patient, which was considered </w:t>
      </w:r>
      <w:proofErr w:type="gramStart"/>
      <w:r>
        <w:t>to be advantageous</w:t>
      </w:r>
      <w:proofErr w:type="gramEnd"/>
      <w:r>
        <w:t xml:space="preserve">. </w:t>
      </w:r>
    </w:p>
    <w:p w14:paraId="4B06368E" w14:textId="6510BB1B" w:rsidR="00F90796" w:rsidRDefault="00F90796" w:rsidP="00480EA7">
      <w:pPr>
        <w:spacing w:after="240"/>
      </w:pPr>
      <w:r>
        <w:t xml:space="preserve">ESC concluded that, although the majority of evidence relates to patients with COPD, this could be generalised to patients with ILD or bronchiectasis, and it may be impractical to separate these groups. ESC noted the consistency of the effect of PR regardless of disease severity, but that issues relating to retreatment need to </w:t>
      </w:r>
      <w:proofErr w:type="gramStart"/>
      <w:r>
        <w:t>be addressed</w:t>
      </w:r>
      <w:proofErr w:type="gramEnd"/>
      <w:r>
        <w:t xml:space="preserve">. A 2-year time horizon was considered </w:t>
      </w:r>
      <w:proofErr w:type="gramStart"/>
      <w:r>
        <w:t xml:space="preserve">to </w:t>
      </w:r>
      <w:r w:rsidR="00480EA7">
        <w:t>be helpful</w:t>
      </w:r>
      <w:proofErr w:type="gramEnd"/>
      <w:r w:rsidR="00480EA7">
        <w:t xml:space="preserve"> for decision making.</w:t>
      </w:r>
    </w:p>
    <w:p w14:paraId="51DC4B1A" w14:textId="3CDCC1AD" w:rsidR="00F90796" w:rsidRDefault="00F90796" w:rsidP="00480EA7">
      <w:pPr>
        <w:spacing w:after="240"/>
      </w:pPr>
      <w:r>
        <w:t>Finally, ESC noted the uncertainty around financial estimates and the potentially high cost to the MBS, and questioned whether a different funding mec</w:t>
      </w:r>
      <w:r w:rsidR="00480EA7">
        <w:t>hanism may be more appropriate.</w:t>
      </w:r>
    </w:p>
    <w:p w14:paraId="4B6FA198" w14:textId="013121B1" w:rsidR="00F90796" w:rsidRDefault="00F90796" w:rsidP="002A62BE">
      <w:r>
        <w:t>In summary, ESC considered that the reduced scope of the resubmission addressed many of the concerns expressed by MSAC following the original submission. ESC considered that there was evidence of effectiveness of PR for the COPD population, and that it may be impractical and undesirable to separate this from the bronchiectasis and ILD populations (for which there are fewer studies). Uncertainties remained regarding uptake and retreatment.</w:t>
      </w:r>
    </w:p>
    <w:p w14:paraId="1497319E" w14:textId="77777777" w:rsidR="00D90A38" w:rsidRPr="00F715D1" w:rsidRDefault="00BC1364" w:rsidP="00F715D1">
      <w:pPr>
        <w:pStyle w:val="Heading1"/>
      </w:pPr>
      <w:r w:rsidRPr="00F715D1">
        <w:t>Other significant factors</w:t>
      </w:r>
    </w:p>
    <w:p w14:paraId="0757355F" w14:textId="6EB1E903" w:rsidR="00BC1364" w:rsidRPr="001F7F37" w:rsidRDefault="00BC1364" w:rsidP="00F715D1">
      <w:pPr>
        <w:spacing w:after="240"/>
        <w:rPr>
          <w:szCs w:val="24"/>
        </w:rPr>
      </w:pPr>
      <w:r w:rsidRPr="001F7F37">
        <w:rPr>
          <w:szCs w:val="24"/>
        </w:rPr>
        <w:t>Nil</w:t>
      </w:r>
    </w:p>
    <w:p w14:paraId="37A72F1D" w14:textId="77777777" w:rsidR="00BC1364" w:rsidRPr="00F715D1" w:rsidRDefault="00BC1364" w:rsidP="00F715D1">
      <w:pPr>
        <w:pStyle w:val="Heading1"/>
      </w:pPr>
      <w:r w:rsidRPr="00F715D1">
        <w:t xml:space="preserve">Applicant’s comments on MSAC’s </w:t>
      </w:r>
      <w:r w:rsidR="00DA56AA" w:rsidRPr="00F715D1">
        <w:t>Public Summary Document</w:t>
      </w:r>
    </w:p>
    <w:p w14:paraId="6660AAF6" w14:textId="77777777" w:rsidR="00A73CB3" w:rsidRPr="00A73CB3" w:rsidRDefault="00A73CB3" w:rsidP="00A73CB3">
      <w:pPr>
        <w:spacing w:after="240"/>
        <w:rPr>
          <w:szCs w:val="24"/>
        </w:rPr>
      </w:pPr>
      <w:r w:rsidRPr="00A73CB3">
        <w:rPr>
          <w:szCs w:val="24"/>
        </w:rPr>
        <w:t xml:space="preserve">We note the discrepancy in conclusions reached by ESC and MSAC. ESC concluded that </w:t>
      </w:r>
      <w:proofErr w:type="gramStart"/>
      <w:r w:rsidRPr="00A73CB3">
        <w:rPr>
          <w:szCs w:val="24"/>
        </w:rPr>
        <w:t>on the basis of</w:t>
      </w:r>
      <w:proofErr w:type="gramEnd"/>
      <w:r w:rsidRPr="00A73CB3">
        <w:rPr>
          <w:szCs w:val="24"/>
        </w:rPr>
        <w:t xml:space="preserve"> the evidence profile it is suggested that for patients with COPD, relative to usual care, PR has superior effectiveness in terms of patient relevant outcomes of quality of life, dyspnoea, fatigue, emotional function, functional exercise capacity, and healthcare utilisation (ED presentations, hospital admissions and hospital length of stay). In contrast, MSAC stated that PR did not have clinically relevant benefits for healthcare utilisation for COPD patients. Reduction in hospitalisations in the 12 months following PR is evidenced by a Cochrane Review (</w:t>
      </w:r>
      <w:proofErr w:type="spellStart"/>
      <w:r w:rsidRPr="00A73CB3">
        <w:rPr>
          <w:szCs w:val="24"/>
        </w:rPr>
        <w:t>Puhan</w:t>
      </w:r>
      <w:proofErr w:type="spellEnd"/>
      <w:r w:rsidRPr="00A73CB3">
        <w:rPr>
          <w:szCs w:val="24"/>
        </w:rPr>
        <w:t xml:space="preserve"> et al 2016) and also Australian data (Australian and New Zealand Pulmonary Rehabilitation Guidelines, Alison et al 2017) which is inclusive of studies of PR delivered in community-based facilities.</w:t>
      </w:r>
    </w:p>
    <w:p w14:paraId="258B7F21" w14:textId="77777777" w:rsidR="00A73CB3" w:rsidRPr="00A73CB3" w:rsidRDefault="00A73CB3" w:rsidP="00A73CB3">
      <w:pPr>
        <w:spacing w:after="240"/>
        <w:rPr>
          <w:szCs w:val="24"/>
        </w:rPr>
      </w:pPr>
      <w:r w:rsidRPr="00A73CB3">
        <w:rPr>
          <w:szCs w:val="24"/>
        </w:rPr>
        <w:t>As requested by ESC, we proposed an evidence-based model of re-treatment to support the small number (</w:t>
      </w:r>
      <w:proofErr w:type="spellStart"/>
      <w:r w:rsidRPr="00A73CB3">
        <w:rPr>
          <w:szCs w:val="24"/>
        </w:rPr>
        <w:t>approx</w:t>
      </w:r>
      <w:proofErr w:type="spellEnd"/>
      <w:r w:rsidRPr="00A73CB3">
        <w:rPr>
          <w:szCs w:val="24"/>
        </w:rPr>
        <w:t xml:space="preserve"> 10%) of patients who may require repeat PR within 2 years (</w:t>
      </w:r>
      <w:proofErr w:type="spellStart"/>
      <w:r w:rsidRPr="00A73CB3">
        <w:rPr>
          <w:szCs w:val="24"/>
        </w:rPr>
        <w:t>Heng</w:t>
      </w:r>
      <w:proofErr w:type="spellEnd"/>
      <w:r w:rsidRPr="00A73CB3">
        <w:rPr>
          <w:szCs w:val="24"/>
        </w:rPr>
        <w:t xml:space="preserve"> et al, 2014). We feel our Application has been disadvantaged by the focus and importance placed by ESC on a retreatment model and we intend to correspond further with MSAC in relation to this.</w:t>
      </w:r>
    </w:p>
    <w:p w14:paraId="7398CDB5" w14:textId="77777777" w:rsidR="00A73CB3" w:rsidRPr="00A73CB3" w:rsidRDefault="00A73CB3" w:rsidP="00A73CB3">
      <w:pPr>
        <w:spacing w:after="240"/>
        <w:rPr>
          <w:szCs w:val="24"/>
        </w:rPr>
      </w:pPr>
      <w:r w:rsidRPr="00A73CB3">
        <w:rPr>
          <w:szCs w:val="24"/>
        </w:rPr>
        <w:lastRenderedPageBreak/>
        <w:t xml:space="preserve">MSAC proposed existing MBS items for chronic disease management (CDM) as being a suitable pathway for patients to access PR in the community. The CDM items are not appropriate for PR as they </w:t>
      </w:r>
      <w:proofErr w:type="gramStart"/>
      <w:r w:rsidRPr="00A73CB3">
        <w:rPr>
          <w:szCs w:val="24"/>
        </w:rPr>
        <w:t>are intended</w:t>
      </w:r>
      <w:proofErr w:type="gramEnd"/>
      <w:r w:rsidRPr="00A73CB3">
        <w:rPr>
          <w:szCs w:val="24"/>
        </w:rPr>
        <w:t xml:space="preserve"> to support patient access to a variety of individual allied health services, for chronic conditions requiring multidisciplinary care, and only provide 5 sessions per calendar year. PR requires 2-3 sessions/week for 8 weeks in a supervised group setting. Utilising CDM items (all 5 sessions) would not only be inadequate for PR but would also prohibit patients accessing other allied health services for the remainder of the calendar year.</w:t>
      </w:r>
    </w:p>
    <w:p w14:paraId="23C74ED1" w14:textId="7AC81F38" w:rsidR="00BC1364" w:rsidRPr="00A73CB3" w:rsidRDefault="00A73CB3" w:rsidP="00A73CB3">
      <w:pPr>
        <w:spacing w:after="240"/>
        <w:rPr>
          <w:szCs w:val="24"/>
        </w:rPr>
      </w:pPr>
      <w:r w:rsidRPr="00A73CB3">
        <w:rPr>
          <w:szCs w:val="24"/>
        </w:rPr>
        <w:t xml:space="preserve">Given the above, Lung Foundation Australia intends to submit a proposal for consideration at the June MSAC </w:t>
      </w:r>
      <w:r w:rsidR="00DD1985">
        <w:rPr>
          <w:szCs w:val="24"/>
        </w:rPr>
        <w:t>Executive</w:t>
      </w:r>
      <w:r w:rsidRPr="00A73CB3">
        <w:rPr>
          <w:szCs w:val="24"/>
        </w:rPr>
        <w:t xml:space="preserve"> Meeting. This proposal will aim to seek MSAC advice on re-submission or a fast-tracked application for MBS item numbers for one PR program (with no retreatment) specifically for patients with COPD.</w:t>
      </w:r>
    </w:p>
    <w:p w14:paraId="30277541" w14:textId="77777777" w:rsidR="00BC1364" w:rsidRPr="00F715D1" w:rsidRDefault="00271F18" w:rsidP="00F715D1">
      <w:pPr>
        <w:pStyle w:val="Heading1"/>
      </w:pPr>
      <w:r w:rsidRPr="00F715D1">
        <w:t>Further information on MSAC</w:t>
      </w:r>
    </w:p>
    <w:p w14:paraId="74CA0378"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9B8D08" w16cid:durableId="1FCA2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D140E" w14:textId="77777777" w:rsidR="002904CD" w:rsidRDefault="002904CD" w:rsidP="00065623">
      <w:r>
        <w:separator/>
      </w:r>
    </w:p>
  </w:endnote>
  <w:endnote w:type="continuationSeparator" w:id="0">
    <w:p w14:paraId="6F835997" w14:textId="77777777" w:rsidR="002904CD" w:rsidRDefault="002904CD"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36C60" w14:textId="77777777" w:rsidR="00F61491" w:rsidRDefault="00F61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1EF66677" w14:textId="06DEA914" w:rsidR="00435313" w:rsidRDefault="00435313" w:rsidP="00480EA7">
        <w:pPr>
          <w:pStyle w:val="Footer"/>
          <w:jc w:val="right"/>
        </w:pPr>
        <w:r>
          <w:fldChar w:fldCharType="begin"/>
        </w:r>
        <w:r>
          <w:instrText xml:space="preserve"> PAGE   \* MERGEFORMAT </w:instrText>
        </w:r>
        <w:r>
          <w:fldChar w:fldCharType="separate"/>
        </w:r>
        <w:r w:rsidR="00D51AED">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5B886" w14:textId="77777777" w:rsidR="00F61491" w:rsidRDefault="00F61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66E80" w14:textId="77777777" w:rsidR="002904CD" w:rsidRDefault="002904CD" w:rsidP="00065623">
      <w:r>
        <w:separator/>
      </w:r>
    </w:p>
  </w:footnote>
  <w:footnote w:type="continuationSeparator" w:id="0">
    <w:p w14:paraId="723748C2" w14:textId="77777777" w:rsidR="002904CD" w:rsidRDefault="002904CD"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2641D" w14:textId="77777777" w:rsidR="00F61491" w:rsidRDefault="00F61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F20EC" w14:textId="77777777" w:rsidR="00F61491" w:rsidRDefault="00F61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F77B8" w14:textId="77777777" w:rsidR="00F61491" w:rsidRDefault="00F61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AE5"/>
    <w:multiLevelType w:val="hybridMultilevel"/>
    <w:tmpl w:val="003A0E0A"/>
    <w:lvl w:ilvl="0" w:tplc="D1A403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77A51FC"/>
    <w:multiLevelType w:val="hybridMultilevel"/>
    <w:tmpl w:val="1494C2F8"/>
    <w:lvl w:ilvl="0" w:tplc="6C2C2B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6217DA"/>
    <w:multiLevelType w:val="hybridMultilevel"/>
    <w:tmpl w:val="5CEC3FAC"/>
    <w:lvl w:ilvl="0" w:tplc="D1A403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D93E44"/>
    <w:multiLevelType w:val="hybridMultilevel"/>
    <w:tmpl w:val="FA54F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251611"/>
    <w:multiLevelType w:val="hybridMultilevel"/>
    <w:tmpl w:val="5CE2DB66"/>
    <w:lvl w:ilvl="0" w:tplc="D1A403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3292996"/>
    <w:multiLevelType w:val="hybridMultilevel"/>
    <w:tmpl w:val="2AD6CF0E"/>
    <w:lvl w:ilvl="0" w:tplc="D1A403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2"/>
  </w:num>
  <w:num w:numId="4">
    <w:abstractNumId w:val="20"/>
  </w:num>
  <w:num w:numId="5">
    <w:abstractNumId w:val="13"/>
  </w:num>
  <w:num w:numId="6">
    <w:abstractNumId w:val="19"/>
  </w:num>
  <w:num w:numId="7">
    <w:abstractNumId w:val="23"/>
  </w:num>
  <w:num w:numId="8">
    <w:abstractNumId w:val="14"/>
  </w:num>
  <w:num w:numId="9">
    <w:abstractNumId w:val="30"/>
  </w:num>
  <w:num w:numId="10">
    <w:abstractNumId w:val="1"/>
  </w:num>
  <w:num w:numId="11">
    <w:abstractNumId w:val="22"/>
  </w:num>
  <w:num w:numId="12">
    <w:abstractNumId w:val="24"/>
  </w:num>
  <w:num w:numId="13">
    <w:abstractNumId w:val="6"/>
  </w:num>
  <w:num w:numId="14">
    <w:abstractNumId w:val="28"/>
  </w:num>
  <w:num w:numId="15">
    <w:abstractNumId w:val="21"/>
  </w:num>
  <w:num w:numId="16">
    <w:abstractNumId w:val="25"/>
  </w:num>
  <w:num w:numId="17">
    <w:abstractNumId w:val="15"/>
  </w:num>
  <w:num w:numId="18">
    <w:abstractNumId w:val="17"/>
  </w:num>
  <w:num w:numId="19">
    <w:abstractNumId w:val="27"/>
  </w:num>
  <w:num w:numId="20">
    <w:abstractNumId w:val="26"/>
  </w:num>
  <w:num w:numId="21">
    <w:abstractNumId w:val="4"/>
  </w:num>
  <w:num w:numId="22">
    <w:abstractNumId w:val="11"/>
  </w:num>
  <w:num w:numId="23">
    <w:abstractNumId w:val="3"/>
  </w:num>
  <w:num w:numId="24">
    <w:abstractNumId w:val="10"/>
  </w:num>
  <w:num w:numId="25">
    <w:abstractNumId w:val="7"/>
  </w:num>
  <w:num w:numId="26">
    <w:abstractNumId w:val="29"/>
  </w:num>
  <w:num w:numId="27">
    <w:abstractNumId w:val="16"/>
  </w:num>
  <w:num w:numId="28">
    <w:abstractNumId w:val="9"/>
  </w:num>
  <w:num w:numId="29">
    <w:abstractNumId w:val="0"/>
  </w:num>
  <w:num w:numId="30">
    <w:abstractNumId w:val="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317F2"/>
    <w:rsid w:val="00032BA9"/>
    <w:rsid w:val="00046EBB"/>
    <w:rsid w:val="00047606"/>
    <w:rsid w:val="00057034"/>
    <w:rsid w:val="00065623"/>
    <w:rsid w:val="000756B9"/>
    <w:rsid w:val="00086265"/>
    <w:rsid w:val="00096B67"/>
    <w:rsid w:val="00096DAF"/>
    <w:rsid w:val="000C2F47"/>
    <w:rsid w:val="000D2B9A"/>
    <w:rsid w:val="000D6C00"/>
    <w:rsid w:val="000E4E04"/>
    <w:rsid w:val="000E7E20"/>
    <w:rsid w:val="000F14B4"/>
    <w:rsid w:val="000F441C"/>
    <w:rsid w:val="000F75DF"/>
    <w:rsid w:val="001023DC"/>
    <w:rsid w:val="001328FA"/>
    <w:rsid w:val="00147AAF"/>
    <w:rsid w:val="00150948"/>
    <w:rsid w:val="001547BA"/>
    <w:rsid w:val="001552C0"/>
    <w:rsid w:val="001622C9"/>
    <w:rsid w:val="001640B1"/>
    <w:rsid w:val="0018435E"/>
    <w:rsid w:val="001B2D7F"/>
    <w:rsid w:val="001E5FF7"/>
    <w:rsid w:val="001E611F"/>
    <w:rsid w:val="001F7F37"/>
    <w:rsid w:val="002041A1"/>
    <w:rsid w:val="002054F0"/>
    <w:rsid w:val="002265D7"/>
    <w:rsid w:val="00227CC8"/>
    <w:rsid w:val="00230D6B"/>
    <w:rsid w:val="0023160B"/>
    <w:rsid w:val="00232068"/>
    <w:rsid w:val="002330F2"/>
    <w:rsid w:val="002338B4"/>
    <w:rsid w:val="0024181D"/>
    <w:rsid w:val="00243D9E"/>
    <w:rsid w:val="00253B66"/>
    <w:rsid w:val="00261DF1"/>
    <w:rsid w:val="00271F18"/>
    <w:rsid w:val="00282779"/>
    <w:rsid w:val="0028334D"/>
    <w:rsid w:val="002869EB"/>
    <w:rsid w:val="002904CD"/>
    <w:rsid w:val="002A62BE"/>
    <w:rsid w:val="002B7FFA"/>
    <w:rsid w:val="002C2BCF"/>
    <w:rsid w:val="002D10CE"/>
    <w:rsid w:val="002F279D"/>
    <w:rsid w:val="002F43B8"/>
    <w:rsid w:val="002F702A"/>
    <w:rsid w:val="002F77E1"/>
    <w:rsid w:val="003009EB"/>
    <w:rsid w:val="00320E91"/>
    <w:rsid w:val="00322A9F"/>
    <w:rsid w:val="00336856"/>
    <w:rsid w:val="0034554D"/>
    <w:rsid w:val="00352224"/>
    <w:rsid w:val="00353F8B"/>
    <w:rsid w:val="003671E6"/>
    <w:rsid w:val="0037033B"/>
    <w:rsid w:val="00384272"/>
    <w:rsid w:val="00386D67"/>
    <w:rsid w:val="00393A3F"/>
    <w:rsid w:val="003945B8"/>
    <w:rsid w:val="003B3481"/>
    <w:rsid w:val="003D7F29"/>
    <w:rsid w:val="00405A6B"/>
    <w:rsid w:val="00406296"/>
    <w:rsid w:val="00407B1F"/>
    <w:rsid w:val="0041184F"/>
    <w:rsid w:val="00414C57"/>
    <w:rsid w:val="0041758C"/>
    <w:rsid w:val="00435313"/>
    <w:rsid w:val="004539DE"/>
    <w:rsid w:val="00480EA7"/>
    <w:rsid w:val="00482957"/>
    <w:rsid w:val="00482FC5"/>
    <w:rsid w:val="004A06B3"/>
    <w:rsid w:val="004A2CF1"/>
    <w:rsid w:val="004A32A7"/>
    <w:rsid w:val="004B75F0"/>
    <w:rsid w:val="004C3035"/>
    <w:rsid w:val="004C307F"/>
    <w:rsid w:val="004E4BA8"/>
    <w:rsid w:val="004F340F"/>
    <w:rsid w:val="004F7B7C"/>
    <w:rsid w:val="0052243D"/>
    <w:rsid w:val="00532435"/>
    <w:rsid w:val="00550354"/>
    <w:rsid w:val="005573C4"/>
    <w:rsid w:val="005621F9"/>
    <w:rsid w:val="0056434B"/>
    <w:rsid w:val="00571236"/>
    <w:rsid w:val="00590727"/>
    <w:rsid w:val="005953A1"/>
    <w:rsid w:val="005A4362"/>
    <w:rsid w:val="005B1821"/>
    <w:rsid w:val="005B5434"/>
    <w:rsid w:val="005D0332"/>
    <w:rsid w:val="005D0D8C"/>
    <w:rsid w:val="005E5E09"/>
    <w:rsid w:val="005F7200"/>
    <w:rsid w:val="00606AF9"/>
    <w:rsid w:val="00623EBD"/>
    <w:rsid w:val="00626199"/>
    <w:rsid w:val="006644C0"/>
    <w:rsid w:val="006776AE"/>
    <w:rsid w:val="006A0D97"/>
    <w:rsid w:val="006B1F86"/>
    <w:rsid w:val="006C0A91"/>
    <w:rsid w:val="006C1FBC"/>
    <w:rsid w:val="006E6ED0"/>
    <w:rsid w:val="006F1954"/>
    <w:rsid w:val="007054BB"/>
    <w:rsid w:val="00707064"/>
    <w:rsid w:val="00714086"/>
    <w:rsid w:val="00730683"/>
    <w:rsid w:val="0075261F"/>
    <w:rsid w:val="0075468E"/>
    <w:rsid w:val="007568DC"/>
    <w:rsid w:val="00757065"/>
    <w:rsid w:val="007665D8"/>
    <w:rsid w:val="00766E36"/>
    <w:rsid w:val="007765F4"/>
    <w:rsid w:val="00776633"/>
    <w:rsid w:val="00783E28"/>
    <w:rsid w:val="00784D53"/>
    <w:rsid w:val="00797797"/>
    <w:rsid w:val="007A0C96"/>
    <w:rsid w:val="007A2D47"/>
    <w:rsid w:val="007A63C9"/>
    <w:rsid w:val="007B32D1"/>
    <w:rsid w:val="007B7095"/>
    <w:rsid w:val="007D24E1"/>
    <w:rsid w:val="007D6288"/>
    <w:rsid w:val="007E4D9D"/>
    <w:rsid w:val="007F4CE9"/>
    <w:rsid w:val="007F4E20"/>
    <w:rsid w:val="0081312F"/>
    <w:rsid w:val="00822C7E"/>
    <w:rsid w:val="008442DA"/>
    <w:rsid w:val="00847060"/>
    <w:rsid w:val="00847A36"/>
    <w:rsid w:val="00856A33"/>
    <w:rsid w:val="008604E9"/>
    <w:rsid w:val="00892620"/>
    <w:rsid w:val="008C7D37"/>
    <w:rsid w:val="008D5659"/>
    <w:rsid w:val="008D5885"/>
    <w:rsid w:val="00906A2F"/>
    <w:rsid w:val="0091253B"/>
    <w:rsid w:val="009214A2"/>
    <w:rsid w:val="00923FA2"/>
    <w:rsid w:val="00932F85"/>
    <w:rsid w:val="00943C81"/>
    <w:rsid w:val="00954E7B"/>
    <w:rsid w:val="0096060D"/>
    <w:rsid w:val="00974A50"/>
    <w:rsid w:val="00975230"/>
    <w:rsid w:val="0097585A"/>
    <w:rsid w:val="00976FA8"/>
    <w:rsid w:val="009924B0"/>
    <w:rsid w:val="009942C9"/>
    <w:rsid w:val="009A60A4"/>
    <w:rsid w:val="009B35C4"/>
    <w:rsid w:val="009C630A"/>
    <w:rsid w:val="009C7DC9"/>
    <w:rsid w:val="009E0D98"/>
    <w:rsid w:val="009F39F4"/>
    <w:rsid w:val="00A068A1"/>
    <w:rsid w:val="00A10D97"/>
    <w:rsid w:val="00A1207D"/>
    <w:rsid w:val="00A12FD8"/>
    <w:rsid w:val="00A34590"/>
    <w:rsid w:val="00A346FC"/>
    <w:rsid w:val="00A46D77"/>
    <w:rsid w:val="00A61B11"/>
    <w:rsid w:val="00A73CB3"/>
    <w:rsid w:val="00A846F2"/>
    <w:rsid w:val="00A84F93"/>
    <w:rsid w:val="00A92292"/>
    <w:rsid w:val="00AA4E30"/>
    <w:rsid w:val="00AB1AC5"/>
    <w:rsid w:val="00AB232B"/>
    <w:rsid w:val="00AB3BFC"/>
    <w:rsid w:val="00AC2CEB"/>
    <w:rsid w:val="00AC4F2E"/>
    <w:rsid w:val="00AD0C37"/>
    <w:rsid w:val="00AD385F"/>
    <w:rsid w:val="00AE4C08"/>
    <w:rsid w:val="00AE5C07"/>
    <w:rsid w:val="00AE6E2A"/>
    <w:rsid w:val="00B01A63"/>
    <w:rsid w:val="00B03EAB"/>
    <w:rsid w:val="00B14865"/>
    <w:rsid w:val="00B31E9C"/>
    <w:rsid w:val="00B35595"/>
    <w:rsid w:val="00B51C6D"/>
    <w:rsid w:val="00B83AD2"/>
    <w:rsid w:val="00B83DD2"/>
    <w:rsid w:val="00B86D64"/>
    <w:rsid w:val="00B87C46"/>
    <w:rsid w:val="00BA4AC5"/>
    <w:rsid w:val="00BC1364"/>
    <w:rsid w:val="00BC2667"/>
    <w:rsid w:val="00BC7DE9"/>
    <w:rsid w:val="00BE42B7"/>
    <w:rsid w:val="00BF479B"/>
    <w:rsid w:val="00C02577"/>
    <w:rsid w:val="00C204FB"/>
    <w:rsid w:val="00C20BEE"/>
    <w:rsid w:val="00C2158D"/>
    <w:rsid w:val="00C27078"/>
    <w:rsid w:val="00C51EF4"/>
    <w:rsid w:val="00C524C1"/>
    <w:rsid w:val="00C67DD2"/>
    <w:rsid w:val="00C725CB"/>
    <w:rsid w:val="00C75FA7"/>
    <w:rsid w:val="00C76F5C"/>
    <w:rsid w:val="00C96BAD"/>
    <w:rsid w:val="00CA6944"/>
    <w:rsid w:val="00CB0F8E"/>
    <w:rsid w:val="00CB7E7D"/>
    <w:rsid w:val="00CC2911"/>
    <w:rsid w:val="00CF003B"/>
    <w:rsid w:val="00CF0C6D"/>
    <w:rsid w:val="00CF2079"/>
    <w:rsid w:val="00CF70FE"/>
    <w:rsid w:val="00CF7307"/>
    <w:rsid w:val="00CF7C68"/>
    <w:rsid w:val="00D124FA"/>
    <w:rsid w:val="00D301E5"/>
    <w:rsid w:val="00D340DE"/>
    <w:rsid w:val="00D51AED"/>
    <w:rsid w:val="00D55723"/>
    <w:rsid w:val="00D62FAD"/>
    <w:rsid w:val="00D64355"/>
    <w:rsid w:val="00D70450"/>
    <w:rsid w:val="00D83BFD"/>
    <w:rsid w:val="00D876D7"/>
    <w:rsid w:val="00D90A38"/>
    <w:rsid w:val="00DA0515"/>
    <w:rsid w:val="00DA171E"/>
    <w:rsid w:val="00DA56AA"/>
    <w:rsid w:val="00DB5833"/>
    <w:rsid w:val="00DB7F60"/>
    <w:rsid w:val="00DD1985"/>
    <w:rsid w:val="00DD2858"/>
    <w:rsid w:val="00E03E33"/>
    <w:rsid w:val="00E059E0"/>
    <w:rsid w:val="00E3642A"/>
    <w:rsid w:val="00E415C4"/>
    <w:rsid w:val="00E42836"/>
    <w:rsid w:val="00E50016"/>
    <w:rsid w:val="00E50EAA"/>
    <w:rsid w:val="00E656D6"/>
    <w:rsid w:val="00E73329"/>
    <w:rsid w:val="00E863C8"/>
    <w:rsid w:val="00E977EE"/>
    <w:rsid w:val="00EA2F24"/>
    <w:rsid w:val="00EA4C31"/>
    <w:rsid w:val="00EA67A2"/>
    <w:rsid w:val="00EB55B5"/>
    <w:rsid w:val="00EB630F"/>
    <w:rsid w:val="00EB6B6F"/>
    <w:rsid w:val="00EB7681"/>
    <w:rsid w:val="00EC4F98"/>
    <w:rsid w:val="00EC58AB"/>
    <w:rsid w:val="00ED6729"/>
    <w:rsid w:val="00ED6AAD"/>
    <w:rsid w:val="00F11FDB"/>
    <w:rsid w:val="00F12F02"/>
    <w:rsid w:val="00F144F0"/>
    <w:rsid w:val="00F32E0D"/>
    <w:rsid w:val="00F345BA"/>
    <w:rsid w:val="00F35134"/>
    <w:rsid w:val="00F37B9C"/>
    <w:rsid w:val="00F41812"/>
    <w:rsid w:val="00F61491"/>
    <w:rsid w:val="00F64388"/>
    <w:rsid w:val="00F705D1"/>
    <w:rsid w:val="00F715D1"/>
    <w:rsid w:val="00F72715"/>
    <w:rsid w:val="00F73333"/>
    <w:rsid w:val="00F90796"/>
    <w:rsid w:val="00F95D8F"/>
    <w:rsid w:val="00FA4ABE"/>
    <w:rsid w:val="00FB350A"/>
    <w:rsid w:val="00FB4C5D"/>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D91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text">
    <w:name w:val="Table text"/>
    <w:basedOn w:val="Normal"/>
    <w:link w:val="TabletextChar"/>
    <w:qFormat/>
    <w:rsid w:val="009214A2"/>
    <w:rPr>
      <w:rFonts w:ascii="Arial Narrow" w:hAnsi="Arial Narrow"/>
      <w:sz w:val="20"/>
      <w:szCs w:val="24"/>
      <w:lang w:eastAsia="en-US"/>
    </w:rPr>
  </w:style>
  <w:style w:type="character" w:customStyle="1" w:styleId="TabletextChar">
    <w:name w:val="Table text Char"/>
    <w:basedOn w:val="DefaultParagraphFont"/>
    <w:link w:val="Tabletext"/>
    <w:rsid w:val="009214A2"/>
    <w:rPr>
      <w:rFonts w:ascii="Arial Narrow" w:eastAsia="Times New Roman" w:hAnsi="Arial Narrow"/>
      <w:sz w:val="20"/>
      <w:szCs w:val="24"/>
      <w:lang w:eastAsia="en-US"/>
    </w:rPr>
  </w:style>
  <w:style w:type="paragraph" w:customStyle="1" w:styleId="TableText0">
    <w:name w:val="Table Text"/>
    <w:basedOn w:val="Normal"/>
    <w:link w:val="TableTextChar0"/>
    <w:rsid w:val="009214A2"/>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9214A2"/>
    <w:rPr>
      <w:rFonts w:ascii="Arial Narrow" w:eastAsia="Times New Roman" w:hAnsi="Arial Narrow" w:cs="Tahoma"/>
      <w:sz w:val="20"/>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9214A2"/>
    <w:pPr>
      <w:spacing w:after="200"/>
    </w:pPr>
    <w:rPr>
      <w:b/>
      <w:bCs/>
      <w:color w:val="4F81BD" w:themeColor="accent1"/>
      <w:sz w:val="18"/>
      <w:szCs w:val="18"/>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CF70FE"/>
    <w:rPr>
      <w:rFonts w:eastAsia="Times New Roman"/>
      <w:b/>
      <w:bCs/>
      <w:color w:val="4F81BD" w:themeColor="accent1"/>
      <w:sz w:val="18"/>
      <w:szCs w:val="18"/>
    </w:rPr>
  </w:style>
  <w:style w:type="paragraph" w:customStyle="1" w:styleId="TableHeading">
    <w:name w:val="TableHeading"/>
    <w:basedOn w:val="Normal"/>
    <w:link w:val="TableHeadingChar"/>
    <w:qFormat/>
    <w:rsid w:val="00CF70FE"/>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CF70FE"/>
    <w:rPr>
      <w:rFonts w:ascii="Arial Narrow" w:eastAsia="Times New Roman" w:hAnsi="Arial Narrow" w:cs="Tahoma"/>
      <w:b/>
      <w:noProof/>
      <w:sz w:val="20"/>
      <w:szCs w:val="20"/>
    </w:rPr>
  </w:style>
  <w:style w:type="table" w:customStyle="1" w:styleId="TableAE">
    <w:name w:val="Table AE"/>
    <w:basedOn w:val="TableNormal"/>
    <w:uiPriority w:val="99"/>
    <w:rsid w:val="00CF70FE"/>
    <w:rPr>
      <w:rFonts w:ascii="Arial" w:eastAsia="Times New Roman" w:hAnsi="Arial"/>
      <w:sz w:val="20"/>
      <w:szCs w:val="20"/>
    </w:rPr>
    <w:tblPr>
      <w:jc w:val="center"/>
      <w:tblBorders>
        <w:bottom w:val="single" w:sz="12" w:space="0" w:color="002776"/>
      </w:tblBorders>
    </w:tblPr>
    <w:trPr>
      <w:cantSplit/>
      <w:jc w:val="center"/>
    </w:trPr>
    <w:tblStylePr w:type="firstRow">
      <w:tblPr/>
      <w:tcPr>
        <w:tcBorders>
          <w:top w:val="single" w:sz="12" w:space="0" w:color="002776"/>
          <w:left w:val="nil"/>
          <w:bottom w:val="single" w:sz="8" w:space="0" w:color="002776"/>
          <w:right w:val="nil"/>
          <w:insideH w:val="nil"/>
          <w:insideV w:val="nil"/>
          <w:tl2br w:val="nil"/>
          <w:tr2bl w:val="nil"/>
        </w:tcBorders>
      </w:tcPr>
    </w:tblStylePr>
  </w:style>
  <w:style w:type="table" w:styleId="TableGrid">
    <w:name w:val="Table Grid"/>
    <w:basedOn w:val="TableNormal"/>
    <w:uiPriority w:val="59"/>
    <w:locked/>
    <w:rsid w:val="002A62B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Text"/>
    <w:basedOn w:val="Normal"/>
    <w:rsid w:val="002A62BE"/>
    <w:pPr>
      <w:keepNext/>
      <w:spacing w:before="60" w:after="60"/>
    </w:pPr>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ac.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DFD9B-A9FC-4DCF-83A2-1E1756A9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6215</Words>
  <Characters>35137</Characters>
  <Application>Microsoft Office Word</Application>
  <DocSecurity>0</DocSecurity>
  <Lines>292</Lines>
  <Paragraphs>82</Paragraphs>
  <ScaleCrop>false</ScaleCrop>
  <Company/>
  <LinksUpToDate>false</LinksUpToDate>
  <CharactersWithSpaces>41270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2019-04-02T22:01:00Z</dcterms:created>
  <dcterms:modified xsi:type="dcterms:W3CDTF">2019-04-04T04:03:00Z</dcterms:modified>
</cp:coreProperties>
</file>