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DB3D3" w14:textId="79D09C3F" w:rsidR="003E0669" w:rsidRDefault="001F1543" w:rsidP="003E0669">
      <w:pPr>
        <w:spacing w:after="0" w:line="240" w:lineRule="auto"/>
        <w:ind w:left="0"/>
        <w:jc w:val="center"/>
        <w:rPr>
          <w:rFonts w:ascii="Arial" w:hAnsi="Arial" w:cs="Arial"/>
          <w:b/>
          <w:color w:val="000080"/>
          <w:szCs w:val="24"/>
        </w:rPr>
      </w:pPr>
      <w:bookmarkStart w:id="0" w:name="_GoBack"/>
      <w:bookmarkEnd w:id="0"/>
      <w:r>
        <w:rPr>
          <w:rFonts w:ascii="Arial" w:hAnsi="Arial" w:cs="Arial"/>
          <w:b/>
          <w:noProof/>
          <w:color w:val="000080"/>
          <w:sz w:val="28"/>
          <w:szCs w:val="28"/>
        </w:rPr>
        <w:drawing>
          <wp:inline distT="0" distB="0" distL="0" distR="0" wp14:anchorId="7AFF00F2" wp14:editId="23D42DCA">
            <wp:extent cx="2627630" cy="1078865"/>
            <wp:effectExtent l="0" t="0" r="1270" b="6985"/>
            <wp:docPr id="3" name="Picture 3"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74A0FA56" w14:textId="77777777" w:rsidR="003E0669" w:rsidRDefault="003E0669" w:rsidP="003E0669">
      <w:pPr>
        <w:spacing w:after="120" w:line="240" w:lineRule="auto"/>
        <w:ind w:left="0"/>
        <w:jc w:val="center"/>
        <w:rPr>
          <w:rFonts w:ascii="Arial" w:hAnsi="Arial" w:cs="Arial"/>
          <w:b/>
          <w:color w:val="000080"/>
          <w:sz w:val="36"/>
          <w:szCs w:val="36"/>
        </w:rPr>
      </w:pPr>
    </w:p>
    <w:p w14:paraId="777836EB" w14:textId="7E2F5133" w:rsidR="003E0669" w:rsidRPr="005874E1" w:rsidRDefault="003E0669" w:rsidP="003E0669">
      <w:pPr>
        <w:spacing w:after="0" w:line="240" w:lineRule="auto"/>
        <w:ind w:left="0"/>
        <w:jc w:val="center"/>
        <w:rPr>
          <w:rFonts w:ascii="Arial" w:hAnsi="Arial" w:cs="Arial"/>
          <w:b/>
          <w:color w:val="000080"/>
          <w:sz w:val="40"/>
          <w:szCs w:val="40"/>
        </w:rPr>
      </w:pPr>
      <w:r w:rsidRPr="005874E1">
        <w:rPr>
          <w:rFonts w:ascii="Arial" w:hAnsi="Arial" w:cs="Arial"/>
          <w:b/>
          <w:color w:val="000080"/>
          <w:sz w:val="40"/>
          <w:szCs w:val="40"/>
        </w:rPr>
        <w:t>Public Summary Document</w:t>
      </w:r>
    </w:p>
    <w:p w14:paraId="6B17597A" w14:textId="77777777" w:rsidR="003E0669" w:rsidRDefault="003E0669" w:rsidP="00E55A0E">
      <w:pPr>
        <w:tabs>
          <w:tab w:val="left" w:pos="4320"/>
        </w:tabs>
        <w:spacing w:after="0" w:line="276" w:lineRule="auto"/>
        <w:jc w:val="center"/>
        <w:rPr>
          <w:rFonts w:ascii="Arial" w:hAnsi="Arial" w:cs="Arial"/>
          <w:b/>
          <w:i/>
          <w:color w:val="000080"/>
          <w:sz w:val="28"/>
          <w:szCs w:val="28"/>
        </w:rPr>
      </w:pPr>
    </w:p>
    <w:p w14:paraId="5C9C6A34" w14:textId="77777777" w:rsidR="00E55A0E" w:rsidRDefault="002B199C" w:rsidP="00E55A0E">
      <w:pPr>
        <w:tabs>
          <w:tab w:val="left" w:pos="4320"/>
        </w:tabs>
        <w:spacing w:after="0" w:line="276" w:lineRule="auto"/>
        <w:jc w:val="center"/>
        <w:rPr>
          <w:rFonts w:ascii="Arial" w:hAnsi="Arial" w:cs="Arial"/>
          <w:b/>
          <w:i/>
          <w:color w:val="000080"/>
          <w:sz w:val="28"/>
          <w:szCs w:val="28"/>
        </w:rPr>
      </w:pPr>
      <w:r w:rsidRPr="00625B9D">
        <w:rPr>
          <w:rFonts w:ascii="Arial" w:hAnsi="Arial" w:cs="Arial"/>
          <w:b/>
          <w:i/>
          <w:color w:val="000080"/>
          <w:sz w:val="28"/>
          <w:szCs w:val="28"/>
        </w:rPr>
        <w:t xml:space="preserve">Application </w:t>
      </w:r>
      <w:r>
        <w:rPr>
          <w:rFonts w:ascii="Arial" w:hAnsi="Arial" w:cs="Arial"/>
          <w:b/>
          <w:i/>
          <w:color w:val="000080"/>
          <w:sz w:val="28"/>
          <w:szCs w:val="28"/>
        </w:rPr>
        <w:t xml:space="preserve">1342 </w:t>
      </w:r>
      <w:r w:rsidRPr="00625B9D">
        <w:rPr>
          <w:rFonts w:ascii="Arial" w:hAnsi="Arial" w:cs="Arial"/>
          <w:b/>
          <w:i/>
          <w:color w:val="000080"/>
          <w:sz w:val="28"/>
          <w:szCs w:val="28"/>
        </w:rPr>
        <w:t xml:space="preserve">– </w:t>
      </w:r>
      <w:r>
        <w:rPr>
          <w:rFonts w:ascii="Arial" w:hAnsi="Arial" w:cs="Arial"/>
          <w:b/>
          <w:i/>
          <w:color w:val="000080"/>
          <w:sz w:val="28"/>
          <w:szCs w:val="28"/>
        </w:rPr>
        <w:t xml:space="preserve">Gene expression profiling of 21 genes </w:t>
      </w:r>
    </w:p>
    <w:p w14:paraId="77A34094" w14:textId="77777777" w:rsidR="002B199C" w:rsidRDefault="002B199C" w:rsidP="00E55A0E">
      <w:pPr>
        <w:tabs>
          <w:tab w:val="left" w:pos="4320"/>
        </w:tabs>
        <w:spacing w:after="0" w:line="276" w:lineRule="auto"/>
        <w:jc w:val="center"/>
        <w:rPr>
          <w:rFonts w:ascii="Arial" w:hAnsi="Arial" w:cs="Arial"/>
          <w:b/>
          <w:i/>
          <w:color w:val="000080"/>
          <w:sz w:val="28"/>
          <w:szCs w:val="28"/>
        </w:rPr>
      </w:pPr>
      <w:r>
        <w:rPr>
          <w:rFonts w:ascii="Arial" w:hAnsi="Arial" w:cs="Arial"/>
          <w:b/>
          <w:i/>
          <w:color w:val="000080"/>
          <w:sz w:val="28"/>
          <w:szCs w:val="28"/>
        </w:rPr>
        <w:t>in breast cancer</w:t>
      </w:r>
    </w:p>
    <w:p w14:paraId="4CF158FD" w14:textId="77777777" w:rsidR="002B199C" w:rsidRDefault="002B199C" w:rsidP="002B199C">
      <w:pPr>
        <w:tabs>
          <w:tab w:val="left" w:pos="4320"/>
        </w:tabs>
        <w:spacing w:after="0" w:line="240" w:lineRule="auto"/>
        <w:jc w:val="center"/>
        <w:rPr>
          <w:rFonts w:ascii="Arial" w:hAnsi="Arial" w:cs="Arial"/>
          <w:b/>
          <w:i/>
          <w:color w:val="000080"/>
          <w:sz w:val="28"/>
          <w:szCs w:val="28"/>
        </w:rPr>
      </w:pPr>
    </w:p>
    <w:p w14:paraId="61EFB90D" w14:textId="77777777" w:rsidR="006156C1" w:rsidRPr="00447142" w:rsidRDefault="004C0814" w:rsidP="003E0669">
      <w:pPr>
        <w:tabs>
          <w:tab w:val="left" w:pos="2265"/>
          <w:tab w:val="left" w:pos="3420"/>
          <w:tab w:val="left" w:pos="4320"/>
        </w:tabs>
        <w:spacing w:after="0" w:line="240" w:lineRule="auto"/>
        <w:ind w:left="0"/>
        <w:rPr>
          <w:rFonts w:ascii="Arial" w:hAnsi="Arial" w:cs="Arial"/>
          <w:b/>
          <w:szCs w:val="24"/>
        </w:rPr>
      </w:pPr>
      <w:r w:rsidRPr="00447142">
        <w:rPr>
          <w:rFonts w:ascii="Arial" w:hAnsi="Arial" w:cs="Arial"/>
          <w:b/>
          <w:szCs w:val="24"/>
        </w:rPr>
        <w:t>Sponsor</w:t>
      </w:r>
      <w:r w:rsidR="003D0F7D" w:rsidRPr="00447142">
        <w:rPr>
          <w:rFonts w:ascii="Arial" w:hAnsi="Arial" w:cs="Arial"/>
          <w:b/>
          <w:szCs w:val="24"/>
        </w:rPr>
        <w:t>/Applicant</w:t>
      </w:r>
      <w:r w:rsidR="006F0F76" w:rsidRPr="00447142">
        <w:rPr>
          <w:rFonts w:ascii="Arial" w:hAnsi="Arial" w:cs="Arial"/>
          <w:b/>
          <w:szCs w:val="24"/>
        </w:rPr>
        <w:t>/s</w:t>
      </w:r>
      <w:r w:rsidRPr="00447142">
        <w:rPr>
          <w:rFonts w:ascii="Arial" w:hAnsi="Arial" w:cs="Arial"/>
          <w:b/>
          <w:szCs w:val="24"/>
        </w:rPr>
        <w:t>:</w:t>
      </w:r>
      <w:r w:rsidR="00937076" w:rsidRPr="00447142">
        <w:rPr>
          <w:rFonts w:ascii="Arial" w:hAnsi="Arial" w:cs="Arial"/>
          <w:b/>
          <w:szCs w:val="24"/>
        </w:rPr>
        <w:tab/>
      </w:r>
      <w:r w:rsidR="006156C1" w:rsidRPr="00447142">
        <w:rPr>
          <w:rFonts w:ascii="Arial" w:hAnsi="Arial" w:cs="Arial"/>
          <w:b/>
          <w:szCs w:val="24"/>
        </w:rPr>
        <w:tab/>
      </w:r>
      <w:r w:rsidR="001D19DE" w:rsidRPr="00447142">
        <w:rPr>
          <w:rFonts w:ascii="Arial" w:hAnsi="Arial" w:cs="Arial"/>
          <w:b/>
          <w:szCs w:val="24"/>
        </w:rPr>
        <w:t>Genomic Health Inc</w:t>
      </w:r>
    </w:p>
    <w:p w14:paraId="54AE305B" w14:textId="77777777" w:rsidR="003E0669" w:rsidRDefault="003E0669" w:rsidP="003E0669">
      <w:pPr>
        <w:tabs>
          <w:tab w:val="left" w:pos="3420"/>
          <w:tab w:val="left" w:pos="3600"/>
          <w:tab w:val="left" w:pos="4320"/>
        </w:tabs>
        <w:spacing w:after="0" w:line="240" w:lineRule="auto"/>
        <w:ind w:left="0"/>
        <w:rPr>
          <w:rFonts w:ascii="Arial" w:hAnsi="Arial" w:cs="Arial"/>
          <w:b/>
          <w:szCs w:val="24"/>
        </w:rPr>
      </w:pPr>
    </w:p>
    <w:p w14:paraId="0B04D290" w14:textId="70587612" w:rsidR="002B199C" w:rsidRDefault="004C0814" w:rsidP="003E0669">
      <w:pPr>
        <w:tabs>
          <w:tab w:val="left" w:pos="3420"/>
          <w:tab w:val="left" w:pos="3600"/>
          <w:tab w:val="left" w:pos="4320"/>
        </w:tabs>
        <w:spacing w:after="0" w:line="240" w:lineRule="auto"/>
        <w:ind w:left="0"/>
        <w:rPr>
          <w:rFonts w:ascii="Arial" w:hAnsi="Arial" w:cs="Arial"/>
          <w:b/>
          <w:szCs w:val="24"/>
        </w:rPr>
      </w:pPr>
      <w:r w:rsidRPr="00447142">
        <w:rPr>
          <w:rFonts w:ascii="Arial" w:hAnsi="Arial" w:cs="Arial"/>
          <w:b/>
          <w:szCs w:val="24"/>
        </w:rPr>
        <w:t xml:space="preserve">Date of </w:t>
      </w:r>
      <w:r w:rsidR="00C439B0">
        <w:rPr>
          <w:rFonts w:ascii="Arial" w:hAnsi="Arial" w:cs="Arial"/>
          <w:b/>
          <w:szCs w:val="24"/>
        </w:rPr>
        <w:t>MSAC</w:t>
      </w:r>
      <w:r w:rsidRPr="00447142">
        <w:rPr>
          <w:rFonts w:ascii="Arial" w:hAnsi="Arial" w:cs="Arial"/>
          <w:b/>
          <w:szCs w:val="24"/>
        </w:rPr>
        <w:t xml:space="preserve"> </w:t>
      </w:r>
      <w:r w:rsidR="00AE2800">
        <w:rPr>
          <w:rFonts w:ascii="Arial" w:hAnsi="Arial" w:cs="Arial"/>
          <w:b/>
          <w:szCs w:val="24"/>
        </w:rPr>
        <w:t>meeting</w:t>
      </w:r>
      <w:r w:rsidRPr="00447142">
        <w:rPr>
          <w:rFonts w:ascii="Arial" w:hAnsi="Arial" w:cs="Arial"/>
          <w:b/>
          <w:szCs w:val="24"/>
        </w:rPr>
        <w:t>:</w:t>
      </w:r>
      <w:r w:rsidR="00201963" w:rsidRPr="00447142">
        <w:rPr>
          <w:rFonts w:ascii="Arial" w:hAnsi="Arial" w:cs="Arial"/>
          <w:b/>
          <w:szCs w:val="24"/>
        </w:rPr>
        <w:tab/>
      </w:r>
      <w:r w:rsidR="001D19DE" w:rsidRPr="00447142">
        <w:rPr>
          <w:rFonts w:ascii="Arial" w:hAnsi="Arial" w:cs="Arial"/>
          <w:b/>
          <w:szCs w:val="24"/>
        </w:rPr>
        <w:tab/>
      </w:r>
      <w:r w:rsidR="001D19DE" w:rsidRPr="00447142">
        <w:rPr>
          <w:rFonts w:ascii="Arial" w:hAnsi="Arial" w:cs="Arial"/>
          <w:b/>
          <w:szCs w:val="24"/>
        </w:rPr>
        <w:tab/>
      </w:r>
      <w:r w:rsidR="00C439B0">
        <w:rPr>
          <w:rFonts w:ascii="Arial" w:hAnsi="Arial" w:cs="Arial"/>
          <w:b/>
          <w:szCs w:val="24"/>
        </w:rPr>
        <w:t>28 November</w:t>
      </w:r>
      <w:r w:rsidR="001D19DE" w:rsidRPr="00447142">
        <w:rPr>
          <w:rFonts w:ascii="Arial" w:hAnsi="Arial" w:cs="Arial"/>
          <w:b/>
          <w:szCs w:val="24"/>
        </w:rPr>
        <w:t xml:space="preserve"> 2013</w:t>
      </w:r>
    </w:p>
    <w:p w14:paraId="3981EED9" w14:textId="77777777" w:rsidR="003E0669" w:rsidRDefault="003E0669" w:rsidP="003E0669">
      <w:pPr>
        <w:tabs>
          <w:tab w:val="left" w:pos="3420"/>
          <w:tab w:val="left" w:pos="3600"/>
          <w:tab w:val="left" w:pos="4320"/>
        </w:tabs>
        <w:spacing w:after="0" w:line="240" w:lineRule="auto"/>
        <w:ind w:left="0"/>
        <w:rPr>
          <w:rFonts w:ascii="Arial" w:hAnsi="Arial" w:cs="Arial"/>
          <w:b/>
          <w:szCs w:val="24"/>
        </w:rPr>
      </w:pPr>
    </w:p>
    <w:p w14:paraId="48B4C1DD" w14:textId="77777777" w:rsidR="003E0669" w:rsidRDefault="003E0669" w:rsidP="003E0669">
      <w:pPr>
        <w:tabs>
          <w:tab w:val="left" w:pos="3420"/>
          <w:tab w:val="left" w:pos="3600"/>
          <w:tab w:val="left" w:pos="4320"/>
        </w:tabs>
        <w:spacing w:after="0" w:line="240" w:lineRule="auto"/>
        <w:ind w:left="0"/>
        <w:rPr>
          <w:rFonts w:ascii="Arial" w:hAnsi="Arial" w:cs="Arial"/>
          <w:b/>
          <w:szCs w:val="24"/>
        </w:rPr>
      </w:pPr>
    </w:p>
    <w:p w14:paraId="530E9F0D" w14:textId="77777777" w:rsidR="0012732A" w:rsidRPr="00447142" w:rsidRDefault="002B199C" w:rsidP="003E0669">
      <w:pPr>
        <w:pStyle w:val="Heading1"/>
        <w:spacing w:before="0" w:after="0" w:line="240" w:lineRule="auto"/>
        <w:ind w:left="0"/>
        <w:rPr>
          <w:rFonts w:ascii="Arial" w:hAnsi="Arial" w:cs="Arial"/>
          <w:sz w:val="24"/>
          <w:szCs w:val="24"/>
        </w:rPr>
      </w:pPr>
      <w:r>
        <w:rPr>
          <w:rFonts w:ascii="Arial" w:hAnsi="Arial" w:cs="Arial"/>
          <w:sz w:val="24"/>
          <w:szCs w:val="24"/>
        </w:rPr>
        <w:t>1.</w:t>
      </w:r>
      <w:r>
        <w:rPr>
          <w:rFonts w:ascii="Arial" w:hAnsi="Arial" w:cs="Arial"/>
          <w:sz w:val="24"/>
          <w:szCs w:val="24"/>
        </w:rPr>
        <w:tab/>
      </w:r>
      <w:r w:rsidR="00937076" w:rsidRPr="00447142">
        <w:rPr>
          <w:rFonts w:ascii="Arial" w:hAnsi="Arial" w:cs="Arial"/>
          <w:sz w:val="24"/>
          <w:szCs w:val="24"/>
        </w:rPr>
        <w:t xml:space="preserve">Purpose of </w:t>
      </w:r>
      <w:r w:rsidR="00E857D4" w:rsidRPr="00447142">
        <w:rPr>
          <w:rFonts w:ascii="Arial" w:hAnsi="Arial" w:cs="Arial"/>
          <w:sz w:val="24"/>
          <w:szCs w:val="24"/>
        </w:rPr>
        <w:t>a</w:t>
      </w:r>
      <w:r w:rsidR="00937076" w:rsidRPr="00447142">
        <w:rPr>
          <w:rFonts w:ascii="Arial" w:hAnsi="Arial" w:cs="Arial"/>
          <w:sz w:val="24"/>
          <w:szCs w:val="24"/>
        </w:rPr>
        <w:t>pplication</w:t>
      </w:r>
    </w:p>
    <w:p w14:paraId="444C5D1F" w14:textId="2FF4B165" w:rsidR="00EE138F" w:rsidRDefault="00E04466" w:rsidP="003E0669">
      <w:pPr>
        <w:pStyle w:val="Text"/>
        <w:spacing w:after="0" w:line="240" w:lineRule="auto"/>
        <w:ind w:left="0"/>
        <w:rPr>
          <w:rFonts w:ascii="Times New Roman" w:hAnsi="Times New Roman"/>
          <w:sz w:val="24"/>
          <w:szCs w:val="24"/>
        </w:rPr>
      </w:pPr>
      <w:r w:rsidRPr="00376952">
        <w:rPr>
          <w:rFonts w:ascii="Times New Roman" w:hAnsi="Times New Roman"/>
          <w:sz w:val="24"/>
          <w:szCs w:val="24"/>
        </w:rPr>
        <w:t>An application</w:t>
      </w:r>
      <w:r w:rsidR="002B199C" w:rsidRPr="00376952">
        <w:rPr>
          <w:rFonts w:ascii="Times New Roman" w:hAnsi="Times New Roman"/>
          <w:sz w:val="24"/>
          <w:szCs w:val="24"/>
        </w:rPr>
        <w:t xml:space="preserve"> requesting</w:t>
      </w:r>
      <w:r w:rsidRPr="00376952">
        <w:rPr>
          <w:rFonts w:ascii="Times New Roman" w:hAnsi="Times New Roman"/>
          <w:sz w:val="24"/>
          <w:szCs w:val="24"/>
        </w:rPr>
        <w:t xml:space="preserve"> Medicare Benefits Schedule (MBS) listing for </w:t>
      </w:r>
      <w:r w:rsidR="006906C7" w:rsidRPr="00376952">
        <w:rPr>
          <w:rFonts w:ascii="Times New Roman" w:hAnsi="Times New Roman"/>
          <w:sz w:val="24"/>
          <w:szCs w:val="24"/>
        </w:rPr>
        <w:t>gene expression profiling (GEP)</w:t>
      </w:r>
      <w:r w:rsidRPr="00376952">
        <w:rPr>
          <w:rFonts w:ascii="Times New Roman" w:hAnsi="Times New Roman"/>
          <w:sz w:val="24"/>
          <w:szCs w:val="24"/>
        </w:rPr>
        <w:t xml:space="preserve"> </w:t>
      </w:r>
      <w:r w:rsidR="004822AA" w:rsidRPr="00376952">
        <w:rPr>
          <w:rFonts w:ascii="Times New Roman" w:hAnsi="Times New Roman"/>
          <w:sz w:val="24"/>
          <w:szCs w:val="24"/>
        </w:rPr>
        <w:t>Oncotype DX</w:t>
      </w:r>
      <w:r w:rsidR="004822AA" w:rsidRPr="00376952">
        <w:rPr>
          <w:rFonts w:ascii="Times New Roman" w:hAnsi="Times New Roman"/>
          <w:sz w:val="24"/>
          <w:szCs w:val="24"/>
          <w:vertAlign w:val="superscript"/>
        </w:rPr>
        <w:t>®</w:t>
      </w:r>
      <w:r w:rsidRPr="00376952">
        <w:rPr>
          <w:rFonts w:ascii="Times New Roman" w:hAnsi="Times New Roman"/>
          <w:sz w:val="24"/>
          <w:szCs w:val="24"/>
        </w:rPr>
        <w:t xml:space="preserve"> testing in a subset of early breast cancer patients </w:t>
      </w:r>
      <w:r w:rsidR="009A4A5F" w:rsidRPr="00376952">
        <w:rPr>
          <w:rFonts w:ascii="Times New Roman" w:hAnsi="Times New Roman"/>
          <w:sz w:val="24"/>
          <w:szCs w:val="24"/>
        </w:rPr>
        <w:t xml:space="preserve">with </w:t>
      </w:r>
      <w:r w:rsidRPr="00376952">
        <w:rPr>
          <w:rFonts w:ascii="Times New Roman" w:hAnsi="Times New Roman"/>
          <w:sz w:val="24"/>
          <w:szCs w:val="24"/>
        </w:rPr>
        <w:t xml:space="preserve">node negative or </w:t>
      </w:r>
      <w:r w:rsidR="009A4A5F" w:rsidRPr="00376952">
        <w:rPr>
          <w:rFonts w:ascii="Times New Roman" w:hAnsi="Times New Roman"/>
          <w:sz w:val="24"/>
          <w:szCs w:val="24"/>
        </w:rPr>
        <w:t xml:space="preserve">up to 3 </w:t>
      </w:r>
      <w:r w:rsidRPr="00376952">
        <w:rPr>
          <w:rFonts w:ascii="Times New Roman" w:hAnsi="Times New Roman"/>
          <w:sz w:val="24"/>
          <w:szCs w:val="24"/>
        </w:rPr>
        <w:t xml:space="preserve">positive </w:t>
      </w:r>
      <w:r w:rsidR="009A4A5F" w:rsidRPr="00376952">
        <w:rPr>
          <w:rFonts w:ascii="Times New Roman" w:hAnsi="Times New Roman"/>
          <w:sz w:val="24"/>
          <w:szCs w:val="24"/>
        </w:rPr>
        <w:t xml:space="preserve">nodes </w:t>
      </w:r>
      <w:r w:rsidR="00464F44" w:rsidRPr="00376952">
        <w:rPr>
          <w:rFonts w:ascii="Times New Roman" w:hAnsi="Times New Roman"/>
          <w:sz w:val="24"/>
          <w:szCs w:val="24"/>
        </w:rPr>
        <w:t>oestrogen receptor-positive (ER+)</w:t>
      </w:r>
      <w:r w:rsidRPr="00376952">
        <w:rPr>
          <w:rFonts w:ascii="Times New Roman" w:hAnsi="Times New Roman"/>
          <w:sz w:val="24"/>
          <w:szCs w:val="24"/>
        </w:rPr>
        <w:t xml:space="preserve"> or </w:t>
      </w:r>
      <w:r w:rsidR="00464F44" w:rsidRPr="00376952">
        <w:rPr>
          <w:rFonts w:ascii="Times New Roman" w:hAnsi="Times New Roman"/>
          <w:sz w:val="24"/>
          <w:szCs w:val="24"/>
        </w:rPr>
        <w:t>progesterone receptor-positive (PR+)</w:t>
      </w:r>
      <w:r w:rsidRPr="00376952">
        <w:rPr>
          <w:rFonts w:ascii="Times New Roman" w:hAnsi="Times New Roman"/>
          <w:sz w:val="24"/>
          <w:szCs w:val="24"/>
        </w:rPr>
        <w:t xml:space="preserve"> and </w:t>
      </w:r>
      <w:r w:rsidR="00464F44" w:rsidRPr="00376952">
        <w:rPr>
          <w:rFonts w:ascii="Times New Roman" w:hAnsi="Times New Roman"/>
          <w:sz w:val="24"/>
          <w:szCs w:val="24"/>
        </w:rPr>
        <w:t xml:space="preserve">human epidermal growth factor receptor 2-negative (HER2-) </w:t>
      </w:r>
      <w:r w:rsidR="009A4A5F" w:rsidRPr="00376952">
        <w:rPr>
          <w:rFonts w:ascii="Times New Roman" w:hAnsi="Times New Roman"/>
          <w:sz w:val="24"/>
          <w:szCs w:val="24"/>
        </w:rPr>
        <w:t xml:space="preserve">disease </w:t>
      </w:r>
      <w:r w:rsidR="002B199C" w:rsidRPr="00376952">
        <w:rPr>
          <w:rFonts w:ascii="Times New Roman" w:hAnsi="Times New Roman"/>
          <w:sz w:val="24"/>
          <w:szCs w:val="24"/>
        </w:rPr>
        <w:t xml:space="preserve">was received from Genomic Health Inc. </w:t>
      </w:r>
      <w:r w:rsidR="00464F44" w:rsidRPr="00376952">
        <w:rPr>
          <w:rFonts w:ascii="Times New Roman" w:hAnsi="Times New Roman"/>
          <w:sz w:val="24"/>
          <w:szCs w:val="24"/>
        </w:rPr>
        <w:t xml:space="preserve">(GHI) </w:t>
      </w:r>
      <w:r w:rsidR="002B199C" w:rsidRPr="00376952">
        <w:rPr>
          <w:rFonts w:ascii="Times New Roman" w:hAnsi="Times New Roman"/>
          <w:sz w:val="24"/>
          <w:szCs w:val="24"/>
        </w:rPr>
        <w:t xml:space="preserve">by the Department of Health </w:t>
      </w:r>
      <w:r w:rsidR="00D96DC7">
        <w:rPr>
          <w:rFonts w:ascii="Times New Roman" w:hAnsi="Times New Roman"/>
          <w:sz w:val="24"/>
          <w:szCs w:val="24"/>
        </w:rPr>
        <w:t>on 7 </w:t>
      </w:r>
      <w:r w:rsidR="002B199C" w:rsidRPr="00376952">
        <w:rPr>
          <w:rFonts w:ascii="Times New Roman" w:hAnsi="Times New Roman"/>
          <w:sz w:val="24"/>
          <w:szCs w:val="24"/>
        </w:rPr>
        <w:t>November 2012</w:t>
      </w:r>
      <w:r w:rsidRPr="00376952">
        <w:rPr>
          <w:rFonts w:ascii="Times New Roman" w:hAnsi="Times New Roman"/>
          <w:sz w:val="24"/>
          <w:szCs w:val="24"/>
        </w:rPr>
        <w:t xml:space="preserve">. </w:t>
      </w:r>
    </w:p>
    <w:p w14:paraId="446C30CE" w14:textId="77777777" w:rsidR="00376952" w:rsidRPr="00376952" w:rsidRDefault="00376952" w:rsidP="00376952">
      <w:pPr>
        <w:pStyle w:val="Text"/>
        <w:spacing w:after="0" w:line="240" w:lineRule="auto"/>
        <w:ind w:left="0"/>
        <w:rPr>
          <w:rFonts w:ascii="Times New Roman" w:hAnsi="Times New Roman"/>
          <w:sz w:val="24"/>
          <w:szCs w:val="24"/>
        </w:rPr>
      </w:pPr>
    </w:p>
    <w:p w14:paraId="6F5C42AA" w14:textId="77777777" w:rsidR="00D94F57" w:rsidRDefault="000467AC" w:rsidP="00376952">
      <w:pPr>
        <w:tabs>
          <w:tab w:val="left" w:pos="720"/>
          <w:tab w:val="left" w:pos="1140"/>
        </w:tabs>
        <w:spacing w:after="0" w:line="240" w:lineRule="auto"/>
        <w:ind w:left="0"/>
        <w:rPr>
          <w:szCs w:val="24"/>
          <w:lang w:eastAsia="en-US"/>
        </w:rPr>
      </w:pPr>
      <w:r w:rsidRPr="00376952">
        <w:rPr>
          <w:szCs w:val="24"/>
          <w:lang w:eastAsia="en-US"/>
        </w:rPr>
        <w:t>GEP is an emerging technology for identifying genes whose activity may be helpful in assessing disease prognosis, likelihood of response to chemotherapy and therefore guiding treatment decisions. In recent years, GEP has been used in breast cancer research.</w:t>
      </w:r>
      <w:r w:rsidR="00D94F57" w:rsidRPr="00376952">
        <w:rPr>
          <w:szCs w:val="24"/>
          <w:lang w:eastAsia="en-US"/>
        </w:rPr>
        <w:t xml:space="preserve"> </w:t>
      </w:r>
    </w:p>
    <w:p w14:paraId="05993438" w14:textId="77777777" w:rsidR="00376952" w:rsidRPr="00376952" w:rsidRDefault="00376952" w:rsidP="00376952">
      <w:pPr>
        <w:tabs>
          <w:tab w:val="left" w:pos="720"/>
          <w:tab w:val="left" w:pos="1140"/>
        </w:tabs>
        <w:spacing w:after="0" w:line="240" w:lineRule="auto"/>
        <w:ind w:left="0"/>
        <w:rPr>
          <w:szCs w:val="24"/>
          <w:lang w:eastAsia="en-US"/>
        </w:rPr>
      </w:pPr>
    </w:p>
    <w:p w14:paraId="41765B3C" w14:textId="77777777" w:rsidR="001C5552" w:rsidRDefault="00D94F57" w:rsidP="00376952">
      <w:pPr>
        <w:tabs>
          <w:tab w:val="left" w:pos="720"/>
          <w:tab w:val="left" w:pos="1140"/>
        </w:tabs>
        <w:spacing w:after="0" w:line="240" w:lineRule="auto"/>
        <w:ind w:left="0"/>
        <w:rPr>
          <w:szCs w:val="24"/>
          <w:lang w:eastAsia="en-US"/>
        </w:rPr>
      </w:pPr>
      <w:r w:rsidRPr="00376952">
        <w:rPr>
          <w:szCs w:val="24"/>
          <w:lang w:eastAsia="en-US"/>
        </w:rPr>
        <w:t xml:space="preserve">GEP examines the composition of cellular messenger ribonucleic acid (RNA) populations (Marchionni et al. 2008). The identity of the RNA transcripts that make up these populations and the number of these transcripts in the cell provide information about the global activity of genes that give rise to them. The number of mRNA transcripts derived from a given gene is a measure of the “expression” of that gene. Given that messenger RNA (mRNA) molecules are translated into proteins, changes in mRNA levels are ultimately related to changes in the protein composition of the cells, and consequently to changes in the properties and functions of tissues and cells in the body. </w:t>
      </w:r>
    </w:p>
    <w:p w14:paraId="6174F29A" w14:textId="77777777" w:rsidR="00376952" w:rsidRPr="00376952" w:rsidRDefault="00376952" w:rsidP="00376952">
      <w:pPr>
        <w:tabs>
          <w:tab w:val="left" w:pos="720"/>
          <w:tab w:val="left" w:pos="1140"/>
        </w:tabs>
        <w:spacing w:after="0" w:line="240" w:lineRule="auto"/>
        <w:ind w:left="0"/>
        <w:rPr>
          <w:szCs w:val="24"/>
          <w:lang w:eastAsia="en-US"/>
        </w:rPr>
      </w:pPr>
    </w:p>
    <w:p w14:paraId="7496E0CA" w14:textId="77777777" w:rsidR="00454388" w:rsidRDefault="00D94F57" w:rsidP="00376952">
      <w:pPr>
        <w:tabs>
          <w:tab w:val="left" w:pos="720"/>
          <w:tab w:val="left" w:pos="1140"/>
        </w:tabs>
        <w:spacing w:after="0" w:line="240" w:lineRule="auto"/>
        <w:ind w:left="0"/>
        <w:rPr>
          <w:szCs w:val="24"/>
          <w:lang w:eastAsia="en-US"/>
        </w:rPr>
      </w:pPr>
      <w:r w:rsidRPr="00376952">
        <w:rPr>
          <w:szCs w:val="24"/>
          <w:lang w:eastAsia="en-US"/>
        </w:rPr>
        <w:t xml:space="preserve">Technologies available for GEP include </w:t>
      </w:r>
      <w:r w:rsidR="00914B93" w:rsidRPr="00376952">
        <w:rPr>
          <w:szCs w:val="24"/>
          <w:lang w:eastAsia="en-US"/>
        </w:rPr>
        <w:t>reverse-transcriptase polymerase chain reaction (</w:t>
      </w:r>
      <w:r w:rsidRPr="00376952">
        <w:rPr>
          <w:szCs w:val="24"/>
          <w:lang w:eastAsia="en-US"/>
        </w:rPr>
        <w:t>RT-PCR</w:t>
      </w:r>
      <w:r w:rsidR="00914B93" w:rsidRPr="00376952">
        <w:rPr>
          <w:szCs w:val="24"/>
          <w:lang w:eastAsia="en-US"/>
        </w:rPr>
        <w:t>)</w:t>
      </w:r>
      <w:r w:rsidRPr="00376952">
        <w:rPr>
          <w:szCs w:val="24"/>
          <w:lang w:eastAsia="en-US"/>
        </w:rPr>
        <w:t xml:space="preserve"> and microarray assays. </w:t>
      </w:r>
    </w:p>
    <w:p w14:paraId="5E8BE8DE" w14:textId="77777777" w:rsidR="00376952" w:rsidRPr="00376952" w:rsidRDefault="00376952" w:rsidP="00376952">
      <w:pPr>
        <w:tabs>
          <w:tab w:val="left" w:pos="720"/>
          <w:tab w:val="left" w:pos="1140"/>
        </w:tabs>
        <w:spacing w:after="0" w:line="240" w:lineRule="auto"/>
        <w:ind w:left="0"/>
        <w:rPr>
          <w:szCs w:val="24"/>
          <w:lang w:eastAsia="en-US"/>
        </w:rPr>
      </w:pPr>
    </w:p>
    <w:p w14:paraId="5B3A96F9" w14:textId="54C2657E" w:rsidR="001C5552" w:rsidRDefault="00865B90" w:rsidP="00376952">
      <w:pPr>
        <w:tabs>
          <w:tab w:val="left" w:pos="720"/>
          <w:tab w:val="left" w:pos="1140"/>
        </w:tabs>
        <w:spacing w:after="0" w:line="240" w:lineRule="auto"/>
        <w:ind w:left="0"/>
        <w:rPr>
          <w:szCs w:val="24"/>
        </w:rPr>
      </w:pPr>
      <w:r w:rsidRPr="00376952">
        <w:rPr>
          <w:szCs w:val="24"/>
        </w:rPr>
        <w:t>There is currently only one test that uses 21</w:t>
      </w:r>
      <w:r w:rsidR="00DB67D3" w:rsidRPr="00376952">
        <w:rPr>
          <w:szCs w:val="24"/>
        </w:rPr>
        <w:t xml:space="preserve"> </w:t>
      </w:r>
      <w:r w:rsidRPr="00376952">
        <w:rPr>
          <w:szCs w:val="24"/>
        </w:rPr>
        <w:t>genes and the RT-PCR technique, the Oncotype DX</w:t>
      </w:r>
      <w:r w:rsidRPr="00376952">
        <w:rPr>
          <w:szCs w:val="24"/>
          <w:vertAlign w:val="superscript"/>
        </w:rPr>
        <w:t>®</w:t>
      </w:r>
      <w:r w:rsidRPr="00376952">
        <w:rPr>
          <w:szCs w:val="24"/>
        </w:rPr>
        <w:t xml:space="preserve"> Breast Cancer Test which is marketed by Genomic Health Inc. (GHI). </w:t>
      </w:r>
      <w:r w:rsidR="00914B93" w:rsidRPr="00376952">
        <w:rPr>
          <w:szCs w:val="24"/>
        </w:rPr>
        <w:t xml:space="preserve">The Oncotype DX test </w:t>
      </w:r>
      <w:r w:rsidR="008C4F4C" w:rsidRPr="00376952">
        <w:rPr>
          <w:szCs w:val="24"/>
        </w:rPr>
        <w:t xml:space="preserve">uses a high-throughput, RT-PCR method to measure levels of gene expression </w:t>
      </w:r>
      <w:r w:rsidR="009A4A5F" w:rsidRPr="00376952">
        <w:rPr>
          <w:szCs w:val="24"/>
        </w:rPr>
        <w:t>for</w:t>
      </w:r>
      <w:r w:rsidR="00914B93" w:rsidRPr="00376952">
        <w:rPr>
          <w:szCs w:val="24"/>
        </w:rPr>
        <w:t xml:space="preserve"> a panel of 21 genes from a tumour specimen (surgical resections or core biopsy). </w:t>
      </w:r>
    </w:p>
    <w:p w14:paraId="38716E35" w14:textId="77777777" w:rsidR="00376952" w:rsidRPr="00376952" w:rsidRDefault="00376952" w:rsidP="00376952">
      <w:pPr>
        <w:tabs>
          <w:tab w:val="left" w:pos="720"/>
          <w:tab w:val="left" w:pos="1140"/>
        </w:tabs>
        <w:spacing w:after="0" w:line="240" w:lineRule="auto"/>
        <w:ind w:left="0"/>
        <w:rPr>
          <w:szCs w:val="24"/>
        </w:rPr>
      </w:pPr>
    </w:p>
    <w:p w14:paraId="71BEB661" w14:textId="47256B3C" w:rsidR="007D71C9" w:rsidRDefault="00F83D71" w:rsidP="00376952">
      <w:pPr>
        <w:tabs>
          <w:tab w:val="left" w:pos="720"/>
          <w:tab w:val="left" w:pos="1140"/>
        </w:tabs>
        <w:spacing w:after="0" w:line="240" w:lineRule="auto"/>
        <w:ind w:left="0"/>
        <w:rPr>
          <w:szCs w:val="24"/>
        </w:rPr>
      </w:pPr>
      <w:r w:rsidRPr="00376952">
        <w:rPr>
          <w:szCs w:val="24"/>
        </w:rPr>
        <w:t>Unstained slides are prepared from a</w:t>
      </w:r>
      <w:r w:rsidR="009315F9">
        <w:rPr>
          <w:szCs w:val="24"/>
        </w:rPr>
        <w:t xml:space="preserve"> </w:t>
      </w:r>
      <w:r w:rsidR="00914B93" w:rsidRPr="00376952">
        <w:rPr>
          <w:szCs w:val="24"/>
        </w:rPr>
        <w:t xml:space="preserve">formalin fixed, paraffin-embedded tumour (FFPET) block for the assay. Samples from surgical resections are preferred to </w:t>
      </w:r>
      <w:r w:rsidR="009A4A5F" w:rsidRPr="00376952">
        <w:rPr>
          <w:szCs w:val="24"/>
        </w:rPr>
        <w:t xml:space="preserve">those from </w:t>
      </w:r>
      <w:r w:rsidR="00914B93" w:rsidRPr="00376952">
        <w:rPr>
          <w:szCs w:val="24"/>
        </w:rPr>
        <w:t xml:space="preserve">core </w:t>
      </w:r>
      <w:r w:rsidR="00914B93" w:rsidRPr="00376952">
        <w:rPr>
          <w:szCs w:val="24"/>
        </w:rPr>
        <w:lastRenderedPageBreak/>
        <w:t>biopsies to ensure that the most representative invasive tumour component is sent for analysis. Cor</w:t>
      </w:r>
      <w:r w:rsidR="00040454" w:rsidRPr="00376952">
        <w:rPr>
          <w:szCs w:val="24"/>
        </w:rPr>
        <w:t>e biopsies are accepted</w:t>
      </w:r>
      <w:r w:rsidR="00914B93" w:rsidRPr="00376952">
        <w:rPr>
          <w:szCs w:val="24"/>
        </w:rPr>
        <w:t>, in rare instances when surgical resection tissue is not available, as analytical methods have also been standardised to assay these tissue sources. All tissue samples are assessed by a pathologist at GHI to verify the diagnosis and to perform manual microdissection as needed in accordance with pathology guidelines. The assay generally requires 2mm of invasive tumour tissue for successful analysis.</w:t>
      </w:r>
    </w:p>
    <w:p w14:paraId="729DADC2" w14:textId="77777777" w:rsidR="00376952" w:rsidRPr="00376952" w:rsidRDefault="00376952" w:rsidP="00376952">
      <w:pPr>
        <w:tabs>
          <w:tab w:val="left" w:pos="720"/>
          <w:tab w:val="left" w:pos="1140"/>
        </w:tabs>
        <w:spacing w:after="0" w:line="240" w:lineRule="auto"/>
        <w:ind w:left="0"/>
        <w:rPr>
          <w:szCs w:val="24"/>
        </w:rPr>
      </w:pPr>
    </w:p>
    <w:p w14:paraId="3C67A4F8" w14:textId="77777777" w:rsidR="005B76FB" w:rsidRPr="00376952" w:rsidRDefault="005B76FB" w:rsidP="00376952">
      <w:pPr>
        <w:pStyle w:val="Text"/>
        <w:spacing w:after="0" w:line="240" w:lineRule="auto"/>
        <w:ind w:left="0"/>
        <w:rPr>
          <w:rFonts w:ascii="Times New Roman" w:hAnsi="Times New Roman"/>
          <w:bCs/>
          <w:sz w:val="24"/>
          <w:szCs w:val="24"/>
        </w:rPr>
      </w:pPr>
      <w:r w:rsidRPr="00376952">
        <w:rPr>
          <w:rFonts w:ascii="Times New Roman" w:hAnsi="Times New Roman"/>
          <w:bCs/>
          <w:sz w:val="24"/>
          <w:szCs w:val="24"/>
        </w:rPr>
        <w:t xml:space="preserve">The histological examination of the tumour biopsy </w:t>
      </w:r>
      <w:r w:rsidR="005A7331" w:rsidRPr="00376952">
        <w:rPr>
          <w:rFonts w:ascii="Times New Roman" w:hAnsi="Times New Roman"/>
          <w:bCs/>
          <w:sz w:val="24"/>
          <w:szCs w:val="24"/>
        </w:rPr>
        <w:t>is</w:t>
      </w:r>
      <w:r w:rsidRPr="00376952">
        <w:rPr>
          <w:rFonts w:ascii="Times New Roman" w:hAnsi="Times New Roman"/>
          <w:bCs/>
          <w:sz w:val="24"/>
          <w:szCs w:val="24"/>
        </w:rPr>
        <w:t xml:space="preserve"> performed by an Australian pathology laboratory using the Oncotype DX</w:t>
      </w:r>
      <w:r w:rsidR="005A7331" w:rsidRPr="00376952">
        <w:rPr>
          <w:rFonts w:ascii="Times New Roman" w:hAnsi="Times New Roman"/>
          <w:sz w:val="24"/>
          <w:szCs w:val="24"/>
          <w:vertAlign w:val="superscript"/>
        </w:rPr>
        <w:t>®</w:t>
      </w:r>
      <w:r w:rsidRPr="00376952">
        <w:rPr>
          <w:rFonts w:ascii="Times New Roman" w:hAnsi="Times New Roman"/>
          <w:bCs/>
          <w:sz w:val="24"/>
          <w:szCs w:val="24"/>
        </w:rPr>
        <w:t xml:space="preserve"> Specimen Kit (obtained through the distributors of Oncotype DX</w:t>
      </w:r>
      <w:r w:rsidRPr="00376952">
        <w:rPr>
          <w:rFonts w:ascii="Times New Roman" w:hAnsi="Times New Roman"/>
          <w:sz w:val="24"/>
          <w:szCs w:val="24"/>
          <w:vertAlign w:val="superscript"/>
        </w:rPr>
        <w:t>®</w:t>
      </w:r>
      <w:r w:rsidRPr="00376952">
        <w:rPr>
          <w:rFonts w:ascii="Times New Roman" w:hAnsi="Times New Roman"/>
          <w:bCs/>
          <w:sz w:val="24"/>
          <w:szCs w:val="24"/>
        </w:rPr>
        <w:t xml:space="preserve"> in Australia, Healthscope (Dandenong, Victoria)). </w:t>
      </w:r>
      <w:r w:rsidR="005A7331" w:rsidRPr="00376952">
        <w:rPr>
          <w:rFonts w:ascii="Times New Roman" w:hAnsi="Times New Roman"/>
          <w:bCs/>
          <w:sz w:val="24"/>
          <w:szCs w:val="24"/>
        </w:rPr>
        <w:t xml:space="preserve">The current </w:t>
      </w:r>
      <w:r w:rsidRPr="00376952">
        <w:rPr>
          <w:rFonts w:ascii="Times New Roman" w:hAnsi="Times New Roman"/>
          <w:bCs/>
          <w:sz w:val="24"/>
          <w:szCs w:val="24"/>
        </w:rPr>
        <w:t xml:space="preserve">arrangement </w:t>
      </w:r>
      <w:r w:rsidR="005A7331" w:rsidRPr="00376952">
        <w:rPr>
          <w:rFonts w:ascii="Times New Roman" w:hAnsi="Times New Roman"/>
          <w:bCs/>
          <w:sz w:val="24"/>
          <w:szCs w:val="24"/>
        </w:rPr>
        <w:t>is that</w:t>
      </w:r>
      <w:r w:rsidRPr="00376952">
        <w:rPr>
          <w:rFonts w:ascii="Times New Roman" w:hAnsi="Times New Roman"/>
          <w:bCs/>
          <w:sz w:val="24"/>
          <w:szCs w:val="24"/>
        </w:rPr>
        <w:t xml:space="preserve"> GHI pays an administrative fee to the distributor who then reimburses the pathology company for the costs of sample preparation. The laboratory prepare</w:t>
      </w:r>
      <w:r w:rsidR="005A7331" w:rsidRPr="00376952">
        <w:rPr>
          <w:rFonts w:ascii="Times New Roman" w:hAnsi="Times New Roman"/>
          <w:bCs/>
          <w:sz w:val="24"/>
          <w:szCs w:val="24"/>
        </w:rPr>
        <w:t>s</w:t>
      </w:r>
      <w:r w:rsidRPr="00376952">
        <w:rPr>
          <w:rFonts w:ascii="Times New Roman" w:hAnsi="Times New Roman"/>
          <w:bCs/>
          <w:sz w:val="24"/>
          <w:szCs w:val="24"/>
        </w:rPr>
        <w:t xml:space="preserve"> the specimen:</w:t>
      </w:r>
    </w:p>
    <w:p w14:paraId="6F309023" w14:textId="77777777" w:rsidR="005B76FB" w:rsidRPr="00376952" w:rsidRDefault="005B76FB" w:rsidP="00376952">
      <w:pPr>
        <w:pStyle w:val="Text"/>
        <w:numPr>
          <w:ilvl w:val="0"/>
          <w:numId w:val="23"/>
        </w:numPr>
        <w:spacing w:after="0" w:line="240" w:lineRule="auto"/>
        <w:rPr>
          <w:rFonts w:ascii="Times New Roman" w:hAnsi="Times New Roman"/>
          <w:bCs/>
          <w:sz w:val="24"/>
          <w:szCs w:val="24"/>
        </w:rPr>
      </w:pPr>
      <w:r w:rsidRPr="00376952">
        <w:rPr>
          <w:rFonts w:ascii="Times New Roman" w:hAnsi="Times New Roman"/>
          <w:bCs/>
          <w:sz w:val="24"/>
          <w:szCs w:val="24"/>
        </w:rPr>
        <w:t>15 unstained slides each with (5microns) section of tissue, each slide must be numbered 1 through 15, in order of sequential sectioning, OR;</w:t>
      </w:r>
    </w:p>
    <w:p w14:paraId="35168AF2" w14:textId="77777777" w:rsidR="005B76FB" w:rsidRDefault="005B76FB" w:rsidP="00376952">
      <w:pPr>
        <w:pStyle w:val="Text"/>
        <w:numPr>
          <w:ilvl w:val="0"/>
          <w:numId w:val="23"/>
        </w:numPr>
        <w:spacing w:after="0" w:line="240" w:lineRule="auto"/>
        <w:rPr>
          <w:rFonts w:ascii="Times New Roman" w:hAnsi="Times New Roman"/>
          <w:bCs/>
          <w:sz w:val="24"/>
          <w:szCs w:val="24"/>
        </w:rPr>
      </w:pPr>
      <w:r w:rsidRPr="00376952">
        <w:rPr>
          <w:rFonts w:ascii="Times New Roman" w:hAnsi="Times New Roman"/>
          <w:bCs/>
          <w:sz w:val="24"/>
          <w:szCs w:val="24"/>
        </w:rPr>
        <w:t>One fixed paraffin embedded tumour block</w:t>
      </w:r>
    </w:p>
    <w:p w14:paraId="261FE8C2" w14:textId="77777777" w:rsidR="00376952" w:rsidRPr="00376952" w:rsidRDefault="00376952" w:rsidP="00376952">
      <w:pPr>
        <w:pStyle w:val="Text"/>
        <w:spacing w:after="0" w:line="240" w:lineRule="auto"/>
        <w:ind w:left="720"/>
        <w:rPr>
          <w:rFonts w:ascii="Times New Roman" w:hAnsi="Times New Roman"/>
          <w:bCs/>
          <w:sz w:val="24"/>
          <w:szCs w:val="24"/>
        </w:rPr>
      </w:pPr>
    </w:p>
    <w:p w14:paraId="3CDD460C" w14:textId="24FB8509" w:rsidR="005B76FB" w:rsidRDefault="005A7331" w:rsidP="00376952">
      <w:pPr>
        <w:pStyle w:val="Text"/>
        <w:spacing w:after="0" w:line="240" w:lineRule="auto"/>
        <w:ind w:left="0"/>
        <w:rPr>
          <w:rFonts w:ascii="Times New Roman" w:hAnsi="Times New Roman"/>
          <w:bCs/>
          <w:sz w:val="24"/>
          <w:szCs w:val="24"/>
        </w:rPr>
      </w:pPr>
      <w:r w:rsidRPr="00376952">
        <w:rPr>
          <w:rFonts w:ascii="Times New Roman" w:hAnsi="Times New Roman"/>
          <w:bCs/>
          <w:sz w:val="24"/>
          <w:szCs w:val="24"/>
        </w:rPr>
        <w:t>The specimen and a r</w:t>
      </w:r>
      <w:r w:rsidR="005B76FB" w:rsidRPr="00376952">
        <w:rPr>
          <w:rFonts w:ascii="Times New Roman" w:hAnsi="Times New Roman"/>
          <w:bCs/>
          <w:sz w:val="24"/>
          <w:szCs w:val="24"/>
        </w:rPr>
        <w:t xml:space="preserve">equisition form are sent to Healthscope who then ship the specimen to </w:t>
      </w:r>
      <w:r w:rsidR="00080584">
        <w:rPr>
          <w:rFonts w:ascii="Times New Roman" w:hAnsi="Times New Roman"/>
          <w:bCs/>
          <w:sz w:val="24"/>
          <w:szCs w:val="24"/>
        </w:rPr>
        <w:t xml:space="preserve">a </w:t>
      </w:r>
      <w:r w:rsidRPr="00376952">
        <w:rPr>
          <w:rFonts w:ascii="Times New Roman" w:hAnsi="Times New Roman"/>
          <w:bCs/>
          <w:sz w:val="24"/>
          <w:szCs w:val="24"/>
        </w:rPr>
        <w:t xml:space="preserve">central laboratory in the </w:t>
      </w:r>
      <w:r w:rsidR="00080584">
        <w:rPr>
          <w:rFonts w:ascii="Times New Roman" w:hAnsi="Times New Roman"/>
          <w:bCs/>
          <w:sz w:val="24"/>
          <w:szCs w:val="24"/>
        </w:rPr>
        <w:t>United States of America (</w:t>
      </w:r>
      <w:r w:rsidRPr="00376952">
        <w:rPr>
          <w:rFonts w:ascii="Times New Roman" w:hAnsi="Times New Roman"/>
          <w:bCs/>
          <w:sz w:val="24"/>
          <w:szCs w:val="24"/>
        </w:rPr>
        <w:t>US</w:t>
      </w:r>
      <w:r w:rsidR="00EF1C6F">
        <w:rPr>
          <w:rFonts w:ascii="Times New Roman" w:hAnsi="Times New Roman"/>
          <w:bCs/>
          <w:sz w:val="24"/>
          <w:szCs w:val="24"/>
        </w:rPr>
        <w:t>A</w:t>
      </w:r>
      <w:r w:rsidR="00080584">
        <w:rPr>
          <w:rFonts w:ascii="Times New Roman" w:hAnsi="Times New Roman"/>
          <w:bCs/>
          <w:sz w:val="24"/>
          <w:szCs w:val="24"/>
        </w:rPr>
        <w:t>)</w:t>
      </w:r>
      <w:r w:rsidR="005B76FB" w:rsidRPr="00376952">
        <w:rPr>
          <w:rFonts w:ascii="Times New Roman" w:hAnsi="Times New Roman"/>
          <w:bCs/>
          <w:sz w:val="24"/>
          <w:szCs w:val="24"/>
        </w:rPr>
        <w:t>. The results of the Oncotype DX</w:t>
      </w:r>
      <w:r w:rsidR="00080584" w:rsidRPr="00376952">
        <w:rPr>
          <w:rFonts w:ascii="Times New Roman" w:hAnsi="Times New Roman"/>
          <w:sz w:val="24"/>
          <w:szCs w:val="24"/>
          <w:vertAlign w:val="superscript"/>
        </w:rPr>
        <w:t>®</w:t>
      </w:r>
      <w:r w:rsidR="005B76FB" w:rsidRPr="00376952">
        <w:rPr>
          <w:rFonts w:ascii="Times New Roman" w:hAnsi="Times New Roman"/>
          <w:bCs/>
          <w:sz w:val="24"/>
          <w:szCs w:val="24"/>
        </w:rPr>
        <w:t xml:space="preserve"> test </w:t>
      </w:r>
      <w:r w:rsidRPr="00376952">
        <w:rPr>
          <w:rFonts w:ascii="Times New Roman" w:hAnsi="Times New Roman"/>
          <w:bCs/>
          <w:sz w:val="24"/>
          <w:szCs w:val="24"/>
        </w:rPr>
        <w:t>are</w:t>
      </w:r>
      <w:r w:rsidR="005B76FB" w:rsidRPr="00376952">
        <w:rPr>
          <w:rFonts w:ascii="Times New Roman" w:hAnsi="Times New Roman"/>
          <w:bCs/>
          <w:sz w:val="24"/>
          <w:szCs w:val="24"/>
        </w:rPr>
        <w:t xml:space="preserve"> available within 10-14 days from the date the tumour sample is sent to </w:t>
      </w:r>
      <w:r w:rsidR="00080584">
        <w:rPr>
          <w:rFonts w:ascii="Times New Roman" w:hAnsi="Times New Roman"/>
          <w:bCs/>
          <w:sz w:val="24"/>
          <w:szCs w:val="24"/>
        </w:rPr>
        <w:t>the central laboratory</w:t>
      </w:r>
      <w:r w:rsidR="005B76FB" w:rsidRPr="00376952">
        <w:rPr>
          <w:rFonts w:ascii="Times New Roman" w:hAnsi="Times New Roman"/>
          <w:bCs/>
          <w:sz w:val="24"/>
          <w:szCs w:val="24"/>
        </w:rPr>
        <w:t>.</w:t>
      </w:r>
    </w:p>
    <w:p w14:paraId="313128ED" w14:textId="77777777" w:rsidR="00376952" w:rsidRPr="00376952" w:rsidRDefault="00376952" w:rsidP="00376952">
      <w:pPr>
        <w:pStyle w:val="Text"/>
        <w:spacing w:after="0" w:line="240" w:lineRule="auto"/>
        <w:ind w:left="0"/>
        <w:rPr>
          <w:rFonts w:ascii="Times New Roman" w:hAnsi="Times New Roman"/>
          <w:bCs/>
          <w:sz w:val="24"/>
          <w:szCs w:val="24"/>
        </w:rPr>
      </w:pPr>
    </w:p>
    <w:p w14:paraId="0FD515ED" w14:textId="77777777" w:rsidR="001E359E" w:rsidRPr="00376952" w:rsidRDefault="001E359E" w:rsidP="00376952">
      <w:pPr>
        <w:pStyle w:val="Text"/>
        <w:spacing w:after="0" w:line="240" w:lineRule="auto"/>
        <w:ind w:left="0"/>
        <w:rPr>
          <w:rFonts w:ascii="Times New Roman" w:hAnsi="Times New Roman"/>
          <w:bCs/>
          <w:sz w:val="24"/>
          <w:szCs w:val="24"/>
        </w:rPr>
      </w:pPr>
      <w:r w:rsidRPr="00376952">
        <w:rPr>
          <w:rFonts w:ascii="Times New Roman" w:hAnsi="Times New Roman"/>
          <w:bCs/>
          <w:sz w:val="24"/>
          <w:szCs w:val="24"/>
        </w:rPr>
        <w:t>From the gene expression profiling, a Recurrence Score (RS) between zero and 100 is calculated to correspond to a point estimate of the 10-year risk of distant recurrence with a 95% confidence interval for an individual patient. The Recurrence Score is used to define three distinct risk groups: low risk (RS &lt; 18), intermediate risk (RS 18-30), and high risk (RS ≥ 31).</w:t>
      </w:r>
    </w:p>
    <w:p w14:paraId="45FBECC1" w14:textId="77777777" w:rsidR="00376952" w:rsidRDefault="00376952" w:rsidP="00376952">
      <w:pPr>
        <w:tabs>
          <w:tab w:val="left" w:pos="720"/>
          <w:tab w:val="left" w:pos="1140"/>
        </w:tabs>
        <w:spacing w:after="0" w:line="240" w:lineRule="auto"/>
        <w:ind w:left="0"/>
        <w:rPr>
          <w:szCs w:val="24"/>
        </w:rPr>
      </w:pPr>
    </w:p>
    <w:p w14:paraId="0D6B9368" w14:textId="77777777" w:rsidR="00040C53" w:rsidRPr="00376952" w:rsidRDefault="009E3D23" w:rsidP="00376952">
      <w:pPr>
        <w:tabs>
          <w:tab w:val="left" w:pos="720"/>
          <w:tab w:val="left" w:pos="1140"/>
        </w:tabs>
        <w:spacing w:after="0" w:line="240" w:lineRule="auto"/>
        <w:ind w:left="0"/>
        <w:rPr>
          <w:szCs w:val="24"/>
        </w:rPr>
      </w:pPr>
      <w:r w:rsidRPr="00376952">
        <w:rPr>
          <w:szCs w:val="24"/>
        </w:rPr>
        <w:t>This is a new intervention as t</w:t>
      </w:r>
      <w:r w:rsidR="00215153" w:rsidRPr="00376952">
        <w:rPr>
          <w:szCs w:val="24"/>
        </w:rPr>
        <w:t xml:space="preserve">here is no tumour specific chemotherapy subtyping tool available to determine the likelihood of benefiting from adjuvant chemotherapy. </w:t>
      </w:r>
    </w:p>
    <w:p w14:paraId="7302AD42" w14:textId="0C7F163F" w:rsidR="00EA3E28" w:rsidRPr="00376952" w:rsidRDefault="00EA3E28" w:rsidP="00376952">
      <w:pPr>
        <w:tabs>
          <w:tab w:val="left" w:pos="720"/>
          <w:tab w:val="left" w:pos="1140"/>
        </w:tabs>
        <w:spacing w:after="0" w:line="240" w:lineRule="auto"/>
        <w:ind w:left="0"/>
        <w:rPr>
          <w:szCs w:val="24"/>
        </w:rPr>
      </w:pPr>
      <w:r w:rsidRPr="00376952">
        <w:rPr>
          <w:rFonts w:eastAsia="Calibri"/>
          <w:szCs w:val="24"/>
          <w:lang w:val="en-GB" w:eastAsia="en-US"/>
        </w:rPr>
        <w:t xml:space="preserve">Currently </w:t>
      </w:r>
      <w:r w:rsidR="009315F9">
        <w:rPr>
          <w:rFonts w:eastAsia="Calibri"/>
          <w:szCs w:val="24"/>
          <w:lang w:val="en-GB" w:eastAsia="en-US"/>
        </w:rPr>
        <w:t>GEP</w:t>
      </w:r>
      <w:r w:rsidRPr="00376952">
        <w:rPr>
          <w:rFonts w:eastAsia="Calibri"/>
          <w:szCs w:val="24"/>
          <w:lang w:val="en-GB" w:eastAsia="en-US"/>
        </w:rPr>
        <w:t xml:space="preserve"> testing is not eligible for reimbursement under Medicare.</w:t>
      </w:r>
    </w:p>
    <w:p w14:paraId="6CB68E17" w14:textId="77777777" w:rsidR="00376952" w:rsidRDefault="00376952" w:rsidP="00376952">
      <w:pPr>
        <w:pStyle w:val="Text"/>
        <w:spacing w:after="0" w:line="240" w:lineRule="auto"/>
        <w:ind w:left="0"/>
        <w:rPr>
          <w:rFonts w:ascii="Times New Roman" w:hAnsi="Times New Roman"/>
          <w:sz w:val="24"/>
          <w:szCs w:val="24"/>
        </w:rPr>
      </w:pPr>
    </w:p>
    <w:p w14:paraId="2F4F1F38" w14:textId="77777777" w:rsidR="00145574" w:rsidRDefault="00145574" w:rsidP="00376952">
      <w:pPr>
        <w:pStyle w:val="Text"/>
        <w:spacing w:after="0" w:line="240" w:lineRule="auto"/>
        <w:ind w:left="0"/>
        <w:rPr>
          <w:rFonts w:ascii="Times New Roman" w:hAnsi="Times New Roman"/>
          <w:sz w:val="24"/>
          <w:szCs w:val="24"/>
        </w:rPr>
      </w:pPr>
      <w:r w:rsidRPr="00376952">
        <w:rPr>
          <w:rFonts w:ascii="Times New Roman" w:hAnsi="Times New Roman"/>
          <w:sz w:val="24"/>
          <w:szCs w:val="24"/>
        </w:rPr>
        <w:t>Breast cancer is a disease in which abnormal cells, most commonly originating from the terminal duct lobular unit of the breast, transform and develop into an invasive tumour. These tumours can invade and damage the tissue around them, and spread to other parts of the body, such as the bones, liver, lung and brain, through the lymphatic or vascular systems (AIHW &amp; NBOCC 2009).</w:t>
      </w:r>
    </w:p>
    <w:p w14:paraId="3275EA5D" w14:textId="77777777" w:rsidR="00376952" w:rsidRPr="00376952" w:rsidRDefault="00376952" w:rsidP="00376952">
      <w:pPr>
        <w:pStyle w:val="Text"/>
        <w:spacing w:after="0" w:line="240" w:lineRule="auto"/>
        <w:ind w:left="0"/>
        <w:rPr>
          <w:rFonts w:ascii="Times New Roman" w:hAnsi="Times New Roman"/>
          <w:sz w:val="24"/>
          <w:szCs w:val="24"/>
        </w:rPr>
      </w:pPr>
    </w:p>
    <w:p w14:paraId="096D7486" w14:textId="77777777" w:rsidR="00254BCC" w:rsidRDefault="00145574" w:rsidP="00376952">
      <w:pPr>
        <w:pStyle w:val="Text"/>
        <w:spacing w:after="0" w:line="240" w:lineRule="auto"/>
        <w:ind w:left="0"/>
        <w:rPr>
          <w:rFonts w:ascii="Times New Roman" w:hAnsi="Times New Roman"/>
          <w:sz w:val="24"/>
          <w:szCs w:val="24"/>
        </w:rPr>
      </w:pPr>
      <w:r w:rsidRPr="00376952">
        <w:rPr>
          <w:rFonts w:ascii="Times New Roman" w:hAnsi="Times New Roman"/>
          <w:sz w:val="24"/>
          <w:szCs w:val="24"/>
        </w:rPr>
        <w:t>Breast cancer is the most common cancer among Australian women, accounting for 27% of all cancer diagnoses and with an average age of first diagnosis of 60 years in 2007 (AIHW &amp; AACR 2010; AIHW &amp; NBOCC 2009).</w:t>
      </w:r>
    </w:p>
    <w:p w14:paraId="70ACBBBD" w14:textId="77777777" w:rsidR="00376952" w:rsidRPr="00376952" w:rsidRDefault="00376952" w:rsidP="00376952">
      <w:pPr>
        <w:pStyle w:val="Text"/>
        <w:spacing w:after="0" w:line="240" w:lineRule="auto"/>
        <w:ind w:left="0"/>
        <w:rPr>
          <w:rFonts w:ascii="Times New Roman" w:hAnsi="Times New Roman"/>
          <w:sz w:val="24"/>
          <w:szCs w:val="24"/>
        </w:rPr>
      </w:pPr>
    </w:p>
    <w:p w14:paraId="471BEF9A" w14:textId="5580C098" w:rsidR="00EE138F" w:rsidRPr="00376952" w:rsidRDefault="00254BCC" w:rsidP="00376952">
      <w:pPr>
        <w:pStyle w:val="Text"/>
        <w:spacing w:after="0" w:line="240" w:lineRule="auto"/>
        <w:ind w:left="0"/>
        <w:rPr>
          <w:rFonts w:ascii="Times New Roman" w:hAnsi="Times New Roman"/>
          <w:sz w:val="24"/>
          <w:szCs w:val="24"/>
        </w:rPr>
      </w:pPr>
      <w:r w:rsidRPr="00376952">
        <w:rPr>
          <w:rFonts w:ascii="Times New Roman" w:hAnsi="Times New Roman"/>
          <w:sz w:val="24"/>
          <w:szCs w:val="24"/>
        </w:rPr>
        <w:t>The applicant propose</w:t>
      </w:r>
      <w:r w:rsidR="00206C24">
        <w:rPr>
          <w:rFonts w:ascii="Times New Roman" w:hAnsi="Times New Roman"/>
          <w:sz w:val="24"/>
          <w:szCs w:val="24"/>
        </w:rPr>
        <w:t>d</w:t>
      </w:r>
      <w:r w:rsidRPr="00376952">
        <w:rPr>
          <w:rFonts w:ascii="Times New Roman" w:hAnsi="Times New Roman"/>
          <w:sz w:val="24"/>
          <w:szCs w:val="24"/>
        </w:rPr>
        <w:t xml:space="preserve"> GEP of 21 genes </w:t>
      </w:r>
      <w:r w:rsidR="00021288" w:rsidRPr="00376952">
        <w:rPr>
          <w:rFonts w:ascii="Times New Roman" w:hAnsi="Times New Roman"/>
          <w:sz w:val="24"/>
          <w:szCs w:val="24"/>
        </w:rPr>
        <w:t xml:space="preserve">using the RT-PCR technique </w:t>
      </w:r>
      <w:r w:rsidRPr="00376952">
        <w:rPr>
          <w:rFonts w:ascii="Times New Roman" w:hAnsi="Times New Roman"/>
          <w:sz w:val="24"/>
          <w:szCs w:val="24"/>
        </w:rPr>
        <w:t xml:space="preserve">in patients </w:t>
      </w:r>
      <w:r w:rsidR="00EE138F" w:rsidRPr="00376952">
        <w:rPr>
          <w:rFonts w:ascii="Times New Roman" w:hAnsi="Times New Roman"/>
          <w:sz w:val="24"/>
          <w:szCs w:val="24"/>
        </w:rPr>
        <w:t>with the following disease</w:t>
      </w:r>
      <w:r w:rsidR="000B668F" w:rsidRPr="00376952">
        <w:rPr>
          <w:rFonts w:ascii="Times New Roman" w:hAnsi="Times New Roman"/>
          <w:sz w:val="24"/>
          <w:szCs w:val="24"/>
        </w:rPr>
        <w:t xml:space="preserve"> characteristics</w:t>
      </w:r>
      <w:r w:rsidR="00EE138F" w:rsidRPr="00376952">
        <w:rPr>
          <w:rFonts w:ascii="Times New Roman" w:hAnsi="Times New Roman"/>
          <w:sz w:val="24"/>
          <w:szCs w:val="24"/>
        </w:rPr>
        <w:t>:</w:t>
      </w:r>
    </w:p>
    <w:p w14:paraId="15C3C642" w14:textId="77777777" w:rsidR="00EE138F" w:rsidRPr="00376952" w:rsidRDefault="00EE138F" w:rsidP="00376952">
      <w:pPr>
        <w:pStyle w:val="Text"/>
        <w:numPr>
          <w:ilvl w:val="0"/>
          <w:numId w:val="12"/>
        </w:numPr>
        <w:spacing w:after="0" w:line="240" w:lineRule="auto"/>
        <w:rPr>
          <w:rFonts w:ascii="Times New Roman" w:hAnsi="Times New Roman"/>
          <w:sz w:val="24"/>
          <w:szCs w:val="24"/>
        </w:rPr>
      </w:pPr>
      <w:r w:rsidRPr="00376952">
        <w:rPr>
          <w:rFonts w:ascii="Times New Roman" w:hAnsi="Times New Roman"/>
          <w:sz w:val="24"/>
          <w:szCs w:val="24"/>
        </w:rPr>
        <w:t>Early breast cancer (stages I-II)</w:t>
      </w:r>
      <w:r w:rsidR="00A45B73" w:rsidRPr="00376952">
        <w:rPr>
          <w:rFonts w:ascii="Times New Roman" w:hAnsi="Times New Roman"/>
          <w:sz w:val="24"/>
          <w:szCs w:val="24"/>
        </w:rPr>
        <w:t>;</w:t>
      </w:r>
    </w:p>
    <w:p w14:paraId="12998741" w14:textId="77777777" w:rsidR="00EE138F" w:rsidRPr="00376952" w:rsidRDefault="00EE138F" w:rsidP="00376952">
      <w:pPr>
        <w:pStyle w:val="Text"/>
        <w:numPr>
          <w:ilvl w:val="0"/>
          <w:numId w:val="12"/>
        </w:numPr>
        <w:spacing w:after="0" w:line="240" w:lineRule="auto"/>
        <w:rPr>
          <w:rFonts w:ascii="Times New Roman" w:hAnsi="Times New Roman"/>
          <w:sz w:val="24"/>
          <w:szCs w:val="24"/>
        </w:rPr>
      </w:pPr>
      <w:r w:rsidRPr="00376952">
        <w:rPr>
          <w:rFonts w:ascii="Times New Roman" w:hAnsi="Times New Roman"/>
          <w:sz w:val="24"/>
          <w:szCs w:val="24"/>
        </w:rPr>
        <w:t>Suitable for hormone therapy</w:t>
      </w:r>
      <w:r w:rsidR="00A45B73" w:rsidRPr="00376952">
        <w:rPr>
          <w:rFonts w:ascii="Times New Roman" w:hAnsi="Times New Roman"/>
          <w:sz w:val="24"/>
          <w:szCs w:val="24"/>
        </w:rPr>
        <w:t>;</w:t>
      </w:r>
    </w:p>
    <w:p w14:paraId="26E681B6" w14:textId="77777777" w:rsidR="00EE138F" w:rsidRPr="00376952" w:rsidRDefault="00EE138F" w:rsidP="00376952">
      <w:pPr>
        <w:pStyle w:val="Text"/>
        <w:numPr>
          <w:ilvl w:val="0"/>
          <w:numId w:val="12"/>
        </w:numPr>
        <w:spacing w:after="0" w:line="240" w:lineRule="auto"/>
        <w:rPr>
          <w:rFonts w:ascii="Times New Roman" w:hAnsi="Times New Roman"/>
          <w:sz w:val="24"/>
          <w:szCs w:val="24"/>
        </w:rPr>
      </w:pPr>
      <w:r w:rsidRPr="00376952">
        <w:rPr>
          <w:rFonts w:ascii="Times New Roman" w:hAnsi="Times New Roman"/>
          <w:sz w:val="24"/>
          <w:szCs w:val="24"/>
        </w:rPr>
        <w:t>Suitable for adjuvant chemotherapy</w:t>
      </w:r>
      <w:r w:rsidR="00A45B73" w:rsidRPr="00376952">
        <w:rPr>
          <w:rFonts w:ascii="Times New Roman" w:hAnsi="Times New Roman"/>
          <w:sz w:val="24"/>
          <w:szCs w:val="24"/>
        </w:rPr>
        <w:t>;</w:t>
      </w:r>
    </w:p>
    <w:p w14:paraId="740AE653" w14:textId="77777777" w:rsidR="00EE138F" w:rsidRPr="00376952" w:rsidRDefault="00C07E90" w:rsidP="00376952">
      <w:pPr>
        <w:pStyle w:val="Text"/>
        <w:numPr>
          <w:ilvl w:val="0"/>
          <w:numId w:val="12"/>
        </w:numPr>
        <w:spacing w:after="0" w:line="240" w:lineRule="auto"/>
        <w:rPr>
          <w:rFonts w:ascii="Times New Roman" w:hAnsi="Times New Roman"/>
          <w:sz w:val="24"/>
          <w:szCs w:val="24"/>
        </w:rPr>
      </w:pPr>
      <w:r w:rsidRPr="00376952">
        <w:rPr>
          <w:rFonts w:ascii="Times New Roman" w:hAnsi="Times New Roman"/>
          <w:sz w:val="24"/>
          <w:szCs w:val="24"/>
        </w:rPr>
        <w:t>ECOG</w:t>
      </w:r>
      <w:r w:rsidR="00A45B73" w:rsidRPr="00376952">
        <w:rPr>
          <w:rFonts w:ascii="Times New Roman" w:hAnsi="Times New Roman"/>
          <w:sz w:val="24"/>
          <w:szCs w:val="24"/>
        </w:rPr>
        <w:t xml:space="preserve"> performance</w:t>
      </w:r>
      <w:r w:rsidRPr="00376952">
        <w:rPr>
          <w:rFonts w:ascii="Times New Roman" w:hAnsi="Times New Roman"/>
          <w:sz w:val="24"/>
          <w:szCs w:val="24"/>
        </w:rPr>
        <w:t xml:space="preserve"> status 0-2</w:t>
      </w:r>
      <w:r w:rsidR="00A45B73" w:rsidRPr="00376952">
        <w:rPr>
          <w:rFonts w:ascii="Times New Roman" w:hAnsi="Times New Roman"/>
          <w:sz w:val="24"/>
          <w:szCs w:val="24"/>
        </w:rPr>
        <w:t>;</w:t>
      </w:r>
      <w:r w:rsidR="00EE138F" w:rsidRPr="00376952">
        <w:rPr>
          <w:rFonts w:ascii="Times New Roman" w:hAnsi="Times New Roman"/>
          <w:sz w:val="24"/>
          <w:szCs w:val="24"/>
        </w:rPr>
        <w:t xml:space="preserve"> </w:t>
      </w:r>
    </w:p>
    <w:p w14:paraId="6132FBBB" w14:textId="77777777" w:rsidR="00EE138F" w:rsidRPr="00376952" w:rsidRDefault="00EE138F" w:rsidP="00376952">
      <w:pPr>
        <w:pStyle w:val="Text"/>
        <w:numPr>
          <w:ilvl w:val="0"/>
          <w:numId w:val="13"/>
        </w:numPr>
        <w:spacing w:after="0" w:line="240" w:lineRule="auto"/>
        <w:rPr>
          <w:rFonts w:ascii="Times New Roman" w:hAnsi="Times New Roman"/>
          <w:sz w:val="24"/>
          <w:szCs w:val="24"/>
        </w:rPr>
      </w:pPr>
      <w:r w:rsidRPr="00376952">
        <w:rPr>
          <w:rFonts w:ascii="Times New Roman" w:hAnsi="Times New Roman"/>
          <w:sz w:val="24"/>
          <w:szCs w:val="24"/>
        </w:rPr>
        <w:t>Invasive tumour &gt;2 mm</w:t>
      </w:r>
      <w:r w:rsidR="00A45B73" w:rsidRPr="00376952">
        <w:rPr>
          <w:rFonts w:ascii="Times New Roman" w:hAnsi="Times New Roman"/>
          <w:sz w:val="24"/>
          <w:szCs w:val="24"/>
        </w:rPr>
        <w:t>;</w:t>
      </w:r>
    </w:p>
    <w:p w14:paraId="7BF01F41" w14:textId="77777777" w:rsidR="00EE138F" w:rsidRPr="00376952" w:rsidRDefault="00EE138F" w:rsidP="00376952">
      <w:pPr>
        <w:pStyle w:val="Text"/>
        <w:numPr>
          <w:ilvl w:val="0"/>
          <w:numId w:val="13"/>
        </w:numPr>
        <w:spacing w:after="0" w:line="240" w:lineRule="auto"/>
        <w:rPr>
          <w:rFonts w:ascii="Times New Roman" w:hAnsi="Times New Roman"/>
          <w:sz w:val="24"/>
          <w:szCs w:val="24"/>
        </w:rPr>
      </w:pPr>
      <w:r w:rsidRPr="00376952">
        <w:rPr>
          <w:rFonts w:ascii="Times New Roman" w:hAnsi="Times New Roman"/>
          <w:sz w:val="24"/>
          <w:szCs w:val="24"/>
        </w:rPr>
        <w:t>Node negative or 1-3 positive nodes</w:t>
      </w:r>
      <w:r w:rsidR="00A45B73" w:rsidRPr="00376952">
        <w:rPr>
          <w:rFonts w:ascii="Times New Roman" w:hAnsi="Times New Roman"/>
          <w:sz w:val="24"/>
          <w:szCs w:val="24"/>
        </w:rPr>
        <w:t>;</w:t>
      </w:r>
    </w:p>
    <w:p w14:paraId="45EBF726" w14:textId="77777777" w:rsidR="00EE138F" w:rsidRPr="00376952" w:rsidRDefault="00A45B73" w:rsidP="00376952">
      <w:pPr>
        <w:pStyle w:val="Text"/>
        <w:numPr>
          <w:ilvl w:val="0"/>
          <w:numId w:val="13"/>
        </w:numPr>
        <w:spacing w:after="0" w:line="240" w:lineRule="auto"/>
        <w:rPr>
          <w:rFonts w:ascii="Times New Roman" w:hAnsi="Times New Roman"/>
          <w:sz w:val="24"/>
          <w:szCs w:val="24"/>
        </w:rPr>
      </w:pPr>
      <w:r w:rsidRPr="00376952">
        <w:rPr>
          <w:rFonts w:ascii="Times New Roman" w:hAnsi="Times New Roman"/>
          <w:sz w:val="24"/>
          <w:szCs w:val="24"/>
        </w:rPr>
        <w:t>ER+</w:t>
      </w:r>
      <w:r w:rsidR="00EE138F" w:rsidRPr="00376952">
        <w:rPr>
          <w:rFonts w:ascii="Times New Roman" w:hAnsi="Times New Roman"/>
          <w:sz w:val="24"/>
          <w:szCs w:val="24"/>
        </w:rPr>
        <w:t xml:space="preserve"> or PR+ as determined by </w:t>
      </w:r>
      <w:r w:rsidR="00C80488" w:rsidRPr="00376952">
        <w:rPr>
          <w:rFonts w:ascii="Times New Roman" w:hAnsi="Times New Roman"/>
          <w:sz w:val="24"/>
          <w:szCs w:val="24"/>
        </w:rPr>
        <w:t>Immunohistochemistry (</w:t>
      </w:r>
      <w:r w:rsidR="00EE138F" w:rsidRPr="00376952">
        <w:rPr>
          <w:rFonts w:ascii="Times New Roman" w:hAnsi="Times New Roman"/>
          <w:sz w:val="24"/>
          <w:szCs w:val="24"/>
        </w:rPr>
        <w:t>IHC</w:t>
      </w:r>
      <w:r w:rsidR="00C80488" w:rsidRPr="00376952">
        <w:rPr>
          <w:rFonts w:ascii="Times New Roman" w:hAnsi="Times New Roman"/>
          <w:sz w:val="24"/>
          <w:szCs w:val="24"/>
        </w:rPr>
        <w:t>)</w:t>
      </w:r>
      <w:r w:rsidRPr="00376952">
        <w:rPr>
          <w:rFonts w:ascii="Times New Roman" w:hAnsi="Times New Roman"/>
          <w:sz w:val="24"/>
          <w:szCs w:val="24"/>
        </w:rPr>
        <w:t>; and</w:t>
      </w:r>
    </w:p>
    <w:p w14:paraId="0875546F" w14:textId="77777777" w:rsidR="00E76080" w:rsidRPr="00376952" w:rsidRDefault="00EE138F" w:rsidP="00376952">
      <w:pPr>
        <w:pStyle w:val="Text"/>
        <w:numPr>
          <w:ilvl w:val="0"/>
          <w:numId w:val="13"/>
        </w:numPr>
        <w:spacing w:after="0" w:line="240" w:lineRule="auto"/>
        <w:rPr>
          <w:rFonts w:ascii="Times New Roman" w:hAnsi="Times New Roman"/>
          <w:sz w:val="24"/>
          <w:szCs w:val="24"/>
        </w:rPr>
      </w:pPr>
      <w:r w:rsidRPr="00376952">
        <w:rPr>
          <w:rFonts w:ascii="Times New Roman" w:hAnsi="Times New Roman"/>
          <w:sz w:val="24"/>
          <w:szCs w:val="24"/>
        </w:rPr>
        <w:t xml:space="preserve">HER2 negative as determined by IHC and/or </w:t>
      </w:r>
      <w:r w:rsidR="00C80488" w:rsidRPr="00376952">
        <w:rPr>
          <w:rFonts w:ascii="Times New Roman" w:hAnsi="Times New Roman"/>
          <w:sz w:val="24"/>
          <w:szCs w:val="24"/>
        </w:rPr>
        <w:t>in situ hybridisation(</w:t>
      </w:r>
      <w:r w:rsidRPr="00376952">
        <w:rPr>
          <w:rFonts w:ascii="Times New Roman" w:hAnsi="Times New Roman"/>
          <w:sz w:val="24"/>
          <w:szCs w:val="24"/>
        </w:rPr>
        <w:t>ISH</w:t>
      </w:r>
      <w:r w:rsidR="00C80488" w:rsidRPr="00376952">
        <w:rPr>
          <w:rFonts w:ascii="Times New Roman" w:hAnsi="Times New Roman"/>
          <w:sz w:val="24"/>
          <w:szCs w:val="24"/>
        </w:rPr>
        <w:t>).</w:t>
      </w:r>
    </w:p>
    <w:p w14:paraId="3FC7F14F" w14:textId="6F8A162F" w:rsidR="00B149C6" w:rsidRPr="00206C24" w:rsidRDefault="00A91791" w:rsidP="00506306">
      <w:pPr>
        <w:pStyle w:val="Heading1"/>
        <w:spacing w:before="0" w:after="0" w:line="240" w:lineRule="auto"/>
        <w:ind w:left="0"/>
        <w:rPr>
          <w:rFonts w:ascii="Arial" w:hAnsi="Arial" w:cs="Arial"/>
          <w:sz w:val="24"/>
          <w:szCs w:val="24"/>
        </w:rPr>
      </w:pPr>
      <w:r w:rsidRPr="00206C24">
        <w:rPr>
          <w:rFonts w:ascii="Arial" w:hAnsi="Arial" w:cs="Arial"/>
          <w:sz w:val="24"/>
          <w:szCs w:val="24"/>
        </w:rPr>
        <w:lastRenderedPageBreak/>
        <w:t>2.</w:t>
      </w:r>
      <w:r w:rsidRPr="00206C24">
        <w:rPr>
          <w:rFonts w:ascii="Arial" w:hAnsi="Arial" w:cs="Arial"/>
          <w:sz w:val="24"/>
          <w:szCs w:val="24"/>
        </w:rPr>
        <w:tab/>
      </w:r>
      <w:r w:rsidR="00B149C6" w:rsidRPr="00206C24">
        <w:rPr>
          <w:rFonts w:ascii="Arial" w:hAnsi="Arial" w:cs="Arial"/>
          <w:sz w:val="24"/>
          <w:szCs w:val="24"/>
        </w:rPr>
        <w:t>Background</w:t>
      </w:r>
    </w:p>
    <w:p w14:paraId="1A3A2A4D" w14:textId="77777777" w:rsidR="00F2198B" w:rsidRPr="00376952" w:rsidRDefault="00F2198B" w:rsidP="00506306">
      <w:pPr>
        <w:spacing w:after="0" w:line="240" w:lineRule="auto"/>
        <w:ind w:left="0"/>
        <w:rPr>
          <w:szCs w:val="24"/>
        </w:rPr>
      </w:pPr>
      <w:r w:rsidRPr="00376952">
        <w:rPr>
          <w:szCs w:val="24"/>
        </w:rPr>
        <w:t xml:space="preserve">There has been no previous MSAC consideration of GEP in breast cancer. </w:t>
      </w:r>
    </w:p>
    <w:p w14:paraId="2DAB2637" w14:textId="77777777" w:rsidR="00376952" w:rsidRDefault="00376952" w:rsidP="00506306">
      <w:pPr>
        <w:tabs>
          <w:tab w:val="left" w:pos="720"/>
          <w:tab w:val="left" w:pos="1140"/>
        </w:tabs>
        <w:spacing w:after="0" w:line="240" w:lineRule="auto"/>
        <w:ind w:left="0"/>
        <w:rPr>
          <w:b/>
          <w:szCs w:val="24"/>
          <w:lang w:val="en-US"/>
        </w:rPr>
      </w:pPr>
    </w:p>
    <w:p w14:paraId="5D6697AE" w14:textId="77777777" w:rsidR="009B7217" w:rsidRPr="00206C24" w:rsidRDefault="009B7217" w:rsidP="00206C24">
      <w:pPr>
        <w:pStyle w:val="Heading1"/>
        <w:spacing w:before="0" w:after="0" w:line="240" w:lineRule="auto"/>
        <w:ind w:left="0"/>
        <w:rPr>
          <w:rFonts w:ascii="Arial" w:hAnsi="Arial" w:cs="Arial"/>
          <w:sz w:val="24"/>
          <w:szCs w:val="24"/>
        </w:rPr>
      </w:pPr>
      <w:r w:rsidRPr="00206C24">
        <w:rPr>
          <w:rFonts w:ascii="Arial" w:hAnsi="Arial" w:cs="Arial"/>
          <w:sz w:val="24"/>
          <w:szCs w:val="24"/>
        </w:rPr>
        <w:t>3.</w:t>
      </w:r>
      <w:r w:rsidRPr="00206C24">
        <w:rPr>
          <w:rFonts w:ascii="Arial" w:hAnsi="Arial" w:cs="Arial"/>
          <w:sz w:val="24"/>
          <w:szCs w:val="24"/>
        </w:rPr>
        <w:tab/>
        <w:t>Prerequisites to implementation of any funding advice</w:t>
      </w:r>
    </w:p>
    <w:p w14:paraId="7FC979F4" w14:textId="3398594D" w:rsidR="00D32311" w:rsidRPr="00376952" w:rsidRDefault="002C20F6" w:rsidP="00506306">
      <w:pPr>
        <w:tabs>
          <w:tab w:val="left" w:pos="720"/>
          <w:tab w:val="left" w:pos="1140"/>
        </w:tabs>
        <w:spacing w:after="0" w:line="240" w:lineRule="auto"/>
        <w:ind w:left="0"/>
        <w:rPr>
          <w:szCs w:val="24"/>
        </w:rPr>
      </w:pPr>
      <w:r w:rsidRPr="00376952">
        <w:rPr>
          <w:szCs w:val="24"/>
        </w:rPr>
        <w:t>This application relate</w:t>
      </w:r>
      <w:r w:rsidR="00206C24">
        <w:rPr>
          <w:szCs w:val="24"/>
        </w:rPr>
        <w:t>d</w:t>
      </w:r>
      <w:r w:rsidRPr="00376952">
        <w:rPr>
          <w:szCs w:val="24"/>
        </w:rPr>
        <w:t xml:space="preserve"> to a test that is conducted in a single laboratory in the </w:t>
      </w:r>
      <w:r w:rsidR="00E76127">
        <w:rPr>
          <w:szCs w:val="24"/>
        </w:rPr>
        <w:t>USA</w:t>
      </w:r>
      <w:r w:rsidRPr="00376952">
        <w:rPr>
          <w:szCs w:val="24"/>
        </w:rPr>
        <w:t xml:space="preserve"> and so not subject to regulation by the Australian Therapeutic Goods Administration</w:t>
      </w:r>
      <w:r w:rsidR="00E76127">
        <w:rPr>
          <w:szCs w:val="24"/>
        </w:rPr>
        <w:t xml:space="preserve"> (TGA)</w:t>
      </w:r>
      <w:r w:rsidRPr="00376952">
        <w:rPr>
          <w:szCs w:val="24"/>
        </w:rPr>
        <w:t xml:space="preserve">. </w:t>
      </w:r>
    </w:p>
    <w:p w14:paraId="6F588970" w14:textId="19C8CD28" w:rsidR="00613A48" w:rsidRDefault="00613A48" w:rsidP="00506306">
      <w:pPr>
        <w:tabs>
          <w:tab w:val="left" w:pos="720"/>
          <w:tab w:val="left" w:pos="1140"/>
        </w:tabs>
        <w:spacing w:after="0" w:line="240" w:lineRule="auto"/>
        <w:ind w:left="0"/>
        <w:rPr>
          <w:szCs w:val="24"/>
        </w:rPr>
      </w:pPr>
      <w:r w:rsidRPr="00376952">
        <w:rPr>
          <w:szCs w:val="24"/>
        </w:rPr>
        <w:t>In vitro diagnostic medical devices (IVDs), such as Oncotype DX</w:t>
      </w:r>
      <w:r w:rsidR="00E76127" w:rsidRPr="00376952">
        <w:rPr>
          <w:szCs w:val="24"/>
          <w:vertAlign w:val="superscript"/>
        </w:rPr>
        <w:t>®</w:t>
      </w:r>
      <w:r w:rsidRPr="00376952">
        <w:rPr>
          <w:szCs w:val="24"/>
        </w:rPr>
        <w:t>, are currently not required to be registered on the Australian Register of Therapeutic Goods</w:t>
      </w:r>
      <w:r w:rsidR="00E76127">
        <w:rPr>
          <w:szCs w:val="24"/>
        </w:rPr>
        <w:t xml:space="preserve"> (ARTG)</w:t>
      </w:r>
      <w:r w:rsidRPr="00376952">
        <w:rPr>
          <w:szCs w:val="24"/>
        </w:rPr>
        <w:t xml:space="preserve">; however, under the TGA regulatory framework introduced in July 2010, IVDs </w:t>
      </w:r>
      <w:r w:rsidR="00CC35B8" w:rsidRPr="00376952">
        <w:rPr>
          <w:szCs w:val="24"/>
        </w:rPr>
        <w:t xml:space="preserve">provided in Australia </w:t>
      </w:r>
      <w:r w:rsidRPr="00376952">
        <w:rPr>
          <w:szCs w:val="24"/>
        </w:rPr>
        <w:t>will be required to be registered as of July 2014.</w:t>
      </w:r>
      <w:r w:rsidR="006C0794" w:rsidRPr="00376952">
        <w:rPr>
          <w:szCs w:val="24"/>
        </w:rPr>
        <w:t xml:space="preserve"> </w:t>
      </w:r>
    </w:p>
    <w:p w14:paraId="2D313F67" w14:textId="77777777" w:rsidR="00506306" w:rsidRPr="00376952" w:rsidRDefault="00506306" w:rsidP="00506306">
      <w:pPr>
        <w:tabs>
          <w:tab w:val="left" w:pos="720"/>
          <w:tab w:val="left" w:pos="1140"/>
        </w:tabs>
        <w:spacing w:after="0" w:line="240" w:lineRule="auto"/>
        <w:ind w:left="0"/>
        <w:rPr>
          <w:color w:val="FF0000"/>
          <w:szCs w:val="24"/>
        </w:rPr>
      </w:pPr>
    </w:p>
    <w:p w14:paraId="03802C59" w14:textId="184BBFC8" w:rsidR="00506306" w:rsidRDefault="00422A61" w:rsidP="00206C24">
      <w:pPr>
        <w:pStyle w:val="Text"/>
        <w:spacing w:after="0" w:line="240" w:lineRule="auto"/>
        <w:ind w:left="0"/>
        <w:rPr>
          <w:rFonts w:ascii="Times New Roman" w:hAnsi="Times New Roman"/>
          <w:sz w:val="24"/>
          <w:szCs w:val="24"/>
        </w:rPr>
      </w:pPr>
      <w:r w:rsidRPr="00376952">
        <w:rPr>
          <w:rFonts w:ascii="Times New Roman" w:hAnsi="Times New Roman"/>
          <w:sz w:val="24"/>
          <w:szCs w:val="24"/>
        </w:rPr>
        <w:t xml:space="preserve">The </w:t>
      </w:r>
      <w:r w:rsidR="004822AA" w:rsidRPr="00376952">
        <w:rPr>
          <w:rFonts w:ascii="Times New Roman" w:hAnsi="Times New Roman"/>
          <w:sz w:val="24"/>
          <w:szCs w:val="24"/>
        </w:rPr>
        <w:t>Oncotype DX</w:t>
      </w:r>
      <w:r w:rsidR="004822AA" w:rsidRPr="00376952">
        <w:rPr>
          <w:rFonts w:ascii="Times New Roman" w:hAnsi="Times New Roman"/>
          <w:sz w:val="24"/>
          <w:szCs w:val="24"/>
          <w:vertAlign w:val="superscript"/>
        </w:rPr>
        <w:t>®</w:t>
      </w:r>
      <w:r w:rsidR="006477F4" w:rsidRPr="00376952">
        <w:rPr>
          <w:rFonts w:ascii="Times New Roman" w:hAnsi="Times New Roman"/>
          <w:sz w:val="24"/>
          <w:szCs w:val="24"/>
        </w:rPr>
        <w:t xml:space="preserve"> </w:t>
      </w:r>
      <w:r w:rsidR="00074597" w:rsidRPr="00376952">
        <w:rPr>
          <w:rFonts w:ascii="Times New Roman" w:hAnsi="Times New Roman"/>
          <w:sz w:val="24"/>
          <w:szCs w:val="24"/>
        </w:rPr>
        <w:t xml:space="preserve">assay is registered </w:t>
      </w:r>
      <w:r w:rsidRPr="00376952">
        <w:rPr>
          <w:rFonts w:ascii="Times New Roman" w:hAnsi="Times New Roman"/>
          <w:sz w:val="24"/>
          <w:szCs w:val="24"/>
        </w:rPr>
        <w:t>in the US</w:t>
      </w:r>
      <w:r w:rsidR="00752130">
        <w:rPr>
          <w:rFonts w:ascii="Times New Roman" w:hAnsi="Times New Roman"/>
          <w:sz w:val="24"/>
          <w:szCs w:val="24"/>
        </w:rPr>
        <w:t>A</w:t>
      </w:r>
      <w:r w:rsidRPr="00376952">
        <w:rPr>
          <w:rFonts w:ascii="Times New Roman" w:hAnsi="Times New Roman"/>
          <w:sz w:val="24"/>
          <w:szCs w:val="24"/>
        </w:rPr>
        <w:t xml:space="preserve"> </w:t>
      </w:r>
      <w:r w:rsidR="006F5601" w:rsidRPr="00376952">
        <w:rPr>
          <w:rFonts w:ascii="Times New Roman" w:hAnsi="Times New Roman"/>
          <w:sz w:val="24"/>
          <w:szCs w:val="24"/>
        </w:rPr>
        <w:t xml:space="preserve">only </w:t>
      </w:r>
      <w:r w:rsidRPr="00376952">
        <w:rPr>
          <w:rFonts w:ascii="Times New Roman" w:hAnsi="Times New Roman"/>
          <w:sz w:val="24"/>
          <w:szCs w:val="24"/>
        </w:rPr>
        <w:t xml:space="preserve">as it is a test service that is exclusively performed in a single laboratory located in California, </w:t>
      </w:r>
      <w:r w:rsidR="00EF1C6F">
        <w:rPr>
          <w:rFonts w:ascii="Times New Roman" w:hAnsi="Times New Roman"/>
          <w:sz w:val="24"/>
          <w:szCs w:val="24"/>
        </w:rPr>
        <w:t>USA</w:t>
      </w:r>
      <w:r w:rsidRPr="00376952">
        <w:rPr>
          <w:rFonts w:ascii="Times New Roman" w:hAnsi="Times New Roman"/>
          <w:sz w:val="24"/>
          <w:szCs w:val="24"/>
        </w:rPr>
        <w:t>. The laboratory is certified to perform such testing with the United States’ Centers for Medicare and Medical Service (CMS) and accredited by the College of American Pathologists (CAP) under the United States Clinical Laboratory Improvement Amendment (CLIA) of 1988 and operates in accordance with federal and state laws.</w:t>
      </w:r>
    </w:p>
    <w:p w14:paraId="4B5E9159" w14:textId="77777777" w:rsidR="00206C24" w:rsidRPr="00206C24" w:rsidRDefault="00206C24" w:rsidP="00206C24">
      <w:pPr>
        <w:pStyle w:val="Text"/>
        <w:spacing w:after="0" w:line="240" w:lineRule="auto"/>
        <w:ind w:left="0"/>
        <w:rPr>
          <w:rFonts w:ascii="Times New Roman" w:hAnsi="Times New Roman"/>
          <w:sz w:val="24"/>
          <w:szCs w:val="24"/>
        </w:rPr>
      </w:pPr>
    </w:p>
    <w:p w14:paraId="2918EC51" w14:textId="77777777" w:rsidR="00A34BD3" w:rsidRPr="00447142" w:rsidRDefault="009B7217" w:rsidP="00157A54">
      <w:pPr>
        <w:pStyle w:val="Heading1"/>
        <w:spacing w:before="0" w:after="120" w:line="240" w:lineRule="auto"/>
        <w:ind w:left="0"/>
        <w:rPr>
          <w:rFonts w:ascii="Arial" w:hAnsi="Arial" w:cs="Arial"/>
          <w:sz w:val="24"/>
          <w:szCs w:val="24"/>
        </w:rPr>
      </w:pPr>
      <w:r>
        <w:rPr>
          <w:rFonts w:ascii="Arial" w:hAnsi="Arial" w:cs="Arial"/>
          <w:sz w:val="24"/>
          <w:szCs w:val="24"/>
        </w:rPr>
        <w:t>4</w:t>
      </w:r>
      <w:r w:rsidR="00157A54">
        <w:rPr>
          <w:rFonts w:ascii="Arial" w:hAnsi="Arial" w:cs="Arial"/>
          <w:sz w:val="24"/>
          <w:szCs w:val="24"/>
        </w:rPr>
        <w:t>.</w:t>
      </w:r>
      <w:r w:rsidR="00157A54">
        <w:rPr>
          <w:rFonts w:ascii="Arial" w:hAnsi="Arial" w:cs="Arial"/>
          <w:sz w:val="24"/>
          <w:szCs w:val="24"/>
        </w:rPr>
        <w:tab/>
      </w:r>
      <w:r w:rsidR="00133D8B" w:rsidRPr="00447142">
        <w:rPr>
          <w:rFonts w:ascii="Arial" w:hAnsi="Arial" w:cs="Arial"/>
          <w:sz w:val="24"/>
          <w:szCs w:val="24"/>
        </w:rPr>
        <w:t>Proposal for public funding</w:t>
      </w:r>
    </w:p>
    <w:p w14:paraId="6284310D" w14:textId="53A57559" w:rsidR="002127CF" w:rsidRPr="00206C24" w:rsidRDefault="002127CF" w:rsidP="00206C24">
      <w:pPr>
        <w:pStyle w:val="Caption"/>
        <w:spacing w:before="0" w:after="0" w:line="240" w:lineRule="auto"/>
        <w:ind w:left="0" w:firstLine="0"/>
        <w:rPr>
          <w:rFonts w:cs="Arial"/>
        </w:rPr>
      </w:pPr>
      <w:r w:rsidRPr="00206C24">
        <w:rPr>
          <w:rFonts w:cs="Arial"/>
        </w:rPr>
        <w:tab/>
      </w:r>
      <w:r w:rsidR="00752130">
        <w:rPr>
          <w:rFonts w:cs="Arial"/>
        </w:rPr>
        <w:t xml:space="preserve">Applicant </w:t>
      </w:r>
      <w:r w:rsidRPr="00206C24">
        <w:rPr>
          <w:rFonts w:cs="Arial"/>
        </w:rPr>
        <w:t xml:space="preserve">Proposed MBS item descriptor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4"/>
      </w:tblGrid>
      <w:tr w:rsidR="002127CF" w:rsidRPr="00464F44" w14:paraId="27EC3F7F" w14:textId="77777777" w:rsidTr="001C7939">
        <w:tc>
          <w:tcPr>
            <w:tcW w:w="9134" w:type="dxa"/>
          </w:tcPr>
          <w:p w14:paraId="045ABC08" w14:textId="77777777" w:rsidR="002127CF" w:rsidRPr="00464F44" w:rsidRDefault="002127CF" w:rsidP="00CB5BF3">
            <w:pPr>
              <w:spacing w:after="120" w:line="360" w:lineRule="auto"/>
              <w:ind w:left="0"/>
              <w:rPr>
                <w:rFonts w:ascii="Arial" w:hAnsi="Arial" w:cs="Arial"/>
                <w:sz w:val="20"/>
              </w:rPr>
            </w:pPr>
            <w:r w:rsidRPr="00464F44">
              <w:rPr>
                <w:rFonts w:ascii="Arial" w:hAnsi="Arial" w:cs="Arial"/>
                <w:sz w:val="20"/>
              </w:rPr>
              <w:t>MBS [item number] (proposed MBS item) Pathology Group P7 Genetics</w:t>
            </w:r>
          </w:p>
        </w:tc>
      </w:tr>
      <w:tr w:rsidR="002127CF" w:rsidRPr="00464F44" w14:paraId="63B904C5" w14:textId="77777777" w:rsidTr="001C7939">
        <w:tc>
          <w:tcPr>
            <w:tcW w:w="9134" w:type="dxa"/>
          </w:tcPr>
          <w:p w14:paraId="2D4CB4A5" w14:textId="77777777" w:rsidR="002127CF" w:rsidRPr="00464F44" w:rsidRDefault="002127CF" w:rsidP="001C7939">
            <w:pPr>
              <w:spacing w:after="120" w:line="240" w:lineRule="auto"/>
              <w:ind w:left="0"/>
              <w:rPr>
                <w:rFonts w:ascii="Arial" w:hAnsi="Arial" w:cs="Arial"/>
                <w:sz w:val="20"/>
              </w:rPr>
            </w:pPr>
            <w:r w:rsidRPr="00464F44">
              <w:rPr>
                <w:rFonts w:ascii="Arial" w:hAnsi="Arial" w:cs="Arial"/>
                <w:sz w:val="20"/>
              </w:rPr>
              <w:t>Gene expression profiling of tumour samples (surgical resection preferably or core biopsy) by reverse-transcriptase polymerase chain reaction (RT-PCR) technique for 21 genes in breast cancer tissue.</w:t>
            </w:r>
          </w:p>
          <w:p w14:paraId="72BAD8AF" w14:textId="77777777" w:rsidR="002127CF" w:rsidRPr="00464F44" w:rsidRDefault="002127CF" w:rsidP="001C7939">
            <w:pPr>
              <w:spacing w:after="120" w:line="240" w:lineRule="auto"/>
              <w:ind w:left="0"/>
              <w:rPr>
                <w:rFonts w:ascii="Arial" w:hAnsi="Arial" w:cs="Arial"/>
                <w:sz w:val="20"/>
              </w:rPr>
            </w:pPr>
            <w:r w:rsidRPr="00464F44">
              <w:rPr>
                <w:rFonts w:ascii="Arial" w:hAnsi="Arial" w:cs="Arial"/>
                <w:sz w:val="20"/>
              </w:rPr>
              <w:t>May only be used to test samples from patients with the following characteristics as determined by the referring clinician:</w:t>
            </w:r>
          </w:p>
          <w:p w14:paraId="05179B01" w14:textId="77777777" w:rsidR="002127CF" w:rsidRPr="00464F44" w:rsidRDefault="002127CF" w:rsidP="00351C0B">
            <w:pPr>
              <w:pStyle w:val="ListParagraph"/>
              <w:numPr>
                <w:ilvl w:val="0"/>
                <w:numId w:val="17"/>
              </w:numPr>
              <w:spacing w:after="120" w:line="240" w:lineRule="auto"/>
              <w:rPr>
                <w:rFonts w:ascii="Arial" w:hAnsi="Arial" w:cs="Arial"/>
                <w:sz w:val="20"/>
              </w:rPr>
            </w:pPr>
            <w:r w:rsidRPr="00464F44">
              <w:rPr>
                <w:rFonts w:ascii="Arial" w:hAnsi="Arial" w:cs="Arial"/>
                <w:sz w:val="20"/>
              </w:rPr>
              <w:t>early breast cancer (stages I-II)</w:t>
            </w:r>
          </w:p>
          <w:p w14:paraId="75A2185A" w14:textId="77777777" w:rsidR="002127CF" w:rsidRPr="00464F44" w:rsidRDefault="002127CF" w:rsidP="00351C0B">
            <w:pPr>
              <w:pStyle w:val="ListParagraph"/>
              <w:numPr>
                <w:ilvl w:val="0"/>
                <w:numId w:val="17"/>
              </w:numPr>
              <w:spacing w:after="120" w:line="240" w:lineRule="auto"/>
              <w:rPr>
                <w:rFonts w:ascii="Arial" w:hAnsi="Arial" w:cs="Arial"/>
                <w:sz w:val="20"/>
              </w:rPr>
            </w:pPr>
            <w:r w:rsidRPr="00464F44">
              <w:rPr>
                <w:rFonts w:ascii="Arial" w:hAnsi="Arial" w:cs="Arial"/>
                <w:sz w:val="20"/>
              </w:rPr>
              <w:t>suitable for hormone therapy</w:t>
            </w:r>
          </w:p>
          <w:p w14:paraId="668D2E3A" w14:textId="77777777" w:rsidR="002127CF" w:rsidRPr="00464F44" w:rsidRDefault="002127CF" w:rsidP="00351C0B">
            <w:pPr>
              <w:pStyle w:val="ListParagraph"/>
              <w:numPr>
                <w:ilvl w:val="0"/>
                <w:numId w:val="17"/>
              </w:numPr>
              <w:spacing w:after="120" w:line="240" w:lineRule="auto"/>
              <w:rPr>
                <w:rFonts w:ascii="Arial" w:hAnsi="Arial" w:cs="Arial"/>
                <w:sz w:val="20"/>
              </w:rPr>
            </w:pPr>
            <w:r w:rsidRPr="00464F44">
              <w:rPr>
                <w:rFonts w:ascii="Arial" w:hAnsi="Arial" w:cs="Arial"/>
                <w:sz w:val="20"/>
              </w:rPr>
              <w:t>suitable for adjuvant chemotherapy</w:t>
            </w:r>
          </w:p>
          <w:p w14:paraId="513358E3" w14:textId="77777777" w:rsidR="002127CF" w:rsidRPr="00464F44" w:rsidRDefault="002127CF" w:rsidP="00351C0B">
            <w:pPr>
              <w:pStyle w:val="ListParagraph"/>
              <w:numPr>
                <w:ilvl w:val="0"/>
                <w:numId w:val="17"/>
              </w:numPr>
              <w:spacing w:after="120" w:line="240" w:lineRule="auto"/>
              <w:rPr>
                <w:rFonts w:ascii="Arial" w:hAnsi="Arial" w:cs="Arial"/>
                <w:sz w:val="20"/>
              </w:rPr>
            </w:pPr>
            <w:r w:rsidRPr="00464F44">
              <w:rPr>
                <w:rFonts w:ascii="Arial" w:hAnsi="Arial" w:cs="Arial"/>
                <w:sz w:val="20"/>
              </w:rPr>
              <w:t>ECOG performance status 0-2</w:t>
            </w:r>
          </w:p>
          <w:p w14:paraId="39E5D2EF" w14:textId="77777777" w:rsidR="002127CF" w:rsidRPr="00464F44" w:rsidRDefault="002127CF" w:rsidP="001C7939">
            <w:pPr>
              <w:spacing w:after="120" w:line="240" w:lineRule="auto"/>
              <w:ind w:left="0"/>
              <w:rPr>
                <w:rFonts w:ascii="Arial" w:hAnsi="Arial" w:cs="Arial"/>
                <w:sz w:val="20"/>
              </w:rPr>
            </w:pPr>
            <w:r w:rsidRPr="00464F44">
              <w:rPr>
                <w:rFonts w:ascii="Arial" w:hAnsi="Arial" w:cs="Arial"/>
                <w:sz w:val="20"/>
              </w:rPr>
              <w:t>and</w:t>
            </w:r>
          </w:p>
          <w:p w14:paraId="40D9E5D4" w14:textId="77777777" w:rsidR="002127CF" w:rsidRPr="00464F44" w:rsidRDefault="002127CF" w:rsidP="001C7939">
            <w:pPr>
              <w:spacing w:after="120" w:line="240" w:lineRule="auto"/>
              <w:ind w:left="0"/>
              <w:rPr>
                <w:rFonts w:ascii="Arial" w:hAnsi="Arial" w:cs="Arial"/>
                <w:sz w:val="20"/>
              </w:rPr>
            </w:pPr>
            <w:r w:rsidRPr="00464F44">
              <w:rPr>
                <w:rFonts w:ascii="Arial" w:hAnsi="Arial" w:cs="Arial"/>
                <w:sz w:val="20"/>
              </w:rPr>
              <w:t>As determined by an Australian pathology laboratory</w:t>
            </w:r>
          </w:p>
          <w:p w14:paraId="0252C90A" w14:textId="77777777" w:rsidR="002127CF" w:rsidRPr="00464F44" w:rsidRDefault="002127CF" w:rsidP="00351C0B">
            <w:pPr>
              <w:pStyle w:val="ListParagraph"/>
              <w:numPr>
                <w:ilvl w:val="0"/>
                <w:numId w:val="18"/>
              </w:numPr>
              <w:spacing w:after="120" w:line="240" w:lineRule="auto"/>
              <w:rPr>
                <w:rFonts w:ascii="Arial" w:hAnsi="Arial" w:cs="Arial"/>
                <w:sz w:val="20"/>
              </w:rPr>
            </w:pPr>
            <w:r w:rsidRPr="00464F44">
              <w:rPr>
                <w:rFonts w:ascii="Arial" w:hAnsi="Arial" w:cs="Arial"/>
                <w:sz w:val="20"/>
              </w:rPr>
              <w:t xml:space="preserve">invasive tumour &gt;2mm </w:t>
            </w:r>
          </w:p>
          <w:p w14:paraId="3CF74200" w14:textId="77777777" w:rsidR="002127CF" w:rsidRPr="00464F44" w:rsidRDefault="002127CF" w:rsidP="00351C0B">
            <w:pPr>
              <w:pStyle w:val="ListParagraph"/>
              <w:numPr>
                <w:ilvl w:val="0"/>
                <w:numId w:val="18"/>
              </w:numPr>
              <w:spacing w:after="120" w:line="240" w:lineRule="auto"/>
              <w:rPr>
                <w:rFonts w:ascii="Arial" w:hAnsi="Arial" w:cs="Arial"/>
                <w:sz w:val="20"/>
              </w:rPr>
            </w:pPr>
            <w:r w:rsidRPr="00464F44">
              <w:rPr>
                <w:rFonts w:ascii="Arial" w:hAnsi="Arial" w:cs="Arial"/>
                <w:sz w:val="20"/>
              </w:rPr>
              <w:t>node negative or 1-3 positive nodes</w:t>
            </w:r>
          </w:p>
          <w:p w14:paraId="74ABCAC6" w14:textId="77777777" w:rsidR="002127CF" w:rsidRPr="00464F44" w:rsidRDefault="002127CF" w:rsidP="00351C0B">
            <w:pPr>
              <w:pStyle w:val="ListParagraph"/>
              <w:numPr>
                <w:ilvl w:val="0"/>
                <w:numId w:val="18"/>
              </w:numPr>
              <w:spacing w:after="120" w:line="240" w:lineRule="auto"/>
              <w:rPr>
                <w:rFonts w:ascii="Arial" w:hAnsi="Arial" w:cs="Arial"/>
                <w:sz w:val="20"/>
              </w:rPr>
            </w:pPr>
            <w:r w:rsidRPr="00464F44">
              <w:rPr>
                <w:rFonts w:ascii="Arial" w:hAnsi="Arial" w:cs="Arial"/>
                <w:sz w:val="20"/>
              </w:rPr>
              <w:t>oestrogen positive or progesterone positive as determined by immunohistochemistry</w:t>
            </w:r>
          </w:p>
          <w:p w14:paraId="7D8EF76D" w14:textId="77777777" w:rsidR="002127CF" w:rsidRPr="00464F44" w:rsidRDefault="002127CF" w:rsidP="00351C0B">
            <w:pPr>
              <w:pStyle w:val="ListParagraph"/>
              <w:numPr>
                <w:ilvl w:val="0"/>
                <w:numId w:val="18"/>
              </w:numPr>
              <w:spacing w:after="120" w:line="240" w:lineRule="auto"/>
              <w:rPr>
                <w:rFonts w:ascii="Arial" w:hAnsi="Arial" w:cs="Arial"/>
                <w:sz w:val="20"/>
              </w:rPr>
            </w:pPr>
            <w:r w:rsidRPr="00464F44">
              <w:rPr>
                <w:rFonts w:ascii="Arial" w:hAnsi="Arial" w:cs="Arial"/>
                <w:sz w:val="20"/>
              </w:rPr>
              <w:t xml:space="preserve">HER2 negative as determined by immunohistochemistry and/or in situ hybridisation </w:t>
            </w:r>
          </w:p>
          <w:p w14:paraId="70B70735" w14:textId="77777777" w:rsidR="002127CF" w:rsidRPr="00464F44" w:rsidRDefault="002127CF" w:rsidP="001C7939">
            <w:pPr>
              <w:spacing w:after="120" w:line="240" w:lineRule="auto"/>
              <w:ind w:left="0"/>
              <w:rPr>
                <w:rFonts w:ascii="Arial" w:hAnsi="Arial" w:cs="Arial"/>
                <w:sz w:val="20"/>
              </w:rPr>
            </w:pPr>
            <w:r w:rsidRPr="00464F44">
              <w:rPr>
                <w:rFonts w:ascii="Arial" w:hAnsi="Arial" w:cs="Arial"/>
                <w:sz w:val="20"/>
              </w:rPr>
              <w:t>May only be used once per new primary breast cancer diagnosis</w:t>
            </w:r>
          </w:p>
          <w:p w14:paraId="389C6AC6" w14:textId="4C176F56" w:rsidR="002127CF" w:rsidRPr="00464F44" w:rsidRDefault="002127CF" w:rsidP="00797C47">
            <w:pPr>
              <w:spacing w:after="120" w:line="240" w:lineRule="auto"/>
              <w:ind w:left="0"/>
              <w:rPr>
                <w:rFonts w:ascii="Arial" w:hAnsi="Arial" w:cs="Arial"/>
                <w:sz w:val="20"/>
              </w:rPr>
            </w:pPr>
            <w:r w:rsidRPr="00464F44">
              <w:rPr>
                <w:rFonts w:ascii="Arial" w:hAnsi="Arial" w:cs="Arial"/>
                <w:sz w:val="20"/>
              </w:rPr>
              <w:t xml:space="preserve">Fee: </w:t>
            </w:r>
            <w:r w:rsidR="00CF4519" w:rsidRPr="00464F44">
              <w:rPr>
                <w:rFonts w:ascii="Arial" w:hAnsi="Arial" w:cs="Arial"/>
                <w:sz w:val="20"/>
              </w:rPr>
              <w:t>$</w:t>
            </w:r>
            <w:r w:rsidR="00797C47" w:rsidRPr="00797C47">
              <w:rPr>
                <w:rFonts w:ascii="Arial" w:hAnsi="Arial" w:cs="Arial"/>
                <w:b/>
                <w:sz w:val="20"/>
              </w:rPr>
              <w:t>(redacted)</w:t>
            </w:r>
          </w:p>
        </w:tc>
      </w:tr>
    </w:tbl>
    <w:p w14:paraId="4BF8E769" w14:textId="77777777" w:rsidR="00E55A0E" w:rsidRDefault="00E55A0E" w:rsidP="00206C24">
      <w:pPr>
        <w:pStyle w:val="NoSpacing"/>
        <w:spacing w:after="0"/>
        <w:jc w:val="left"/>
        <w:rPr>
          <w:rFonts w:cs="Arial"/>
          <w:sz w:val="24"/>
          <w:szCs w:val="24"/>
          <w:lang w:val="en-AU"/>
        </w:rPr>
      </w:pPr>
    </w:p>
    <w:p w14:paraId="26D28BED" w14:textId="3A171E05" w:rsidR="00CF4519" w:rsidRDefault="00CF4519" w:rsidP="00206C24">
      <w:pPr>
        <w:pStyle w:val="NoSpacing"/>
        <w:spacing w:after="0"/>
        <w:jc w:val="left"/>
        <w:rPr>
          <w:rFonts w:ascii="Times New Roman" w:hAnsi="Times New Roman"/>
          <w:sz w:val="24"/>
          <w:szCs w:val="24"/>
          <w:lang w:val="en-AU"/>
        </w:rPr>
      </w:pPr>
      <w:r w:rsidRPr="00506306">
        <w:rPr>
          <w:rFonts w:ascii="Times New Roman" w:hAnsi="Times New Roman"/>
          <w:sz w:val="24"/>
          <w:szCs w:val="24"/>
          <w:lang w:val="en-AU"/>
        </w:rPr>
        <w:t xml:space="preserve">The </w:t>
      </w:r>
      <w:r w:rsidR="003916D5" w:rsidRPr="00506306">
        <w:rPr>
          <w:rFonts w:ascii="Times New Roman" w:hAnsi="Times New Roman"/>
          <w:sz w:val="24"/>
          <w:szCs w:val="24"/>
          <w:lang w:val="en-AU"/>
        </w:rPr>
        <w:t>application propos</w:t>
      </w:r>
      <w:r w:rsidR="00206C24">
        <w:rPr>
          <w:rFonts w:ascii="Times New Roman" w:hAnsi="Times New Roman"/>
          <w:sz w:val="24"/>
          <w:szCs w:val="24"/>
          <w:lang w:val="en-AU"/>
        </w:rPr>
        <w:t>ed</w:t>
      </w:r>
      <w:r w:rsidR="003916D5" w:rsidRPr="00506306">
        <w:rPr>
          <w:rFonts w:ascii="Times New Roman" w:hAnsi="Times New Roman"/>
          <w:sz w:val="24"/>
          <w:szCs w:val="24"/>
          <w:lang w:val="en-AU"/>
        </w:rPr>
        <w:t xml:space="preserve"> an MBS fee of</w:t>
      </w:r>
      <w:r w:rsidRPr="00506306">
        <w:rPr>
          <w:rFonts w:ascii="Times New Roman" w:hAnsi="Times New Roman"/>
          <w:sz w:val="24"/>
          <w:szCs w:val="24"/>
          <w:lang w:val="en-AU"/>
        </w:rPr>
        <w:t xml:space="preserve"> $</w:t>
      </w:r>
      <w:r w:rsidR="00797C47" w:rsidRPr="00797C47">
        <w:rPr>
          <w:rFonts w:ascii="Times New Roman" w:hAnsi="Times New Roman"/>
          <w:b/>
          <w:sz w:val="24"/>
          <w:szCs w:val="24"/>
          <w:lang w:val="en-AU"/>
        </w:rPr>
        <w:t>(redacted)</w:t>
      </w:r>
      <w:r w:rsidR="003916D5" w:rsidRPr="00797C47">
        <w:rPr>
          <w:rFonts w:ascii="Times New Roman" w:hAnsi="Times New Roman"/>
          <w:b/>
          <w:sz w:val="24"/>
          <w:szCs w:val="24"/>
          <w:lang w:val="en-AU"/>
        </w:rPr>
        <w:t xml:space="preserve"> </w:t>
      </w:r>
      <w:r w:rsidR="003916D5" w:rsidRPr="00506306">
        <w:rPr>
          <w:rFonts w:ascii="Times New Roman" w:hAnsi="Times New Roman"/>
          <w:sz w:val="24"/>
          <w:szCs w:val="24"/>
          <w:lang w:val="en-AU"/>
        </w:rPr>
        <w:t xml:space="preserve">to </w:t>
      </w:r>
      <w:r w:rsidRPr="00506306">
        <w:rPr>
          <w:rFonts w:ascii="Times New Roman" w:hAnsi="Times New Roman"/>
          <w:sz w:val="24"/>
          <w:szCs w:val="24"/>
          <w:lang w:val="en-AU"/>
        </w:rPr>
        <w:t xml:space="preserve">cover </w:t>
      </w:r>
      <w:r w:rsidR="003916D5" w:rsidRPr="00506306">
        <w:rPr>
          <w:rFonts w:ascii="Times New Roman" w:hAnsi="Times New Roman"/>
          <w:sz w:val="24"/>
          <w:szCs w:val="24"/>
          <w:lang w:val="en-AU"/>
        </w:rPr>
        <w:t xml:space="preserve">the </w:t>
      </w:r>
      <w:r w:rsidRPr="00506306">
        <w:rPr>
          <w:rFonts w:ascii="Times New Roman" w:hAnsi="Times New Roman"/>
          <w:sz w:val="24"/>
          <w:szCs w:val="24"/>
          <w:lang w:val="en-AU"/>
        </w:rPr>
        <w:t xml:space="preserve">costs of collecting and preparing the sample </w:t>
      </w:r>
      <w:r w:rsidR="003916D5" w:rsidRPr="00506306">
        <w:rPr>
          <w:rFonts w:ascii="Times New Roman" w:hAnsi="Times New Roman"/>
          <w:sz w:val="24"/>
          <w:szCs w:val="24"/>
          <w:lang w:val="en-AU"/>
        </w:rPr>
        <w:t>(</w:t>
      </w:r>
      <w:r w:rsidRPr="00506306">
        <w:rPr>
          <w:rFonts w:ascii="Times New Roman" w:hAnsi="Times New Roman"/>
          <w:sz w:val="24"/>
          <w:szCs w:val="24"/>
          <w:lang w:val="en-AU"/>
        </w:rPr>
        <w:t>performed in Australia</w:t>
      </w:r>
      <w:r w:rsidR="003916D5" w:rsidRPr="00506306">
        <w:rPr>
          <w:rFonts w:ascii="Times New Roman" w:hAnsi="Times New Roman"/>
          <w:sz w:val="24"/>
          <w:szCs w:val="24"/>
          <w:lang w:val="en-AU"/>
        </w:rPr>
        <w:t>)</w:t>
      </w:r>
      <w:r w:rsidRPr="00506306">
        <w:rPr>
          <w:rFonts w:ascii="Times New Roman" w:hAnsi="Times New Roman"/>
          <w:sz w:val="24"/>
          <w:szCs w:val="24"/>
          <w:lang w:val="en-AU"/>
        </w:rPr>
        <w:t>, sh</w:t>
      </w:r>
      <w:r w:rsidR="003916D5" w:rsidRPr="00506306">
        <w:rPr>
          <w:rFonts w:ascii="Times New Roman" w:hAnsi="Times New Roman"/>
          <w:sz w:val="24"/>
          <w:szCs w:val="24"/>
          <w:lang w:val="en-AU"/>
        </w:rPr>
        <w:t xml:space="preserve">ipping the sample overseas, </w:t>
      </w:r>
      <w:r w:rsidRPr="00506306">
        <w:rPr>
          <w:rFonts w:ascii="Times New Roman" w:hAnsi="Times New Roman"/>
          <w:sz w:val="24"/>
          <w:szCs w:val="24"/>
          <w:lang w:val="en-AU"/>
        </w:rPr>
        <w:t xml:space="preserve">performing the test in </w:t>
      </w:r>
      <w:r w:rsidR="003916D5" w:rsidRPr="00506306">
        <w:rPr>
          <w:rFonts w:ascii="Times New Roman" w:hAnsi="Times New Roman"/>
          <w:sz w:val="24"/>
          <w:szCs w:val="24"/>
          <w:lang w:val="en-AU"/>
        </w:rPr>
        <w:t xml:space="preserve">the </w:t>
      </w:r>
      <w:r w:rsidR="00F52DB4">
        <w:rPr>
          <w:rFonts w:ascii="Times New Roman" w:hAnsi="Times New Roman"/>
          <w:sz w:val="24"/>
          <w:szCs w:val="24"/>
          <w:lang w:val="en-AU"/>
        </w:rPr>
        <w:t xml:space="preserve">applicants </w:t>
      </w:r>
      <w:r w:rsidR="003916D5" w:rsidRPr="00506306">
        <w:rPr>
          <w:rFonts w:ascii="Times New Roman" w:hAnsi="Times New Roman"/>
          <w:sz w:val="24"/>
          <w:szCs w:val="24"/>
          <w:lang w:val="en-AU"/>
        </w:rPr>
        <w:t>laboratory, reporting the</w:t>
      </w:r>
      <w:r w:rsidRPr="00506306">
        <w:rPr>
          <w:rFonts w:ascii="Times New Roman" w:hAnsi="Times New Roman"/>
          <w:sz w:val="24"/>
          <w:szCs w:val="24"/>
          <w:lang w:val="en-AU"/>
        </w:rPr>
        <w:t xml:space="preserve"> results and return</w:t>
      </w:r>
      <w:r w:rsidR="003916D5" w:rsidRPr="00506306">
        <w:rPr>
          <w:rFonts w:ascii="Times New Roman" w:hAnsi="Times New Roman"/>
          <w:sz w:val="24"/>
          <w:szCs w:val="24"/>
          <w:lang w:val="en-AU"/>
        </w:rPr>
        <w:t>ing the sample</w:t>
      </w:r>
      <w:r w:rsidRPr="00506306">
        <w:rPr>
          <w:rFonts w:ascii="Times New Roman" w:hAnsi="Times New Roman"/>
          <w:sz w:val="24"/>
          <w:szCs w:val="24"/>
          <w:lang w:val="en-AU"/>
        </w:rPr>
        <w:t xml:space="preserve"> to Australia.</w:t>
      </w:r>
    </w:p>
    <w:p w14:paraId="13F2D934" w14:textId="77777777" w:rsidR="00506306" w:rsidRPr="00506306" w:rsidRDefault="00506306" w:rsidP="00506306">
      <w:pPr>
        <w:pStyle w:val="NoSpacing"/>
        <w:spacing w:after="0"/>
        <w:jc w:val="left"/>
        <w:rPr>
          <w:rFonts w:ascii="Times New Roman" w:hAnsi="Times New Roman"/>
          <w:sz w:val="24"/>
          <w:szCs w:val="24"/>
          <w:lang w:val="en-AU"/>
        </w:rPr>
      </w:pPr>
    </w:p>
    <w:p w14:paraId="764EC256" w14:textId="4704FCCB" w:rsidR="00CF4519" w:rsidRPr="00506306" w:rsidRDefault="002E4576" w:rsidP="00506306">
      <w:pPr>
        <w:pStyle w:val="NoSpacing"/>
        <w:spacing w:after="0"/>
        <w:jc w:val="left"/>
        <w:rPr>
          <w:rFonts w:ascii="Times New Roman" w:hAnsi="Times New Roman"/>
          <w:sz w:val="24"/>
          <w:szCs w:val="24"/>
          <w:lang w:val="en-AU"/>
        </w:rPr>
      </w:pPr>
      <w:r w:rsidRPr="00506306">
        <w:rPr>
          <w:rFonts w:ascii="Times New Roman" w:hAnsi="Times New Roman"/>
          <w:sz w:val="24"/>
          <w:szCs w:val="24"/>
          <w:lang w:val="en-AU"/>
        </w:rPr>
        <w:t xml:space="preserve">The </w:t>
      </w:r>
      <w:r w:rsidR="00134C82" w:rsidRPr="00506306">
        <w:rPr>
          <w:rFonts w:ascii="Times New Roman" w:hAnsi="Times New Roman"/>
          <w:sz w:val="24"/>
          <w:szCs w:val="24"/>
          <w:lang w:val="en-AU"/>
        </w:rPr>
        <w:t>application state</w:t>
      </w:r>
      <w:r w:rsidR="002A36A3">
        <w:rPr>
          <w:rFonts w:ascii="Times New Roman" w:hAnsi="Times New Roman"/>
          <w:sz w:val="24"/>
          <w:szCs w:val="24"/>
          <w:lang w:val="en-AU"/>
        </w:rPr>
        <w:t>d</w:t>
      </w:r>
      <w:r w:rsidR="00134C82" w:rsidRPr="00506306">
        <w:rPr>
          <w:rFonts w:ascii="Times New Roman" w:hAnsi="Times New Roman"/>
          <w:sz w:val="24"/>
          <w:szCs w:val="24"/>
          <w:lang w:val="en-AU"/>
        </w:rPr>
        <w:t xml:space="preserve"> that the </w:t>
      </w:r>
      <w:r w:rsidRPr="00506306">
        <w:rPr>
          <w:rFonts w:ascii="Times New Roman" w:hAnsi="Times New Roman"/>
          <w:sz w:val="24"/>
          <w:szCs w:val="24"/>
          <w:lang w:val="en-AU"/>
        </w:rPr>
        <w:t>majority of the</w:t>
      </w:r>
      <w:r w:rsidR="00CF4519" w:rsidRPr="00506306">
        <w:rPr>
          <w:rFonts w:ascii="Times New Roman" w:hAnsi="Times New Roman"/>
          <w:sz w:val="24"/>
          <w:szCs w:val="24"/>
          <w:lang w:val="en-AU"/>
        </w:rPr>
        <w:t xml:space="preserve"> MBS fee </w:t>
      </w:r>
      <w:r w:rsidRPr="00506306">
        <w:rPr>
          <w:rFonts w:ascii="Times New Roman" w:hAnsi="Times New Roman"/>
          <w:sz w:val="24"/>
          <w:szCs w:val="24"/>
          <w:lang w:val="en-AU"/>
        </w:rPr>
        <w:t>is</w:t>
      </w:r>
      <w:r w:rsidR="00CF4519" w:rsidRPr="00506306">
        <w:rPr>
          <w:rFonts w:ascii="Times New Roman" w:hAnsi="Times New Roman"/>
          <w:sz w:val="24"/>
          <w:szCs w:val="24"/>
          <w:lang w:val="en-AU"/>
        </w:rPr>
        <w:t xml:space="preserve"> the </w:t>
      </w:r>
      <w:r w:rsidR="0073166B">
        <w:rPr>
          <w:rFonts w:ascii="Times New Roman" w:hAnsi="Times New Roman"/>
          <w:sz w:val="24"/>
          <w:szCs w:val="24"/>
          <w:lang w:val="en-AU"/>
        </w:rPr>
        <w:t xml:space="preserve">cost </w:t>
      </w:r>
      <w:r w:rsidR="00CF4519" w:rsidRPr="00506306">
        <w:rPr>
          <w:rFonts w:ascii="Times New Roman" w:hAnsi="Times New Roman"/>
          <w:sz w:val="24"/>
          <w:szCs w:val="24"/>
          <w:lang w:val="en-AU"/>
        </w:rPr>
        <w:t>for performing the assay and d</w:t>
      </w:r>
      <w:r w:rsidR="00134C82" w:rsidRPr="00506306">
        <w:rPr>
          <w:rFonts w:ascii="Times New Roman" w:hAnsi="Times New Roman"/>
          <w:sz w:val="24"/>
          <w:szCs w:val="24"/>
          <w:lang w:val="en-AU"/>
        </w:rPr>
        <w:t>elivering the results</w:t>
      </w:r>
      <w:r w:rsidR="0073166B">
        <w:rPr>
          <w:rFonts w:ascii="Times New Roman" w:hAnsi="Times New Roman"/>
          <w:sz w:val="24"/>
          <w:szCs w:val="24"/>
          <w:lang w:val="en-AU"/>
        </w:rPr>
        <w:t>,</w:t>
      </w:r>
      <w:r w:rsidR="00134C82" w:rsidRPr="00506306">
        <w:rPr>
          <w:rFonts w:ascii="Times New Roman" w:hAnsi="Times New Roman"/>
          <w:sz w:val="24"/>
          <w:szCs w:val="24"/>
          <w:lang w:val="en-AU"/>
        </w:rPr>
        <w:t xml:space="preserve"> whereas the cost</w:t>
      </w:r>
      <w:r w:rsidR="00CF4519" w:rsidRPr="00506306">
        <w:rPr>
          <w:rFonts w:ascii="Times New Roman" w:hAnsi="Times New Roman"/>
          <w:sz w:val="24"/>
          <w:szCs w:val="24"/>
          <w:lang w:val="en-AU"/>
        </w:rPr>
        <w:t xml:space="preserve"> of obtain</w:t>
      </w:r>
      <w:r w:rsidR="00070650" w:rsidRPr="00506306">
        <w:rPr>
          <w:rFonts w:ascii="Times New Roman" w:hAnsi="Times New Roman"/>
          <w:sz w:val="24"/>
          <w:szCs w:val="24"/>
          <w:lang w:val="en-AU"/>
        </w:rPr>
        <w:t>ing</w:t>
      </w:r>
      <w:r w:rsidR="00CF4519" w:rsidRPr="00506306">
        <w:rPr>
          <w:rFonts w:ascii="Times New Roman" w:hAnsi="Times New Roman"/>
          <w:sz w:val="24"/>
          <w:szCs w:val="24"/>
          <w:lang w:val="en-AU"/>
        </w:rPr>
        <w:t xml:space="preserve"> the </w:t>
      </w:r>
      <w:r w:rsidR="004822AA" w:rsidRPr="00506306">
        <w:rPr>
          <w:rFonts w:ascii="Times New Roman" w:hAnsi="Times New Roman"/>
          <w:sz w:val="24"/>
          <w:szCs w:val="24"/>
          <w:lang w:val="en-AU"/>
        </w:rPr>
        <w:t>Oncotype DX</w:t>
      </w:r>
      <w:r w:rsidR="004822AA" w:rsidRPr="00506306">
        <w:rPr>
          <w:rFonts w:ascii="Times New Roman" w:hAnsi="Times New Roman"/>
          <w:sz w:val="24"/>
          <w:szCs w:val="24"/>
          <w:vertAlign w:val="superscript"/>
          <w:lang w:val="en-AU"/>
        </w:rPr>
        <w:t>®</w:t>
      </w:r>
      <w:r w:rsidR="00CF4519" w:rsidRPr="00506306">
        <w:rPr>
          <w:rFonts w:ascii="Times New Roman" w:hAnsi="Times New Roman"/>
          <w:sz w:val="24"/>
          <w:szCs w:val="24"/>
          <w:lang w:val="en-AU"/>
        </w:rPr>
        <w:t xml:space="preserve"> Specimen Kit amount</w:t>
      </w:r>
      <w:r w:rsidR="00070650" w:rsidRPr="00506306">
        <w:rPr>
          <w:rFonts w:ascii="Times New Roman" w:hAnsi="Times New Roman"/>
          <w:sz w:val="24"/>
          <w:szCs w:val="24"/>
          <w:lang w:val="en-AU"/>
        </w:rPr>
        <w:t>s</w:t>
      </w:r>
      <w:r w:rsidR="00CF4519" w:rsidRPr="00506306">
        <w:rPr>
          <w:rFonts w:ascii="Times New Roman" w:hAnsi="Times New Roman"/>
          <w:sz w:val="24"/>
          <w:szCs w:val="24"/>
          <w:lang w:val="en-AU"/>
        </w:rPr>
        <w:t xml:space="preserve"> to a small fraction of the proposed </w:t>
      </w:r>
      <w:r w:rsidR="00134C82" w:rsidRPr="00506306">
        <w:rPr>
          <w:rFonts w:ascii="Times New Roman" w:hAnsi="Times New Roman"/>
          <w:sz w:val="24"/>
          <w:szCs w:val="24"/>
          <w:lang w:val="en-AU"/>
        </w:rPr>
        <w:t xml:space="preserve">MBS </w:t>
      </w:r>
      <w:r w:rsidR="00CF4519" w:rsidRPr="00506306">
        <w:rPr>
          <w:rFonts w:ascii="Times New Roman" w:hAnsi="Times New Roman"/>
          <w:sz w:val="24"/>
          <w:szCs w:val="24"/>
          <w:lang w:val="en-AU"/>
        </w:rPr>
        <w:t xml:space="preserve">fee. </w:t>
      </w:r>
      <w:r w:rsidR="00134C82" w:rsidRPr="00506306">
        <w:rPr>
          <w:rFonts w:ascii="Times New Roman" w:hAnsi="Times New Roman"/>
          <w:sz w:val="24"/>
          <w:szCs w:val="24"/>
          <w:lang w:val="en-AU"/>
        </w:rPr>
        <w:t>The applicant (</w:t>
      </w:r>
      <w:r w:rsidR="00CF4519" w:rsidRPr="00506306">
        <w:rPr>
          <w:rFonts w:ascii="Times New Roman" w:hAnsi="Times New Roman"/>
          <w:sz w:val="24"/>
          <w:szCs w:val="24"/>
          <w:lang w:val="en-AU"/>
        </w:rPr>
        <w:t>GHI</w:t>
      </w:r>
      <w:r w:rsidR="00134C82" w:rsidRPr="00506306">
        <w:rPr>
          <w:rFonts w:ascii="Times New Roman" w:hAnsi="Times New Roman"/>
          <w:sz w:val="24"/>
          <w:szCs w:val="24"/>
          <w:lang w:val="en-AU"/>
        </w:rPr>
        <w:t>)</w:t>
      </w:r>
      <w:r w:rsidR="00CF4519" w:rsidRPr="00506306">
        <w:rPr>
          <w:rFonts w:ascii="Times New Roman" w:hAnsi="Times New Roman"/>
          <w:sz w:val="24"/>
          <w:szCs w:val="24"/>
          <w:lang w:val="en-AU"/>
        </w:rPr>
        <w:t xml:space="preserve"> </w:t>
      </w:r>
      <w:r w:rsidR="00134C82" w:rsidRPr="00506306">
        <w:rPr>
          <w:rFonts w:ascii="Times New Roman" w:hAnsi="Times New Roman"/>
          <w:sz w:val="24"/>
          <w:szCs w:val="24"/>
          <w:lang w:val="en-AU"/>
        </w:rPr>
        <w:t>is willing to</w:t>
      </w:r>
      <w:r w:rsidR="00CF4519" w:rsidRPr="00506306">
        <w:rPr>
          <w:rFonts w:ascii="Times New Roman" w:hAnsi="Times New Roman"/>
          <w:sz w:val="24"/>
          <w:szCs w:val="24"/>
          <w:lang w:val="en-AU"/>
        </w:rPr>
        <w:t xml:space="preserve"> negotiate the </w:t>
      </w:r>
      <w:r w:rsidR="00134C82" w:rsidRPr="00506306">
        <w:rPr>
          <w:rFonts w:ascii="Times New Roman" w:hAnsi="Times New Roman"/>
          <w:sz w:val="24"/>
          <w:szCs w:val="24"/>
          <w:lang w:val="en-AU"/>
        </w:rPr>
        <w:t>MBS fee to ensure</w:t>
      </w:r>
      <w:r w:rsidR="00CF4519" w:rsidRPr="00506306">
        <w:rPr>
          <w:rFonts w:ascii="Times New Roman" w:hAnsi="Times New Roman"/>
          <w:sz w:val="24"/>
          <w:szCs w:val="24"/>
          <w:lang w:val="en-AU"/>
        </w:rPr>
        <w:t xml:space="preserve"> equitable and cost-effective access in Australia.</w:t>
      </w:r>
    </w:p>
    <w:p w14:paraId="0E485E34" w14:textId="2D090E16" w:rsidR="00D22745" w:rsidRDefault="00D66B26" w:rsidP="00506306">
      <w:pPr>
        <w:tabs>
          <w:tab w:val="left" w:pos="720"/>
          <w:tab w:val="left" w:pos="1140"/>
        </w:tabs>
        <w:spacing w:after="0" w:line="240" w:lineRule="auto"/>
        <w:ind w:left="0"/>
        <w:rPr>
          <w:szCs w:val="24"/>
        </w:rPr>
      </w:pPr>
      <w:r w:rsidRPr="00506306">
        <w:rPr>
          <w:szCs w:val="24"/>
        </w:rPr>
        <w:t>Any patients deemed not suitable for chemotherapy or unable to tolerate chemotherapy would be ineligible for</w:t>
      </w:r>
      <w:r w:rsidR="00EF1C6F">
        <w:rPr>
          <w:szCs w:val="24"/>
        </w:rPr>
        <w:t xml:space="preserve"> the</w:t>
      </w:r>
      <w:r w:rsidRPr="00506306">
        <w:rPr>
          <w:szCs w:val="24"/>
        </w:rPr>
        <w:t xml:space="preserve"> </w:t>
      </w:r>
      <w:r w:rsidR="0073166B">
        <w:rPr>
          <w:szCs w:val="24"/>
        </w:rPr>
        <w:t>GEP</w:t>
      </w:r>
      <w:r w:rsidRPr="00506306">
        <w:rPr>
          <w:szCs w:val="24"/>
        </w:rPr>
        <w:t xml:space="preserve"> test. </w:t>
      </w:r>
    </w:p>
    <w:p w14:paraId="66834C79" w14:textId="77777777" w:rsidR="00506306" w:rsidRPr="00506306" w:rsidRDefault="00506306" w:rsidP="00506306">
      <w:pPr>
        <w:tabs>
          <w:tab w:val="left" w:pos="720"/>
          <w:tab w:val="left" w:pos="1140"/>
        </w:tabs>
        <w:spacing w:after="0" w:line="240" w:lineRule="auto"/>
        <w:ind w:left="0"/>
        <w:rPr>
          <w:szCs w:val="24"/>
        </w:rPr>
      </w:pPr>
    </w:p>
    <w:p w14:paraId="0952B42E" w14:textId="2E06B46D" w:rsidR="00DA418A" w:rsidRDefault="008320B6" w:rsidP="00506306">
      <w:pPr>
        <w:tabs>
          <w:tab w:val="left" w:pos="720"/>
          <w:tab w:val="left" w:pos="1140"/>
        </w:tabs>
        <w:spacing w:after="0" w:line="240" w:lineRule="auto"/>
        <w:ind w:left="0"/>
        <w:rPr>
          <w:szCs w:val="24"/>
        </w:rPr>
      </w:pPr>
      <w:r w:rsidRPr="00506306">
        <w:rPr>
          <w:szCs w:val="24"/>
        </w:rPr>
        <w:t>P</w:t>
      </w:r>
      <w:r w:rsidR="00DA418A" w:rsidRPr="00506306">
        <w:rPr>
          <w:szCs w:val="24"/>
        </w:rPr>
        <w:t xml:space="preserve">atients diagnosed with node-negative or 1–3 positive nodes, ER+ or PR+, HER2-, early </w:t>
      </w:r>
      <w:r w:rsidRPr="00506306">
        <w:rPr>
          <w:szCs w:val="24"/>
        </w:rPr>
        <w:t>(</w:t>
      </w:r>
      <w:r w:rsidR="00DA418A" w:rsidRPr="00506306">
        <w:rPr>
          <w:szCs w:val="24"/>
        </w:rPr>
        <w:t>stage</w:t>
      </w:r>
      <w:r w:rsidRPr="00506306">
        <w:rPr>
          <w:szCs w:val="24"/>
        </w:rPr>
        <w:t xml:space="preserve"> I or II)</w:t>
      </w:r>
      <w:r w:rsidR="00DA418A" w:rsidRPr="00506306">
        <w:rPr>
          <w:szCs w:val="24"/>
        </w:rPr>
        <w:t xml:space="preserve"> breast cancer</w:t>
      </w:r>
      <w:r w:rsidR="00D66B26" w:rsidRPr="00506306">
        <w:rPr>
          <w:szCs w:val="24"/>
        </w:rPr>
        <w:t xml:space="preserve"> </w:t>
      </w:r>
      <w:r w:rsidRPr="00506306">
        <w:rPr>
          <w:szCs w:val="24"/>
        </w:rPr>
        <w:t xml:space="preserve">with an invasive tumour &gt;2 mm </w:t>
      </w:r>
      <w:r w:rsidR="009A4A5F" w:rsidRPr="00506306">
        <w:rPr>
          <w:szCs w:val="24"/>
        </w:rPr>
        <w:t xml:space="preserve">who are </w:t>
      </w:r>
      <w:r w:rsidRPr="00506306">
        <w:rPr>
          <w:szCs w:val="24"/>
        </w:rPr>
        <w:t xml:space="preserve">suitable for chemotherapy would be </w:t>
      </w:r>
      <w:r w:rsidR="00D66B26" w:rsidRPr="00506306">
        <w:rPr>
          <w:szCs w:val="24"/>
        </w:rPr>
        <w:t xml:space="preserve">eligible </w:t>
      </w:r>
      <w:r w:rsidRPr="00506306">
        <w:rPr>
          <w:szCs w:val="24"/>
        </w:rPr>
        <w:t>for the</w:t>
      </w:r>
      <w:r w:rsidR="00DA418A" w:rsidRPr="00506306">
        <w:rPr>
          <w:szCs w:val="24"/>
        </w:rPr>
        <w:t xml:space="preserve"> </w:t>
      </w:r>
      <w:r w:rsidR="00EF1C6F">
        <w:rPr>
          <w:szCs w:val="24"/>
        </w:rPr>
        <w:t>GEP</w:t>
      </w:r>
      <w:r w:rsidR="00DA418A" w:rsidRPr="00506306">
        <w:rPr>
          <w:szCs w:val="24"/>
        </w:rPr>
        <w:t xml:space="preserve"> test.</w:t>
      </w:r>
    </w:p>
    <w:p w14:paraId="56199AB8" w14:textId="77777777" w:rsidR="00506306" w:rsidRPr="00506306" w:rsidRDefault="00506306" w:rsidP="00506306">
      <w:pPr>
        <w:tabs>
          <w:tab w:val="left" w:pos="720"/>
          <w:tab w:val="left" w:pos="1140"/>
        </w:tabs>
        <w:spacing w:after="0" w:line="240" w:lineRule="auto"/>
        <w:ind w:left="0"/>
        <w:rPr>
          <w:szCs w:val="24"/>
        </w:rPr>
      </w:pPr>
    </w:p>
    <w:p w14:paraId="073C479D" w14:textId="2788A068" w:rsidR="00DA418A" w:rsidRPr="00506306" w:rsidRDefault="001F7ADD" w:rsidP="00506306">
      <w:pPr>
        <w:tabs>
          <w:tab w:val="left" w:pos="720"/>
          <w:tab w:val="left" w:pos="1140"/>
        </w:tabs>
        <w:spacing w:after="0" w:line="240" w:lineRule="auto"/>
        <w:ind w:left="0"/>
        <w:rPr>
          <w:szCs w:val="24"/>
        </w:rPr>
      </w:pPr>
      <w:r w:rsidRPr="00506306">
        <w:rPr>
          <w:szCs w:val="24"/>
        </w:rPr>
        <w:t>Patients who have received neoadjuvant chemotherapy</w:t>
      </w:r>
      <w:r w:rsidR="00D66B26" w:rsidRPr="00506306">
        <w:rPr>
          <w:szCs w:val="24"/>
        </w:rPr>
        <w:t xml:space="preserve"> </w:t>
      </w:r>
      <w:r w:rsidR="008320B6" w:rsidRPr="00506306">
        <w:rPr>
          <w:szCs w:val="24"/>
        </w:rPr>
        <w:t>would</w:t>
      </w:r>
      <w:r w:rsidRPr="00506306">
        <w:rPr>
          <w:szCs w:val="24"/>
        </w:rPr>
        <w:t xml:space="preserve"> cont</w:t>
      </w:r>
      <w:r w:rsidR="008320B6" w:rsidRPr="00506306">
        <w:rPr>
          <w:szCs w:val="24"/>
        </w:rPr>
        <w:t>inue to receive chemotherapy</w:t>
      </w:r>
      <w:r w:rsidR="00411037" w:rsidRPr="00506306">
        <w:rPr>
          <w:szCs w:val="24"/>
        </w:rPr>
        <w:t xml:space="preserve"> therefore </w:t>
      </w:r>
      <w:r w:rsidR="00EF1C6F">
        <w:rPr>
          <w:szCs w:val="24"/>
        </w:rPr>
        <w:t>the GEP test</w:t>
      </w:r>
      <w:r w:rsidRPr="00506306">
        <w:rPr>
          <w:szCs w:val="24"/>
          <w:vertAlign w:val="superscript"/>
        </w:rPr>
        <w:t xml:space="preserve"> </w:t>
      </w:r>
      <w:r w:rsidR="008320B6" w:rsidRPr="00506306">
        <w:rPr>
          <w:szCs w:val="24"/>
        </w:rPr>
        <w:t>would</w:t>
      </w:r>
      <w:r w:rsidRPr="00506306">
        <w:rPr>
          <w:szCs w:val="24"/>
        </w:rPr>
        <w:t xml:space="preserve"> not be required for the treatment decision.</w:t>
      </w:r>
    </w:p>
    <w:p w14:paraId="7E3FD44B" w14:textId="2877B9A0" w:rsidR="00D66B26" w:rsidRDefault="002127CF" w:rsidP="002A36A3">
      <w:pPr>
        <w:pStyle w:val="Text"/>
        <w:spacing w:after="0" w:line="240" w:lineRule="auto"/>
        <w:ind w:left="0"/>
        <w:rPr>
          <w:rFonts w:ascii="Times New Roman" w:hAnsi="Times New Roman"/>
          <w:sz w:val="24"/>
          <w:szCs w:val="24"/>
        </w:rPr>
      </w:pPr>
      <w:r w:rsidRPr="00506306">
        <w:rPr>
          <w:rFonts w:ascii="Times New Roman" w:hAnsi="Times New Roman"/>
          <w:sz w:val="24"/>
          <w:szCs w:val="24"/>
        </w:rPr>
        <w:t xml:space="preserve">Ordering of the </w:t>
      </w:r>
      <w:r w:rsidR="00EF1C6F">
        <w:rPr>
          <w:rFonts w:ascii="Times New Roman" w:hAnsi="Times New Roman"/>
          <w:sz w:val="24"/>
          <w:szCs w:val="24"/>
        </w:rPr>
        <w:t>GEP</w:t>
      </w:r>
      <w:r w:rsidR="004822AA" w:rsidRPr="00506306">
        <w:rPr>
          <w:rFonts w:ascii="Times New Roman" w:hAnsi="Times New Roman"/>
          <w:sz w:val="24"/>
          <w:szCs w:val="24"/>
        </w:rPr>
        <w:t xml:space="preserve"> </w:t>
      </w:r>
      <w:r w:rsidRPr="00506306">
        <w:rPr>
          <w:rFonts w:ascii="Times New Roman" w:hAnsi="Times New Roman"/>
          <w:sz w:val="24"/>
          <w:szCs w:val="24"/>
        </w:rPr>
        <w:t xml:space="preserve">test should be restricted to oncologists or surgeons, once patients are diagnosed with node-negative or 1–3 positive nodes, ER+ or PR+, HER2-, early stage breast cancer. </w:t>
      </w:r>
    </w:p>
    <w:p w14:paraId="089D3DF9" w14:textId="77777777" w:rsidR="002A36A3" w:rsidRPr="002A36A3" w:rsidRDefault="002A36A3" w:rsidP="00C667AF">
      <w:pPr>
        <w:spacing w:after="0" w:line="240" w:lineRule="auto"/>
      </w:pPr>
    </w:p>
    <w:p w14:paraId="32E3DD27" w14:textId="2F5159BD" w:rsidR="004631A9" w:rsidRPr="00C667AF" w:rsidRDefault="009B7217" w:rsidP="00C667AF">
      <w:pPr>
        <w:pStyle w:val="Heading1"/>
        <w:spacing w:before="0" w:after="0" w:line="240" w:lineRule="auto"/>
        <w:ind w:left="0"/>
        <w:rPr>
          <w:rFonts w:ascii="Arial" w:hAnsi="Arial" w:cs="Arial"/>
          <w:sz w:val="24"/>
          <w:szCs w:val="24"/>
        </w:rPr>
      </w:pPr>
      <w:r w:rsidRPr="00C667AF">
        <w:rPr>
          <w:rFonts w:ascii="Arial" w:hAnsi="Arial" w:cs="Arial"/>
          <w:sz w:val="24"/>
          <w:szCs w:val="24"/>
        </w:rPr>
        <w:t>5</w:t>
      </w:r>
      <w:r w:rsidR="001E238F" w:rsidRPr="00C667AF">
        <w:rPr>
          <w:rFonts w:ascii="Arial" w:hAnsi="Arial" w:cs="Arial"/>
          <w:sz w:val="24"/>
          <w:szCs w:val="24"/>
        </w:rPr>
        <w:t>.</w:t>
      </w:r>
      <w:r w:rsidR="001E238F" w:rsidRPr="00C667AF">
        <w:rPr>
          <w:rFonts w:ascii="Arial" w:hAnsi="Arial" w:cs="Arial"/>
          <w:sz w:val="24"/>
          <w:szCs w:val="24"/>
        </w:rPr>
        <w:tab/>
      </w:r>
      <w:r w:rsidR="00D03BC1" w:rsidRPr="00C667AF">
        <w:rPr>
          <w:rFonts w:ascii="Arial" w:hAnsi="Arial" w:cs="Arial"/>
          <w:sz w:val="24"/>
          <w:szCs w:val="24"/>
        </w:rPr>
        <w:t>Consumer Impact Statement</w:t>
      </w:r>
    </w:p>
    <w:p w14:paraId="6AA7DF5B" w14:textId="19451D2E" w:rsidR="004631A9" w:rsidRPr="00506306" w:rsidRDefault="004631A9" w:rsidP="00C667AF">
      <w:pPr>
        <w:tabs>
          <w:tab w:val="left" w:pos="426"/>
        </w:tabs>
        <w:spacing w:after="0" w:line="240" w:lineRule="auto"/>
        <w:ind w:left="0"/>
        <w:rPr>
          <w:szCs w:val="24"/>
        </w:rPr>
      </w:pPr>
      <w:r w:rsidRPr="00506306">
        <w:rPr>
          <w:szCs w:val="24"/>
        </w:rPr>
        <w:t>Feedback from consumers and professional bodies broadly support</w:t>
      </w:r>
      <w:r w:rsidR="000E43BE" w:rsidRPr="00506306">
        <w:rPr>
          <w:szCs w:val="24"/>
        </w:rPr>
        <w:t>ed</w:t>
      </w:r>
      <w:r w:rsidRPr="00506306">
        <w:rPr>
          <w:szCs w:val="24"/>
        </w:rPr>
        <w:t xml:space="preserve"> </w:t>
      </w:r>
      <w:r w:rsidR="00B67C7A">
        <w:rPr>
          <w:szCs w:val="24"/>
        </w:rPr>
        <w:t xml:space="preserve">GEP </w:t>
      </w:r>
      <w:r w:rsidR="00885E02" w:rsidRPr="00506306">
        <w:rPr>
          <w:szCs w:val="24"/>
        </w:rPr>
        <w:t>testing</w:t>
      </w:r>
      <w:r w:rsidRPr="00506306">
        <w:rPr>
          <w:szCs w:val="24"/>
        </w:rPr>
        <w:t xml:space="preserve"> because knowledge of the susceptibilities of </w:t>
      </w:r>
      <w:r w:rsidR="000E43BE" w:rsidRPr="00506306">
        <w:rPr>
          <w:szCs w:val="24"/>
        </w:rPr>
        <w:t xml:space="preserve">a patient’s </w:t>
      </w:r>
      <w:r w:rsidRPr="00506306">
        <w:rPr>
          <w:szCs w:val="24"/>
        </w:rPr>
        <w:t>breast cancer to chemotherapy and /or endocrine therapy allow</w:t>
      </w:r>
      <w:r w:rsidR="000E43BE" w:rsidRPr="00506306">
        <w:rPr>
          <w:szCs w:val="24"/>
        </w:rPr>
        <w:t>s</w:t>
      </w:r>
      <w:r w:rsidR="0090526F" w:rsidRPr="00506306">
        <w:rPr>
          <w:szCs w:val="24"/>
        </w:rPr>
        <w:t xml:space="preserve"> more informed</w:t>
      </w:r>
      <w:r w:rsidRPr="00506306">
        <w:rPr>
          <w:szCs w:val="24"/>
        </w:rPr>
        <w:t xml:space="preserve"> treatment</w:t>
      </w:r>
      <w:r w:rsidR="000E43BE" w:rsidRPr="00506306">
        <w:rPr>
          <w:szCs w:val="24"/>
        </w:rPr>
        <w:t xml:space="preserve"> decisions with </w:t>
      </w:r>
      <w:r w:rsidRPr="00506306">
        <w:rPr>
          <w:szCs w:val="24"/>
        </w:rPr>
        <w:t xml:space="preserve">appropriate combinations of therapy </w:t>
      </w:r>
      <w:r w:rsidR="009A4A5F" w:rsidRPr="00506306">
        <w:rPr>
          <w:szCs w:val="24"/>
        </w:rPr>
        <w:t>for</w:t>
      </w:r>
      <w:r w:rsidRPr="00506306">
        <w:rPr>
          <w:szCs w:val="24"/>
        </w:rPr>
        <w:t xml:space="preserve"> the majority of women.</w:t>
      </w:r>
      <w:r w:rsidR="0090526F" w:rsidRPr="00506306">
        <w:rPr>
          <w:szCs w:val="24"/>
        </w:rPr>
        <w:t xml:space="preserve"> </w:t>
      </w:r>
      <w:r w:rsidR="009551F3" w:rsidRPr="00506306">
        <w:rPr>
          <w:szCs w:val="24"/>
        </w:rPr>
        <w:t xml:space="preserve">For women with a recurrence score which indicates chemotherapy is not required, there are advantages in avoiding a toxic treatment and its associated side effects that may ultimately be of no benefit to them. </w:t>
      </w:r>
      <w:r w:rsidR="0090526F" w:rsidRPr="00506306">
        <w:rPr>
          <w:szCs w:val="24"/>
        </w:rPr>
        <w:t xml:space="preserve">The current cost of the test was consistently raised as being out of reach for most </w:t>
      </w:r>
      <w:r w:rsidR="00E55A0E" w:rsidRPr="00506306">
        <w:rPr>
          <w:szCs w:val="24"/>
        </w:rPr>
        <w:t>women;</w:t>
      </w:r>
      <w:r w:rsidR="0090526F" w:rsidRPr="00506306">
        <w:rPr>
          <w:szCs w:val="24"/>
        </w:rPr>
        <w:t xml:space="preserve"> therefore</w:t>
      </w:r>
      <w:r w:rsidR="000E43BE" w:rsidRPr="00506306">
        <w:rPr>
          <w:szCs w:val="24"/>
        </w:rPr>
        <w:t xml:space="preserve"> it was considered that</w:t>
      </w:r>
      <w:r w:rsidR="0090526F" w:rsidRPr="00506306">
        <w:rPr>
          <w:szCs w:val="24"/>
        </w:rPr>
        <w:t xml:space="preserve"> listing the test would make access more equitable. It was acknowledged that whilst</w:t>
      </w:r>
      <w:r w:rsidR="00E6329F" w:rsidRPr="00506306">
        <w:rPr>
          <w:szCs w:val="24"/>
        </w:rPr>
        <w:t xml:space="preserve"> the test is</w:t>
      </w:r>
      <w:r w:rsidR="0090526F" w:rsidRPr="00506306">
        <w:rPr>
          <w:szCs w:val="24"/>
        </w:rPr>
        <w:t xml:space="preserve"> not perfect, it is an important tool to assist women </w:t>
      </w:r>
      <w:r w:rsidR="009A4A5F" w:rsidRPr="00506306">
        <w:rPr>
          <w:szCs w:val="24"/>
        </w:rPr>
        <w:t xml:space="preserve">in making </w:t>
      </w:r>
      <w:r w:rsidR="0090526F" w:rsidRPr="00506306">
        <w:rPr>
          <w:szCs w:val="24"/>
        </w:rPr>
        <w:t>decisions regarding their treatment.</w:t>
      </w:r>
    </w:p>
    <w:p w14:paraId="45309D1F" w14:textId="77777777" w:rsidR="00B314F5" w:rsidRPr="00506306" w:rsidRDefault="00B314F5" w:rsidP="00C667AF">
      <w:pPr>
        <w:autoSpaceDE w:val="0"/>
        <w:autoSpaceDN w:val="0"/>
        <w:adjustRightInd w:val="0"/>
        <w:spacing w:after="0" w:line="240" w:lineRule="auto"/>
        <w:ind w:left="0"/>
        <w:rPr>
          <w:sz w:val="22"/>
          <w:szCs w:val="22"/>
        </w:rPr>
      </w:pPr>
    </w:p>
    <w:p w14:paraId="750879C9" w14:textId="77777777" w:rsidR="003D0F7D" w:rsidRPr="00C667AF" w:rsidRDefault="009B7217" w:rsidP="00C667AF">
      <w:pPr>
        <w:pStyle w:val="Heading1"/>
        <w:spacing w:before="0" w:after="0" w:line="240" w:lineRule="auto"/>
        <w:ind w:left="0"/>
        <w:rPr>
          <w:rFonts w:ascii="Arial" w:hAnsi="Arial" w:cs="Arial"/>
          <w:sz w:val="24"/>
          <w:szCs w:val="24"/>
        </w:rPr>
      </w:pPr>
      <w:r w:rsidRPr="00C667AF">
        <w:rPr>
          <w:rFonts w:ascii="Arial" w:hAnsi="Arial" w:cs="Arial"/>
          <w:sz w:val="24"/>
          <w:szCs w:val="24"/>
        </w:rPr>
        <w:t>6</w:t>
      </w:r>
      <w:r w:rsidR="00CA0F4C" w:rsidRPr="00C667AF">
        <w:rPr>
          <w:rFonts w:ascii="Arial" w:hAnsi="Arial" w:cs="Arial"/>
          <w:sz w:val="24"/>
          <w:szCs w:val="24"/>
        </w:rPr>
        <w:t>.</w:t>
      </w:r>
      <w:r w:rsidR="00CA0F4C" w:rsidRPr="00C667AF">
        <w:rPr>
          <w:rFonts w:ascii="Arial" w:hAnsi="Arial" w:cs="Arial"/>
          <w:sz w:val="24"/>
          <w:szCs w:val="24"/>
        </w:rPr>
        <w:tab/>
      </w:r>
      <w:r w:rsidR="004E6F63" w:rsidRPr="00C667AF">
        <w:rPr>
          <w:rFonts w:ascii="Arial" w:hAnsi="Arial" w:cs="Arial"/>
          <w:sz w:val="24"/>
          <w:szCs w:val="24"/>
        </w:rPr>
        <w:t>Proposed i</w:t>
      </w:r>
      <w:r w:rsidR="00422B7E" w:rsidRPr="00C667AF">
        <w:rPr>
          <w:rFonts w:ascii="Arial" w:hAnsi="Arial" w:cs="Arial"/>
          <w:sz w:val="24"/>
          <w:szCs w:val="24"/>
        </w:rPr>
        <w:t>ntervention’s place in clinical management</w:t>
      </w:r>
    </w:p>
    <w:p w14:paraId="17939C57" w14:textId="77777777" w:rsidR="008D015C" w:rsidRDefault="00BB2C8F" w:rsidP="00C667AF">
      <w:pPr>
        <w:pStyle w:val="NoSpacing"/>
        <w:spacing w:after="0"/>
        <w:jc w:val="left"/>
        <w:rPr>
          <w:rFonts w:ascii="Times New Roman" w:hAnsi="Times New Roman"/>
          <w:sz w:val="24"/>
          <w:szCs w:val="24"/>
        </w:rPr>
      </w:pPr>
      <w:r w:rsidRPr="00506306">
        <w:rPr>
          <w:rFonts w:ascii="Times New Roman" w:hAnsi="Times New Roman"/>
          <w:sz w:val="24"/>
          <w:szCs w:val="24"/>
        </w:rPr>
        <w:t xml:space="preserve">Australian clinical experts contacted during scoping felt that molecular classification would be used in the clinical setting as an adjunct to current clinical practice rather than replacing any part of it. </w:t>
      </w:r>
    </w:p>
    <w:p w14:paraId="7DCBFAFB" w14:textId="77777777" w:rsidR="00506306" w:rsidRPr="00506306" w:rsidRDefault="00506306" w:rsidP="00506306">
      <w:pPr>
        <w:pStyle w:val="NoSpacing"/>
        <w:spacing w:after="0"/>
        <w:jc w:val="left"/>
        <w:rPr>
          <w:rFonts w:ascii="Times New Roman" w:hAnsi="Times New Roman"/>
          <w:sz w:val="24"/>
          <w:szCs w:val="24"/>
        </w:rPr>
      </w:pPr>
    </w:p>
    <w:p w14:paraId="24C8577E" w14:textId="3AF24D46" w:rsidR="0079412A" w:rsidRDefault="004F243D" w:rsidP="00506306">
      <w:pPr>
        <w:tabs>
          <w:tab w:val="left" w:pos="720"/>
        </w:tabs>
        <w:spacing w:after="0" w:line="240" w:lineRule="auto"/>
        <w:ind w:left="0"/>
        <w:rPr>
          <w:szCs w:val="24"/>
        </w:rPr>
      </w:pPr>
      <w:r w:rsidRPr="00506306">
        <w:rPr>
          <w:szCs w:val="24"/>
        </w:rPr>
        <w:t>The application state</w:t>
      </w:r>
      <w:r w:rsidR="002A56C8">
        <w:rPr>
          <w:szCs w:val="24"/>
        </w:rPr>
        <w:t>d</w:t>
      </w:r>
      <w:r w:rsidRPr="00506306">
        <w:rPr>
          <w:szCs w:val="24"/>
        </w:rPr>
        <w:t xml:space="preserve"> that there is no change in the treatment algorithm between the current and proposed pathways for p</w:t>
      </w:r>
      <w:r w:rsidR="00EE18EF" w:rsidRPr="00506306">
        <w:rPr>
          <w:szCs w:val="24"/>
        </w:rPr>
        <w:t xml:space="preserve">atients in Australia diagnosed with breast cancer </w:t>
      </w:r>
      <w:r w:rsidRPr="00267CEC">
        <w:rPr>
          <w:szCs w:val="24"/>
        </w:rPr>
        <w:t>(</w:t>
      </w:r>
      <w:r w:rsidR="00EE18EF" w:rsidRPr="00267CEC">
        <w:rPr>
          <w:szCs w:val="24"/>
        </w:rPr>
        <w:t xml:space="preserve">Figure </w:t>
      </w:r>
      <w:r w:rsidRPr="00267CEC">
        <w:rPr>
          <w:szCs w:val="24"/>
        </w:rPr>
        <w:t>1</w:t>
      </w:r>
      <w:r w:rsidR="008A4B37" w:rsidRPr="00267CEC">
        <w:rPr>
          <w:szCs w:val="24"/>
        </w:rPr>
        <w:t>)</w:t>
      </w:r>
      <w:r w:rsidR="00EE18EF" w:rsidRPr="00267CEC">
        <w:rPr>
          <w:szCs w:val="24"/>
        </w:rPr>
        <w:t>.</w:t>
      </w:r>
      <w:r w:rsidR="00EE18EF" w:rsidRPr="00506306">
        <w:rPr>
          <w:szCs w:val="24"/>
        </w:rPr>
        <w:t xml:space="preserve"> The pathway reflects the assessment of all patients diagnosed with breast cancer up to the point of surgery. </w:t>
      </w:r>
    </w:p>
    <w:p w14:paraId="15685B02" w14:textId="77777777" w:rsidR="00506306" w:rsidRPr="00506306" w:rsidRDefault="00506306" w:rsidP="00506306">
      <w:pPr>
        <w:tabs>
          <w:tab w:val="left" w:pos="720"/>
        </w:tabs>
        <w:spacing w:after="0" w:line="240" w:lineRule="auto"/>
        <w:ind w:left="0"/>
        <w:rPr>
          <w:szCs w:val="24"/>
        </w:rPr>
      </w:pPr>
    </w:p>
    <w:p w14:paraId="34D14921" w14:textId="520EB438" w:rsidR="004822AA" w:rsidRDefault="004822AA" w:rsidP="00506306">
      <w:pPr>
        <w:pStyle w:val="Text"/>
        <w:spacing w:after="0" w:line="240" w:lineRule="auto"/>
        <w:ind w:left="0"/>
        <w:rPr>
          <w:rFonts w:ascii="Times New Roman" w:hAnsi="Times New Roman"/>
          <w:sz w:val="24"/>
          <w:szCs w:val="24"/>
        </w:rPr>
      </w:pPr>
      <w:r w:rsidRPr="00506306">
        <w:rPr>
          <w:rFonts w:ascii="Times New Roman" w:hAnsi="Times New Roman"/>
          <w:sz w:val="24"/>
          <w:szCs w:val="24"/>
        </w:rPr>
        <w:t>The biopsies from all patients are tested using IHC to determine hormone and HER2 status. The post</w:t>
      </w:r>
      <w:r w:rsidR="00E12E85" w:rsidRPr="00506306">
        <w:rPr>
          <w:rFonts w:ascii="Times New Roman" w:hAnsi="Times New Roman"/>
          <w:sz w:val="24"/>
          <w:szCs w:val="24"/>
        </w:rPr>
        <w:t>-</w:t>
      </w:r>
      <w:r w:rsidRPr="00506306">
        <w:rPr>
          <w:rFonts w:ascii="Times New Roman" w:hAnsi="Times New Roman"/>
          <w:sz w:val="24"/>
          <w:szCs w:val="24"/>
        </w:rPr>
        <w:t xml:space="preserve">operative assessment of tumour size and degree of lymph node involvement is used to define the patient’s stage of </w:t>
      </w:r>
      <w:r w:rsidR="006059E8" w:rsidRPr="00506306">
        <w:rPr>
          <w:rFonts w:ascii="Times New Roman" w:hAnsi="Times New Roman"/>
          <w:sz w:val="24"/>
          <w:szCs w:val="24"/>
        </w:rPr>
        <w:t>disease</w:t>
      </w:r>
      <w:r w:rsidR="002A56C8">
        <w:rPr>
          <w:rFonts w:ascii="Times New Roman" w:hAnsi="Times New Roman"/>
          <w:sz w:val="24"/>
          <w:szCs w:val="24"/>
        </w:rPr>
        <w:t>. It wa</w:t>
      </w:r>
      <w:r w:rsidRPr="00506306">
        <w:rPr>
          <w:rFonts w:ascii="Times New Roman" w:hAnsi="Times New Roman"/>
          <w:sz w:val="24"/>
          <w:szCs w:val="24"/>
        </w:rPr>
        <w:t xml:space="preserve">s proposed that the </w:t>
      </w:r>
      <w:r w:rsidR="00263461">
        <w:rPr>
          <w:rFonts w:ascii="Times New Roman" w:hAnsi="Times New Roman"/>
          <w:sz w:val="24"/>
          <w:szCs w:val="24"/>
        </w:rPr>
        <w:t>GEP</w:t>
      </w:r>
      <w:r w:rsidRPr="00506306">
        <w:rPr>
          <w:rFonts w:ascii="Times New Roman" w:hAnsi="Times New Roman"/>
          <w:sz w:val="24"/>
          <w:szCs w:val="24"/>
          <w:vertAlign w:val="superscript"/>
        </w:rPr>
        <w:t xml:space="preserve"> </w:t>
      </w:r>
      <w:r w:rsidRPr="00506306">
        <w:rPr>
          <w:rFonts w:ascii="Times New Roman" w:hAnsi="Times New Roman"/>
          <w:sz w:val="24"/>
          <w:szCs w:val="24"/>
        </w:rPr>
        <w:t xml:space="preserve">test </w:t>
      </w:r>
      <w:r w:rsidR="00B079B5" w:rsidRPr="00506306">
        <w:rPr>
          <w:rFonts w:ascii="Times New Roman" w:hAnsi="Times New Roman"/>
          <w:sz w:val="24"/>
          <w:szCs w:val="24"/>
        </w:rPr>
        <w:t>is</w:t>
      </w:r>
      <w:r w:rsidRPr="00506306">
        <w:rPr>
          <w:rFonts w:ascii="Times New Roman" w:hAnsi="Times New Roman"/>
          <w:sz w:val="24"/>
          <w:szCs w:val="24"/>
        </w:rPr>
        <w:t xml:space="preserve"> an adjunctive test following surgery for a subgroup of patients who are classified as sta</w:t>
      </w:r>
      <w:r w:rsidR="00031FAC" w:rsidRPr="00506306">
        <w:rPr>
          <w:rFonts w:ascii="Times New Roman" w:hAnsi="Times New Roman"/>
          <w:sz w:val="24"/>
          <w:szCs w:val="24"/>
        </w:rPr>
        <w:t>ge I or II, ER+ or PR+ and HER2</w:t>
      </w:r>
      <w:r w:rsidRPr="00506306">
        <w:rPr>
          <w:rFonts w:ascii="Times New Roman" w:hAnsi="Times New Roman"/>
          <w:sz w:val="24"/>
          <w:szCs w:val="24"/>
        </w:rPr>
        <w:t>–</w:t>
      </w:r>
      <w:r w:rsidR="00031FAC" w:rsidRPr="00506306">
        <w:rPr>
          <w:rFonts w:ascii="Times New Roman" w:hAnsi="Times New Roman"/>
          <w:sz w:val="24"/>
          <w:szCs w:val="24"/>
        </w:rPr>
        <w:t xml:space="preserve"> </w:t>
      </w:r>
      <w:r w:rsidRPr="00506306">
        <w:rPr>
          <w:rFonts w:ascii="Times New Roman" w:hAnsi="Times New Roman"/>
          <w:sz w:val="24"/>
          <w:szCs w:val="24"/>
        </w:rPr>
        <w:t xml:space="preserve">with 0-3 positive lymph nodes. The </w:t>
      </w:r>
      <w:r w:rsidR="00263461">
        <w:rPr>
          <w:rFonts w:ascii="Times New Roman" w:hAnsi="Times New Roman"/>
          <w:sz w:val="24"/>
          <w:szCs w:val="24"/>
        </w:rPr>
        <w:t>GEP</w:t>
      </w:r>
      <w:r w:rsidRPr="00506306">
        <w:rPr>
          <w:rFonts w:ascii="Times New Roman" w:hAnsi="Times New Roman"/>
          <w:sz w:val="24"/>
          <w:szCs w:val="24"/>
        </w:rPr>
        <w:t xml:space="preserve"> test </w:t>
      </w:r>
      <w:r w:rsidR="00B079B5" w:rsidRPr="00506306">
        <w:rPr>
          <w:rFonts w:ascii="Times New Roman" w:hAnsi="Times New Roman"/>
          <w:sz w:val="24"/>
          <w:szCs w:val="24"/>
        </w:rPr>
        <w:t xml:space="preserve">results </w:t>
      </w:r>
      <w:r w:rsidR="002A56C8">
        <w:rPr>
          <w:rFonts w:ascii="Times New Roman" w:hAnsi="Times New Roman"/>
          <w:sz w:val="24"/>
          <w:szCs w:val="24"/>
        </w:rPr>
        <w:t>would</w:t>
      </w:r>
      <w:r w:rsidRPr="00506306">
        <w:rPr>
          <w:rFonts w:ascii="Times New Roman" w:hAnsi="Times New Roman"/>
          <w:sz w:val="24"/>
          <w:szCs w:val="24"/>
        </w:rPr>
        <w:t xml:space="preserve"> be used to guide the use of adjuvant chemotherapy in addition to existing prognostic approaches based on tumour staging, histological features and lymph node involvement. Any patients deemed not suitable for chemotherapy or unable to tolerate chemotherapy would not be eligible for the </w:t>
      </w:r>
      <w:r w:rsidR="00263461">
        <w:rPr>
          <w:rFonts w:ascii="Times New Roman" w:hAnsi="Times New Roman"/>
          <w:sz w:val="24"/>
          <w:szCs w:val="24"/>
        </w:rPr>
        <w:t xml:space="preserve">GEP </w:t>
      </w:r>
      <w:r w:rsidRPr="00506306">
        <w:rPr>
          <w:rFonts w:ascii="Times New Roman" w:hAnsi="Times New Roman"/>
          <w:sz w:val="24"/>
          <w:szCs w:val="24"/>
        </w:rPr>
        <w:t>test.</w:t>
      </w:r>
    </w:p>
    <w:p w14:paraId="5F781DE3" w14:textId="77777777" w:rsidR="00506306" w:rsidRPr="00506306" w:rsidRDefault="00506306" w:rsidP="00506306">
      <w:pPr>
        <w:pStyle w:val="Text"/>
        <w:spacing w:after="0" w:line="240" w:lineRule="auto"/>
        <w:ind w:left="0"/>
        <w:rPr>
          <w:rFonts w:ascii="Times New Roman" w:hAnsi="Times New Roman"/>
          <w:sz w:val="24"/>
          <w:szCs w:val="24"/>
        </w:rPr>
      </w:pPr>
    </w:p>
    <w:p w14:paraId="5BEF3B9F" w14:textId="1E460BA4" w:rsidR="00B71A8D" w:rsidRDefault="004822AA" w:rsidP="00506306">
      <w:pPr>
        <w:pStyle w:val="Text"/>
        <w:spacing w:after="0" w:line="240" w:lineRule="auto"/>
        <w:ind w:left="0"/>
        <w:rPr>
          <w:rFonts w:ascii="Times New Roman" w:hAnsi="Times New Roman"/>
          <w:sz w:val="24"/>
          <w:szCs w:val="24"/>
        </w:rPr>
      </w:pPr>
      <w:r w:rsidRPr="00506306">
        <w:rPr>
          <w:rFonts w:ascii="Times New Roman" w:hAnsi="Times New Roman"/>
          <w:sz w:val="24"/>
          <w:szCs w:val="24"/>
        </w:rPr>
        <w:t>Expert opinion sought on the time to commence adjuvant chemotherapy after surgery indicate</w:t>
      </w:r>
      <w:r w:rsidR="002A56C8">
        <w:rPr>
          <w:rFonts w:ascii="Times New Roman" w:hAnsi="Times New Roman"/>
          <w:sz w:val="24"/>
          <w:szCs w:val="24"/>
        </w:rPr>
        <w:t>d</w:t>
      </w:r>
      <w:r w:rsidRPr="00506306">
        <w:rPr>
          <w:rFonts w:ascii="Times New Roman" w:hAnsi="Times New Roman"/>
          <w:sz w:val="24"/>
          <w:szCs w:val="24"/>
        </w:rPr>
        <w:t xml:space="preserve"> that treatment usually commenced within 3-6 weeks after surgery. The results of the </w:t>
      </w:r>
      <w:r w:rsidR="00832A3A">
        <w:rPr>
          <w:rFonts w:ascii="Times New Roman" w:hAnsi="Times New Roman"/>
          <w:sz w:val="24"/>
          <w:szCs w:val="24"/>
        </w:rPr>
        <w:t>GEP t</w:t>
      </w:r>
      <w:r w:rsidRPr="00506306">
        <w:rPr>
          <w:rFonts w:ascii="Times New Roman" w:hAnsi="Times New Roman"/>
          <w:sz w:val="24"/>
          <w:szCs w:val="24"/>
        </w:rPr>
        <w:t xml:space="preserve">est are available within two weeks of the sample being sent to the Genomic Health laboratory in the US therefore </w:t>
      </w:r>
      <w:r w:rsidR="00B079B5" w:rsidRPr="00506306">
        <w:rPr>
          <w:rFonts w:ascii="Times New Roman" w:hAnsi="Times New Roman"/>
          <w:sz w:val="24"/>
          <w:szCs w:val="24"/>
        </w:rPr>
        <w:t xml:space="preserve">there </w:t>
      </w:r>
      <w:r w:rsidR="002A56C8">
        <w:rPr>
          <w:rFonts w:ascii="Times New Roman" w:hAnsi="Times New Roman"/>
          <w:sz w:val="24"/>
          <w:szCs w:val="24"/>
        </w:rPr>
        <w:t>wa</w:t>
      </w:r>
      <w:r w:rsidR="00B079B5" w:rsidRPr="00506306">
        <w:rPr>
          <w:rFonts w:ascii="Times New Roman" w:hAnsi="Times New Roman"/>
          <w:sz w:val="24"/>
          <w:szCs w:val="24"/>
        </w:rPr>
        <w:t>s no anticipated</w:t>
      </w:r>
      <w:r w:rsidRPr="00506306">
        <w:rPr>
          <w:rFonts w:ascii="Times New Roman" w:hAnsi="Times New Roman"/>
          <w:sz w:val="24"/>
          <w:szCs w:val="24"/>
        </w:rPr>
        <w:t xml:space="preserve"> delay for treatment to commence. I</w:t>
      </w:r>
      <w:r w:rsidR="002A56C8">
        <w:rPr>
          <w:rFonts w:ascii="Times New Roman" w:hAnsi="Times New Roman"/>
          <w:sz w:val="24"/>
          <w:szCs w:val="24"/>
        </w:rPr>
        <w:t>n less than 10% of cases there wa</w:t>
      </w:r>
      <w:r w:rsidRPr="00506306">
        <w:rPr>
          <w:rFonts w:ascii="Times New Roman" w:hAnsi="Times New Roman"/>
          <w:sz w:val="24"/>
          <w:szCs w:val="24"/>
        </w:rPr>
        <w:t xml:space="preserve">s a need for repeat testing. </w:t>
      </w:r>
    </w:p>
    <w:p w14:paraId="1E1F7638" w14:textId="77777777" w:rsidR="00506306" w:rsidRPr="00506306" w:rsidRDefault="00506306" w:rsidP="00506306">
      <w:pPr>
        <w:pStyle w:val="Text"/>
        <w:spacing w:after="0" w:line="240" w:lineRule="auto"/>
        <w:ind w:left="0"/>
        <w:rPr>
          <w:rFonts w:ascii="Times New Roman" w:hAnsi="Times New Roman"/>
          <w:sz w:val="24"/>
          <w:szCs w:val="24"/>
        </w:rPr>
      </w:pPr>
    </w:p>
    <w:p w14:paraId="03CF2B4A" w14:textId="77777777" w:rsidR="002109BD" w:rsidRDefault="004822AA" w:rsidP="00506306">
      <w:pPr>
        <w:pStyle w:val="Text"/>
        <w:spacing w:after="0" w:line="240" w:lineRule="auto"/>
        <w:ind w:left="0"/>
        <w:rPr>
          <w:rFonts w:ascii="Times New Roman" w:hAnsi="Times New Roman"/>
          <w:sz w:val="24"/>
          <w:szCs w:val="24"/>
        </w:rPr>
      </w:pPr>
      <w:r w:rsidRPr="00506306">
        <w:rPr>
          <w:rFonts w:ascii="Times New Roman" w:hAnsi="Times New Roman"/>
          <w:sz w:val="24"/>
          <w:szCs w:val="24"/>
        </w:rPr>
        <w:t>The algorithm considers all patients with early breast cancer (stage I-II) who undergo primary surgical resection.</w:t>
      </w:r>
    </w:p>
    <w:p w14:paraId="3806F346" w14:textId="77777777" w:rsidR="00506306" w:rsidRPr="00506306" w:rsidRDefault="00506306" w:rsidP="00506306">
      <w:pPr>
        <w:pStyle w:val="Text"/>
        <w:spacing w:after="0" w:line="240" w:lineRule="auto"/>
        <w:ind w:left="0"/>
        <w:rPr>
          <w:rFonts w:ascii="Times New Roman" w:hAnsi="Times New Roman"/>
          <w:sz w:val="24"/>
          <w:szCs w:val="24"/>
        </w:rPr>
      </w:pPr>
    </w:p>
    <w:p w14:paraId="3DBC7845" w14:textId="77777777" w:rsidR="002109BD" w:rsidRPr="00506306" w:rsidRDefault="002109BD" w:rsidP="002109BD">
      <w:pPr>
        <w:tabs>
          <w:tab w:val="left" w:pos="720"/>
          <w:tab w:val="left" w:pos="1140"/>
        </w:tabs>
        <w:spacing w:after="120" w:line="240" w:lineRule="auto"/>
        <w:ind w:left="0"/>
        <w:rPr>
          <w:b/>
          <w:szCs w:val="24"/>
        </w:rPr>
      </w:pPr>
      <w:r w:rsidRPr="00506306">
        <w:rPr>
          <w:b/>
          <w:szCs w:val="24"/>
        </w:rPr>
        <w:lastRenderedPageBreak/>
        <w:t>Figure 1: The current diagnosis and management pathway in breast cancer with proposed positioning of the Oncotype DX</w:t>
      </w:r>
      <w:r w:rsidRPr="00506306">
        <w:rPr>
          <w:b/>
          <w:szCs w:val="24"/>
          <w:vertAlign w:val="superscript"/>
        </w:rPr>
        <w:t>®</w:t>
      </w:r>
      <w:r w:rsidRPr="00506306">
        <w:rPr>
          <w:b/>
          <w:szCs w:val="24"/>
        </w:rPr>
        <w:t xml:space="preserve"> test.</w:t>
      </w:r>
    </w:p>
    <w:p w14:paraId="025EC65D" w14:textId="77777777" w:rsidR="002109BD" w:rsidRPr="00447142" w:rsidRDefault="002109BD" w:rsidP="00464F44">
      <w:pPr>
        <w:pStyle w:val="Text"/>
        <w:spacing w:after="120" w:line="240" w:lineRule="auto"/>
        <w:ind w:left="0"/>
        <w:rPr>
          <w:rFonts w:ascii="Arial" w:hAnsi="Arial" w:cs="Arial"/>
          <w:sz w:val="24"/>
          <w:szCs w:val="24"/>
        </w:rPr>
      </w:pPr>
      <w:r w:rsidRPr="00447142">
        <w:rPr>
          <w:rFonts w:ascii="Arial" w:hAnsi="Arial" w:cs="Arial"/>
          <w:noProof/>
          <w:szCs w:val="24"/>
          <w:lang w:val="en-AU" w:eastAsia="en-AU"/>
        </w:rPr>
        <w:drawing>
          <wp:inline distT="0" distB="0" distL="0" distR="0" wp14:anchorId="0784DB5D" wp14:editId="6E752B5B">
            <wp:extent cx="4933950" cy="6629400"/>
            <wp:effectExtent l="0" t="0" r="0" b="0"/>
            <wp:docPr id="1" name="Picture 1" title="Figure 1: The current diagnosis and management pathway in breast cancer with proposed positioning of the Oncotype DX®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33950" cy="6629400"/>
                    </a:xfrm>
                    <a:prstGeom prst="rect">
                      <a:avLst/>
                    </a:prstGeom>
                    <a:noFill/>
                    <a:ln>
                      <a:noFill/>
                    </a:ln>
                  </pic:spPr>
                </pic:pic>
              </a:graphicData>
            </a:graphic>
          </wp:inline>
        </w:drawing>
      </w:r>
    </w:p>
    <w:p w14:paraId="08EC825B" w14:textId="77777777" w:rsidR="002109BD" w:rsidRDefault="002109BD" w:rsidP="002109BD">
      <w:pPr>
        <w:pStyle w:val="Default"/>
        <w:rPr>
          <w:sz w:val="18"/>
          <w:szCs w:val="18"/>
        </w:rPr>
      </w:pPr>
    </w:p>
    <w:p w14:paraId="745182BF" w14:textId="77777777" w:rsidR="002109BD" w:rsidRPr="002A56C8" w:rsidRDefault="002109BD" w:rsidP="002109BD">
      <w:pPr>
        <w:pStyle w:val="Default"/>
        <w:rPr>
          <w:sz w:val="20"/>
          <w:szCs w:val="20"/>
        </w:rPr>
      </w:pPr>
      <w:r w:rsidRPr="002A56C8">
        <w:rPr>
          <w:sz w:val="20"/>
          <w:szCs w:val="20"/>
        </w:rPr>
        <w:t xml:space="preserve">1 Patients who have received neoadjuvant chemotherapy will continue to receive chemotherapy and therefore Oncotype DX will not be required for the treatment decision </w:t>
      </w:r>
    </w:p>
    <w:p w14:paraId="7611D83A" w14:textId="77777777" w:rsidR="002109BD" w:rsidRPr="002A56C8" w:rsidRDefault="002109BD" w:rsidP="002109BD">
      <w:pPr>
        <w:tabs>
          <w:tab w:val="left" w:pos="720"/>
          <w:tab w:val="left" w:pos="1140"/>
        </w:tabs>
        <w:spacing w:after="120" w:line="240" w:lineRule="auto"/>
        <w:ind w:left="0"/>
        <w:rPr>
          <w:rFonts w:ascii="Arial" w:hAnsi="Arial" w:cs="Arial"/>
          <w:sz w:val="20"/>
        </w:rPr>
      </w:pPr>
      <w:r w:rsidRPr="002A56C8">
        <w:rPr>
          <w:rFonts w:ascii="Arial" w:hAnsi="Arial" w:cs="Arial"/>
          <w:sz w:val="20"/>
        </w:rPr>
        <w:t>2 Patients who are unfit for surgery would also be deemed unfit for chemotherapy and therefore Oncotype DX will not be required for the treatment decision</w:t>
      </w:r>
    </w:p>
    <w:p w14:paraId="25A12DEC" w14:textId="77777777" w:rsidR="00A13B8D" w:rsidRPr="002109BD" w:rsidRDefault="00A13B8D" w:rsidP="002109BD">
      <w:pPr>
        <w:tabs>
          <w:tab w:val="left" w:pos="720"/>
          <w:tab w:val="left" w:pos="1140"/>
        </w:tabs>
        <w:spacing w:after="120" w:line="240" w:lineRule="auto"/>
        <w:ind w:left="0"/>
        <w:rPr>
          <w:rFonts w:ascii="Arial" w:hAnsi="Arial" w:cs="Arial"/>
          <w:b/>
          <w:sz w:val="18"/>
          <w:szCs w:val="18"/>
        </w:rPr>
      </w:pPr>
    </w:p>
    <w:p w14:paraId="336B6C29" w14:textId="77777777" w:rsidR="00865C26" w:rsidRPr="00EF6746" w:rsidRDefault="009B7217" w:rsidP="00506306">
      <w:pPr>
        <w:pStyle w:val="Heading1"/>
        <w:spacing w:before="0" w:after="0" w:line="240" w:lineRule="auto"/>
        <w:ind w:left="0"/>
        <w:rPr>
          <w:rFonts w:ascii="Arial" w:hAnsi="Arial" w:cs="Arial"/>
          <w:sz w:val="24"/>
          <w:szCs w:val="24"/>
        </w:rPr>
      </w:pPr>
      <w:r w:rsidRPr="00EF6746">
        <w:rPr>
          <w:rFonts w:ascii="Arial" w:hAnsi="Arial" w:cs="Arial"/>
          <w:sz w:val="24"/>
          <w:szCs w:val="24"/>
        </w:rPr>
        <w:t>7</w:t>
      </w:r>
      <w:r w:rsidR="00042C05" w:rsidRPr="00EF6746">
        <w:rPr>
          <w:rFonts w:ascii="Arial" w:hAnsi="Arial" w:cs="Arial"/>
          <w:sz w:val="24"/>
          <w:szCs w:val="24"/>
        </w:rPr>
        <w:t>.</w:t>
      </w:r>
      <w:r w:rsidR="00042C05" w:rsidRPr="00EF6746">
        <w:rPr>
          <w:rFonts w:ascii="Arial" w:hAnsi="Arial" w:cs="Arial"/>
          <w:sz w:val="24"/>
          <w:szCs w:val="24"/>
        </w:rPr>
        <w:tab/>
      </w:r>
      <w:r w:rsidR="00865C26" w:rsidRPr="00EF6746">
        <w:rPr>
          <w:rFonts w:ascii="Arial" w:hAnsi="Arial" w:cs="Arial"/>
          <w:sz w:val="24"/>
          <w:szCs w:val="24"/>
        </w:rPr>
        <w:t>Other options for MSAC consideration</w:t>
      </w:r>
    </w:p>
    <w:p w14:paraId="0205906F" w14:textId="263D96EF" w:rsidR="00EE7082" w:rsidRDefault="00577489" w:rsidP="00EF6746">
      <w:pPr>
        <w:spacing w:after="0" w:line="240" w:lineRule="auto"/>
        <w:ind w:left="0"/>
      </w:pPr>
      <w:r>
        <w:t>MSAC discussed</w:t>
      </w:r>
      <w:r w:rsidR="008E014B" w:rsidRPr="00506306">
        <w:t xml:space="preserve"> the currency of evidence used to validate the </w:t>
      </w:r>
      <w:r>
        <w:rPr>
          <w:szCs w:val="24"/>
        </w:rPr>
        <w:t>GEP</w:t>
      </w:r>
      <w:r w:rsidR="008E014B" w:rsidRPr="00506306">
        <w:t xml:space="preserve"> test and that diagnostic practice has improved and treatment ha</w:t>
      </w:r>
      <w:r w:rsidR="006059E8" w:rsidRPr="00506306">
        <w:t>s</w:t>
      </w:r>
      <w:r w:rsidR="008E014B" w:rsidRPr="00506306">
        <w:t xml:space="preserve"> changed, potentially eroding any difference between the test and the comparator. </w:t>
      </w:r>
    </w:p>
    <w:p w14:paraId="213E9538" w14:textId="77777777" w:rsidR="00797C47" w:rsidRDefault="00797C47" w:rsidP="00EF6746">
      <w:pPr>
        <w:spacing w:after="0" w:line="240" w:lineRule="auto"/>
        <w:ind w:left="0"/>
      </w:pPr>
    </w:p>
    <w:p w14:paraId="5691FA24" w14:textId="77777777" w:rsidR="00937076" w:rsidRPr="00EF6746" w:rsidRDefault="004623A3" w:rsidP="00506306">
      <w:pPr>
        <w:pStyle w:val="Heading1"/>
        <w:spacing w:before="0" w:after="0" w:line="240" w:lineRule="auto"/>
        <w:ind w:left="0"/>
        <w:rPr>
          <w:rFonts w:ascii="Arial" w:hAnsi="Arial" w:cs="Arial"/>
          <w:sz w:val="24"/>
          <w:szCs w:val="24"/>
        </w:rPr>
      </w:pPr>
      <w:r w:rsidRPr="00EF6746">
        <w:rPr>
          <w:rFonts w:ascii="Arial" w:hAnsi="Arial" w:cs="Arial"/>
          <w:sz w:val="24"/>
          <w:szCs w:val="24"/>
        </w:rPr>
        <w:lastRenderedPageBreak/>
        <w:t>8.</w:t>
      </w:r>
      <w:r w:rsidRPr="00EF6746">
        <w:rPr>
          <w:rFonts w:ascii="Arial" w:hAnsi="Arial" w:cs="Arial"/>
          <w:sz w:val="24"/>
          <w:szCs w:val="24"/>
        </w:rPr>
        <w:tab/>
      </w:r>
      <w:r w:rsidR="00937076" w:rsidRPr="00EF6746">
        <w:rPr>
          <w:rFonts w:ascii="Arial" w:hAnsi="Arial" w:cs="Arial"/>
          <w:sz w:val="24"/>
          <w:szCs w:val="24"/>
        </w:rPr>
        <w:t>Comparator</w:t>
      </w:r>
      <w:r w:rsidR="00094129" w:rsidRPr="00EF6746">
        <w:rPr>
          <w:rFonts w:ascii="Arial" w:hAnsi="Arial" w:cs="Arial"/>
          <w:sz w:val="24"/>
          <w:szCs w:val="24"/>
        </w:rPr>
        <w:t xml:space="preserve"> to the </w:t>
      </w:r>
      <w:r w:rsidR="00B7306D" w:rsidRPr="00EF6746">
        <w:rPr>
          <w:rFonts w:ascii="Arial" w:hAnsi="Arial" w:cs="Arial"/>
          <w:sz w:val="24"/>
          <w:szCs w:val="24"/>
        </w:rPr>
        <w:t>proposed i</w:t>
      </w:r>
      <w:r w:rsidR="00094129" w:rsidRPr="00EF6746">
        <w:rPr>
          <w:rFonts w:ascii="Arial" w:hAnsi="Arial" w:cs="Arial"/>
          <w:sz w:val="24"/>
          <w:szCs w:val="24"/>
        </w:rPr>
        <w:t>ntervention</w:t>
      </w:r>
    </w:p>
    <w:p w14:paraId="7BB21EE4" w14:textId="6C07664B" w:rsidR="00D27A26" w:rsidRDefault="002851B7" w:rsidP="00506306">
      <w:pPr>
        <w:spacing w:after="0" w:line="240" w:lineRule="auto"/>
        <w:ind w:left="0"/>
      </w:pPr>
      <w:r w:rsidRPr="00506306">
        <w:t xml:space="preserve">The </w:t>
      </w:r>
      <w:r w:rsidR="00EF6746">
        <w:t>application</w:t>
      </w:r>
      <w:r w:rsidRPr="00506306">
        <w:t xml:space="preserve"> nominated usual care</w:t>
      </w:r>
      <w:r w:rsidR="00AB6E0C">
        <w:t xml:space="preserve"> </w:t>
      </w:r>
      <w:r w:rsidRPr="00506306">
        <w:t>(defined as traditional clinical judgement based on clinical (for example, age, menopausal status), pathological (tumour size, tumour grade) and molecular (</w:t>
      </w:r>
      <w:r w:rsidR="009D5E45" w:rsidRPr="00506306">
        <w:t>ER, PR</w:t>
      </w:r>
      <w:r w:rsidRPr="00506306">
        <w:t>, HER2) parameters to estimate the risk of recurrence by combining them in informal or formal algorithms (</w:t>
      </w:r>
      <w:r w:rsidR="00577489">
        <w:t>eg.</w:t>
      </w:r>
      <w:r w:rsidRPr="00506306">
        <w:t xml:space="preserve"> Adjuvant! Online)</w:t>
      </w:r>
      <w:r w:rsidR="00017538">
        <w:t>)</w:t>
      </w:r>
      <w:r w:rsidRPr="00506306">
        <w:t xml:space="preserve"> as the </w:t>
      </w:r>
      <w:r w:rsidRPr="00506306">
        <w:rPr>
          <w:iCs/>
        </w:rPr>
        <w:t>appropriate</w:t>
      </w:r>
      <w:r w:rsidRPr="00506306">
        <w:t xml:space="preserve"> main comparator. </w:t>
      </w:r>
    </w:p>
    <w:p w14:paraId="12E2A435" w14:textId="77777777" w:rsidR="00506306" w:rsidRPr="00506306" w:rsidRDefault="00506306" w:rsidP="00506306">
      <w:pPr>
        <w:spacing w:after="0" w:line="240" w:lineRule="auto"/>
        <w:ind w:left="0"/>
      </w:pPr>
    </w:p>
    <w:p w14:paraId="77CB63EA" w14:textId="77777777" w:rsidR="00017538" w:rsidRDefault="00017538" w:rsidP="00506306">
      <w:pPr>
        <w:spacing w:after="0" w:line="240" w:lineRule="auto"/>
        <w:ind w:left="0"/>
        <w:rPr>
          <w:bCs/>
          <w:szCs w:val="24"/>
        </w:rPr>
      </w:pPr>
      <w:r>
        <w:rPr>
          <w:bCs/>
          <w:szCs w:val="24"/>
        </w:rPr>
        <w:t xml:space="preserve">MSAC accepted that the comparator for the 21-gene expression profiling test is usual care, defined as traditional clinical judgement based on clinical, pathological and molecular parameters to estimate the risk of disease recurrence. </w:t>
      </w:r>
    </w:p>
    <w:p w14:paraId="3012A5CC" w14:textId="77777777" w:rsidR="00017538" w:rsidRDefault="00017538" w:rsidP="00506306">
      <w:pPr>
        <w:spacing w:after="0" w:line="240" w:lineRule="auto"/>
        <w:ind w:left="0"/>
        <w:rPr>
          <w:bCs/>
          <w:szCs w:val="24"/>
        </w:rPr>
      </w:pPr>
    </w:p>
    <w:p w14:paraId="1BC24EC3" w14:textId="50C4FC5F" w:rsidR="00506306" w:rsidRDefault="00017538" w:rsidP="00506306">
      <w:pPr>
        <w:spacing w:after="0" w:line="240" w:lineRule="auto"/>
        <w:ind w:left="0"/>
        <w:rPr>
          <w:bCs/>
          <w:szCs w:val="24"/>
        </w:rPr>
      </w:pPr>
      <w:r>
        <w:rPr>
          <w:bCs/>
          <w:szCs w:val="24"/>
        </w:rPr>
        <w:t>MSAC was also aware of other predictive tests in breast cancer, such as IHC-4, which also rely on gene profiling based primarily on proliferative predictors for breast cancer in the gene set (for example, ER, PR, HER2 and Ki-67 expression), but are also not publicly funded in Australia. MSAC considered that a wider comparison across these alternative predictive tests in terms of clinical validity (prognostic value), clinical utility (predictive value of different treatment outcome), costs and cost-effectiveness would also be informative.</w:t>
      </w:r>
    </w:p>
    <w:p w14:paraId="1CFD2765" w14:textId="77777777" w:rsidR="00017538" w:rsidRPr="00506306" w:rsidRDefault="00017538" w:rsidP="00506306">
      <w:pPr>
        <w:spacing w:after="0" w:line="240" w:lineRule="auto"/>
        <w:ind w:left="0"/>
        <w:rPr>
          <w:rStyle w:val="Emphasis"/>
          <w:rFonts w:ascii="Times New Roman" w:hAnsi="Times New Roman"/>
          <w:i w:val="0"/>
        </w:rPr>
      </w:pPr>
    </w:p>
    <w:p w14:paraId="7AC6729E" w14:textId="77777777" w:rsidR="00937076" w:rsidRPr="00EF6746" w:rsidRDefault="00EF0689" w:rsidP="00506306">
      <w:pPr>
        <w:pStyle w:val="Heading1"/>
        <w:spacing w:before="0" w:after="0" w:line="240" w:lineRule="auto"/>
        <w:ind w:left="0"/>
        <w:rPr>
          <w:rFonts w:ascii="Arial" w:hAnsi="Arial" w:cs="Arial"/>
          <w:sz w:val="24"/>
          <w:szCs w:val="24"/>
        </w:rPr>
      </w:pPr>
      <w:r w:rsidRPr="00EF6746">
        <w:rPr>
          <w:rFonts w:ascii="Arial" w:hAnsi="Arial" w:cs="Arial"/>
          <w:sz w:val="24"/>
          <w:szCs w:val="24"/>
        </w:rPr>
        <w:t>9.</w:t>
      </w:r>
      <w:r w:rsidRPr="00EF6746">
        <w:rPr>
          <w:rFonts w:ascii="Arial" w:hAnsi="Arial" w:cs="Arial"/>
          <w:sz w:val="24"/>
          <w:szCs w:val="24"/>
        </w:rPr>
        <w:tab/>
      </w:r>
      <w:r w:rsidR="00E67C5A" w:rsidRPr="00EF6746">
        <w:rPr>
          <w:rFonts w:ascii="Arial" w:hAnsi="Arial" w:cs="Arial"/>
          <w:sz w:val="24"/>
          <w:szCs w:val="24"/>
        </w:rPr>
        <w:t xml:space="preserve">Comparative </w:t>
      </w:r>
      <w:r w:rsidR="00C93A35" w:rsidRPr="00EF6746">
        <w:rPr>
          <w:rFonts w:ascii="Arial" w:hAnsi="Arial" w:cs="Arial"/>
          <w:sz w:val="24"/>
          <w:szCs w:val="24"/>
        </w:rPr>
        <w:t>s</w:t>
      </w:r>
      <w:r w:rsidR="00937076" w:rsidRPr="00EF6746">
        <w:rPr>
          <w:rFonts w:ascii="Arial" w:hAnsi="Arial" w:cs="Arial"/>
          <w:sz w:val="24"/>
          <w:szCs w:val="24"/>
        </w:rPr>
        <w:t>afety</w:t>
      </w:r>
    </w:p>
    <w:p w14:paraId="577A60B4" w14:textId="7C35E436" w:rsidR="009A0BC2" w:rsidRDefault="009A0BC2" w:rsidP="00506306">
      <w:pPr>
        <w:spacing w:after="0" w:line="240" w:lineRule="auto"/>
        <w:ind w:left="0"/>
      </w:pPr>
      <w:r w:rsidRPr="00506306">
        <w:t xml:space="preserve">The </w:t>
      </w:r>
      <w:r w:rsidR="000760F1">
        <w:t>application presented</w:t>
      </w:r>
      <w:r w:rsidRPr="00506306">
        <w:t xml:space="preserve"> no compar</w:t>
      </w:r>
      <w:r w:rsidR="000760F1">
        <w:t>ative safety data but noted</w:t>
      </w:r>
      <w:r w:rsidRPr="00506306">
        <w:t xml:space="preserve"> </w:t>
      </w:r>
      <w:r w:rsidR="00D27A26" w:rsidRPr="00506306">
        <w:t>“</w:t>
      </w:r>
      <w:r w:rsidRPr="00506306">
        <w:t>Given this is a gene expression test on tissue that was removed during surgery for breast cancer (i</w:t>
      </w:r>
      <w:r w:rsidR="000760F1">
        <w:t>.</w:t>
      </w:r>
      <w:r w:rsidRPr="00506306">
        <w:t>e</w:t>
      </w:r>
      <w:r w:rsidR="000760F1">
        <w:t>.</w:t>
      </w:r>
      <w:r w:rsidRPr="00506306">
        <w:t xml:space="preserve"> not specifically for the test), there are no relevant safety issues.</w:t>
      </w:r>
      <w:r w:rsidR="00D27A26" w:rsidRPr="00506306">
        <w:t>”</w:t>
      </w:r>
    </w:p>
    <w:p w14:paraId="2497C28E" w14:textId="77777777" w:rsidR="00506306" w:rsidRPr="00506306" w:rsidRDefault="00506306" w:rsidP="00506306">
      <w:pPr>
        <w:spacing w:after="0" w:line="240" w:lineRule="auto"/>
        <w:ind w:left="0"/>
      </w:pPr>
    </w:p>
    <w:p w14:paraId="0CDCC1D8" w14:textId="34B615D3" w:rsidR="009A0BC2" w:rsidRDefault="00577489" w:rsidP="00506306">
      <w:pPr>
        <w:spacing w:after="0" w:line="240" w:lineRule="auto"/>
        <w:ind w:left="0"/>
      </w:pPr>
      <w:r>
        <w:t>MSAC noted that a</w:t>
      </w:r>
      <w:r w:rsidR="009A0BC2" w:rsidRPr="00506306">
        <w:t>s this test is not registered with TGA, there is no control in Australia in relation to quality assurance and quality control issues.  The question of who would be held accountable if potential issu</w:t>
      </w:r>
      <w:r w:rsidR="000760F1">
        <w:t>es aro</w:t>
      </w:r>
      <w:r w:rsidR="009A0BC2" w:rsidRPr="00506306">
        <w:t>se needs to be considered.</w:t>
      </w:r>
    </w:p>
    <w:p w14:paraId="5C3EFEBD" w14:textId="77777777" w:rsidR="0038509D" w:rsidRDefault="0038509D" w:rsidP="00506306">
      <w:pPr>
        <w:spacing w:after="0" w:line="240" w:lineRule="auto"/>
        <w:ind w:left="0"/>
      </w:pPr>
    </w:p>
    <w:p w14:paraId="08544996" w14:textId="1F0918D2" w:rsidR="00506306" w:rsidRDefault="000760F1" w:rsidP="00506306">
      <w:pPr>
        <w:spacing w:after="0" w:line="240" w:lineRule="auto"/>
        <w:ind w:left="0"/>
        <w:rPr>
          <w:bCs/>
          <w:szCs w:val="24"/>
        </w:rPr>
      </w:pPr>
      <w:r>
        <w:rPr>
          <w:bCs/>
          <w:szCs w:val="24"/>
        </w:rPr>
        <w:t>MSAC noted that although the test is procedurally safe because it relies on samples already taken for other purposes, there is a degree of risk in the misallocation of patients to risk categories, which would affect the outcomes of the therapy subsequently selected.</w:t>
      </w:r>
    </w:p>
    <w:p w14:paraId="0D8AAD20" w14:textId="77777777" w:rsidR="000760F1" w:rsidRPr="00506306" w:rsidRDefault="000760F1" w:rsidP="00506306">
      <w:pPr>
        <w:spacing w:after="0" w:line="240" w:lineRule="auto"/>
        <w:ind w:left="0"/>
      </w:pPr>
    </w:p>
    <w:p w14:paraId="0C0536E4" w14:textId="77777777" w:rsidR="009140DF" w:rsidRPr="006B2A33" w:rsidRDefault="00EF0689" w:rsidP="00506306">
      <w:pPr>
        <w:pStyle w:val="Heading1"/>
        <w:spacing w:before="0" w:after="0" w:line="240" w:lineRule="auto"/>
        <w:ind w:left="0"/>
        <w:rPr>
          <w:rFonts w:ascii="Arial" w:hAnsi="Arial" w:cs="Arial"/>
          <w:sz w:val="24"/>
          <w:szCs w:val="24"/>
        </w:rPr>
      </w:pPr>
      <w:r w:rsidRPr="006B2A33">
        <w:rPr>
          <w:rFonts w:ascii="Arial" w:hAnsi="Arial" w:cs="Arial"/>
          <w:sz w:val="24"/>
          <w:szCs w:val="24"/>
        </w:rPr>
        <w:t>10.</w:t>
      </w:r>
      <w:r w:rsidRPr="006B2A33">
        <w:rPr>
          <w:rFonts w:ascii="Arial" w:hAnsi="Arial" w:cs="Arial"/>
          <w:sz w:val="24"/>
          <w:szCs w:val="24"/>
        </w:rPr>
        <w:tab/>
      </w:r>
      <w:r w:rsidR="00E67C5A" w:rsidRPr="006B2A33">
        <w:rPr>
          <w:rFonts w:ascii="Arial" w:hAnsi="Arial" w:cs="Arial"/>
          <w:sz w:val="24"/>
          <w:szCs w:val="24"/>
        </w:rPr>
        <w:t xml:space="preserve">Comparative </w:t>
      </w:r>
      <w:r w:rsidR="00937076" w:rsidRPr="006B2A33">
        <w:rPr>
          <w:rFonts w:ascii="Arial" w:hAnsi="Arial" w:cs="Arial"/>
          <w:sz w:val="24"/>
          <w:szCs w:val="24"/>
        </w:rPr>
        <w:t>effectiveness</w:t>
      </w:r>
    </w:p>
    <w:p w14:paraId="443CEA89" w14:textId="2F2EE7F3" w:rsidR="009A0BC2" w:rsidRDefault="009A0BC2" w:rsidP="00506306">
      <w:pPr>
        <w:spacing w:after="0" w:line="240" w:lineRule="auto"/>
        <w:ind w:left="0"/>
      </w:pPr>
      <w:r w:rsidRPr="00506306">
        <w:t xml:space="preserve">The basis of the clinical utility of the test in the </w:t>
      </w:r>
      <w:r w:rsidR="006B2A33">
        <w:t>application wa</w:t>
      </w:r>
      <w:r w:rsidRPr="00506306">
        <w:t>s retrospective analyses of tumour samples from patients randomised in two randomised comparative trials comparing tamoxifen alone and tamoxifen in combination with chemotherapy</w:t>
      </w:r>
      <w:r w:rsidR="00FC7C85" w:rsidRPr="00506306">
        <w:t xml:space="preserve"> (Paik et al (2006) and Albain et al (2010)</w:t>
      </w:r>
      <w:r w:rsidR="001D6C14" w:rsidRPr="00506306">
        <w:t>)</w:t>
      </w:r>
      <w:r w:rsidRPr="00506306">
        <w:t>.</w:t>
      </w:r>
    </w:p>
    <w:p w14:paraId="6D0F8ADD" w14:textId="77777777" w:rsidR="00506306" w:rsidRPr="00506306" w:rsidRDefault="00506306" w:rsidP="00506306">
      <w:pPr>
        <w:spacing w:after="0" w:line="240" w:lineRule="auto"/>
        <w:ind w:left="0"/>
      </w:pPr>
    </w:p>
    <w:p w14:paraId="6FFE6A59" w14:textId="62F49E0C" w:rsidR="00281ABA" w:rsidRDefault="00281ABA" w:rsidP="00506306">
      <w:pPr>
        <w:spacing w:after="0" w:line="240" w:lineRule="auto"/>
        <w:ind w:left="0"/>
        <w:rPr>
          <w:iCs/>
        </w:rPr>
      </w:pPr>
      <w:r w:rsidRPr="00506306">
        <w:t xml:space="preserve">The </w:t>
      </w:r>
      <w:r w:rsidR="00FC7C85" w:rsidRPr="00506306">
        <w:t xml:space="preserve">Paik </w:t>
      </w:r>
      <w:r w:rsidRPr="00506306">
        <w:t>results indicate</w:t>
      </w:r>
      <w:r w:rsidR="00B55EE3">
        <w:t>d</w:t>
      </w:r>
      <w:r w:rsidRPr="00506306">
        <w:t xml:space="preserve"> that there are no statistically significant differences between tamoxifen plus chemotherapy and tamoxifen alone for patients classified as low or intermediate risk by </w:t>
      </w:r>
      <w:r w:rsidR="00577489">
        <w:t xml:space="preserve">the </w:t>
      </w:r>
      <w:r w:rsidR="00577489">
        <w:rPr>
          <w:szCs w:val="24"/>
        </w:rPr>
        <w:t>GEP</w:t>
      </w:r>
      <w:r w:rsidR="00577489" w:rsidRPr="00506306">
        <w:rPr>
          <w:szCs w:val="24"/>
        </w:rPr>
        <w:t xml:space="preserve"> </w:t>
      </w:r>
      <w:r w:rsidR="00577489">
        <w:rPr>
          <w:szCs w:val="24"/>
        </w:rPr>
        <w:t xml:space="preserve">test </w:t>
      </w:r>
      <w:r w:rsidRPr="00506306">
        <w:t xml:space="preserve">for the outcome of distant disease-free survival. However, for those categorised as high risk, there is a statistically significant difference between tamoxifen plus chemotherapy compared with tamoxifen alone, favouring </w:t>
      </w:r>
      <w:r w:rsidR="00FD3BF5" w:rsidRPr="00506306">
        <w:t xml:space="preserve">tamoxifen plus </w:t>
      </w:r>
      <w:r w:rsidRPr="00506306">
        <w:t xml:space="preserve">chemotherapy. </w:t>
      </w:r>
      <w:r w:rsidR="00FC7C85" w:rsidRPr="00506306">
        <w:t xml:space="preserve"> </w:t>
      </w:r>
      <w:r w:rsidRPr="00506306">
        <w:rPr>
          <w:iCs/>
        </w:rPr>
        <w:t xml:space="preserve">Importantly, for both of these outcomes, the results for “all” patients, which is a sub-group of the entire Fisher et al (1997) trial population, demonstrated a statistically significant difference between tamoxifen plus chemotherapy and tamoxifen alone, such that the further sub-group analyses presented </w:t>
      </w:r>
      <w:r w:rsidR="00FD3BF5" w:rsidRPr="00506306">
        <w:rPr>
          <w:iCs/>
        </w:rPr>
        <w:t xml:space="preserve">are </w:t>
      </w:r>
      <w:r w:rsidRPr="00506306">
        <w:rPr>
          <w:iCs/>
        </w:rPr>
        <w:t xml:space="preserve">somewhat reasonable, although being considered </w:t>
      </w:r>
      <w:r w:rsidR="00FD3BF5" w:rsidRPr="00506306">
        <w:rPr>
          <w:iCs/>
        </w:rPr>
        <w:t xml:space="preserve">post-hoc and </w:t>
      </w:r>
      <w:r w:rsidRPr="00506306">
        <w:rPr>
          <w:iCs/>
        </w:rPr>
        <w:t>exploratory.</w:t>
      </w:r>
    </w:p>
    <w:p w14:paraId="084F32DB" w14:textId="77777777" w:rsidR="00506306" w:rsidRPr="00506306" w:rsidRDefault="00506306" w:rsidP="00506306">
      <w:pPr>
        <w:spacing w:after="0" w:line="240" w:lineRule="auto"/>
        <w:ind w:left="0"/>
        <w:rPr>
          <w:iCs/>
        </w:rPr>
      </w:pPr>
    </w:p>
    <w:p w14:paraId="0E42DDB5" w14:textId="31710825" w:rsidR="00FC7C85" w:rsidRDefault="00FC7C85" w:rsidP="00506306">
      <w:pPr>
        <w:spacing w:after="0" w:line="240" w:lineRule="auto"/>
        <w:ind w:left="0"/>
        <w:rPr>
          <w:iCs/>
        </w:rPr>
      </w:pPr>
      <w:r w:rsidRPr="00506306">
        <w:rPr>
          <w:iCs/>
        </w:rPr>
        <w:t>The results reported in Albain indicate</w:t>
      </w:r>
      <w:r w:rsidR="00B55EE3">
        <w:rPr>
          <w:iCs/>
        </w:rPr>
        <w:t>d</w:t>
      </w:r>
      <w:r w:rsidRPr="00506306">
        <w:rPr>
          <w:iCs/>
        </w:rPr>
        <w:t xml:space="preserve"> there was improved disease-free survival over 10</w:t>
      </w:r>
      <w:r w:rsidR="00B55EE3">
        <w:rPr>
          <w:iCs/>
        </w:rPr>
        <w:t> </w:t>
      </w:r>
      <w:r w:rsidRPr="00506306">
        <w:rPr>
          <w:iCs/>
        </w:rPr>
        <w:t xml:space="preserve">years for </w:t>
      </w:r>
      <w:r w:rsidR="00FD3BF5" w:rsidRPr="00506306">
        <w:rPr>
          <w:iCs/>
        </w:rPr>
        <w:t>chemotherapy plus tamoxifen (</w:t>
      </w:r>
      <w:r w:rsidRPr="00506306">
        <w:rPr>
          <w:iCs/>
        </w:rPr>
        <w:t>CAF-T</w:t>
      </w:r>
      <w:r w:rsidR="00FD3BF5" w:rsidRPr="00506306">
        <w:rPr>
          <w:iCs/>
        </w:rPr>
        <w:t>)</w:t>
      </w:r>
      <w:r w:rsidRPr="00506306">
        <w:rPr>
          <w:iCs/>
        </w:rPr>
        <w:t xml:space="preserve"> versus tamoxifen alone in the entire sample </w:t>
      </w:r>
      <w:r w:rsidR="00FD3BF5" w:rsidRPr="00506306">
        <w:rPr>
          <w:iCs/>
        </w:rPr>
        <w:t xml:space="preserve">included in the analysis </w:t>
      </w:r>
      <w:r w:rsidRPr="00506306">
        <w:rPr>
          <w:iCs/>
        </w:rPr>
        <w:t xml:space="preserve">(stratified log-rank p=0.054, adjusted for number of positive nodes). However, no statistically significant differences between CAF-T and tamoxifen alone </w:t>
      </w:r>
      <w:r w:rsidRPr="00506306">
        <w:rPr>
          <w:iCs/>
        </w:rPr>
        <w:lastRenderedPageBreak/>
        <w:t xml:space="preserve">were observed for the low and intermediate </w:t>
      </w:r>
      <w:r w:rsidR="00FD3BF5" w:rsidRPr="00506306">
        <w:rPr>
          <w:iCs/>
        </w:rPr>
        <w:t xml:space="preserve">risk </w:t>
      </w:r>
      <w:r w:rsidRPr="00506306">
        <w:rPr>
          <w:iCs/>
        </w:rPr>
        <w:t xml:space="preserve">sub-groups. The publication and the </w:t>
      </w:r>
      <w:r w:rsidR="00B55EE3">
        <w:rPr>
          <w:iCs/>
        </w:rPr>
        <w:t>application</w:t>
      </w:r>
      <w:r w:rsidRPr="00506306">
        <w:rPr>
          <w:iCs/>
        </w:rPr>
        <w:t xml:space="preserve"> claim that “for high risk patients (RS &gt;31) there was a significant advantage of treatment with CAF-T compared with tamoxifen </w:t>
      </w:r>
      <w:r w:rsidR="00194946" w:rsidRPr="00506306">
        <w:rPr>
          <w:iCs/>
        </w:rPr>
        <w:t xml:space="preserve">alone </w:t>
      </w:r>
      <w:r w:rsidRPr="00506306">
        <w:rPr>
          <w:iCs/>
        </w:rPr>
        <w:t xml:space="preserve">(HR=0.59; 95% CI: 0.35, 1.01)”. This </w:t>
      </w:r>
      <w:r w:rsidR="00B55EE3">
        <w:rPr>
          <w:iCs/>
        </w:rPr>
        <w:t>wa</w:t>
      </w:r>
      <w:r w:rsidRPr="00506306">
        <w:rPr>
          <w:iCs/>
        </w:rPr>
        <w:t>s not a statistically significant difference, although it is approaching significance.</w:t>
      </w:r>
      <w:r w:rsidRPr="00506306">
        <w:rPr>
          <w:i/>
          <w:iCs/>
        </w:rPr>
        <w:t xml:space="preserve"> </w:t>
      </w:r>
      <w:r w:rsidRPr="00506306">
        <w:rPr>
          <w:iCs/>
        </w:rPr>
        <w:t>Similar differences in the predictive value of the RS were seen for overall survival over 10 years.</w:t>
      </w:r>
    </w:p>
    <w:p w14:paraId="615EA4B1" w14:textId="77777777" w:rsidR="00506306" w:rsidRDefault="00506306" w:rsidP="00506306">
      <w:pPr>
        <w:spacing w:after="0" w:line="240" w:lineRule="auto"/>
        <w:ind w:left="0"/>
        <w:rPr>
          <w:iCs/>
        </w:rPr>
      </w:pPr>
    </w:p>
    <w:p w14:paraId="3D0E0325" w14:textId="1A7D76D3" w:rsidR="0038509D" w:rsidRDefault="00EF1C6F" w:rsidP="00506306">
      <w:pPr>
        <w:spacing w:after="0" w:line="240" w:lineRule="auto"/>
        <w:ind w:left="0"/>
        <w:rPr>
          <w:bCs/>
          <w:szCs w:val="24"/>
        </w:rPr>
      </w:pPr>
      <w:r>
        <w:rPr>
          <w:bCs/>
          <w:szCs w:val="24"/>
        </w:rPr>
        <w:t>MSAC noted that the Paik et al</w:t>
      </w:r>
      <w:r w:rsidR="00DD35E5">
        <w:rPr>
          <w:bCs/>
          <w:szCs w:val="24"/>
        </w:rPr>
        <w:t xml:space="preserve"> </w:t>
      </w:r>
      <w:r w:rsidR="00CB0C0E">
        <w:rPr>
          <w:bCs/>
          <w:szCs w:val="24"/>
        </w:rPr>
        <w:t>(</w:t>
      </w:r>
      <w:r w:rsidR="00DD35E5">
        <w:rPr>
          <w:bCs/>
          <w:szCs w:val="24"/>
        </w:rPr>
        <w:t>2006</w:t>
      </w:r>
      <w:r w:rsidR="00CB0C0E">
        <w:rPr>
          <w:bCs/>
          <w:szCs w:val="24"/>
        </w:rPr>
        <w:t>)</w:t>
      </w:r>
      <w:r w:rsidR="00DD35E5">
        <w:rPr>
          <w:bCs/>
          <w:szCs w:val="24"/>
        </w:rPr>
        <w:t xml:space="preserve"> data were less persuasive because using chemotherapy concomitantly with tamoxifen produced a negative interaction, whereas the Albain et al. </w:t>
      </w:r>
      <w:r w:rsidR="00CB0C0E">
        <w:rPr>
          <w:bCs/>
          <w:szCs w:val="24"/>
        </w:rPr>
        <w:t>(</w:t>
      </w:r>
      <w:r w:rsidR="00DD35E5">
        <w:rPr>
          <w:bCs/>
          <w:szCs w:val="24"/>
        </w:rPr>
        <w:t>2010</w:t>
      </w:r>
      <w:r w:rsidR="00CB0C0E">
        <w:rPr>
          <w:bCs/>
          <w:szCs w:val="24"/>
        </w:rPr>
        <w:t>)</w:t>
      </w:r>
      <w:r w:rsidR="00DD35E5">
        <w:rPr>
          <w:bCs/>
          <w:szCs w:val="24"/>
        </w:rPr>
        <w:t xml:space="preserve"> data were more persuasive because tamoxifen was used after completion of chemotherapy. </w:t>
      </w:r>
      <w:r w:rsidR="001D1B4E">
        <w:rPr>
          <w:bCs/>
          <w:szCs w:val="24"/>
        </w:rPr>
        <w:t>However, t</w:t>
      </w:r>
      <w:r w:rsidR="00DD35E5">
        <w:rPr>
          <w:bCs/>
          <w:szCs w:val="24"/>
        </w:rPr>
        <w:t xml:space="preserve">he score also does not predict the risk of chemotherapy-resistant recurrence. </w:t>
      </w:r>
      <w:r w:rsidR="00B125A5" w:rsidRPr="00B125A5">
        <w:rPr>
          <w:bCs/>
          <w:szCs w:val="24"/>
        </w:rPr>
        <w:t>MSAC</w:t>
      </w:r>
      <w:r w:rsidR="00B125A5">
        <w:rPr>
          <w:bCs/>
          <w:szCs w:val="24"/>
        </w:rPr>
        <w:t xml:space="preserve"> also</w:t>
      </w:r>
      <w:r w:rsidR="00B125A5" w:rsidRPr="00B125A5">
        <w:rPr>
          <w:bCs/>
          <w:szCs w:val="24"/>
        </w:rPr>
        <w:t xml:space="preserve"> noted that the derived recurrence score could not be related back to the underlying biology of breast cancer, and there was not a clear justification of the three risk categories.</w:t>
      </w:r>
      <w:r w:rsidR="00B125A5">
        <w:rPr>
          <w:bCs/>
          <w:szCs w:val="24"/>
        </w:rPr>
        <w:t xml:space="preserve"> Overall</w:t>
      </w:r>
      <w:r w:rsidR="00DD35E5">
        <w:rPr>
          <w:bCs/>
          <w:szCs w:val="24"/>
        </w:rPr>
        <w:t xml:space="preserve">, MSAC </w:t>
      </w:r>
      <w:r w:rsidR="00577489">
        <w:rPr>
          <w:bCs/>
          <w:szCs w:val="24"/>
        </w:rPr>
        <w:t>noted</w:t>
      </w:r>
      <w:r w:rsidR="00DD35E5">
        <w:rPr>
          <w:bCs/>
          <w:szCs w:val="24"/>
        </w:rPr>
        <w:t xml:space="preserve"> that this remained moderate evidence of weak prognostic and predictive value.</w:t>
      </w:r>
    </w:p>
    <w:p w14:paraId="221DF5D2" w14:textId="77777777" w:rsidR="00DD35E5" w:rsidRPr="00506306" w:rsidRDefault="00DD35E5" w:rsidP="00506306">
      <w:pPr>
        <w:spacing w:after="0" w:line="240" w:lineRule="auto"/>
        <w:ind w:left="0"/>
        <w:rPr>
          <w:iCs/>
        </w:rPr>
      </w:pPr>
    </w:p>
    <w:p w14:paraId="36402885" w14:textId="77777777" w:rsidR="004C0DCE" w:rsidRPr="00E71A0D" w:rsidRDefault="00EF0689" w:rsidP="00506306">
      <w:pPr>
        <w:pStyle w:val="Heading1"/>
        <w:spacing w:before="0" w:after="0" w:line="240" w:lineRule="auto"/>
        <w:ind w:left="0"/>
        <w:rPr>
          <w:rFonts w:ascii="Arial" w:hAnsi="Arial" w:cs="Arial"/>
          <w:sz w:val="24"/>
          <w:szCs w:val="24"/>
        </w:rPr>
      </w:pPr>
      <w:r w:rsidRPr="00E71A0D">
        <w:rPr>
          <w:rFonts w:ascii="Arial" w:hAnsi="Arial" w:cs="Arial"/>
          <w:sz w:val="24"/>
          <w:szCs w:val="24"/>
        </w:rPr>
        <w:t>11.</w:t>
      </w:r>
      <w:r w:rsidRPr="00E71A0D">
        <w:rPr>
          <w:rFonts w:ascii="Arial" w:hAnsi="Arial" w:cs="Arial"/>
          <w:sz w:val="24"/>
          <w:szCs w:val="24"/>
        </w:rPr>
        <w:tab/>
        <w:t>E</w:t>
      </w:r>
      <w:r w:rsidR="004C0DCE" w:rsidRPr="00E71A0D">
        <w:rPr>
          <w:rFonts w:ascii="Arial" w:hAnsi="Arial" w:cs="Arial"/>
          <w:sz w:val="24"/>
          <w:szCs w:val="24"/>
        </w:rPr>
        <w:t>conomic evaluation</w:t>
      </w:r>
    </w:p>
    <w:p w14:paraId="7F4315F6" w14:textId="105D89E8" w:rsidR="00757912" w:rsidRDefault="00FC7C85" w:rsidP="00506306">
      <w:pPr>
        <w:spacing w:after="0" w:line="240" w:lineRule="auto"/>
        <w:ind w:left="0"/>
        <w:rPr>
          <w:i/>
        </w:rPr>
      </w:pPr>
      <w:r w:rsidRPr="00506306">
        <w:t xml:space="preserve">The economic evaluation presented </w:t>
      </w:r>
      <w:r w:rsidR="00007D23">
        <w:t xml:space="preserve">was a cost-utility analysis, </w:t>
      </w:r>
      <w:r w:rsidRPr="00506306">
        <w:t>consistent with the clinical claim.</w:t>
      </w:r>
    </w:p>
    <w:p w14:paraId="06E10FCB" w14:textId="77777777" w:rsidR="00506306" w:rsidRPr="00506306" w:rsidRDefault="00506306" w:rsidP="00506306">
      <w:pPr>
        <w:spacing w:after="0" w:line="240" w:lineRule="auto"/>
        <w:ind w:left="0"/>
        <w:rPr>
          <w:i/>
        </w:rPr>
      </w:pPr>
    </w:p>
    <w:p w14:paraId="0636B2D1" w14:textId="18A49B37" w:rsidR="00757912" w:rsidRPr="00007D23" w:rsidRDefault="00007D23" w:rsidP="00506306">
      <w:pPr>
        <w:spacing w:after="0" w:line="240" w:lineRule="auto"/>
        <w:ind w:left="0"/>
      </w:pPr>
      <w:r>
        <w:t>The model had</w:t>
      </w:r>
      <w:r w:rsidR="00FC7C85" w:rsidRPr="00506306">
        <w:t xml:space="preserve"> two treatment arms</w:t>
      </w:r>
      <w:r>
        <w:t>:</w:t>
      </w:r>
      <w:r w:rsidR="00D55A2B">
        <w:t xml:space="preserve"> (i) </w:t>
      </w:r>
      <w:r w:rsidR="00B56FC6">
        <w:rPr>
          <w:szCs w:val="24"/>
        </w:rPr>
        <w:t>GEP</w:t>
      </w:r>
      <w:r w:rsidR="00B56FC6" w:rsidRPr="00506306">
        <w:rPr>
          <w:szCs w:val="24"/>
        </w:rPr>
        <w:t xml:space="preserve"> </w:t>
      </w:r>
      <w:r w:rsidR="00D55A2B">
        <w:rPr>
          <w:szCs w:val="24"/>
        </w:rPr>
        <w:t>testing (</w:t>
      </w:r>
      <w:r w:rsidR="00FC7C85" w:rsidRPr="00506306">
        <w:t>Oncotype DX</w:t>
      </w:r>
      <w:r w:rsidR="00B56FC6" w:rsidRPr="00506306">
        <w:rPr>
          <w:szCs w:val="24"/>
          <w:vertAlign w:val="superscript"/>
        </w:rPr>
        <w:t>®</w:t>
      </w:r>
      <w:r w:rsidR="00EF1C6F">
        <w:t>)</w:t>
      </w:r>
      <w:r w:rsidR="00FC7C85" w:rsidRPr="00506306">
        <w:t xml:space="preserve"> and (ii) usual care. Firstly, a de</w:t>
      </w:r>
      <w:r>
        <w:t>cision impact module distributed</w:t>
      </w:r>
      <w:r w:rsidR="00FC7C85" w:rsidRPr="00506306">
        <w:t xml:space="preserve"> the cohort into six partitions based on underlying RS category (High risk, Intermediate Risk, Low </w:t>
      </w:r>
      <w:r w:rsidR="00194946" w:rsidRPr="00506306">
        <w:t>R</w:t>
      </w:r>
      <w:r w:rsidR="00FC7C85" w:rsidRPr="00506306">
        <w:t>isk) and treatment allocation</w:t>
      </w:r>
      <w:r w:rsidR="00194946" w:rsidRPr="00506306">
        <w:t>;</w:t>
      </w:r>
      <w:r w:rsidR="00FC7C85" w:rsidRPr="00506306">
        <w:t xml:space="preserve"> chemotherapy + hormone therapy (CT+HT) or hormone therapy (HT) alone. The underlying RS category is the same in the </w:t>
      </w:r>
      <w:r w:rsidR="00B56FC6">
        <w:t>GEP test</w:t>
      </w:r>
      <w:r w:rsidR="00FC7C85" w:rsidRPr="00506306">
        <w:t xml:space="preserve"> and usual care arms of the model. However, the treatment allocation will differ because of the information provided by the </w:t>
      </w:r>
      <w:r w:rsidR="00B56FC6">
        <w:t>GEP</w:t>
      </w:r>
      <w:r w:rsidR="00B56FC6" w:rsidRPr="00506306">
        <w:t xml:space="preserve"> </w:t>
      </w:r>
      <w:r w:rsidR="00FC7C85" w:rsidRPr="00506306">
        <w:t xml:space="preserve">test. </w:t>
      </w:r>
      <w:r>
        <w:t>Secondly, a Markov model wa</w:t>
      </w:r>
      <w:r w:rsidR="00FC7C85" w:rsidRPr="00506306">
        <w:t xml:space="preserve">s used to follow each of these cohorts for the lifetime of the economic model. </w:t>
      </w:r>
      <w:r w:rsidR="00FC7C85" w:rsidRPr="00506306">
        <w:rPr>
          <w:rFonts w:eastAsiaTheme="minorHAnsi"/>
        </w:rPr>
        <w:t>The model determine</w:t>
      </w:r>
      <w:r>
        <w:rPr>
          <w:rFonts w:eastAsiaTheme="minorHAnsi"/>
        </w:rPr>
        <w:t>d</w:t>
      </w:r>
      <w:r w:rsidR="00FC7C85" w:rsidRPr="00506306">
        <w:rPr>
          <w:rFonts w:eastAsiaTheme="minorHAnsi"/>
        </w:rPr>
        <w:t xml:space="preserve"> risk of disease recurrence based on node status (node negative or node positive), the underlying </w:t>
      </w:r>
      <w:r w:rsidR="00B56FC6">
        <w:t>GEP</w:t>
      </w:r>
      <w:r w:rsidR="00B56FC6" w:rsidRPr="00506306">
        <w:rPr>
          <w:rFonts w:eastAsiaTheme="minorHAnsi"/>
        </w:rPr>
        <w:t xml:space="preserve"> </w:t>
      </w:r>
      <w:r w:rsidR="00B56FC6">
        <w:rPr>
          <w:rFonts w:eastAsiaTheme="minorHAnsi"/>
        </w:rPr>
        <w:t xml:space="preserve">test </w:t>
      </w:r>
      <w:r w:rsidR="00FC7C85" w:rsidRPr="00506306">
        <w:rPr>
          <w:rFonts w:eastAsiaTheme="minorHAnsi"/>
        </w:rPr>
        <w:t>risk score and the treatment (CT+HT or HT alone) being received.  From these disease recurrence risks, the Markov model project</w:t>
      </w:r>
      <w:r>
        <w:rPr>
          <w:rFonts w:eastAsiaTheme="minorHAnsi"/>
        </w:rPr>
        <w:t>ed</w:t>
      </w:r>
      <w:r w:rsidR="00FC7C85" w:rsidRPr="00506306">
        <w:rPr>
          <w:rFonts w:eastAsiaTheme="minorHAnsi"/>
        </w:rPr>
        <w:t xml:space="preserve"> life expectancy, quality-adjusted life expectancy and direct costs.</w:t>
      </w:r>
      <w:r w:rsidR="00194946" w:rsidRPr="00506306">
        <w:rPr>
          <w:rFonts w:eastAsiaTheme="minorHAnsi"/>
        </w:rPr>
        <w:t xml:space="preserve"> </w:t>
      </w:r>
    </w:p>
    <w:p w14:paraId="03278B08" w14:textId="77777777" w:rsidR="00506306" w:rsidRPr="00506306" w:rsidRDefault="00506306" w:rsidP="00506306">
      <w:pPr>
        <w:spacing w:after="0" w:line="240" w:lineRule="auto"/>
        <w:ind w:left="0"/>
        <w:rPr>
          <w:rFonts w:eastAsiaTheme="minorHAnsi"/>
        </w:rPr>
      </w:pPr>
    </w:p>
    <w:p w14:paraId="35348460" w14:textId="4E3C5EDC" w:rsidR="00FC7C85" w:rsidRPr="00506306" w:rsidRDefault="00194946" w:rsidP="00506306">
      <w:pPr>
        <w:spacing w:after="0" w:line="240" w:lineRule="auto"/>
        <w:ind w:left="0"/>
      </w:pPr>
      <w:r w:rsidRPr="00506306">
        <w:rPr>
          <w:rFonts w:eastAsiaTheme="minorHAnsi"/>
        </w:rPr>
        <w:t>Risk of recurrence based on 10 years of fol</w:t>
      </w:r>
      <w:r w:rsidR="00007D23">
        <w:rPr>
          <w:rFonts w:eastAsiaTheme="minorHAnsi"/>
        </w:rPr>
        <w:t>low-up in the two studies wa</w:t>
      </w:r>
      <w:r w:rsidRPr="00506306">
        <w:rPr>
          <w:rFonts w:eastAsiaTheme="minorHAnsi"/>
        </w:rPr>
        <w:t>s extrapolated to the 30 year time horizon of the analysis.</w:t>
      </w:r>
    </w:p>
    <w:p w14:paraId="3AC72374" w14:textId="77777777" w:rsidR="00FC7C85" w:rsidRDefault="00FC7C85" w:rsidP="00FC7C85">
      <w:pPr>
        <w:pStyle w:val="Caption"/>
      </w:pPr>
      <w:r w:rsidRPr="00CD5D45">
        <w:t>Results of the economic evaluation –</w:t>
      </w:r>
      <w:r>
        <w:t xml:space="preserve"> node negative population</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2311"/>
        <w:gridCol w:w="2739"/>
        <w:gridCol w:w="1884"/>
      </w:tblGrid>
      <w:tr w:rsidR="00FC7C85" w:rsidRPr="006B6F55" w14:paraId="14382FFC" w14:textId="77777777" w:rsidTr="00DC6442">
        <w:trPr>
          <w:cantSplit/>
          <w:tblHeader/>
        </w:trPr>
        <w:tc>
          <w:tcPr>
            <w:tcW w:w="1205" w:type="pct"/>
          </w:tcPr>
          <w:p w14:paraId="04A7E50C" w14:textId="77777777" w:rsidR="00FC7C85" w:rsidRDefault="00FC7C85" w:rsidP="00DC6442">
            <w:pPr>
              <w:pStyle w:val="Tabletextboldleft"/>
              <w:rPr>
                <w:sz w:val="24"/>
                <w:szCs w:val="24"/>
              </w:rPr>
            </w:pPr>
            <w:r w:rsidRPr="006B6F55">
              <w:t>Component</w:t>
            </w:r>
          </w:p>
        </w:tc>
        <w:tc>
          <w:tcPr>
            <w:tcW w:w="1265" w:type="pct"/>
            <w:vAlign w:val="center"/>
          </w:tcPr>
          <w:p w14:paraId="380AB0E9" w14:textId="77777777" w:rsidR="00FC7C85" w:rsidRDefault="00FC7C85" w:rsidP="00DC6442">
            <w:pPr>
              <w:pStyle w:val="Tabletextbold"/>
              <w:rPr>
                <w:sz w:val="24"/>
                <w:szCs w:val="24"/>
              </w:rPr>
            </w:pPr>
            <w:r>
              <w:t>Oncotype DX</w:t>
            </w:r>
          </w:p>
        </w:tc>
        <w:tc>
          <w:tcPr>
            <w:tcW w:w="1499" w:type="pct"/>
            <w:vAlign w:val="center"/>
          </w:tcPr>
          <w:p w14:paraId="0D31B34A" w14:textId="77777777" w:rsidR="00FC7C85" w:rsidRDefault="00FC7C85" w:rsidP="00DC6442">
            <w:pPr>
              <w:pStyle w:val="Tabletextbold"/>
              <w:rPr>
                <w:sz w:val="24"/>
                <w:szCs w:val="24"/>
              </w:rPr>
            </w:pPr>
            <w:r>
              <w:t>Usual care</w:t>
            </w:r>
          </w:p>
        </w:tc>
        <w:tc>
          <w:tcPr>
            <w:tcW w:w="1031" w:type="pct"/>
            <w:vAlign w:val="center"/>
          </w:tcPr>
          <w:p w14:paraId="46B7CCCA" w14:textId="77777777" w:rsidR="00FC7C85" w:rsidRDefault="00FC7C85" w:rsidP="00DC6442">
            <w:pPr>
              <w:pStyle w:val="Tabletextbold"/>
              <w:rPr>
                <w:sz w:val="24"/>
                <w:szCs w:val="24"/>
              </w:rPr>
            </w:pPr>
            <w:r w:rsidRPr="006B6F55">
              <w:t>Increment</w:t>
            </w:r>
          </w:p>
        </w:tc>
      </w:tr>
      <w:tr w:rsidR="00FC7C85" w:rsidRPr="00FC7C85" w14:paraId="2EBB70CF" w14:textId="77777777" w:rsidTr="00DC6442">
        <w:trPr>
          <w:cantSplit/>
        </w:trPr>
        <w:tc>
          <w:tcPr>
            <w:tcW w:w="1205" w:type="pct"/>
          </w:tcPr>
          <w:p w14:paraId="4A959EC7" w14:textId="77777777" w:rsidR="00FC7C85" w:rsidRPr="00FC7C85" w:rsidRDefault="00FC7C85" w:rsidP="00DC6442">
            <w:pPr>
              <w:pStyle w:val="Tabletext"/>
              <w:rPr>
                <w:sz w:val="24"/>
              </w:rPr>
            </w:pPr>
            <w:r w:rsidRPr="00FC7C85">
              <w:t>Costs</w:t>
            </w:r>
          </w:p>
        </w:tc>
        <w:tc>
          <w:tcPr>
            <w:tcW w:w="1265" w:type="pct"/>
            <w:vAlign w:val="center"/>
          </w:tcPr>
          <w:p w14:paraId="68F91607" w14:textId="77777777" w:rsidR="00FC7C85" w:rsidRPr="00FC7C85" w:rsidRDefault="00FC7C85" w:rsidP="00DC6442">
            <w:pPr>
              <w:pStyle w:val="Tabletextbold"/>
              <w:rPr>
                <w:b w:val="0"/>
                <w:bCs/>
                <w:iCs/>
                <w:sz w:val="24"/>
                <w:szCs w:val="24"/>
              </w:rPr>
            </w:pPr>
            <w:r w:rsidRPr="00FC7C85">
              <w:rPr>
                <w:b w:val="0"/>
                <w:bCs/>
                <w:iCs/>
              </w:rPr>
              <w:t>$17,862.88</w:t>
            </w:r>
          </w:p>
        </w:tc>
        <w:tc>
          <w:tcPr>
            <w:tcW w:w="1499" w:type="pct"/>
            <w:vAlign w:val="center"/>
          </w:tcPr>
          <w:p w14:paraId="36CEED4D" w14:textId="77777777" w:rsidR="00FC7C85" w:rsidRPr="00FC7C85" w:rsidRDefault="00FC7C85" w:rsidP="00DC6442">
            <w:pPr>
              <w:pStyle w:val="Tabletextbold"/>
              <w:rPr>
                <w:b w:val="0"/>
                <w:bCs/>
                <w:iCs/>
                <w:sz w:val="24"/>
                <w:szCs w:val="24"/>
              </w:rPr>
            </w:pPr>
            <w:r w:rsidRPr="00FC7C85">
              <w:rPr>
                <w:b w:val="0"/>
                <w:bCs/>
                <w:iCs/>
              </w:rPr>
              <w:t>$15,171.46</w:t>
            </w:r>
          </w:p>
        </w:tc>
        <w:tc>
          <w:tcPr>
            <w:tcW w:w="1031" w:type="pct"/>
            <w:vAlign w:val="center"/>
          </w:tcPr>
          <w:p w14:paraId="3B7265E2" w14:textId="77777777" w:rsidR="00FC7C85" w:rsidRPr="00FC7C85" w:rsidRDefault="00FC7C85" w:rsidP="00DC6442">
            <w:pPr>
              <w:pStyle w:val="Tabletextbold"/>
              <w:rPr>
                <w:b w:val="0"/>
                <w:bCs/>
                <w:iCs/>
                <w:sz w:val="24"/>
                <w:szCs w:val="24"/>
              </w:rPr>
            </w:pPr>
            <w:r w:rsidRPr="00FC7C85">
              <w:rPr>
                <w:b w:val="0"/>
                <w:bCs/>
                <w:iCs/>
              </w:rPr>
              <w:t>$2,691.42</w:t>
            </w:r>
          </w:p>
        </w:tc>
      </w:tr>
      <w:tr w:rsidR="00FC7C85" w:rsidRPr="00FC7C85" w14:paraId="78AC894B" w14:textId="77777777" w:rsidTr="00DC6442">
        <w:trPr>
          <w:cantSplit/>
        </w:trPr>
        <w:tc>
          <w:tcPr>
            <w:tcW w:w="1205" w:type="pct"/>
          </w:tcPr>
          <w:p w14:paraId="67E389A4" w14:textId="77777777" w:rsidR="00FC7C85" w:rsidRPr="00FC7C85" w:rsidRDefault="00FC7C85" w:rsidP="00DC6442">
            <w:pPr>
              <w:pStyle w:val="Tabletext"/>
              <w:rPr>
                <w:sz w:val="24"/>
              </w:rPr>
            </w:pPr>
            <w:r w:rsidRPr="00FC7C85">
              <w:t>QALYs</w:t>
            </w:r>
          </w:p>
        </w:tc>
        <w:tc>
          <w:tcPr>
            <w:tcW w:w="1265" w:type="pct"/>
            <w:vAlign w:val="center"/>
          </w:tcPr>
          <w:p w14:paraId="1F244D9E" w14:textId="77777777" w:rsidR="00FC7C85" w:rsidRPr="00FC7C85" w:rsidRDefault="00FC7C85" w:rsidP="00DC6442">
            <w:pPr>
              <w:pStyle w:val="Tabletextcentred"/>
              <w:rPr>
                <w:sz w:val="24"/>
              </w:rPr>
            </w:pPr>
            <w:r w:rsidRPr="00FC7C85">
              <w:t>13.27</w:t>
            </w:r>
          </w:p>
        </w:tc>
        <w:tc>
          <w:tcPr>
            <w:tcW w:w="1499" w:type="pct"/>
            <w:vAlign w:val="center"/>
          </w:tcPr>
          <w:p w14:paraId="4EC27599" w14:textId="77777777" w:rsidR="00FC7C85" w:rsidRPr="00FC7C85" w:rsidRDefault="00FC7C85" w:rsidP="00DC6442">
            <w:pPr>
              <w:pStyle w:val="Tabletextcentred"/>
              <w:rPr>
                <w:sz w:val="24"/>
              </w:rPr>
            </w:pPr>
            <w:r w:rsidRPr="00FC7C85">
              <w:t>13.13</w:t>
            </w:r>
          </w:p>
        </w:tc>
        <w:tc>
          <w:tcPr>
            <w:tcW w:w="1031" w:type="pct"/>
            <w:vAlign w:val="center"/>
          </w:tcPr>
          <w:p w14:paraId="15264833" w14:textId="77777777" w:rsidR="00FC7C85" w:rsidRPr="00FC7C85" w:rsidRDefault="00FC7C85" w:rsidP="00DC6442">
            <w:pPr>
              <w:pStyle w:val="Tabletextcentred"/>
              <w:rPr>
                <w:sz w:val="24"/>
              </w:rPr>
            </w:pPr>
            <w:r w:rsidRPr="00FC7C85">
              <w:t>0.14</w:t>
            </w:r>
          </w:p>
        </w:tc>
      </w:tr>
      <w:tr w:rsidR="00FC7C85" w:rsidRPr="006B6F55" w14:paraId="1B5C1C82" w14:textId="77777777" w:rsidTr="00DC6442">
        <w:trPr>
          <w:cantSplit/>
        </w:trPr>
        <w:tc>
          <w:tcPr>
            <w:tcW w:w="3969" w:type="pct"/>
            <w:gridSpan w:val="3"/>
          </w:tcPr>
          <w:p w14:paraId="0E1BE801" w14:textId="77777777" w:rsidR="00FC7C85" w:rsidRDefault="00FC7C85" w:rsidP="00DC6442">
            <w:pPr>
              <w:pStyle w:val="Tabletextboldleft"/>
              <w:rPr>
                <w:sz w:val="24"/>
                <w:szCs w:val="24"/>
              </w:rPr>
            </w:pPr>
            <w:r w:rsidRPr="006B6F55">
              <w:t xml:space="preserve">Incremental cost-effectiveness ratio </w:t>
            </w:r>
            <w:r>
              <w:t>(ICER)</w:t>
            </w:r>
          </w:p>
        </w:tc>
        <w:tc>
          <w:tcPr>
            <w:tcW w:w="1031" w:type="pct"/>
          </w:tcPr>
          <w:p w14:paraId="5FA01540" w14:textId="77777777" w:rsidR="00FC7C85" w:rsidRDefault="00FC7C85" w:rsidP="00DC6442">
            <w:pPr>
              <w:pStyle w:val="Tabletextbold"/>
              <w:rPr>
                <w:sz w:val="24"/>
                <w:szCs w:val="24"/>
              </w:rPr>
            </w:pPr>
            <w:r>
              <w:t>$18,8</w:t>
            </w:r>
            <w:r w:rsidRPr="00FC7C85">
              <w:rPr>
                <w:iCs/>
              </w:rPr>
              <w:t>99</w:t>
            </w:r>
          </w:p>
        </w:tc>
      </w:tr>
    </w:tbl>
    <w:p w14:paraId="1CDE3ABD" w14:textId="77777777" w:rsidR="00FC7C85" w:rsidRDefault="00FC7C85" w:rsidP="00FC7C85">
      <w:pPr>
        <w:pStyle w:val="Caption"/>
      </w:pPr>
      <w:r w:rsidRPr="00F94099">
        <w:t>Results</w:t>
      </w:r>
      <w:r w:rsidRPr="006B6F55">
        <w:t xml:space="preserve"> of the economic evaluation</w:t>
      </w:r>
      <w:r>
        <w:t xml:space="preserve"> – node positive population</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2311"/>
        <w:gridCol w:w="2739"/>
        <w:gridCol w:w="1884"/>
      </w:tblGrid>
      <w:tr w:rsidR="00FC7C85" w:rsidRPr="006B6F55" w14:paraId="7E15A69A" w14:textId="77777777" w:rsidTr="00DC6442">
        <w:trPr>
          <w:cantSplit/>
          <w:tblHeader/>
        </w:trPr>
        <w:tc>
          <w:tcPr>
            <w:tcW w:w="1205" w:type="pct"/>
          </w:tcPr>
          <w:p w14:paraId="14801A3D" w14:textId="77777777" w:rsidR="00FC7C85" w:rsidRDefault="00FC7C85" w:rsidP="00DC6442">
            <w:pPr>
              <w:pStyle w:val="Tabletextboldleft"/>
              <w:rPr>
                <w:sz w:val="24"/>
                <w:szCs w:val="24"/>
              </w:rPr>
            </w:pPr>
            <w:r w:rsidRPr="006B6F55">
              <w:t>Component</w:t>
            </w:r>
          </w:p>
        </w:tc>
        <w:tc>
          <w:tcPr>
            <w:tcW w:w="1265" w:type="pct"/>
            <w:vAlign w:val="center"/>
          </w:tcPr>
          <w:p w14:paraId="117B44C5" w14:textId="77777777" w:rsidR="00FC7C85" w:rsidRDefault="00FC7C85" w:rsidP="00DC6442">
            <w:pPr>
              <w:pStyle w:val="Tabletextbold"/>
              <w:rPr>
                <w:sz w:val="24"/>
                <w:szCs w:val="24"/>
              </w:rPr>
            </w:pPr>
            <w:r>
              <w:t>Oncotype DX</w:t>
            </w:r>
          </w:p>
        </w:tc>
        <w:tc>
          <w:tcPr>
            <w:tcW w:w="1499" w:type="pct"/>
            <w:vAlign w:val="center"/>
          </w:tcPr>
          <w:p w14:paraId="4109EC4B" w14:textId="77777777" w:rsidR="00FC7C85" w:rsidRDefault="00FC7C85" w:rsidP="00DC6442">
            <w:pPr>
              <w:pStyle w:val="Tabletextbold"/>
              <w:rPr>
                <w:sz w:val="24"/>
                <w:szCs w:val="24"/>
              </w:rPr>
            </w:pPr>
            <w:r>
              <w:t>Usual care</w:t>
            </w:r>
          </w:p>
        </w:tc>
        <w:tc>
          <w:tcPr>
            <w:tcW w:w="1031" w:type="pct"/>
            <w:vAlign w:val="center"/>
          </w:tcPr>
          <w:p w14:paraId="34BAD1F6" w14:textId="77777777" w:rsidR="00FC7C85" w:rsidRDefault="00FC7C85" w:rsidP="00DC6442">
            <w:pPr>
              <w:pStyle w:val="Tabletextbold"/>
              <w:rPr>
                <w:sz w:val="24"/>
                <w:szCs w:val="24"/>
              </w:rPr>
            </w:pPr>
            <w:r w:rsidRPr="006B6F55">
              <w:t>Increment</w:t>
            </w:r>
          </w:p>
        </w:tc>
      </w:tr>
      <w:tr w:rsidR="00FC7C85" w:rsidRPr="006B6F55" w14:paraId="2062E38F" w14:textId="77777777" w:rsidTr="00DC6442">
        <w:trPr>
          <w:cantSplit/>
        </w:trPr>
        <w:tc>
          <w:tcPr>
            <w:tcW w:w="1205" w:type="pct"/>
          </w:tcPr>
          <w:p w14:paraId="1FA552CA" w14:textId="77777777" w:rsidR="00FC7C85" w:rsidRDefault="00FC7C85" w:rsidP="00DC6442">
            <w:pPr>
              <w:pStyle w:val="Tabletext"/>
              <w:rPr>
                <w:sz w:val="24"/>
              </w:rPr>
            </w:pPr>
            <w:r w:rsidRPr="006B6F55">
              <w:t>Costs</w:t>
            </w:r>
          </w:p>
        </w:tc>
        <w:tc>
          <w:tcPr>
            <w:tcW w:w="1265" w:type="pct"/>
          </w:tcPr>
          <w:p w14:paraId="2465D824" w14:textId="77777777" w:rsidR="00FC7C85" w:rsidRDefault="00FC7C85" w:rsidP="00DC6442">
            <w:pPr>
              <w:pStyle w:val="Tabletextcentred"/>
              <w:rPr>
                <w:sz w:val="24"/>
              </w:rPr>
            </w:pPr>
            <w:r>
              <w:t>$46,026.17</w:t>
            </w:r>
          </w:p>
        </w:tc>
        <w:tc>
          <w:tcPr>
            <w:tcW w:w="1499" w:type="pct"/>
          </w:tcPr>
          <w:p w14:paraId="72219EDD" w14:textId="77777777" w:rsidR="00FC7C85" w:rsidRDefault="00FC7C85" w:rsidP="00DC6442">
            <w:pPr>
              <w:pStyle w:val="Tabletextcentred"/>
              <w:rPr>
                <w:sz w:val="24"/>
              </w:rPr>
            </w:pPr>
            <w:r>
              <w:t>$45,741.14</w:t>
            </w:r>
          </w:p>
        </w:tc>
        <w:tc>
          <w:tcPr>
            <w:tcW w:w="1031" w:type="pct"/>
          </w:tcPr>
          <w:p w14:paraId="0ED8708F" w14:textId="77777777" w:rsidR="00FC7C85" w:rsidRDefault="00FC7C85" w:rsidP="00DC6442">
            <w:pPr>
              <w:pStyle w:val="Tabletextcentred"/>
              <w:rPr>
                <w:sz w:val="24"/>
              </w:rPr>
            </w:pPr>
            <w:r>
              <w:t>$285.02</w:t>
            </w:r>
          </w:p>
        </w:tc>
      </w:tr>
      <w:tr w:rsidR="00FC7C85" w:rsidRPr="006B6F55" w14:paraId="60652246" w14:textId="77777777" w:rsidTr="00DC6442">
        <w:trPr>
          <w:cantSplit/>
        </w:trPr>
        <w:tc>
          <w:tcPr>
            <w:tcW w:w="1205" w:type="pct"/>
          </w:tcPr>
          <w:p w14:paraId="0CC0B4FA" w14:textId="77777777" w:rsidR="00FC7C85" w:rsidRDefault="00FC7C85" w:rsidP="00DC6442">
            <w:pPr>
              <w:pStyle w:val="Tabletext"/>
              <w:rPr>
                <w:sz w:val="24"/>
              </w:rPr>
            </w:pPr>
            <w:r>
              <w:t>QALYs</w:t>
            </w:r>
          </w:p>
        </w:tc>
        <w:tc>
          <w:tcPr>
            <w:tcW w:w="1265" w:type="pct"/>
            <w:vAlign w:val="center"/>
          </w:tcPr>
          <w:p w14:paraId="57EB8DFF" w14:textId="77777777" w:rsidR="00FC7C85" w:rsidRDefault="00FC7C85" w:rsidP="00DC6442">
            <w:pPr>
              <w:pStyle w:val="Tabletextcentred"/>
              <w:rPr>
                <w:sz w:val="24"/>
              </w:rPr>
            </w:pPr>
            <w:r>
              <w:t>10.86</w:t>
            </w:r>
          </w:p>
        </w:tc>
        <w:tc>
          <w:tcPr>
            <w:tcW w:w="1499" w:type="pct"/>
            <w:vAlign w:val="center"/>
          </w:tcPr>
          <w:p w14:paraId="02B34BCD" w14:textId="77777777" w:rsidR="00FC7C85" w:rsidRDefault="00FC7C85" w:rsidP="00DC6442">
            <w:pPr>
              <w:pStyle w:val="Tabletextcentred"/>
              <w:rPr>
                <w:sz w:val="24"/>
              </w:rPr>
            </w:pPr>
            <w:r>
              <w:t>10.81</w:t>
            </w:r>
          </w:p>
        </w:tc>
        <w:tc>
          <w:tcPr>
            <w:tcW w:w="1031" w:type="pct"/>
            <w:vAlign w:val="center"/>
          </w:tcPr>
          <w:p w14:paraId="336FBAFC" w14:textId="77777777" w:rsidR="00FC7C85" w:rsidRDefault="00FC7C85" w:rsidP="00DC6442">
            <w:pPr>
              <w:pStyle w:val="Tabletextcentred"/>
              <w:rPr>
                <w:sz w:val="24"/>
              </w:rPr>
            </w:pPr>
            <w:r>
              <w:t>0.04</w:t>
            </w:r>
          </w:p>
        </w:tc>
      </w:tr>
      <w:tr w:rsidR="00FC7C85" w:rsidRPr="006B6F55" w14:paraId="750BA97B" w14:textId="77777777" w:rsidTr="00DC6442">
        <w:trPr>
          <w:cantSplit/>
        </w:trPr>
        <w:tc>
          <w:tcPr>
            <w:tcW w:w="3969" w:type="pct"/>
            <w:gridSpan w:val="3"/>
          </w:tcPr>
          <w:p w14:paraId="22E0C846" w14:textId="77777777" w:rsidR="00FC7C85" w:rsidRDefault="00FC7C85" w:rsidP="00DC6442">
            <w:pPr>
              <w:pStyle w:val="Tabletextboldleft"/>
              <w:rPr>
                <w:sz w:val="24"/>
                <w:szCs w:val="24"/>
              </w:rPr>
            </w:pPr>
            <w:r w:rsidRPr="006B6F55">
              <w:t xml:space="preserve">Incremental cost-effectiveness ratio </w:t>
            </w:r>
          </w:p>
        </w:tc>
        <w:tc>
          <w:tcPr>
            <w:tcW w:w="1031" w:type="pct"/>
          </w:tcPr>
          <w:p w14:paraId="246FEE0A" w14:textId="77777777" w:rsidR="00FC7C85" w:rsidRDefault="00FC7C85" w:rsidP="00DC6442">
            <w:pPr>
              <w:pStyle w:val="Tabletextbold"/>
              <w:rPr>
                <w:sz w:val="24"/>
                <w:szCs w:val="24"/>
              </w:rPr>
            </w:pPr>
            <w:r>
              <w:t>$6,590</w:t>
            </w:r>
          </w:p>
        </w:tc>
      </w:tr>
    </w:tbl>
    <w:p w14:paraId="5B71C832" w14:textId="77777777" w:rsidR="00454468" w:rsidRDefault="00454468" w:rsidP="00454468">
      <w:pPr>
        <w:spacing w:after="0" w:line="240" w:lineRule="auto"/>
        <w:ind w:left="0"/>
        <w:rPr>
          <w:rFonts w:ascii="Arial" w:hAnsi="Arial" w:cs="Arial"/>
          <w:iCs/>
        </w:rPr>
      </w:pPr>
    </w:p>
    <w:p w14:paraId="371A1163" w14:textId="669A4409" w:rsidR="00FC7C85" w:rsidRPr="00506306" w:rsidRDefault="00FC7C85" w:rsidP="00AD674D">
      <w:pPr>
        <w:spacing w:after="0" w:line="240" w:lineRule="auto"/>
        <w:ind w:left="0"/>
        <w:rPr>
          <w:iCs/>
          <w:szCs w:val="24"/>
        </w:rPr>
      </w:pPr>
      <w:r w:rsidRPr="00506306">
        <w:rPr>
          <w:iCs/>
          <w:szCs w:val="24"/>
        </w:rPr>
        <w:t xml:space="preserve">The ICERs estimated </w:t>
      </w:r>
      <w:r w:rsidR="0002494F">
        <w:rPr>
          <w:iCs/>
          <w:szCs w:val="24"/>
        </w:rPr>
        <w:t>in the application</w:t>
      </w:r>
      <w:r w:rsidRPr="00506306">
        <w:rPr>
          <w:iCs/>
          <w:szCs w:val="24"/>
        </w:rPr>
        <w:t xml:space="preserve"> </w:t>
      </w:r>
      <w:r w:rsidR="00FE7A24">
        <w:rPr>
          <w:iCs/>
          <w:szCs w:val="24"/>
        </w:rPr>
        <w:t>were</w:t>
      </w:r>
      <w:r w:rsidRPr="00506306">
        <w:rPr>
          <w:iCs/>
          <w:szCs w:val="24"/>
        </w:rPr>
        <w:t xml:space="preserve"> not </w:t>
      </w:r>
      <w:r w:rsidR="00FE7A24">
        <w:rPr>
          <w:iCs/>
          <w:szCs w:val="24"/>
        </w:rPr>
        <w:t xml:space="preserve">considered </w:t>
      </w:r>
      <w:r w:rsidRPr="00506306">
        <w:rPr>
          <w:iCs/>
          <w:szCs w:val="24"/>
        </w:rPr>
        <w:t>completely relevant to the Australian context as:</w:t>
      </w:r>
    </w:p>
    <w:p w14:paraId="7E19DA07" w14:textId="77777777" w:rsidR="00FC7C85" w:rsidRPr="00506306" w:rsidRDefault="00FC7C85" w:rsidP="0045219F">
      <w:pPr>
        <w:pStyle w:val="ListParagraph"/>
        <w:numPr>
          <w:ilvl w:val="0"/>
          <w:numId w:val="25"/>
        </w:numPr>
        <w:spacing w:after="0" w:line="240" w:lineRule="auto"/>
        <w:ind w:left="284" w:hanging="284"/>
        <w:rPr>
          <w:iCs/>
          <w:szCs w:val="24"/>
        </w:rPr>
      </w:pPr>
      <w:r w:rsidRPr="00506306">
        <w:rPr>
          <w:iCs/>
          <w:szCs w:val="24"/>
        </w:rPr>
        <w:t xml:space="preserve">Although anastrozole is the most commonly used hormone therapy in Australia, the patients in the model are assumed to be treated with tamoxifen and the </w:t>
      </w:r>
      <w:r w:rsidR="00194946" w:rsidRPr="00506306">
        <w:rPr>
          <w:iCs/>
          <w:szCs w:val="24"/>
        </w:rPr>
        <w:t xml:space="preserve">risk of </w:t>
      </w:r>
      <w:r w:rsidRPr="00506306">
        <w:rPr>
          <w:iCs/>
          <w:szCs w:val="24"/>
        </w:rPr>
        <w:t>recurrence</w:t>
      </w:r>
      <w:r w:rsidR="00AF17E4" w:rsidRPr="00506306">
        <w:rPr>
          <w:iCs/>
          <w:szCs w:val="24"/>
        </w:rPr>
        <w:t xml:space="preserve"> </w:t>
      </w:r>
      <w:r w:rsidRPr="00506306">
        <w:rPr>
          <w:iCs/>
          <w:szCs w:val="24"/>
        </w:rPr>
        <w:t>observed for tamoxifen</w:t>
      </w:r>
      <w:r w:rsidR="00194946" w:rsidRPr="00506306">
        <w:rPr>
          <w:iCs/>
          <w:szCs w:val="24"/>
        </w:rPr>
        <w:t xml:space="preserve"> is used</w:t>
      </w:r>
      <w:r w:rsidRPr="00506306">
        <w:rPr>
          <w:iCs/>
          <w:szCs w:val="24"/>
        </w:rPr>
        <w:t xml:space="preserve">. Anastrozole has demonstrated disease-free and overall </w:t>
      </w:r>
      <w:r w:rsidRPr="00506306">
        <w:rPr>
          <w:iCs/>
          <w:szCs w:val="24"/>
        </w:rPr>
        <w:lastRenderedPageBreak/>
        <w:t xml:space="preserve">survival benefits compared with tamoxifen and thus the </w:t>
      </w:r>
      <w:r w:rsidR="00194946" w:rsidRPr="00506306">
        <w:rPr>
          <w:iCs/>
          <w:szCs w:val="24"/>
        </w:rPr>
        <w:t xml:space="preserve">risk of </w:t>
      </w:r>
      <w:r w:rsidRPr="00506306">
        <w:rPr>
          <w:iCs/>
          <w:szCs w:val="24"/>
        </w:rPr>
        <w:t xml:space="preserve">recurrence </w:t>
      </w:r>
      <w:r w:rsidR="00194946" w:rsidRPr="00506306">
        <w:rPr>
          <w:iCs/>
          <w:szCs w:val="24"/>
        </w:rPr>
        <w:t xml:space="preserve">is </w:t>
      </w:r>
      <w:r w:rsidRPr="00506306">
        <w:rPr>
          <w:iCs/>
          <w:szCs w:val="24"/>
        </w:rPr>
        <w:t>likely to be lower in patients treated with anastrozole.</w:t>
      </w:r>
      <w:r w:rsidR="00923DF7" w:rsidRPr="00506306">
        <w:rPr>
          <w:iCs/>
          <w:szCs w:val="24"/>
        </w:rPr>
        <w:t xml:space="preserve"> The price for tamoxifen is used in the model and </w:t>
      </w:r>
      <w:r w:rsidR="00E55A0E" w:rsidRPr="00506306">
        <w:rPr>
          <w:iCs/>
          <w:szCs w:val="24"/>
        </w:rPr>
        <w:t>anastrozole</w:t>
      </w:r>
      <w:r w:rsidR="00923DF7" w:rsidRPr="00506306">
        <w:rPr>
          <w:iCs/>
          <w:szCs w:val="24"/>
        </w:rPr>
        <w:t xml:space="preserve"> is more expensive.</w:t>
      </w:r>
    </w:p>
    <w:p w14:paraId="40CE414B" w14:textId="7B57E839" w:rsidR="00FC7C85" w:rsidRPr="00506306" w:rsidRDefault="00FC7C85" w:rsidP="0045219F">
      <w:pPr>
        <w:pStyle w:val="ListParagraph"/>
        <w:numPr>
          <w:ilvl w:val="0"/>
          <w:numId w:val="25"/>
        </w:numPr>
        <w:spacing w:after="0" w:line="240" w:lineRule="auto"/>
        <w:ind w:left="284" w:hanging="284"/>
        <w:rPr>
          <w:iCs/>
          <w:szCs w:val="24"/>
        </w:rPr>
      </w:pPr>
      <w:r w:rsidRPr="00506306">
        <w:rPr>
          <w:iCs/>
          <w:szCs w:val="24"/>
        </w:rPr>
        <w:t>The relative risk reduction</w:t>
      </w:r>
      <w:r w:rsidR="00EF5904" w:rsidRPr="00506306">
        <w:rPr>
          <w:iCs/>
          <w:szCs w:val="24"/>
        </w:rPr>
        <w:t>s</w:t>
      </w:r>
      <w:r w:rsidRPr="00506306">
        <w:rPr>
          <w:iCs/>
          <w:szCs w:val="24"/>
        </w:rPr>
        <w:t xml:space="preserve"> </w:t>
      </w:r>
      <w:r w:rsidR="00EF5904" w:rsidRPr="00506306">
        <w:rPr>
          <w:iCs/>
          <w:szCs w:val="24"/>
        </w:rPr>
        <w:t xml:space="preserve">used in the model </w:t>
      </w:r>
      <w:r w:rsidRPr="00506306">
        <w:rPr>
          <w:iCs/>
          <w:szCs w:val="24"/>
        </w:rPr>
        <w:t xml:space="preserve">for the addition of chemotherapy </w:t>
      </w:r>
      <w:r w:rsidR="00EF5904" w:rsidRPr="00506306">
        <w:rPr>
          <w:iCs/>
          <w:szCs w:val="24"/>
        </w:rPr>
        <w:t xml:space="preserve">are </w:t>
      </w:r>
      <w:r w:rsidRPr="00506306">
        <w:rPr>
          <w:iCs/>
          <w:szCs w:val="24"/>
        </w:rPr>
        <w:t xml:space="preserve">derived from those observed/estimated in the comparison of tamoxifen ± MF/CMF or CAF </w:t>
      </w:r>
      <w:r w:rsidR="00EF5904" w:rsidRPr="00506306">
        <w:rPr>
          <w:iCs/>
          <w:szCs w:val="24"/>
        </w:rPr>
        <w:t xml:space="preserve">while the costs </w:t>
      </w:r>
      <w:r w:rsidR="00923DF7" w:rsidRPr="00506306">
        <w:rPr>
          <w:iCs/>
          <w:szCs w:val="24"/>
        </w:rPr>
        <w:t xml:space="preserve">of the additional chemotherapy </w:t>
      </w:r>
      <w:r w:rsidR="00EF5904" w:rsidRPr="00506306">
        <w:rPr>
          <w:iCs/>
          <w:szCs w:val="24"/>
        </w:rPr>
        <w:t xml:space="preserve">are those for </w:t>
      </w:r>
      <w:r w:rsidRPr="00506306">
        <w:rPr>
          <w:iCs/>
          <w:szCs w:val="24"/>
        </w:rPr>
        <w:t>AC or FEC-D</w:t>
      </w:r>
      <w:r w:rsidR="00EF5904" w:rsidRPr="00506306">
        <w:rPr>
          <w:iCs/>
          <w:szCs w:val="24"/>
        </w:rPr>
        <w:t xml:space="preserve"> which are the most commonly used regimens for node negative and node positive breast cancer in Australia based on expert opinion and a survey of 12 oncologists and surgeons. </w:t>
      </w:r>
    </w:p>
    <w:p w14:paraId="43ABB2BD" w14:textId="7236A35C" w:rsidR="00FC7C85" w:rsidRPr="00506306" w:rsidRDefault="00FC7C85" w:rsidP="0045219F">
      <w:pPr>
        <w:pStyle w:val="ListParagraph"/>
        <w:numPr>
          <w:ilvl w:val="0"/>
          <w:numId w:val="25"/>
        </w:numPr>
        <w:spacing w:after="0" w:line="240" w:lineRule="auto"/>
        <w:ind w:left="284" w:hanging="284"/>
        <w:rPr>
          <w:iCs/>
          <w:szCs w:val="24"/>
        </w:rPr>
      </w:pPr>
      <w:r w:rsidRPr="00506306">
        <w:rPr>
          <w:iCs/>
          <w:szCs w:val="24"/>
        </w:rPr>
        <w:t xml:space="preserve">The assumed treatment changes in the model </w:t>
      </w:r>
      <w:r w:rsidR="00AF17E4" w:rsidRPr="00506306">
        <w:rPr>
          <w:iCs/>
          <w:szCs w:val="24"/>
        </w:rPr>
        <w:t xml:space="preserve">were </w:t>
      </w:r>
      <w:r w:rsidRPr="00506306">
        <w:rPr>
          <w:iCs/>
          <w:szCs w:val="24"/>
        </w:rPr>
        <w:t>based on those recommended in de</w:t>
      </w:r>
      <w:r w:rsidR="0045219F">
        <w:rPr>
          <w:iCs/>
          <w:szCs w:val="24"/>
        </w:rPr>
        <w:t> </w:t>
      </w:r>
      <w:r w:rsidRPr="00506306">
        <w:rPr>
          <w:iCs/>
          <w:szCs w:val="24"/>
        </w:rPr>
        <w:t xml:space="preserve">Boer et </w:t>
      </w:r>
      <w:r w:rsidR="00EF5904" w:rsidRPr="00506306">
        <w:rPr>
          <w:iCs/>
          <w:szCs w:val="24"/>
        </w:rPr>
        <w:t>a</w:t>
      </w:r>
      <w:r w:rsidRPr="00506306">
        <w:rPr>
          <w:iCs/>
          <w:szCs w:val="24"/>
        </w:rPr>
        <w:t xml:space="preserve">l (2013) rather than the actual treatments </w:t>
      </w:r>
      <w:r w:rsidR="00EF5904" w:rsidRPr="00506306">
        <w:rPr>
          <w:iCs/>
          <w:szCs w:val="24"/>
        </w:rPr>
        <w:t>received</w:t>
      </w:r>
      <w:r w:rsidR="00CE4935" w:rsidRPr="00506306">
        <w:rPr>
          <w:iCs/>
          <w:szCs w:val="24"/>
        </w:rPr>
        <w:t>.</w:t>
      </w:r>
      <w:r w:rsidRPr="00506306">
        <w:rPr>
          <w:iCs/>
          <w:szCs w:val="24"/>
        </w:rPr>
        <w:t xml:space="preserve"> </w:t>
      </w:r>
      <w:r w:rsidR="0045219F">
        <w:rPr>
          <w:iCs/>
          <w:szCs w:val="24"/>
        </w:rPr>
        <w:t>T</w:t>
      </w:r>
      <w:r w:rsidRPr="00506306">
        <w:rPr>
          <w:iCs/>
          <w:szCs w:val="24"/>
        </w:rPr>
        <w:t>he actual treatment changes occurred less frequently than the recommended treatment changes.</w:t>
      </w:r>
    </w:p>
    <w:p w14:paraId="2CF4C3FE" w14:textId="77777777" w:rsidR="00454468" w:rsidRPr="00506306" w:rsidRDefault="00454468" w:rsidP="00AD674D">
      <w:pPr>
        <w:pStyle w:val="ListParagraph"/>
        <w:spacing w:after="0" w:line="240" w:lineRule="auto"/>
        <w:ind w:left="284"/>
        <w:jc w:val="both"/>
        <w:rPr>
          <w:iCs/>
          <w:szCs w:val="24"/>
        </w:rPr>
      </w:pPr>
    </w:p>
    <w:p w14:paraId="385E8F7B" w14:textId="039C4A31" w:rsidR="00897AC5" w:rsidRDefault="00FE7A24" w:rsidP="00AD674D">
      <w:pPr>
        <w:spacing w:after="0" w:line="240" w:lineRule="auto"/>
        <w:ind w:left="0"/>
        <w:rPr>
          <w:iCs/>
          <w:szCs w:val="24"/>
        </w:rPr>
      </w:pPr>
      <w:r>
        <w:rPr>
          <w:iCs/>
          <w:szCs w:val="24"/>
        </w:rPr>
        <w:t>Both models we</w:t>
      </w:r>
      <w:r w:rsidR="00FC7C85" w:rsidRPr="00506306">
        <w:rPr>
          <w:iCs/>
          <w:szCs w:val="24"/>
        </w:rPr>
        <w:t xml:space="preserve">re sensitive to the assumed net change in chemotherapy and the assumed recurrence rates, the two key variables in the model that were identified as being uncertain to the Australian context </w:t>
      </w:r>
      <w:r w:rsidR="00C54972" w:rsidRPr="00506306">
        <w:rPr>
          <w:iCs/>
          <w:szCs w:val="24"/>
        </w:rPr>
        <w:t xml:space="preserve"> for the </w:t>
      </w:r>
      <w:r w:rsidR="009D5E45" w:rsidRPr="00506306">
        <w:rPr>
          <w:iCs/>
          <w:szCs w:val="24"/>
        </w:rPr>
        <w:t xml:space="preserve">reasons </w:t>
      </w:r>
      <w:r w:rsidR="00C54972" w:rsidRPr="00506306">
        <w:rPr>
          <w:iCs/>
          <w:szCs w:val="24"/>
        </w:rPr>
        <w:t>identified above.</w:t>
      </w:r>
      <w:r w:rsidR="00E55A0E" w:rsidRPr="00506306">
        <w:rPr>
          <w:iCs/>
          <w:szCs w:val="24"/>
        </w:rPr>
        <w:t xml:space="preserve"> </w:t>
      </w:r>
    </w:p>
    <w:p w14:paraId="407E11A7" w14:textId="77777777" w:rsidR="00AD674D" w:rsidRPr="00506306" w:rsidRDefault="00AD674D" w:rsidP="00AD674D">
      <w:pPr>
        <w:spacing w:after="0" w:line="240" w:lineRule="auto"/>
        <w:ind w:left="0"/>
        <w:rPr>
          <w:iCs/>
          <w:szCs w:val="24"/>
        </w:rPr>
      </w:pPr>
    </w:p>
    <w:p w14:paraId="3F781812" w14:textId="5CC2D57A" w:rsidR="00AD674D" w:rsidRDefault="00FC7C85" w:rsidP="00AD674D">
      <w:pPr>
        <w:spacing w:after="0" w:line="240" w:lineRule="auto"/>
        <w:ind w:left="0"/>
        <w:rPr>
          <w:iCs/>
          <w:szCs w:val="24"/>
        </w:rPr>
      </w:pPr>
      <w:r w:rsidRPr="00506306">
        <w:rPr>
          <w:iCs/>
          <w:szCs w:val="24"/>
        </w:rPr>
        <w:t xml:space="preserve">Using the lower 95% confidence </w:t>
      </w:r>
      <w:r w:rsidR="00EF5904" w:rsidRPr="00506306">
        <w:rPr>
          <w:iCs/>
          <w:szCs w:val="24"/>
        </w:rPr>
        <w:t>limit</w:t>
      </w:r>
      <w:r w:rsidRPr="00506306">
        <w:rPr>
          <w:iCs/>
          <w:szCs w:val="24"/>
        </w:rPr>
        <w:t xml:space="preserve"> for </w:t>
      </w:r>
      <w:r w:rsidR="00EF5904" w:rsidRPr="00506306">
        <w:rPr>
          <w:iCs/>
          <w:szCs w:val="24"/>
        </w:rPr>
        <w:t xml:space="preserve">risk of </w:t>
      </w:r>
      <w:r w:rsidRPr="00506306">
        <w:rPr>
          <w:iCs/>
          <w:szCs w:val="24"/>
        </w:rPr>
        <w:t xml:space="preserve">recurrence and the lowest </w:t>
      </w:r>
      <w:r w:rsidR="00EF5904" w:rsidRPr="00506306">
        <w:rPr>
          <w:iCs/>
          <w:szCs w:val="24"/>
        </w:rPr>
        <w:t xml:space="preserve">estimates of </w:t>
      </w:r>
      <w:r w:rsidRPr="00506306">
        <w:rPr>
          <w:iCs/>
          <w:szCs w:val="24"/>
        </w:rPr>
        <w:t xml:space="preserve">net change </w:t>
      </w:r>
      <w:r w:rsidR="00EF5904" w:rsidRPr="00506306">
        <w:rPr>
          <w:iCs/>
          <w:szCs w:val="24"/>
        </w:rPr>
        <w:t xml:space="preserve">based on </w:t>
      </w:r>
      <w:r w:rsidRPr="00506306">
        <w:rPr>
          <w:iCs/>
          <w:szCs w:val="24"/>
        </w:rPr>
        <w:t xml:space="preserve">the 95% CIs (ie, the lower </w:t>
      </w:r>
      <w:r w:rsidR="00EF5904" w:rsidRPr="00506306">
        <w:rPr>
          <w:iCs/>
          <w:szCs w:val="24"/>
        </w:rPr>
        <w:t>confidence limit</w:t>
      </w:r>
      <w:r w:rsidR="00C54972" w:rsidRPr="00506306">
        <w:rPr>
          <w:iCs/>
          <w:szCs w:val="24"/>
        </w:rPr>
        <w:t>s</w:t>
      </w:r>
      <w:r w:rsidRPr="00506306">
        <w:rPr>
          <w:iCs/>
          <w:szCs w:val="24"/>
        </w:rPr>
        <w:t xml:space="preserve"> for all except for low RS patients where the </w:t>
      </w:r>
      <w:r w:rsidR="00EF5904" w:rsidRPr="00506306">
        <w:rPr>
          <w:iCs/>
          <w:szCs w:val="24"/>
        </w:rPr>
        <w:t xml:space="preserve">upper confidence limits </w:t>
      </w:r>
      <w:r w:rsidRPr="00506306">
        <w:rPr>
          <w:iCs/>
          <w:szCs w:val="24"/>
        </w:rPr>
        <w:t xml:space="preserve">of -0.6% and -5.1% for node-negative and node-positive patients, respectively </w:t>
      </w:r>
      <w:r w:rsidR="00923DF7" w:rsidRPr="00506306">
        <w:rPr>
          <w:iCs/>
          <w:szCs w:val="24"/>
        </w:rPr>
        <w:t xml:space="preserve">were </w:t>
      </w:r>
      <w:r w:rsidRPr="00506306">
        <w:rPr>
          <w:iCs/>
          <w:szCs w:val="24"/>
        </w:rPr>
        <w:t xml:space="preserve">used), the resulting ICERs are $138,188/QALY and $309,705/QALY for node-negative and node-positive patients, respectively. The ICER applicable to the Australian population </w:t>
      </w:r>
      <w:r w:rsidR="00FE7A24">
        <w:rPr>
          <w:iCs/>
          <w:szCs w:val="24"/>
        </w:rPr>
        <w:t>was considered</w:t>
      </w:r>
      <w:r w:rsidRPr="00506306">
        <w:rPr>
          <w:iCs/>
          <w:szCs w:val="24"/>
        </w:rPr>
        <w:t xml:space="preserve"> likely to </w:t>
      </w:r>
      <w:r w:rsidR="00FE7A24">
        <w:rPr>
          <w:iCs/>
          <w:szCs w:val="24"/>
        </w:rPr>
        <w:t>lie</w:t>
      </w:r>
      <w:r w:rsidRPr="00506306">
        <w:rPr>
          <w:iCs/>
          <w:szCs w:val="24"/>
        </w:rPr>
        <w:t xml:space="preserve"> somewhere between </w:t>
      </w:r>
      <w:r w:rsidR="00FE7A24">
        <w:rPr>
          <w:iCs/>
          <w:szCs w:val="24"/>
        </w:rPr>
        <w:t xml:space="preserve">these ICERs and </w:t>
      </w:r>
      <w:r w:rsidRPr="00506306">
        <w:rPr>
          <w:iCs/>
          <w:szCs w:val="24"/>
        </w:rPr>
        <w:t xml:space="preserve">the base case ICERs </w:t>
      </w:r>
      <w:r w:rsidR="00FE7A24">
        <w:rPr>
          <w:iCs/>
          <w:szCs w:val="24"/>
        </w:rPr>
        <w:t xml:space="preserve">specified </w:t>
      </w:r>
      <w:r w:rsidR="00E55A0E" w:rsidRPr="00506306">
        <w:rPr>
          <w:iCs/>
          <w:szCs w:val="24"/>
        </w:rPr>
        <w:t>above</w:t>
      </w:r>
      <w:r w:rsidRPr="00506306">
        <w:rPr>
          <w:iCs/>
          <w:szCs w:val="24"/>
        </w:rPr>
        <w:t xml:space="preserve">. </w:t>
      </w:r>
    </w:p>
    <w:p w14:paraId="27D67488" w14:textId="77777777" w:rsidR="00AD674D" w:rsidRDefault="00AD674D" w:rsidP="00AD674D">
      <w:pPr>
        <w:spacing w:after="0" w:line="240" w:lineRule="auto"/>
        <w:ind w:left="0"/>
        <w:rPr>
          <w:iCs/>
          <w:szCs w:val="24"/>
        </w:rPr>
      </w:pPr>
    </w:p>
    <w:p w14:paraId="450FBE1E" w14:textId="7FB6B197" w:rsidR="00FC7C85" w:rsidRDefault="00FC7C85" w:rsidP="00AD674D">
      <w:pPr>
        <w:spacing w:after="0" w:line="240" w:lineRule="auto"/>
        <w:ind w:left="0"/>
        <w:rPr>
          <w:iCs/>
          <w:szCs w:val="24"/>
        </w:rPr>
      </w:pPr>
      <w:r w:rsidRPr="00506306">
        <w:rPr>
          <w:iCs/>
          <w:szCs w:val="24"/>
        </w:rPr>
        <w:t>However</w:t>
      </w:r>
      <w:r w:rsidR="00936AFB">
        <w:rPr>
          <w:iCs/>
          <w:szCs w:val="24"/>
        </w:rPr>
        <w:t>,</w:t>
      </w:r>
      <w:r w:rsidRPr="00506306">
        <w:rPr>
          <w:iCs/>
          <w:szCs w:val="24"/>
        </w:rPr>
        <w:t xml:space="preserve"> this does not include any changes to the relative risk reduction</w:t>
      </w:r>
      <w:r w:rsidR="00EF5904" w:rsidRPr="00506306">
        <w:rPr>
          <w:iCs/>
          <w:szCs w:val="24"/>
        </w:rPr>
        <w:t>s</w:t>
      </w:r>
      <w:r w:rsidRPr="00506306">
        <w:rPr>
          <w:iCs/>
          <w:szCs w:val="24"/>
        </w:rPr>
        <w:t xml:space="preserve"> that </w:t>
      </w:r>
      <w:r w:rsidR="00EF5904" w:rsidRPr="00506306">
        <w:rPr>
          <w:iCs/>
          <w:szCs w:val="24"/>
        </w:rPr>
        <w:t xml:space="preserve">may </w:t>
      </w:r>
      <w:r w:rsidRPr="00506306">
        <w:rPr>
          <w:iCs/>
          <w:szCs w:val="24"/>
        </w:rPr>
        <w:t xml:space="preserve">be seen </w:t>
      </w:r>
      <w:r w:rsidR="00EF5904" w:rsidRPr="00506306">
        <w:rPr>
          <w:iCs/>
          <w:szCs w:val="24"/>
        </w:rPr>
        <w:t>for the hormone therapy and chemotherapy regime</w:t>
      </w:r>
      <w:r w:rsidR="00C61DFD" w:rsidRPr="00506306">
        <w:rPr>
          <w:iCs/>
          <w:szCs w:val="24"/>
        </w:rPr>
        <w:t>n</w:t>
      </w:r>
      <w:r w:rsidR="00EF5904" w:rsidRPr="00506306">
        <w:rPr>
          <w:iCs/>
          <w:szCs w:val="24"/>
        </w:rPr>
        <w:t xml:space="preserve">s most commonly used in Australia: </w:t>
      </w:r>
      <w:r w:rsidRPr="00506306">
        <w:rPr>
          <w:iCs/>
          <w:szCs w:val="24"/>
        </w:rPr>
        <w:t>anastrozole ± AC or FEC-D</w:t>
      </w:r>
      <w:r w:rsidR="00EF5904" w:rsidRPr="00506306">
        <w:rPr>
          <w:iCs/>
          <w:szCs w:val="24"/>
        </w:rPr>
        <w:t>.</w:t>
      </w:r>
    </w:p>
    <w:p w14:paraId="4A308065" w14:textId="77777777" w:rsidR="0038509D" w:rsidRDefault="0038509D" w:rsidP="00AD674D">
      <w:pPr>
        <w:spacing w:after="0" w:line="240" w:lineRule="auto"/>
        <w:ind w:left="0"/>
        <w:rPr>
          <w:iCs/>
          <w:szCs w:val="24"/>
        </w:rPr>
      </w:pPr>
    </w:p>
    <w:p w14:paraId="41BA7A48" w14:textId="780CFB4B" w:rsidR="0038509D" w:rsidRDefault="00936AFB" w:rsidP="00AD674D">
      <w:pPr>
        <w:spacing w:after="0" w:line="240" w:lineRule="auto"/>
        <w:ind w:left="0"/>
        <w:rPr>
          <w:bCs/>
          <w:szCs w:val="24"/>
        </w:rPr>
      </w:pPr>
      <w:r>
        <w:rPr>
          <w:bCs/>
          <w:szCs w:val="24"/>
        </w:rPr>
        <w:t>MSAC expressed concerns that the economic modelling was performed on the basis of cost of tamoxifen therapy, when anastrozole is more frequently used in Australia, and that the model likely overestimates clinical utility. MSAC did not accept the estimated incremental cost-effectiveness ratios, noting that they were most sensitive to the extent of change in subsequent decisions to use chemotherapy, and to the consequences of these changes in use of chemotherapy.</w:t>
      </w:r>
    </w:p>
    <w:p w14:paraId="46FD7FBB" w14:textId="77777777" w:rsidR="00CB0C0E" w:rsidRDefault="00CB0C0E" w:rsidP="00AD674D">
      <w:pPr>
        <w:spacing w:after="0" w:line="240" w:lineRule="auto"/>
        <w:ind w:left="0"/>
        <w:rPr>
          <w:iCs/>
          <w:szCs w:val="24"/>
        </w:rPr>
      </w:pPr>
    </w:p>
    <w:p w14:paraId="07FD4C62" w14:textId="77777777" w:rsidR="00937076" w:rsidRPr="00E71A0D" w:rsidRDefault="00EF0689" w:rsidP="00AD674D">
      <w:pPr>
        <w:pStyle w:val="Heading1"/>
        <w:spacing w:before="0" w:after="0" w:line="240" w:lineRule="auto"/>
        <w:ind w:left="0"/>
        <w:rPr>
          <w:rFonts w:ascii="Arial" w:hAnsi="Arial" w:cs="Arial"/>
          <w:sz w:val="24"/>
          <w:szCs w:val="24"/>
        </w:rPr>
      </w:pPr>
      <w:r w:rsidRPr="00E71A0D">
        <w:rPr>
          <w:rFonts w:ascii="Arial" w:hAnsi="Arial" w:cs="Arial"/>
          <w:sz w:val="24"/>
          <w:szCs w:val="24"/>
        </w:rPr>
        <w:t>12.</w:t>
      </w:r>
      <w:r w:rsidRPr="00E71A0D">
        <w:rPr>
          <w:rFonts w:ascii="Arial" w:hAnsi="Arial" w:cs="Arial"/>
          <w:sz w:val="24"/>
          <w:szCs w:val="24"/>
        </w:rPr>
        <w:tab/>
      </w:r>
      <w:r w:rsidR="0095175A" w:rsidRPr="00E71A0D">
        <w:rPr>
          <w:rFonts w:ascii="Arial" w:hAnsi="Arial" w:cs="Arial"/>
          <w:sz w:val="24"/>
          <w:szCs w:val="24"/>
        </w:rPr>
        <w:t>Financial/budgetary impacts</w:t>
      </w:r>
    </w:p>
    <w:p w14:paraId="33AD0C4C" w14:textId="23E76F40" w:rsidR="003A12D8" w:rsidRDefault="008F36E9" w:rsidP="00AD674D">
      <w:pPr>
        <w:spacing w:after="0" w:line="240" w:lineRule="auto"/>
        <w:ind w:left="0"/>
        <w:rPr>
          <w:szCs w:val="24"/>
        </w:rPr>
      </w:pPr>
      <w:r w:rsidRPr="00506306">
        <w:rPr>
          <w:szCs w:val="24"/>
        </w:rPr>
        <w:t xml:space="preserve">The requested price per Oncotype DX test </w:t>
      </w:r>
      <w:r w:rsidR="002F5CFC">
        <w:rPr>
          <w:szCs w:val="24"/>
        </w:rPr>
        <w:t>wa</w:t>
      </w:r>
      <w:r w:rsidRPr="00506306">
        <w:rPr>
          <w:szCs w:val="24"/>
        </w:rPr>
        <w:t xml:space="preserve">s </w:t>
      </w:r>
      <w:r w:rsidR="002F5CFC">
        <w:rPr>
          <w:szCs w:val="24"/>
        </w:rPr>
        <w:t>$</w:t>
      </w:r>
      <w:r w:rsidR="00797C47" w:rsidRPr="00797C47">
        <w:rPr>
          <w:b/>
          <w:szCs w:val="24"/>
        </w:rPr>
        <w:t>(redacted)</w:t>
      </w:r>
      <w:r w:rsidR="002F5CFC">
        <w:rPr>
          <w:szCs w:val="24"/>
        </w:rPr>
        <w:t xml:space="preserve"> and the proposed listing specified</w:t>
      </w:r>
      <w:r w:rsidR="00CB0C0E">
        <w:rPr>
          <w:szCs w:val="24"/>
        </w:rPr>
        <w:t xml:space="preserve"> that the</w:t>
      </w:r>
      <w:r w:rsidR="00B56FC6" w:rsidRPr="00B56FC6">
        <w:t xml:space="preserve"> </w:t>
      </w:r>
      <w:r w:rsidR="00B56FC6">
        <w:t>GEP</w:t>
      </w:r>
      <w:r w:rsidR="00CB0C0E">
        <w:rPr>
          <w:szCs w:val="24"/>
        </w:rPr>
        <w:t xml:space="preserve"> test “m</w:t>
      </w:r>
      <w:r w:rsidRPr="00506306">
        <w:rPr>
          <w:szCs w:val="24"/>
        </w:rPr>
        <w:t xml:space="preserve">ay only be used once per new primary breast cancer diagnosis”. </w:t>
      </w:r>
    </w:p>
    <w:p w14:paraId="52955AE4" w14:textId="77777777" w:rsidR="003A12D8" w:rsidRDefault="003A12D8" w:rsidP="00AD674D">
      <w:pPr>
        <w:spacing w:after="0" w:line="240" w:lineRule="auto"/>
        <w:ind w:left="0"/>
        <w:rPr>
          <w:szCs w:val="24"/>
        </w:rPr>
      </w:pPr>
    </w:p>
    <w:p w14:paraId="7784F8AF" w14:textId="0A908222" w:rsidR="003A12D8" w:rsidRDefault="008F36E9" w:rsidP="00AD674D">
      <w:pPr>
        <w:spacing w:after="0" w:line="240" w:lineRule="auto"/>
        <w:ind w:left="0"/>
        <w:rPr>
          <w:rStyle w:val="Emphasis"/>
          <w:rFonts w:ascii="Times New Roman" w:hAnsi="Times New Roman"/>
          <w:i w:val="0"/>
        </w:rPr>
      </w:pPr>
      <w:r w:rsidRPr="00506306">
        <w:rPr>
          <w:szCs w:val="24"/>
        </w:rPr>
        <w:t xml:space="preserve">The </w:t>
      </w:r>
      <w:r w:rsidR="002F5CFC">
        <w:rPr>
          <w:szCs w:val="24"/>
        </w:rPr>
        <w:t xml:space="preserve">application </w:t>
      </w:r>
      <w:r w:rsidRPr="00506306">
        <w:rPr>
          <w:szCs w:val="24"/>
        </w:rPr>
        <w:t>estimate</w:t>
      </w:r>
      <w:r w:rsidR="002F5CFC">
        <w:rPr>
          <w:szCs w:val="24"/>
        </w:rPr>
        <w:t>d</w:t>
      </w:r>
      <w:r w:rsidRPr="00506306">
        <w:rPr>
          <w:szCs w:val="24"/>
        </w:rPr>
        <w:t xml:space="preserve"> that there </w:t>
      </w:r>
      <w:r w:rsidR="002F5CFC">
        <w:rPr>
          <w:szCs w:val="24"/>
        </w:rPr>
        <w:t>would</w:t>
      </w:r>
      <w:r w:rsidRPr="00506306">
        <w:rPr>
          <w:szCs w:val="24"/>
        </w:rPr>
        <w:t xml:space="preserve"> be </w:t>
      </w:r>
      <w:r w:rsidR="00DD37DA" w:rsidRPr="00506306">
        <w:rPr>
          <w:szCs w:val="24"/>
        </w:rPr>
        <w:t>1</w:t>
      </w:r>
      <w:r w:rsidR="00B56FC6">
        <w:rPr>
          <w:szCs w:val="24"/>
        </w:rPr>
        <w:t>,</w:t>
      </w:r>
      <w:r w:rsidR="00DD37DA" w:rsidRPr="00506306">
        <w:rPr>
          <w:szCs w:val="24"/>
        </w:rPr>
        <w:t>789</w:t>
      </w:r>
      <w:r w:rsidRPr="00506306">
        <w:rPr>
          <w:szCs w:val="24"/>
        </w:rPr>
        <w:t xml:space="preserve"> services in Year 1, increasing to </w:t>
      </w:r>
      <w:r w:rsidR="00DD37DA" w:rsidRPr="00506306">
        <w:rPr>
          <w:szCs w:val="24"/>
        </w:rPr>
        <w:t>3</w:t>
      </w:r>
      <w:r w:rsidR="00B56FC6">
        <w:rPr>
          <w:szCs w:val="24"/>
        </w:rPr>
        <w:t>,</w:t>
      </w:r>
      <w:r w:rsidR="00DD37DA" w:rsidRPr="00506306">
        <w:rPr>
          <w:szCs w:val="24"/>
        </w:rPr>
        <w:t>882</w:t>
      </w:r>
      <w:r w:rsidRPr="00506306">
        <w:rPr>
          <w:szCs w:val="24"/>
        </w:rPr>
        <w:t xml:space="preserve"> services in Year 5. </w:t>
      </w:r>
      <w:r w:rsidRPr="00506306">
        <w:rPr>
          <w:rStyle w:val="Emphasis"/>
          <w:rFonts w:ascii="Times New Roman" w:hAnsi="Times New Roman"/>
          <w:i w:val="0"/>
        </w:rPr>
        <w:t xml:space="preserve">The </w:t>
      </w:r>
      <w:r w:rsidR="003A12D8">
        <w:rPr>
          <w:rStyle w:val="Emphasis"/>
          <w:rFonts w:ascii="Times New Roman" w:hAnsi="Times New Roman"/>
          <w:i w:val="0"/>
        </w:rPr>
        <w:t>application</w:t>
      </w:r>
      <w:r w:rsidRPr="00506306">
        <w:rPr>
          <w:rStyle w:val="Emphasis"/>
          <w:rFonts w:ascii="Times New Roman" w:hAnsi="Times New Roman"/>
          <w:i w:val="0"/>
        </w:rPr>
        <w:t xml:space="preserve"> estimate</w:t>
      </w:r>
      <w:r w:rsidR="003A12D8">
        <w:rPr>
          <w:rStyle w:val="Emphasis"/>
          <w:rFonts w:ascii="Times New Roman" w:hAnsi="Times New Roman"/>
          <w:i w:val="0"/>
        </w:rPr>
        <w:t xml:space="preserve"> of</w:t>
      </w:r>
      <w:r w:rsidRPr="00506306">
        <w:rPr>
          <w:rStyle w:val="Emphasis"/>
          <w:rFonts w:ascii="Times New Roman" w:hAnsi="Times New Roman"/>
          <w:i w:val="0"/>
        </w:rPr>
        <w:t xml:space="preserve"> the number of services per year </w:t>
      </w:r>
      <w:r w:rsidR="002C4775">
        <w:rPr>
          <w:rStyle w:val="Emphasis"/>
          <w:rFonts w:ascii="Times New Roman" w:hAnsi="Times New Roman"/>
          <w:i w:val="0"/>
        </w:rPr>
        <w:t>wa</w:t>
      </w:r>
      <w:r w:rsidRPr="00506306">
        <w:rPr>
          <w:rStyle w:val="Emphasis"/>
          <w:rFonts w:ascii="Times New Roman" w:hAnsi="Times New Roman"/>
          <w:i w:val="0"/>
        </w:rPr>
        <w:t xml:space="preserve">s </w:t>
      </w:r>
      <w:r w:rsidR="002C4775">
        <w:rPr>
          <w:rStyle w:val="Emphasis"/>
          <w:rFonts w:ascii="Times New Roman" w:hAnsi="Times New Roman"/>
          <w:i w:val="0"/>
        </w:rPr>
        <w:t xml:space="preserve">considered </w:t>
      </w:r>
      <w:r w:rsidRPr="00506306">
        <w:rPr>
          <w:rStyle w:val="Emphasis"/>
          <w:rFonts w:ascii="Times New Roman" w:hAnsi="Times New Roman"/>
          <w:i w:val="0"/>
        </w:rPr>
        <w:t xml:space="preserve">likely to be underestimated because of uncertain and potentially low estimates for numbers of eligible patients and rate of uptake for </w:t>
      </w:r>
      <w:r w:rsidR="00C0225A">
        <w:rPr>
          <w:rStyle w:val="Emphasis"/>
          <w:rFonts w:ascii="Times New Roman" w:hAnsi="Times New Roman"/>
          <w:i w:val="0"/>
        </w:rPr>
        <w:t xml:space="preserve">the </w:t>
      </w:r>
      <w:r w:rsidR="00B56FC6">
        <w:t>GEP test</w:t>
      </w:r>
      <w:r w:rsidRPr="00506306">
        <w:rPr>
          <w:rStyle w:val="Emphasis"/>
          <w:rFonts w:ascii="Times New Roman" w:hAnsi="Times New Roman"/>
          <w:i w:val="0"/>
        </w:rPr>
        <w:t xml:space="preserve">. </w:t>
      </w:r>
    </w:p>
    <w:p w14:paraId="5170FE4E" w14:textId="77777777" w:rsidR="003A12D8" w:rsidRDefault="003A12D8" w:rsidP="00AD674D">
      <w:pPr>
        <w:spacing w:after="0" w:line="240" w:lineRule="auto"/>
        <w:ind w:left="0"/>
        <w:rPr>
          <w:rStyle w:val="Emphasis"/>
          <w:rFonts w:ascii="Times New Roman" w:hAnsi="Times New Roman"/>
          <w:i w:val="0"/>
        </w:rPr>
      </w:pPr>
    </w:p>
    <w:p w14:paraId="36BEB3B7" w14:textId="64DCFCC2" w:rsidR="008F36E9" w:rsidRDefault="008F36E9" w:rsidP="00AD674D">
      <w:pPr>
        <w:spacing w:after="0" w:line="240" w:lineRule="auto"/>
        <w:ind w:left="0"/>
        <w:rPr>
          <w:rStyle w:val="Emphasis"/>
          <w:rFonts w:ascii="Times New Roman" w:hAnsi="Times New Roman"/>
          <w:i w:val="0"/>
        </w:rPr>
      </w:pPr>
      <w:r w:rsidRPr="00506306">
        <w:rPr>
          <w:rStyle w:val="Emphasis"/>
          <w:rFonts w:ascii="Times New Roman" w:hAnsi="Times New Roman"/>
          <w:i w:val="0"/>
        </w:rPr>
        <w:t>The net impac</w:t>
      </w:r>
      <w:r w:rsidR="003A12D8">
        <w:rPr>
          <w:rStyle w:val="Emphasis"/>
          <w:rFonts w:ascii="Times New Roman" w:hAnsi="Times New Roman"/>
          <w:i w:val="0"/>
        </w:rPr>
        <w:t>t to Government health budgets wa</w:t>
      </w:r>
      <w:r w:rsidRPr="00506306">
        <w:rPr>
          <w:rStyle w:val="Emphasis"/>
          <w:rFonts w:ascii="Times New Roman" w:hAnsi="Times New Roman"/>
          <w:i w:val="0"/>
        </w:rPr>
        <w:t xml:space="preserve">s estimated to be </w:t>
      </w:r>
      <w:r w:rsidR="00116F00">
        <w:rPr>
          <w:rStyle w:val="Emphasis"/>
          <w:rFonts w:ascii="Times New Roman" w:hAnsi="Times New Roman"/>
          <w:i w:val="0"/>
        </w:rPr>
        <w:t>approximately $5 million</w:t>
      </w:r>
      <w:r w:rsidR="003A12D8">
        <w:rPr>
          <w:rStyle w:val="Emphasis"/>
          <w:rFonts w:ascii="Times New Roman" w:hAnsi="Times New Roman"/>
          <w:i w:val="0"/>
        </w:rPr>
        <w:t xml:space="preserve"> in Year 1, </w:t>
      </w:r>
      <w:r w:rsidRPr="00506306">
        <w:rPr>
          <w:rStyle w:val="Emphasis"/>
          <w:rFonts w:ascii="Times New Roman" w:hAnsi="Times New Roman"/>
          <w:i w:val="0"/>
        </w:rPr>
        <w:t xml:space="preserve">increasing to </w:t>
      </w:r>
      <w:r w:rsidR="00C44602">
        <w:rPr>
          <w:rStyle w:val="Emphasis"/>
          <w:rFonts w:ascii="Times New Roman" w:hAnsi="Times New Roman"/>
          <w:i w:val="0"/>
        </w:rPr>
        <w:t>approximately $10 million</w:t>
      </w:r>
      <w:r w:rsidR="002C4775">
        <w:rPr>
          <w:rStyle w:val="Emphasis"/>
          <w:rFonts w:ascii="Times New Roman" w:hAnsi="Times New Roman"/>
          <w:i w:val="0"/>
        </w:rPr>
        <w:t xml:space="preserve"> in Year 5. This estimate wa</w:t>
      </w:r>
      <w:r w:rsidRPr="00506306">
        <w:rPr>
          <w:rStyle w:val="Emphasis"/>
          <w:rFonts w:ascii="Times New Roman" w:hAnsi="Times New Roman"/>
          <w:i w:val="0"/>
        </w:rPr>
        <w:t xml:space="preserve">s </w:t>
      </w:r>
      <w:r w:rsidR="002C4775">
        <w:rPr>
          <w:rStyle w:val="Emphasis"/>
          <w:rFonts w:ascii="Times New Roman" w:hAnsi="Times New Roman"/>
          <w:i w:val="0"/>
        </w:rPr>
        <w:t xml:space="preserve">considered </w:t>
      </w:r>
      <w:r w:rsidRPr="00506306">
        <w:rPr>
          <w:rStyle w:val="Emphasis"/>
          <w:rFonts w:ascii="Times New Roman" w:hAnsi="Times New Roman"/>
          <w:i w:val="0"/>
        </w:rPr>
        <w:t xml:space="preserve">uncertain due to potentially (i) underestimated numbers of eligible patients, (ii) underestimated uptake rates; (iii) overestimated patient co-payments for </w:t>
      </w:r>
      <w:r w:rsidR="00C0225A">
        <w:rPr>
          <w:rStyle w:val="Emphasis"/>
          <w:rFonts w:ascii="Times New Roman" w:hAnsi="Times New Roman"/>
          <w:i w:val="0"/>
        </w:rPr>
        <w:t xml:space="preserve">the </w:t>
      </w:r>
      <w:r w:rsidR="00B56FC6">
        <w:t>GEP</w:t>
      </w:r>
      <w:r w:rsidR="00B56FC6" w:rsidRPr="00506306">
        <w:rPr>
          <w:rStyle w:val="Emphasis"/>
          <w:rFonts w:ascii="Times New Roman" w:hAnsi="Times New Roman"/>
          <w:i w:val="0"/>
        </w:rPr>
        <w:t xml:space="preserve"> </w:t>
      </w:r>
      <w:r w:rsidR="00B56FC6">
        <w:rPr>
          <w:rStyle w:val="Emphasis"/>
          <w:rFonts w:ascii="Times New Roman" w:hAnsi="Times New Roman"/>
          <w:i w:val="0"/>
        </w:rPr>
        <w:t xml:space="preserve">test </w:t>
      </w:r>
      <w:r w:rsidRPr="00506306">
        <w:rPr>
          <w:rStyle w:val="Emphasis"/>
          <w:rFonts w:ascii="Times New Roman" w:hAnsi="Times New Roman"/>
          <w:i w:val="0"/>
        </w:rPr>
        <w:t xml:space="preserve">and (iv) differences between changes in recommendations and actual treatments undertaken for patients undergoing </w:t>
      </w:r>
      <w:r w:rsidR="00B56FC6">
        <w:t>GEP</w:t>
      </w:r>
      <w:r w:rsidR="00B56FC6" w:rsidRPr="00506306">
        <w:rPr>
          <w:rStyle w:val="Emphasis"/>
          <w:rFonts w:ascii="Times New Roman" w:hAnsi="Times New Roman"/>
          <w:i w:val="0"/>
        </w:rPr>
        <w:t xml:space="preserve"> </w:t>
      </w:r>
      <w:r w:rsidRPr="00506306">
        <w:rPr>
          <w:rStyle w:val="Emphasis"/>
          <w:rFonts w:ascii="Times New Roman" w:hAnsi="Times New Roman"/>
          <w:i w:val="0"/>
        </w:rPr>
        <w:t>testing.</w:t>
      </w:r>
    </w:p>
    <w:p w14:paraId="5A1AC82A" w14:textId="77777777" w:rsidR="00AD674D" w:rsidRPr="00506306" w:rsidRDefault="00AD674D" w:rsidP="00AD674D">
      <w:pPr>
        <w:spacing w:after="0" w:line="240" w:lineRule="auto"/>
        <w:ind w:left="0"/>
        <w:rPr>
          <w:rStyle w:val="Emphasis"/>
          <w:rFonts w:ascii="Times New Roman" w:hAnsi="Times New Roman"/>
          <w:i w:val="0"/>
        </w:rPr>
      </w:pPr>
    </w:p>
    <w:p w14:paraId="3C032F9B" w14:textId="670A74B8" w:rsidR="004C0DCE" w:rsidRPr="00E71A0D" w:rsidRDefault="002D1D5D" w:rsidP="00AD674D">
      <w:pPr>
        <w:pStyle w:val="Heading1"/>
        <w:spacing w:before="0" w:after="0" w:line="240" w:lineRule="auto"/>
        <w:ind w:left="0"/>
        <w:rPr>
          <w:rFonts w:ascii="Arial" w:hAnsi="Arial" w:cs="Arial"/>
          <w:sz w:val="24"/>
          <w:szCs w:val="24"/>
        </w:rPr>
      </w:pPr>
      <w:r w:rsidRPr="00E71A0D">
        <w:rPr>
          <w:rFonts w:ascii="Arial" w:hAnsi="Arial" w:cs="Arial"/>
          <w:sz w:val="24"/>
          <w:szCs w:val="24"/>
        </w:rPr>
        <w:lastRenderedPageBreak/>
        <w:t>1</w:t>
      </w:r>
      <w:r w:rsidR="009A5365" w:rsidRPr="00E71A0D">
        <w:rPr>
          <w:rFonts w:ascii="Arial" w:hAnsi="Arial" w:cs="Arial"/>
          <w:sz w:val="24"/>
          <w:szCs w:val="24"/>
        </w:rPr>
        <w:t>3</w:t>
      </w:r>
      <w:r w:rsidRPr="00E71A0D">
        <w:rPr>
          <w:rFonts w:ascii="Arial" w:hAnsi="Arial" w:cs="Arial"/>
          <w:sz w:val="24"/>
          <w:szCs w:val="24"/>
        </w:rPr>
        <w:t>.</w:t>
      </w:r>
      <w:r w:rsidRPr="00E71A0D">
        <w:rPr>
          <w:rFonts w:ascii="Arial" w:hAnsi="Arial" w:cs="Arial"/>
          <w:sz w:val="24"/>
          <w:szCs w:val="24"/>
        </w:rPr>
        <w:tab/>
      </w:r>
      <w:r w:rsidR="004C0DCE" w:rsidRPr="00E71A0D">
        <w:rPr>
          <w:rFonts w:ascii="Arial" w:hAnsi="Arial" w:cs="Arial"/>
          <w:sz w:val="24"/>
          <w:szCs w:val="24"/>
        </w:rPr>
        <w:t>Other significant factors</w:t>
      </w:r>
    </w:p>
    <w:p w14:paraId="06030AEE" w14:textId="478FD177" w:rsidR="002D1D5D" w:rsidRDefault="00C44602" w:rsidP="00AD674D">
      <w:pPr>
        <w:tabs>
          <w:tab w:val="left" w:pos="720"/>
          <w:tab w:val="left" w:pos="1140"/>
        </w:tabs>
        <w:spacing w:after="0" w:line="240" w:lineRule="auto"/>
        <w:ind w:left="0"/>
        <w:rPr>
          <w:szCs w:val="24"/>
        </w:rPr>
      </w:pPr>
      <w:r>
        <w:rPr>
          <w:szCs w:val="24"/>
        </w:rPr>
        <w:t>Nil.</w:t>
      </w:r>
    </w:p>
    <w:p w14:paraId="51AEB5F5" w14:textId="77777777" w:rsidR="00C44602" w:rsidRDefault="00C44602" w:rsidP="00AD674D">
      <w:pPr>
        <w:tabs>
          <w:tab w:val="left" w:pos="720"/>
          <w:tab w:val="left" w:pos="1140"/>
        </w:tabs>
        <w:spacing w:after="0" w:line="240" w:lineRule="auto"/>
        <w:ind w:left="0"/>
        <w:rPr>
          <w:szCs w:val="24"/>
        </w:rPr>
      </w:pPr>
    </w:p>
    <w:p w14:paraId="368758E3" w14:textId="53832930" w:rsidR="00C44602" w:rsidRPr="00C44602" w:rsidRDefault="00C44602" w:rsidP="00C44602">
      <w:pPr>
        <w:pStyle w:val="Heading1"/>
        <w:spacing w:before="0" w:after="0" w:line="240" w:lineRule="auto"/>
        <w:ind w:left="0"/>
        <w:rPr>
          <w:rFonts w:ascii="Arial" w:hAnsi="Arial" w:cs="Arial"/>
          <w:sz w:val="24"/>
          <w:szCs w:val="24"/>
        </w:rPr>
      </w:pPr>
      <w:r w:rsidRPr="00C44602">
        <w:rPr>
          <w:rFonts w:ascii="Arial" w:hAnsi="Arial" w:cs="Arial"/>
          <w:sz w:val="24"/>
          <w:szCs w:val="24"/>
        </w:rPr>
        <w:t>14.</w:t>
      </w:r>
      <w:r w:rsidRPr="00C44602">
        <w:rPr>
          <w:rFonts w:ascii="Arial" w:hAnsi="Arial" w:cs="Arial"/>
          <w:sz w:val="24"/>
          <w:szCs w:val="24"/>
        </w:rPr>
        <w:tab/>
        <w:t>Key issues for MSAC from ESC</w:t>
      </w:r>
    </w:p>
    <w:p w14:paraId="6A2C0D41" w14:textId="0CD99757" w:rsidR="00921254" w:rsidRDefault="00C44602" w:rsidP="00AD674D">
      <w:pPr>
        <w:tabs>
          <w:tab w:val="left" w:pos="720"/>
          <w:tab w:val="left" w:pos="1140"/>
        </w:tabs>
        <w:spacing w:after="0" w:line="240" w:lineRule="auto"/>
        <w:ind w:left="0"/>
        <w:rPr>
          <w:szCs w:val="24"/>
        </w:rPr>
      </w:pPr>
      <w:r w:rsidRPr="00C44602">
        <w:rPr>
          <w:szCs w:val="24"/>
        </w:rPr>
        <w:t xml:space="preserve">ESC discussed that the limited evidence available could not confirm the parity of the IHC4 test for the prognosis for distant recurrences compared with </w:t>
      </w:r>
      <w:r w:rsidR="00C0225A">
        <w:rPr>
          <w:szCs w:val="24"/>
        </w:rPr>
        <w:t xml:space="preserve">the </w:t>
      </w:r>
      <w:r w:rsidR="00B56FC6">
        <w:t>GEP test</w:t>
      </w:r>
      <w:r w:rsidRPr="00C44602">
        <w:rPr>
          <w:szCs w:val="24"/>
        </w:rPr>
        <w:t>.</w:t>
      </w:r>
    </w:p>
    <w:p w14:paraId="58CEFF9C" w14:textId="77777777" w:rsidR="00C44602" w:rsidRDefault="00C44602" w:rsidP="00AD674D">
      <w:pPr>
        <w:tabs>
          <w:tab w:val="left" w:pos="720"/>
          <w:tab w:val="left" w:pos="1140"/>
        </w:tabs>
        <w:spacing w:after="0" w:line="240" w:lineRule="auto"/>
        <w:ind w:left="0"/>
        <w:rPr>
          <w:szCs w:val="24"/>
        </w:rPr>
      </w:pPr>
    </w:p>
    <w:p w14:paraId="4E315F96" w14:textId="4C1DA483" w:rsidR="00C44602" w:rsidRDefault="00C44602" w:rsidP="00AD674D">
      <w:pPr>
        <w:tabs>
          <w:tab w:val="left" w:pos="720"/>
          <w:tab w:val="left" w:pos="1140"/>
        </w:tabs>
        <w:spacing w:after="0" w:line="240" w:lineRule="auto"/>
        <w:ind w:left="0"/>
        <w:rPr>
          <w:szCs w:val="24"/>
        </w:rPr>
      </w:pPr>
      <w:r w:rsidRPr="00C44602">
        <w:rPr>
          <w:szCs w:val="24"/>
        </w:rPr>
        <w:t xml:space="preserve">ESC was concerned that the submission presented the clinical utility of the </w:t>
      </w:r>
      <w:r w:rsidR="00B56FC6">
        <w:t>GEP</w:t>
      </w:r>
      <w:r w:rsidR="00B56FC6" w:rsidRPr="00C44602">
        <w:rPr>
          <w:szCs w:val="24"/>
        </w:rPr>
        <w:t xml:space="preserve"> </w:t>
      </w:r>
      <w:r w:rsidRPr="00C44602">
        <w:rPr>
          <w:szCs w:val="24"/>
        </w:rPr>
        <w:t>test based on re-analyses of tumour samples from patients in earlier trials comparing tamoxifen alone and tamoxifen in combination with (older forms of) chemotherapy.</w:t>
      </w:r>
    </w:p>
    <w:p w14:paraId="07E9FEE2" w14:textId="77777777" w:rsidR="009B0267" w:rsidRDefault="009B0267" w:rsidP="00AD674D">
      <w:pPr>
        <w:tabs>
          <w:tab w:val="left" w:pos="720"/>
          <w:tab w:val="left" w:pos="1140"/>
        </w:tabs>
        <w:spacing w:after="0" w:line="240" w:lineRule="auto"/>
        <w:ind w:left="0"/>
        <w:rPr>
          <w:szCs w:val="24"/>
        </w:rPr>
      </w:pPr>
    </w:p>
    <w:p w14:paraId="6775407D" w14:textId="77777777" w:rsidR="00C44602" w:rsidRDefault="00C44602" w:rsidP="00C44602">
      <w:pPr>
        <w:tabs>
          <w:tab w:val="left" w:pos="720"/>
          <w:tab w:val="left" w:pos="1140"/>
        </w:tabs>
        <w:spacing w:after="0" w:line="240" w:lineRule="auto"/>
        <w:ind w:left="0"/>
        <w:rPr>
          <w:szCs w:val="24"/>
        </w:rPr>
      </w:pPr>
      <w:r w:rsidRPr="00C44602">
        <w:rPr>
          <w:szCs w:val="24"/>
        </w:rPr>
        <w:t>ESC noted there was an ongoing trial in UK, the OPTIMA trial, where patients are randomised to HT+chemotherapy or an arm in which the decision regarding HT alone or HT+chemotherapy is based on the Oncotype DX recurrence score (results are expected in 2015).</w:t>
      </w:r>
    </w:p>
    <w:p w14:paraId="34020722" w14:textId="77777777" w:rsidR="00C44602" w:rsidRPr="00C44602" w:rsidRDefault="00C44602" w:rsidP="00C44602">
      <w:pPr>
        <w:tabs>
          <w:tab w:val="left" w:pos="720"/>
          <w:tab w:val="left" w:pos="1140"/>
        </w:tabs>
        <w:spacing w:after="0" w:line="240" w:lineRule="auto"/>
        <w:ind w:left="0"/>
        <w:rPr>
          <w:szCs w:val="24"/>
        </w:rPr>
      </w:pPr>
    </w:p>
    <w:p w14:paraId="5F0F74E3" w14:textId="3912267E" w:rsidR="00C44602" w:rsidRDefault="00C44602" w:rsidP="00C44602">
      <w:pPr>
        <w:tabs>
          <w:tab w:val="left" w:pos="720"/>
          <w:tab w:val="left" w:pos="1140"/>
        </w:tabs>
        <w:spacing w:after="0" w:line="240" w:lineRule="auto"/>
        <w:ind w:left="0"/>
        <w:rPr>
          <w:szCs w:val="24"/>
        </w:rPr>
      </w:pPr>
      <w:r w:rsidRPr="00C44602">
        <w:rPr>
          <w:szCs w:val="24"/>
        </w:rPr>
        <w:t>ESC noted the TAILORx multicentre randomised phase III trial (with n&gt;10,000), being conducted in US, Canada, Europe, South America, and Australia that is investigating if HT alone is non-inferior to HT+chemotherapy in [node-negative] patients with an intermediate Oncotype DX recurrence score. Interim data are expected in 2015. However</w:t>
      </w:r>
      <w:r w:rsidR="00566D2A">
        <w:rPr>
          <w:szCs w:val="24"/>
        </w:rPr>
        <w:t>,</w:t>
      </w:r>
      <w:r w:rsidRPr="00C44602">
        <w:rPr>
          <w:szCs w:val="24"/>
        </w:rPr>
        <w:t xml:space="preserve"> the trial does not compare women who do </w:t>
      </w:r>
      <w:r w:rsidR="00B56FC6">
        <w:rPr>
          <w:szCs w:val="24"/>
        </w:rPr>
        <w:t>as opposed to those who do not have a</w:t>
      </w:r>
      <w:r w:rsidRPr="00C44602">
        <w:rPr>
          <w:szCs w:val="24"/>
        </w:rPr>
        <w:t xml:space="preserve"> </w:t>
      </w:r>
      <w:r w:rsidR="00B56FC6">
        <w:t>GEP</w:t>
      </w:r>
      <w:r w:rsidR="00B56FC6" w:rsidRPr="00C44602">
        <w:rPr>
          <w:szCs w:val="24"/>
        </w:rPr>
        <w:t xml:space="preserve"> </w:t>
      </w:r>
      <w:r w:rsidRPr="00C44602">
        <w:rPr>
          <w:szCs w:val="24"/>
        </w:rPr>
        <w:t>test.</w:t>
      </w:r>
    </w:p>
    <w:p w14:paraId="6803B27F" w14:textId="77777777" w:rsidR="00D4275E" w:rsidRDefault="00D4275E" w:rsidP="00C44602">
      <w:pPr>
        <w:tabs>
          <w:tab w:val="left" w:pos="720"/>
          <w:tab w:val="left" w:pos="1140"/>
        </w:tabs>
        <w:spacing w:after="0" w:line="240" w:lineRule="auto"/>
        <w:ind w:left="0"/>
        <w:rPr>
          <w:szCs w:val="24"/>
        </w:rPr>
      </w:pPr>
    </w:p>
    <w:p w14:paraId="5A167C75" w14:textId="77777777" w:rsidR="00D4275E" w:rsidRPr="00D4275E" w:rsidRDefault="00D4275E" w:rsidP="00D4275E">
      <w:pPr>
        <w:tabs>
          <w:tab w:val="left" w:pos="720"/>
          <w:tab w:val="left" w:pos="1140"/>
        </w:tabs>
        <w:spacing w:after="0" w:line="240" w:lineRule="auto"/>
        <w:ind w:left="0"/>
        <w:rPr>
          <w:szCs w:val="24"/>
        </w:rPr>
      </w:pPr>
      <w:r w:rsidRPr="00D4275E">
        <w:rPr>
          <w:szCs w:val="24"/>
        </w:rPr>
        <w:t>ESC was concerned that the 21 gene model was not sufficiently investigated to enable external validation.</w:t>
      </w:r>
    </w:p>
    <w:p w14:paraId="2BB182E0" w14:textId="77777777" w:rsidR="00D4275E" w:rsidRPr="00D4275E" w:rsidRDefault="00D4275E" w:rsidP="00D4275E">
      <w:pPr>
        <w:tabs>
          <w:tab w:val="left" w:pos="720"/>
          <w:tab w:val="left" w:pos="1140"/>
        </w:tabs>
        <w:spacing w:after="0" w:line="240" w:lineRule="auto"/>
        <w:ind w:left="0"/>
        <w:rPr>
          <w:szCs w:val="24"/>
        </w:rPr>
      </w:pPr>
    </w:p>
    <w:p w14:paraId="53F69434" w14:textId="2A9D5D7A" w:rsidR="00D4275E" w:rsidRPr="00D4275E" w:rsidRDefault="00D4275E" w:rsidP="00D4275E">
      <w:pPr>
        <w:tabs>
          <w:tab w:val="left" w:pos="720"/>
          <w:tab w:val="left" w:pos="1140"/>
        </w:tabs>
        <w:spacing w:after="0" w:line="240" w:lineRule="auto"/>
        <w:ind w:left="0"/>
        <w:rPr>
          <w:szCs w:val="24"/>
        </w:rPr>
      </w:pPr>
      <w:r w:rsidRPr="00D4275E">
        <w:rPr>
          <w:szCs w:val="24"/>
        </w:rPr>
        <w:t>ESC was not convinced there was adequate justification provided for the proposed fee of $</w:t>
      </w:r>
      <w:r w:rsidR="00797C47" w:rsidRPr="00797C47">
        <w:rPr>
          <w:b/>
          <w:szCs w:val="24"/>
        </w:rPr>
        <w:t>(redacted)</w:t>
      </w:r>
      <w:r w:rsidRPr="00D4275E">
        <w:rPr>
          <w:szCs w:val="24"/>
        </w:rPr>
        <w:t xml:space="preserve"> for Oncotype DX.</w:t>
      </w:r>
    </w:p>
    <w:p w14:paraId="4CD880B6" w14:textId="77777777" w:rsidR="00C44602" w:rsidRDefault="00C44602" w:rsidP="00C44602">
      <w:pPr>
        <w:tabs>
          <w:tab w:val="left" w:pos="720"/>
          <w:tab w:val="left" w:pos="1140"/>
        </w:tabs>
        <w:spacing w:after="0" w:line="240" w:lineRule="auto"/>
        <w:ind w:left="0"/>
        <w:rPr>
          <w:szCs w:val="24"/>
        </w:rPr>
      </w:pPr>
    </w:p>
    <w:p w14:paraId="7998D459" w14:textId="21ABD9CB" w:rsidR="00921254" w:rsidRPr="00E71A0D" w:rsidRDefault="00C44602" w:rsidP="00E71A0D">
      <w:pPr>
        <w:pStyle w:val="Heading1"/>
        <w:spacing w:before="0" w:after="0" w:line="240" w:lineRule="auto"/>
        <w:ind w:left="0"/>
        <w:rPr>
          <w:rFonts w:ascii="Arial" w:hAnsi="Arial" w:cs="Arial"/>
          <w:sz w:val="24"/>
          <w:szCs w:val="24"/>
        </w:rPr>
      </w:pPr>
      <w:r>
        <w:rPr>
          <w:rFonts w:ascii="Arial" w:hAnsi="Arial" w:cs="Arial"/>
          <w:sz w:val="24"/>
          <w:szCs w:val="24"/>
        </w:rPr>
        <w:t>15</w:t>
      </w:r>
      <w:r w:rsidR="00921254" w:rsidRPr="00E71A0D">
        <w:rPr>
          <w:rFonts w:ascii="Arial" w:hAnsi="Arial" w:cs="Arial"/>
          <w:sz w:val="24"/>
          <w:szCs w:val="24"/>
        </w:rPr>
        <w:t>.</w:t>
      </w:r>
      <w:r w:rsidR="00921254" w:rsidRPr="00E71A0D">
        <w:rPr>
          <w:rFonts w:ascii="Arial" w:hAnsi="Arial" w:cs="Arial"/>
          <w:sz w:val="24"/>
          <w:szCs w:val="24"/>
        </w:rPr>
        <w:tab/>
        <w:t xml:space="preserve">Summary of consideration and rationale for MSAC’s advice </w:t>
      </w:r>
    </w:p>
    <w:p w14:paraId="093C58B1" w14:textId="77777777" w:rsidR="00A31958" w:rsidRDefault="00A31958" w:rsidP="00F45649">
      <w:pPr>
        <w:spacing w:after="0" w:line="240" w:lineRule="auto"/>
        <w:ind w:left="0"/>
        <w:rPr>
          <w:bCs/>
          <w:szCs w:val="24"/>
        </w:rPr>
      </w:pPr>
      <w:r>
        <w:rPr>
          <w:bCs/>
          <w:szCs w:val="24"/>
        </w:rPr>
        <w:t>MSAC considered an application requesting public funding via an arrangement like the MBS for gene expression profiling of 21 genes in breast cancer tumours as a means to determine the likelihood of disease recurrence, and to predict response to chemotherapy, in women with the following disease characteristics:</w:t>
      </w:r>
    </w:p>
    <w:p w14:paraId="6B233CDD" w14:textId="77777777" w:rsidR="00A31958" w:rsidRPr="00997A6E" w:rsidRDefault="00A31958" w:rsidP="00F45649">
      <w:pPr>
        <w:pStyle w:val="ListParagraph"/>
        <w:numPr>
          <w:ilvl w:val="0"/>
          <w:numId w:val="33"/>
        </w:numPr>
        <w:spacing w:after="0" w:line="240" w:lineRule="auto"/>
        <w:ind w:left="709" w:hanging="425"/>
        <w:rPr>
          <w:bCs/>
          <w:szCs w:val="24"/>
        </w:rPr>
      </w:pPr>
      <w:r w:rsidRPr="00997A6E">
        <w:rPr>
          <w:bCs/>
          <w:szCs w:val="24"/>
        </w:rPr>
        <w:t>early breast cancer (stage I-II)</w:t>
      </w:r>
    </w:p>
    <w:p w14:paraId="41E2DDD3" w14:textId="77777777" w:rsidR="00A31958" w:rsidRPr="00997A6E" w:rsidRDefault="00A31958" w:rsidP="00F45649">
      <w:pPr>
        <w:pStyle w:val="ListParagraph"/>
        <w:numPr>
          <w:ilvl w:val="0"/>
          <w:numId w:val="33"/>
        </w:numPr>
        <w:spacing w:after="0" w:line="240" w:lineRule="auto"/>
        <w:ind w:left="709" w:hanging="425"/>
        <w:rPr>
          <w:bCs/>
          <w:szCs w:val="24"/>
        </w:rPr>
      </w:pPr>
      <w:r w:rsidRPr="00997A6E">
        <w:rPr>
          <w:bCs/>
          <w:szCs w:val="24"/>
        </w:rPr>
        <w:t>suitable for hormone therapy</w:t>
      </w:r>
    </w:p>
    <w:p w14:paraId="3764C517" w14:textId="77777777" w:rsidR="00A31958" w:rsidRPr="00997A6E" w:rsidRDefault="00A31958" w:rsidP="00F45649">
      <w:pPr>
        <w:pStyle w:val="ListParagraph"/>
        <w:numPr>
          <w:ilvl w:val="0"/>
          <w:numId w:val="33"/>
        </w:numPr>
        <w:spacing w:after="0" w:line="240" w:lineRule="auto"/>
        <w:ind w:left="709" w:hanging="425"/>
        <w:rPr>
          <w:bCs/>
          <w:szCs w:val="24"/>
        </w:rPr>
      </w:pPr>
      <w:r w:rsidRPr="00997A6E">
        <w:rPr>
          <w:bCs/>
          <w:szCs w:val="24"/>
        </w:rPr>
        <w:t>suitable for adjuvant chemotherapy</w:t>
      </w:r>
    </w:p>
    <w:p w14:paraId="2FE9CA3D" w14:textId="77777777" w:rsidR="00A31958" w:rsidRPr="00997A6E" w:rsidRDefault="00A31958" w:rsidP="00F45649">
      <w:pPr>
        <w:pStyle w:val="ListParagraph"/>
        <w:numPr>
          <w:ilvl w:val="0"/>
          <w:numId w:val="33"/>
        </w:numPr>
        <w:spacing w:after="0" w:line="240" w:lineRule="auto"/>
        <w:ind w:left="709" w:hanging="425"/>
        <w:rPr>
          <w:bCs/>
          <w:szCs w:val="24"/>
        </w:rPr>
      </w:pPr>
      <w:r w:rsidRPr="00997A6E">
        <w:rPr>
          <w:bCs/>
          <w:szCs w:val="24"/>
        </w:rPr>
        <w:t>ECOG performance status 0-2</w:t>
      </w:r>
    </w:p>
    <w:p w14:paraId="3700598E" w14:textId="77777777" w:rsidR="00A31958" w:rsidRPr="00997A6E" w:rsidRDefault="00A31958" w:rsidP="00F45649">
      <w:pPr>
        <w:pStyle w:val="ListParagraph"/>
        <w:numPr>
          <w:ilvl w:val="0"/>
          <w:numId w:val="33"/>
        </w:numPr>
        <w:spacing w:after="0" w:line="240" w:lineRule="auto"/>
        <w:ind w:left="709" w:hanging="425"/>
        <w:rPr>
          <w:bCs/>
          <w:szCs w:val="24"/>
        </w:rPr>
      </w:pPr>
      <w:r w:rsidRPr="00997A6E">
        <w:rPr>
          <w:bCs/>
          <w:szCs w:val="24"/>
        </w:rPr>
        <w:t>invasive tumour &gt;2 mm</w:t>
      </w:r>
    </w:p>
    <w:p w14:paraId="23787CCC" w14:textId="77777777" w:rsidR="00A31958" w:rsidRPr="00997A6E" w:rsidRDefault="00A31958" w:rsidP="00F45649">
      <w:pPr>
        <w:pStyle w:val="ListParagraph"/>
        <w:numPr>
          <w:ilvl w:val="0"/>
          <w:numId w:val="33"/>
        </w:numPr>
        <w:spacing w:after="0" w:line="240" w:lineRule="auto"/>
        <w:ind w:left="709" w:hanging="425"/>
        <w:rPr>
          <w:bCs/>
          <w:szCs w:val="24"/>
        </w:rPr>
      </w:pPr>
      <w:r w:rsidRPr="00997A6E">
        <w:rPr>
          <w:bCs/>
          <w:szCs w:val="24"/>
        </w:rPr>
        <w:t>node negative or 1-3 positive nodes</w:t>
      </w:r>
    </w:p>
    <w:p w14:paraId="60585A46" w14:textId="77777777" w:rsidR="00A31958" w:rsidRPr="00997A6E" w:rsidRDefault="00A31958" w:rsidP="00F45649">
      <w:pPr>
        <w:pStyle w:val="ListParagraph"/>
        <w:numPr>
          <w:ilvl w:val="0"/>
          <w:numId w:val="33"/>
        </w:numPr>
        <w:spacing w:after="0" w:line="240" w:lineRule="auto"/>
        <w:ind w:left="709" w:hanging="425"/>
        <w:rPr>
          <w:bCs/>
          <w:szCs w:val="24"/>
        </w:rPr>
      </w:pPr>
      <w:r>
        <w:rPr>
          <w:bCs/>
          <w:szCs w:val="24"/>
        </w:rPr>
        <w:t>oestrogen receptor (</w:t>
      </w:r>
      <w:r w:rsidRPr="00997A6E">
        <w:rPr>
          <w:bCs/>
          <w:szCs w:val="24"/>
        </w:rPr>
        <w:t>ER</w:t>
      </w:r>
      <w:r>
        <w:rPr>
          <w:bCs/>
          <w:szCs w:val="24"/>
        </w:rPr>
        <w:t>) positive</w:t>
      </w:r>
      <w:r w:rsidRPr="00997A6E">
        <w:rPr>
          <w:bCs/>
          <w:szCs w:val="24"/>
        </w:rPr>
        <w:t xml:space="preserve"> or </w:t>
      </w:r>
      <w:r>
        <w:rPr>
          <w:bCs/>
          <w:szCs w:val="24"/>
        </w:rPr>
        <w:t>progesterone receptor (</w:t>
      </w:r>
      <w:r w:rsidRPr="00997A6E">
        <w:rPr>
          <w:bCs/>
          <w:szCs w:val="24"/>
        </w:rPr>
        <w:t>PR</w:t>
      </w:r>
      <w:r>
        <w:rPr>
          <w:bCs/>
          <w:szCs w:val="24"/>
        </w:rPr>
        <w:t>) positive</w:t>
      </w:r>
      <w:r w:rsidRPr="00997A6E">
        <w:rPr>
          <w:bCs/>
          <w:szCs w:val="24"/>
        </w:rPr>
        <w:t xml:space="preserve"> as determined by immunohistochemistry (IHC)</w:t>
      </w:r>
    </w:p>
    <w:p w14:paraId="388C2A2A" w14:textId="77777777" w:rsidR="00A31958" w:rsidRPr="00997A6E" w:rsidRDefault="00A31958" w:rsidP="00F45649">
      <w:pPr>
        <w:pStyle w:val="ListParagraph"/>
        <w:numPr>
          <w:ilvl w:val="0"/>
          <w:numId w:val="33"/>
        </w:numPr>
        <w:spacing w:after="0" w:line="240" w:lineRule="auto"/>
        <w:ind w:left="709" w:hanging="425"/>
        <w:rPr>
          <w:bCs/>
          <w:szCs w:val="24"/>
        </w:rPr>
      </w:pPr>
      <w:r>
        <w:rPr>
          <w:bCs/>
          <w:szCs w:val="24"/>
        </w:rPr>
        <w:t>human epidermal growth factor receptor 2 (</w:t>
      </w:r>
      <w:r w:rsidRPr="00997A6E">
        <w:rPr>
          <w:bCs/>
          <w:szCs w:val="24"/>
        </w:rPr>
        <w:t>HER2</w:t>
      </w:r>
      <w:r>
        <w:rPr>
          <w:bCs/>
          <w:szCs w:val="24"/>
        </w:rPr>
        <w:t>)</w:t>
      </w:r>
      <w:r w:rsidRPr="00997A6E">
        <w:rPr>
          <w:bCs/>
          <w:szCs w:val="24"/>
        </w:rPr>
        <w:t xml:space="preserve"> negative as determined by IHC and/or </w:t>
      </w:r>
      <w:r w:rsidRPr="005B2921">
        <w:rPr>
          <w:bCs/>
          <w:i/>
          <w:szCs w:val="24"/>
        </w:rPr>
        <w:t>in situ</w:t>
      </w:r>
      <w:r w:rsidRPr="00997A6E">
        <w:rPr>
          <w:bCs/>
          <w:szCs w:val="24"/>
        </w:rPr>
        <w:t xml:space="preserve"> hybridisation</w:t>
      </w:r>
      <w:r>
        <w:rPr>
          <w:bCs/>
          <w:szCs w:val="24"/>
        </w:rPr>
        <w:t>.</w:t>
      </w:r>
    </w:p>
    <w:p w14:paraId="271C0BAC" w14:textId="77777777" w:rsidR="00F45649" w:rsidRDefault="00F45649" w:rsidP="00F45649">
      <w:pPr>
        <w:spacing w:after="0" w:line="240" w:lineRule="auto"/>
        <w:ind w:left="0"/>
        <w:rPr>
          <w:bCs/>
          <w:szCs w:val="24"/>
        </w:rPr>
      </w:pPr>
    </w:p>
    <w:p w14:paraId="743A54F6" w14:textId="77777777" w:rsidR="00A31958" w:rsidRDefault="00A31958" w:rsidP="00F45649">
      <w:pPr>
        <w:spacing w:after="0" w:line="240" w:lineRule="auto"/>
        <w:ind w:left="0"/>
        <w:rPr>
          <w:bCs/>
          <w:szCs w:val="24"/>
        </w:rPr>
      </w:pPr>
      <w:r>
        <w:rPr>
          <w:bCs/>
          <w:szCs w:val="24"/>
        </w:rPr>
        <w:t xml:space="preserve">Currently in Australia around 10% of women diagnosed with breast cancer with these disease characteristics have recurrent tumours despite hormone therapy. Less than half of these women get adjuvant chemotherapy, a decision currently based on clinical criteria, scoring systems and medical expertise. There is potential for both under- and over-treatment with adjuvant chemotherapy in addition to hormone therapy. The </w:t>
      </w:r>
      <w:r>
        <w:rPr>
          <w:szCs w:val="24"/>
        </w:rPr>
        <w:t>21-</w:t>
      </w:r>
      <w:r w:rsidRPr="005B2921">
        <w:rPr>
          <w:szCs w:val="24"/>
        </w:rPr>
        <w:t>gene expression profiling test</w:t>
      </w:r>
      <w:r>
        <w:rPr>
          <w:bCs/>
          <w:szCs w:val="24"/>
        </w:rPr>
        <w:t xml:space="preserve"> was designed to better identify who should receive adjuvant chemotherapy.</w:t>
      </w:r>
    </w:p>
    <w:p w14:paraId="7CDA5B0C" w14:textId="77777777" w:rsidR="00A31958" w:rsidRDefault="00A31958" w:rsidP="00F45649">
      <w:pPr>
        <w:spacing w:after="0" w:line="240" w:lineRule="auto"/>
        <w:ind w:left="0"/>
        <w:rPr>
          <w:bCs/>
          <w:szCs w:val="24"/>
        </w:rPr>
      </w:pPr>
    </w:p>
    <w:p w14:paraId="5FE3DAF6" w14:textId="77777777" w:rsidR="00A31958" w:rsidRDefault="00A31958" w:rsidP="00F45649">
      <w:pPr>
        <w:spacing w:after="0" w:line="240" w:lineRule="auto"/>
        <w:ind w:left="0"/>
        <w:rPr>
          <w:bCs/>
          <w:szCs w:val="24"/>
        </w:rPr>
      </w:pPr>
      <w:r w:rsidRPr="005B2921">
        <w:rPr>
          <w:szCs w:val="24"/>
        </w:rPr>
        <w:lastRenderedPageBreak/>
        <w:t>MSAC noted that the Oncotype DX</w:t>
      </w:r>
      <w:r w:rsidRPr="00EB1476">
        <w:rPr>
          <w:szCs w:val="24"/>
          <w:vertAlign w:val="superscript"/>
        </w:rPr>
        <w:t>®</w:t>
      </w:r>
      <w:r>
        <w:rPr>
          <w:szCs w:val="24"/>
        </w:rPr>
        <w:t xml:space="preserve"> B</w:t>
      </w:r>
      <w:r w:rsidRPr="005B2921">
        <w:rPr>
          <w:szCs w:val="24"/>
        </w:rPr>
        <w:t xml:space="preserve">reast Cancer Test, which is marketed by the applicant, is the only test currently available that </w:t>
      </w:r>
      <w:r>
        <w:rPr>
          <w:szCs w:val="24"/>
        </w:rPr>
        <w:t>assess</w:t>
      </w:r>
      <w:r w:rsidRPr="005B2921">
        <w:rPr>
          <w:szCs w:val="24"/>
        </w:rPr>
        <w:t>es 21</w:t>
      </w:r>
      <w:r>
        <w:rPr>
          <w:szCs w:val="24"/>
        </w:rPr>
        <w:t xml:space="preserve"> </w:t>
      </w:r>
      <w:r w:rsidRPr="005B2921">
        <w:rPr>
          <w:szCs w:val="24"/>
        </w:rPr>
        <w:t xml:space="preserve">genes </w:t>
      </w:r>
      <w:r>
        <w:rPr>
          <w:szCs w:val="24"/>
        </w:rPr>
        <w:t xml:space="preserve">using a </w:t>
      </w:r>
      <w:r w:rsidRPr="005B2921">
        <w:rPr>
          <w:szCs w:val="24"/>
        </w:rPr>
        <w:t>reverse-transcriptase polymerase chain reaction (RT-PCR) technique.</w:t>
      </w:r>
    </w:p>
    <w:p w14:paraId="4353F618" w14:textId="77777777" w:rsidR="00A31958" w:rsidRDefault="00A31958" w:rsidP="00F45649">
      <w:pPr>
        <w:spacing w:after="0" w:line="240" w:lineRule="auto"/>
        <w:ind w:left="0"/>
        <w:rPr>
          <w:bCs/>
          <w:szCs w:val="24"/>
        </w:rPr>
      </w:pPr>
    </w:p>
    <w:p w14:paraId="0714D1AF" w14:textId="25A490AF" w:rsidR="00A31958" w:rsidRPr="005B2921" w:rsidRDefault="00A31958" w:rsidP="00F45649">
      <w:pPr>
        <w:spacing w:after="0" w:line="240" w:lineRule="auto"/>
        <w:ind w:left="0"/>
        <w:rPr>
          <w:szCs w:val="24"/>
        </w:rPr>
      </w:pPr>
      <w:r w:rsidRPr="005B2921">
        <w:rPr>
          <w:bCs/>
          <w:szCs w:val="24"/>
        </w:rPr>
        <w:t xml:space="preserve">MSAC noted that </w:t>
      </w:r>
      <w:r w:rsidRPr="005B2921">
        <w:rPr>
          <w:szCs w:val="24"/>
        </w:rPr>
        <w:t xml:space="preserve">the </w:t>
      </w:r>
      <w:r>
        <w:rPr>
          <w:szCs w:val="24"/>
        </w:rPr>
        <w:t>applicant’s 21-</w:t>
      </w:r>
      <w:r w:rsidRPr="005B2921">
        <w:rPr>
          <w:szCs w:val="24"/>
        </w:rPr>
        <w:t>gene expression profiling test is not currently eligible for reimbursement under Medicare</w:t>
      </w:r>
      <w:r>
        <w:rPr>
          <w:szCs w:val="24"/>
        </w:rPr>
        <w:t>,</w:t>
      </w:r>
      <w:r w:rsidRPr="005B2921">
        <w:rPr>
          <w:szCs w:val="24"/>
        </w:rPr>
        <w:t xml:space="preserve"> but is available to patients privately</w:t>
      </w:r>
      <w:r>
        <w:rPr>
          <w:szCs w:val="24"/>
        </w:rPr>
        <w:t xml:space="preserve"> and has been used by several hundred Australian women</w:t>
      </w:r>
      <w:r w:rsidRPr="005B2921">
        <w:rPr>
          <w:szCs w:val="24"/>
        </w:rPr>
        <w:t>.</w:t>
      </w:r>
      <w:r>
        <w:rPr>
          <w:szCs w:val="24"/>
        </w:rPr>
        <w:t xml:space="preserve"> </w:t>
      </w:r>
      <w:r w:rsidRPr="005B2921">
        <w:rPr>
          <w:bCs/>
          <w:szCs w:val="24"/>
        </w:rPr>
        <w:t xml:space="preserve">MSAC </w:t>
      </w:r>
      <w:r w:rsidR="00133C92">
        <w:rPr>
          <w:bCs/>
          <w:szCs w:val="24"/>
        </w:rPr>
        <w:t>noted</w:t>
      </w:r>
      <w:r w:rsidRPr="005B2921">
        <w:rPr>
          <w:bCs/>
          <w:szCs w:val="24"/>
        </w:rPr>
        <w:t xml:space="preserve"> that there is only a</w:t>
      </w:r>
      <w:r w:rsidRPr="005B2921">
        <w:rPr>
          <w:szCs w:val="24"/>
        </w:rPr>
        <w:t xml:space="preserve"> single laboratory performing the test</w:t>
      </w:r>
      <w:r w:rsidR="00133C92">
        <w:rPr>
          <w:szCs w:val="24"/>
        </w:rPr>
        <w:t xml:space="preserve"> which</w:t>
      </w:r>
      <w:r w:rsidRPr="005B2921">
        <w:rPr>
          <w:szCs w:val="24"/>
        </w:rPr>
        <w:t xml:space="preserve"> is located in the </w:t>
      </w:r>
      <w:r w:rsidR="00133C92">
        <w:rPr>
          <w:szCs w:val="24"/>
        </w:rPr>
        <w:t>USA</w:t>
      </w:r>
      <w:r>
        <w:rPr>
          <w:szCs w:val="24"/>
        </w:rPr>
        <w:t xml:space="preserve"> and so is not subject to Australian standards through the </w:t>
      </w:r>
      <w:r w:rsidR="00133C92">
        <w:rPr>
          <w:szCs w:val="24"/>
        </w:rPr>
        <w:t>TGA</w:t>
      </w:r>
      <w:r>
        <w:rPr>
          <w:szCs w:val="24"/>
        </w:rPr>
        <w:t xml:space="preserve"> or the National Association of Testing Authorities (NATA). The </w:t>
      </w:r>
      <w:r w:rsidR="00133C92">
        <w:t>GEP</w:t>
      </w:r>
      <w:r w:rsidR="00133C92">
        <w:rPr>
          <w:szCs w:val="24"/>
        </w:rPr>
        <w:t xml:space="preserve"> </w:t>
      </w:r>
      <w:r>
        <w:rPr>
          <w:szCs w:val="24"/>
        </w:rPr>
        <w:t xml:space="preserve">test is performed on </w:t>
      </w:r>
      <w:r w:rsidRPr="004A2799">
        <w:rPr>
          <w:szCs w:val="24"/>
        </w:rPr>
        <w:t xml:space="preserve">paraffin-embedded </w:t>
      </w:r>
      <w:r>
        <w:rPr>
          <w:szCs w:val="24"/>
        </w:rPr>
        <w:t>breast tumour tissue which is shipped from the collecting laboratory in Australia to the California-based laboratory</w:t>
      </w:r>
      <w:r w:rsidRPr="005B2921">
        <w:rPr>
          <w:szCs w:val="24"/>
        </w:rPr>
        <w:t>.</w:t>
      </w:r>
    </w:p>
    <w:p w14:paraId="44BCEDAE" w14:textId="77777777" w:rsidR="00A31958" w:rsidRDefault="00A31958" w:rsidP="00F45649">
      <w:pPr>
        <w:spacing w:after="0" w:line="240" w:lineRule="auto"/>
        <w:ind w:left="0"/>
        <w:rPr>
          <w:bCs/>
          <w:szCs w:val="24"/>
        </w:rPr>
      </w:pPr>
    </w:p>
    <w:p w14:paraId="1EF71483" w14:textId="77777777" w:rsidR="00A31958" w:rsidRDefault="00A31958" w:rsidP="00F45649">
      <w:pPr>
        <w:spacing w:after="0" w:line="240" w:lineRule="auto"/>
        <w:ind w:left="0"/>
        <w:rPr>
          <w:bCs/>
          <w:szCs w:val="24"/>
        </w:rPr>
      </w:pPr>
      <w:r w:rsidRPr="005B2921">
        <w:rPr>
          <w:bCs/>
          <w:szCs w:val="24"/>
        </w:rPr>
        <w:t xml:space="preserve">The </w:t>
      </w:r>
      <w:r>
        <w:rPr>
          <w:bCs/>
          <w:szCs w:val="24"/>
        </w:rPr>
        <w:t>21-</w:t>
      </w:r>
      <w:r w:rsidRPr="005B2921">
        <w:rPr>
          <w:bCs/>
          <w:szCs w:val="24"/>
        </w:rPr>
        <w:t xml:space="preserve">gene </w:t>
      </w:r>
      <w:r>
        <w:rPr>
          <w:bCs/>
          <w:szCs w:val="24"/>
        </w:rPr>
        <w:t xml:space="preserve">expression </w:t>
      </w:r>
      <w:r w:rsidRPr="005B2921">
        <w:rPr>
          <w:bCs/>
          <w:szCs w:val="24"/>
        </w:rPr>
        <w:t xml:space="preserve">profiling test assesses the </w:t>
      </w:r>
      <w:r>
        <w:rPr>
          <w:bCs/>
          <w:szCs w:val="24"/>
        </w:rPr>
        <w:t xml:space="preserve">protein-specific RNA </w:t>
      </w:r>
      <w:r w:rsidRPr="005B2921">
        <w:rPr>
          <w:bCs/>
          <w:szCs w:val="24"/>
        </w:rPr>
        <w:t xml:space="preserve">expression levels of 16 genes associated with higher risk of </w:t>
      </w:r>
      <w:r>
        <w:rPr>
          <w:bCs/>
          <w:szCs w:val="24"/>
        </w:rPr>
        <w:t xml:space="preserve">disease </w:t>
      </w:r>
      <w:r w:rsidRPr="005B2921">
        <w:rPr>
          <w:bCs/>
          <w:szCs w:val="24"/>
        </w:rPr>
        <w:t xml:space="preserve">recurrence. The expression level of </w:t>
      </w:r>
      <w:r>
        <w:rPr>
          <w:bCs/>
          <w:szCs w:val="24"/>
        </w:rPr>
        <w:t xml:space="preserve">each of </w:t>
      </w:r>
      <w:r w:rsidRPr="005B2921">
        <w:rPr>
          <w:bCs/>
          <w:szCs w:val="24"/>
        </w:rPr>
        <w:t xml:space="preserve">these genes is </w:t>
      </w:r>
      <w:r>
        <w:rPr>
          <w:bCs/>
          <w:szCs w:val="24"/>
        </w:rPr>
        <w:t xml:space="preserve">firstly normalised with reference to </w:t>
      </w:r>
      <w:r w:rsidRPr="005B2921">
        <w:rPr>
          <w:bCs/>
          <w:szCs w:val="24"/>
        </w:rPr>
        <w:t xml:space="preserve">five ‘house keeping’ genes. The relative levels of expression are </w:t>
      </w:r>
      <w:r>
        <w:rPr>
          <w:bCs/>
          <w:szCs w:val="24"/>
        </w:rPr>
        <w:t xml:space="preserve">then weighted into seven groups, the groups are further weighted to give a raw score and this is </w:t>
      </w:r>
      <w:r w:rsidRPr="005B2921">
        <w:rPr>
          <w:bCs/>
          <w:szCs w:val="24"/>
        </w:rPr>
        <w:t xml:space="preserve">transformed into a ‘recurrence score’ that </w:t>
      </w:r>
      <w:r>
        <w:rPr>
          <w:bCs/>
          <w:szCs w:val="24"/>
        </w:rPr>
        <w:t xml:space="preserve">is finally used to </w:t>
      </w:r>
      <w:r w:rsidRPr="005B2921">
        <w:rPr>
          <w:bCs/>
          <w:szCs w:val="24"/>
        </w:rPr>
        <w:t xml:space="preserve">categorise patients </w:t>
      </w:r>
      <w:r>
        <w:rPr>
          <w:bCs/>
          <w:szCs w:val="24"/>
        </w:rPr>
        <w:t xml:space="preserve">as having </w:t>
      </w:r>
      <w:r w:rsidRPr="005B2921">
        <w:rPr>
          <w:bCs/>
          <w:szCs w:val="24"/>
        </w:rPr>
        <w:t xml:space="preserve">a low, medium or high risk of </w:t>
      </w:r>
      <w:r>
        <w:rPr>
          <w:bCs/>
          <w:szCs w:val="24"/>
        </w:rPr>
        <w:t xml:space="preserve">disease </w:t>
      </w:r>
      <w:r w:rsidRPr="005B2921">
        <w:rPr>
          <w:bCs/>
          <w:szCs w:val="24"/>
        </w:rPr>
        <w:t>recurren</w:t>
      </w:r>
      <w:r>
        <w:rPr>
          <w:bCs/>
          <w:szCs w:val="24"/>
        </w:rPr>
        <w:t>ce.</w:t>
      </w:r>
    </w:p>
    <w:p w14:paraId="07DAB970" w14:textId="77777777" w:rsidR="00A31958" w:rsidRDefault="00A31958" w:rsidP="00F45649">
      <w:pPr>
        <w:spacing w:after="0" w:line="240" w:lineRule="auto"/>
        <w:ind w:left="0"/>
        <w:rPr>
          <w:bCs/>
          <w:szCs w:val="24"/>
        </w:rPr>
      </w:pPr>
    </w:p>
    <w:p w14:paraId="6D08BAFA" w14:textId="2CDDDC28" w:rsidR="00A31958" w:rsidRDefault="00133C92" w:rsidP="00F45649">
      <w:pPr>
        <w:spacing w:after="0" w:line="240" w:lineRule="auto"/>
        <w:ind w:left="0"/>
        <w:rPr>
          <w:bCs/>
          <w:szCs w:val="24"/>
        </w:rPr>
      </w:pPr>
      <w:r>
        <w:rPr>
          <w:bCs/>
          <w:szCs w:val="24"/>
        </w:rPr>
        <w:t>The mathematic</w:t>
      </w:r>
      <w:r w:rsidR="00A31958">
        <w:rPr>
          <w:bCs/>
          <w:szCs w:val="24"/>
        </w:rPr>
        <w:t xml:space="preserve"> rules which comprise the calculation of this algorithm were transparently presented, but some aspects of the 21-</w:t>
      </w:r>
      <w:r w:rsidR="00A31958" w:rsidRPr="005B2921">
        <w:rPr>
          <w:bCs/>
          <w:szCs w:val="24"/>
        </w:rPr>
        <w:t xml:space="preserve">gene </w:t>
      </w:r>
      <w:r w:rsidR="00A31958">
        <w:rPr>
          <w:bCs/>
          <w:szCs w:val="24"/>
        </w:rPr>
        <w:t xml:space="preserve">expression </w:t>
      </w:r>
      <w:r w:rsidR="00A31958" w:rsidRPr="005B2921">
        <w:rPr>
          <w:bCs/>
          <w:szCs w:val="24"/>
        </w:rPr>
        <w:t>profiling test</w:t>
      </w:r>
      <w:r w:rsidR="00A31958">
        <w:rPr>
          <w:bCs/>
          <w:szCs w:val="24"/>
        </w:rPr>
        <w:t xml:space="preserve"> appear to be arbitrary and subject to change. For example, the cut-points to determine the categorisation of low, medium and high risk changed between the retrospective analyses which formed the primary evidence base presented for the test (Paik et al., 2004, N Engl J Med 351:2817-26; Paik et al., 2006, J Clin Oncol; 24:3726-34; Dowsett et al., 2010, J Clin Oncol; 28: 1829-34; and Albain et al., 2010, Lancet Oncol; 11: 55-65, using cut-point recurrence scores of 18 and 31), and a prospective assessment involving the test which is currently underway (TAILORx, using cut-point recurrence scores of 11 and 25). With so many other aspects also subject to change, it cannot be assumed that the overall test used to generate the evidence base is the same overall test that will be performed for Australian patients currently or in the future</w:t>
      </w:r>
      <w:r w:rsidR="00A31958" w:rsidRPr="00025C68">
        <w:rPr>
          <w:bCs/>
          <w:szCs w:val="24"/>
        </w:rPr>
        <w:t xml:space="preserve">. MSAC also considered that the predictive power of these tests is likely to be </w:t>
      </w:r>
      <w:r w:rsidR="00A31958">
        <w:rPr>
          <w:bCs/>
          <w:szCs w:val="24"/>
        </w:rPr>
        <w:t xml:space="preserve">heavily weighted by  the status of </w:t>
      </w:r>
      <w:r w:rsidR="00A31958" w:rsidRPr="00025C68">
        <w:rPr>
          <w:bCs/>
          <w:szCs w:val="24"/>
        </w:rPr>
        <w:t xml:space="preserve">HER2 (and related) genes, and considered that it would be informative to see an analysis of the incremental predictive power of </w:t>
      </w:r>
      <w:r w:rsidR="00A31958">
        <w:rPr>
          <w:bCs/>
          <w:szCs w:val="24"/>
        </w:rPr>
        <w:t>expression profiling</w:t>
      </w:r>
      <w:r w:rsidR="00A31958" w:rsidRPr="00025C68">
        <w:rPr>
          <w:bCs/>
          <w:szCs w:val="24"/>
        </w:rPr>
        <w:t xml:space="preserve"> tests </w:t>
      </w:r>
      <w:r w:rsidR="00A31958">
        <w:rPr>
          <w:bCs/>
          <w:szCs w:val="24"/>
        </w:rPr>
        <w:t xml:space="preserve"> when used for the proposed target population, specifically those who are known to be</w:t>
      </w:r>
      <w:r w:rsidR="00A31958" w:rsidRPr="00025C68">
        <w:rPr>
          <w:bCs/>
          <w:szCs w:val="24"/>
        </w:rPr>
        <w:t xml:space="preserve"> HER2 </w:t>
      </w:r>
      <w:r w:rsidR="00A31958">
        <w:rPr>
          <w:bCs/>
          <w:szCs w:val="24"/>
        </w:rPr>
        <w:t>negative</w:t>
      </w:r>
      <w:r w:rsidR="00A31958" w:rsidRPr="00025C68">
        <w:rPr>
          <w:bCs/>
          <w:szCs w:val="24"/>
        </w:rPr>
        <w:t>.</w:t>
      </w:r>
    </w:p>
    <w:p w14:paraId="02F9F8FE" w14:textId="77777777" w:rsidR="00A31958" w:rsidRDefault="00A31958" w:rsidP="00F45649">
      <w:pPr>
        <w:spacing w:after="0" w:line="240" w:lineRule="auto"/>
        <w:ind w:left="0"/>
        <w:rPr>
          <w:bCs/>
          <w:szCs w:val="24"/>
        </w:rPr>
      </w:pPr>
    </w:p>
    <w:p w14:paraId="4AD1D89A" w14:textId="77777777" w:rsidR="00A31958" w:rsidRDefault="00A31958" w:rsidP="00F45649">
      <w:pPr>
        <w:spacing w:after="0" w:line="240" w:lineRule="auto"/>
        <w:ind w:left="0"/>
        <w:rPr>
          <w:bCs/>
          <w:szCs w:val="24"/>
        </w:rPr>
      </w:pPr>
      <w:r>
        <w:rPr>
          <w:bCs/>
          <w:szCs w:val="24"/>
        </w:rPr>
        <w:t xml:space="preserve">MSAC accepted that the comparator for the 21-gene expression profiling test is usual care, defined as traditional clinical judgement based on clinical, pathological and molecular parameters to estimate the risk of disease recurrence. MSAC noted that current clinical judgement is not as standardised as the information provided by the proposed test. MSAC was also aware of other predictive tests in breast cancer, such as IHC-4, which also rely on gene profiling based primarily on proliferative predictors for breast cancer in the gene set (for example, ER, PR, HER2 and Ki-67 expression), but are also not publicly funded in Australia. MSAC considered that a wider comparison across these alternative predictive tests in terms of clinical validity (prognostic value), clinical utility (predictive value of different treatment outcome), costs and cost-effectiveness would also be informative (for example, the comparisons of Cuzick et al, 2011, J Clin Oncol; </w:t>
      </w:r>
      <w:r w:rsidRPr="00071DD7">
        <w:rPr>
          <w:bCs/>
          <w:szCs w:val="24"/>
        </w:rPr>
        <w:t>DOI: 10.1200/JCO.2010.31.2835</w:t>
      </w:r>
      <w:r>
        <w:rPr>
          <w:bCs/>
          <w:szCs w:val="24"/>
        </w:rPr>
        <w:t xml:space="preserve"> and Ward et al., 2013 </w:t>
      </w:r>
      <w:r w:rsidRPr="00754382">
        <w:rPr>
          <w:bCs/>
          <w:szCs w:val="24"/>
        </w:rPr>
        <w:t>Health technology assessment (Winchester, England); 17(44):1-302. DOI:10.3310/hta17440</w:t>
      </w:r>
      <w:r>
        <w:rPr>
          <w:bCs/>
          <w:szCs w:val="24"/>
        </w:rPr>
        <w:t xml:space="preserve">). MSAC noted that it was currently possible to bill the MBS for the four IHC tests that contribute to the IHC-4, but not as a package also involving the calculation of a score based on the IHC results combined with classical clinical factors. </w:t>
      </w:r>
    </w:p>
    <w:p w14:paraId="6F6F6BDA" w14:textId="77777777" w:rsidR="00A31958" w:rsidRDefault="00A31958" w:rsidP="00F45649">
      <w:pPr>
        <w:spacing w:after="0" w:line="240" w:lineRule="auto"/>
        <w:ind w:left="0"/>
        <w:rPr>
          <w:bCs/>
          <w:szCs w:val="24"/>
        </w:rPr>
      </w:pPr>
    </w:p>
    <w:p w14:paraId="20898E39" w14:textId="77777777" w:rsidR="00A31958" w:rsidRDefault="00A31958" w:rsidP="00F45649">
      <w:pPr>
        <w:spacing w:after="0" w:line="240" w:lineRule="auto"/>
        <w:ind w:left="0"/>
        <w:rPr>
          <w:bCs/>
          <w:szCs w:val="24"/>
        </w:rPr>
      </w:pPr>
      <w:r>
        <w:rPr>
          <w:bCs/>
          <w:szCs w:val="24"/>
        </w:rPr>
        <w:lastRenderedPageBreak/>
        <w:t>MSAC noted that the primary biological rationale for the test is that the levels of certain protein-specific RNAs will correlate with future cancer behaviour. By definition, the complex transformations of the raw analytical data render the question of analytical validity meaningless, in that there is no reference standard for the product of the proposed 21-gene expression profiling test. MSAC noted that the application reported that the analytical parameters have remained stable over 200,000 assays over six years and that within-patient reproducibility using different sections and different runs produced a standard deviation of 2.2 units. However, MSAC was unsure how to interpret the latter result, for example does the standard deviation vary with increasing recurrence score, and how often does a different section or a different run result in crossing cut points and thus a different risk categorisation (for example, from a high to an intermediate recurrence score).</w:t>
      </w:r>
    </w:p>
    <w:p w14:paraId="5821D648" w14:textId="77777777" w:rsidR="00A31958" w:rsidRDefault="00A31958" w:rsidP="00F45649">
      <w:pPr>
        <w:spacing w:after="0" w:line="240" w:lineRule="auto"/>
        <w:ind w:left="0"/>
        <w:rPr>
          <w:bCs/>
          <w:szCs w:val="24"/>
        </w:rPr>
      </w:pPr>
    </w:p>
    <w:p w14:paraId="25265D20" w14:textId="268FD043" w:rsidR="00A31958" w:rsidRDefault="00A31958" w:rsidP="00F45649">
      <w:pPr>
        <w:spacing w:after="0" w:line="240" w:lineRule="auto"/>
        <w:ind w:left="0"/>
        <w:rPr>
          <w:bCs/>
          <w:szCs w:val="24"/>
        </w:rPr>
      </w:pPr>
      <w:r>
        <w:rPr>
          <w:bCs/>
          <w:szCs w:val="24"/>
        </w:rPr>
        <w:t>The proposed 21-gene expression profiling test was derived from an initial 250 protein-specific RNAs analysed for an association with risk of disease recurrence. Although the test shows some clinical validity in determining the likelihood of disease recurrence through a prognostic correlation between increasing recurrence score at baseline and increasing risk of disease recurrence based on retrospective analyses of subgroups of patients (Paik et al., 2004 in node-negative patients; Dowsett et al., 2010 in both node-negative and node-positive patients; and the tamoxifen-only arms of</w:t>
      </w:r>
      <w:r w:rsidRPr="00172C4D">
        <w:rPr>
          <w:bCs/>
          <w:szCs w:val="24"/>
        </w:rPr>
        <w:t xml:space="preserve"> </w:t>
      </w:r>
      <w:r>
        <w:rPr>
          <w:bCs/>
          <w:szCs w:val="24"/>
        </w:rPr>
        <w:t xml:space="preserve">Paik et al, 2006 and Albain et al., 2010), MSAC </w:t>
      </w:r>
      <w:r w:rsidR="00133C92">
        <w:rPr>
          <w:bCs/>
          <w:szCs w:val="24"/>
        </w:rPr>
        <w:t>noted</w:t>
      </w:r>
      <w:r>
        <w:rPr>
          <w:bCs/>
          <w:szCs w:val="24"/>
        </w:rPr>
        <w:t xml:space="preserve"> that this remained moderate evidence of weak prognostic value. In particular, MSAC noted that the derived recurrence score could not be related back to the underlying biology of breast cancer, and there was not a clear justification of the three risk categories.</w:t>
      </w:r>
    </w:p>
    <w:p w14:paraId="4BCF6DB7" w14:textId="77777777" w:rsidR="00A31958" w:rsidRDefault="00A31958" w:rsidP="00F45649">
      <w:pPr>
        <w:spacing w:after="0" w:line="240" w:lineRule="auto"/>
        <w:ind w:left="0"/>
        <w:rPr>
          <w:bCs/>
          <w:szCs w:val="24"/>
        </w:rPr>
      </w:pPr>
    </w:p>
    <w:p w14:paraId="6FB0DE31" w14:textId="77777777" w:rsidR="00A31958" w:rsidRDefault="00A31958" w:rsidP="00F45649">
      <w:pPr>
        <w:spacing w:after="0" w:line="240" w:lineRule="auto"/>
        <w:ind w:left="0"/>
        <w:rPr>
          <w:bCs/>
          <w:szCs w:val="24"/>
        </w:rPr>
      </w:pPr>
      <w:r>
        <w:rPr>
          <w:bCs/>
          <w:szCs w:val="24"/>
        </w:rPr>
        <w:t xml:space="preserve">The evidence for clinical utility of the 21-gene expression profiling test comes from retrospective analyses of tumour samples from subgroups of patients in two randomised trials that compared tamoxifen alone and tamoxifen in combination with chemotherapy. </w:t>
      </w:r>
      <w:r w:rsidRPr="00A63A60">
        <w:rPr>
          <w:bCs/>
          <w:szCs w:val="24"/>
        </w:rPr>
        <w:t xml:space="preserve">Unlike the proposed patient population, the </w:t>
      </w:r>
      <w:r w:rsidRPr="00A63A60">
        <w:rPr>
          <w:bCs/>
          <w:i/>
          <w:szCs w:val="24"/>
        </w:rPr>
        <w:t>HER2</w:t>
      </w:r>
      <w:r w:rsidRPr="00A63A60">
        <w:rPr>
          <w:bCs/>
          <w:szCs w:val="24"/>
        </w:rPr>
        <w:t xml:space="preserve"> status of the patients in the clinical trials was unknown.</w:t>
      </w:r>
      <w:r>
        <w:rPr>
          <w:bCs/>
          <w:szCs w:val="24"/>
        </w:rPr>
        <w:t xml:space="preserve"> Results from these retrospective analyses suggest that the test could predict differences in disease-free survival with the addition of chemotherapy in patients classed as having high risk of disease recurrence, but not in patients classed as having low or intermediate risk (Paik et al, 2006 in node-negative patients and Albain et al., 2010 in node-positive patients). MSAC noted that the Paik et al., 2006 data were less persuasive because using chemotherapy concomitantly with tamoxifen produced a negative interaction, whereas the Albain et al., 2010 data were more persuasive because tamoxifen was used after completion of chemotherapy. The score also does not predict the risk of chemotherapy-resistant recurrence. MSAC remained concerned that this remained moderate evidence of weak predictive value. Beyond the concerns already identified in the context of prognostic value, MSAC noted that most of the data points involved recurrence scores in the low and intermediate categories where the predictive value was low. More importantly, there was not a clear basis to extrapolate from the breast cancer therapies used in the analysed trials (for example, using tamoxifen as hormone therapy) to current or future therapies (for example, using anastrozole as hormone therapy) in Australia given the difficulty in relating the generated correlations to the underlying biology of breast cancer.</w:t>
      </w:r>
    </w:p>
    <w:p w14:paraId="6F490066" w14:textId="77777777" w:rsidR="00A31958" w:rsidRDefault="00A31958" w:rsidP="00F45649">
      <w:pPr>
        <w:spacing w:after="0" w:line="240" w:lineRule="auto"/>
        <w:ind w:left="0"/>
        <w:rPr>
          <w:bCs/>
          <w:szCs w:val="24"/>
        </w:rPr>
      </w:pPr>
    </w:p>
    <w:p w14:paraId="5EA139F8" w14:textId="77777777" w:rsidR="00A31958" w:rsidRDefault="00A31958" w:rsidP="00F45649">
      <w:pPr>
        <w:spacing w:after="0" w:line="240" w:lineRule="auto"/>
        <w:ind w:left="0"/>
        <w:rPr>
          <w:bCs/>
          <w:szCs w:val="24"/>
        </w:rPr>
      </w:pPr>
      <w:r>
        <w:rPr>
          <w:bCs/>
          <w:szCs w:val="24"/>
        </w:rPr>
        <w:t xml:space="preserve">MSAC noted that the clinical applicability of the 21-gene expression profiling test remains unclear. In particular, there is little experience in integrating this scoring system with other clinical and pathological parameters. There is also a lack of data relevant to the Australian population. MSAC also considered the safety of the test and noted that, although the test is procedurally safe because it relies on samples already taken for other purposes, there is a degree of risk in the misallocation of patients to risk categories, which would affect the outcomes of the therapy subsequently selected. There are no prospective data directly </w:t>
      </w:r>
      <w:r>
        <w:rPr>
          <w:bCs/>
          <w:szCs w:val="24"/>
        </w:rPr>
        <w:lastRenderedPageBreak/>
        <w:t>demonstrating changes to patient-relevant health outcomes as a consequence of using this test.</w:t>
      </w:r>
    </w:p>
    <w:p w14:paraId="6A39D51B" w14:textId="77777777" w:rsidR="00A31958" w:rsidRDefault="00A31958" w:rsidP="00F45649">
      <w:pPr>
        <w:spacing w:after="0" w:line="240" w:lineRule="auto"/>
        <w:ind w:left="0"/>
        <w:rPr>
          <w:bCs/>
          <w:szCs w:val="24"/>
        </w:rPr>
      </w:pPr>
    </w:p>
    <w:p w14:paraId="47B149DF" w14:textId="77777777" w:rsidR="00A31958" w:rsidRDefault="00A31958" w:rsidP="00F45649">
      <w:pPr>
        <w:spacing w:after="0" w:line="240" w:lineRule="auto"/>
        <w:ind w:left="0"/>
        <w:rPr>
          <w:bCs/>
          <w:szCs w:val="24"/>
        </w:rPr>
      </w:pPr>
      <w:r>
        <w:rPr>
          <w:bCs/>
          <w:szCs w:val="24"/>
        </w:rPr>
        <w:t>MSAC noted that a separate evidence base was presented to support estimates of the extent to which addition of the test to current clinical management would change subsequent therapy decisions, mostly to decrease the use of chemotherapy for patients with low recurrence scores and increase the use of chemotherapy for patients with high recurrence scores. This suggested that, on average, about five patients needed to be tested for one patient to have her clinical management changed. This number varied between three and eleven, indicating the difficulty in estimating the incremental effect of adding the test to current practice which varies widely in its adoption of other clinical and pathology parameters in common use.</w:t>
      </w:r>
    </w:p>
    <w:p w14:paraId="776BBA6A" w14:textId="77777777" w:rsidR="00A31958" w:rsidRDefault="00A31958" w:rsidP="00F45649">
      <w:pPr>
        <w:spacing w:after="0" w:line="240" w:lineRule="auto"/>
        <w:ind w:left="0"/>
        <w:rPr>
          <w:bCs/>
          <w:szCs w:val="24"/>
        </w:rPr>
      </w:pPr>
    </w:p>
    <w:p w14:paraId="7ADB5C81" w14:textId="565DE874" w:rsidR="00A31958" w:rsidRDefault="00A31958" w:rsidP="00F45649">
      <w:pPr>
        <w:spacing w:after="0" w:line="240" w:lineRule="auto"/>
        <w:ind w:left="0"/>
        <w:rPr>
          <w:bCs/>
          <w:szCs w:val="24"/>
        </w:rPr>
      </w:pPr>
      <w:r>
        <w:rPr>
          <w:bCs/>
          <w:szCs w:val="24"/>
        </w:rPr>
        <w:t xml:space="preserve">MSAC </w:t>
      </w:r>
      <w:r w:rsidR="00133C92">
        <w:rPr>
          <w:bCs/>
          <w:szCs w:val="24"/>
        </w:rPr>
        <w:t>discussed</w:t>
      </w:r>
      <w:r>
        <w:rPr>
          <w:bCs/>
          <w:szCs w:val="24"/>
        </w:rPr>
        <w:t xml:space="preserve"> that the economic modelling was performed on the basis of cost of tamoxifen therapy, when anastrozole is more frequently used in Australia, and that the model likely overestimates clinical utility. MSAC did not accept the estimated incremental cost-effectiveness ratios, noting that they were most sensitive to the extent of change in subsequent decisions to use chemotherapy, and to the consequences of these changes in use of chemotherapy. As already noted, these two variables were weakly supported. MSAC also expressed concern at the high requested cost of $</w:t>
      </w:r>
      <w:r>
        <w:rPr>
          <w:b/>
          <w:bCs/>
          <w:szCs w:val="24"/>
        </w:rPr>
        <w:t xml:space="preserve">(redacted information) </w:t>
      </w:r>
      <w:r>
        <w:rPr>
          <w:bCs/>
          <w:szCs w:val="24"/>
        </w:rPr>
        <w:t xml:space="preserve">per test, and noted that the </w:t>
      </w:r>
      <w:r>
        <w:rPr>
          <w:b/>
          <w:bCs/>
          <w:szCs w:val="24"/>
        </w:rPr>
        <w:t>(redacted information)</w:t>
      </w:r>
      <w:r>
        <w:rPr>
          <w:bCs/>
          <w:szCs w:val="24"/>
        </w:rPr>
        <w:t xml:space="preserve"> out-of-pocket (OOP) cost to the patient of $</w:t>
      </w:r>
      <w:r w:rsidRPr="00D16F7F">
        <w:rPr>
          <w:b/>
          <w:bCs/>
          <w:szCs w:val="24"/>
        </w:rPr>
        <w:t xml:space="preserve">(redacted information) </w:t>
      </w:r>
      <w:r>
        <w:rPr>
          <w:bCs/>
          <w:szCs w:val="24"/>
        </w:rPr>
        <w:t>(assuming that $</w:t>
      </w:r>
      <w:r w:rsidRPr="00D16F7F">
        <w:rPr>
          <w:b/>
          <w:bCs/>
          <w:szCs w:val="24"/>
        </w:rPr>
        <w:t>(redacted information)</w:t>
      </w:r>
      <w:r>
        <w:rPr>
          <w:bCs/>
          <w:szCs w:val="24"/>
        </w:rPr>
        <w:t xml:space="preserve"> is charged and an 85% rebate applies) may not be realistic in the context of publicly funding a test.</w:t>
      </w:r>
    </w:p>
    <w:p w14:paraId="4C78C590" w14:textId="77777777" w:rsidR="00A31958" w:rsidRDefault="00A31958" w:rsidP="00F45649">
      <w:pPr>
        <w:spacing w:after="0" w:line="240" w:lineRule="auto"/>
        <w:ind w:left="0"/>
        <w:rPr>
          <w:bCs/>
          <w:szCs w:val="24"/>
        </w:rPr>
      </w:pPr>
    </w:p>
    <w:p w14:paraId="2BB15CE9" w14:textId="77777777" w:rsidR="00A31958" w:rsidRDefault="00A31958" w:rsidP="00F45649">
      <w:pPr>
        <w:spacing w:after="0" w:line="240" w:lineRule="auto"/>
        <w:ind w:left="0"/>
        <w:rPr>
          <w:bCs/>
          <w:szCs w:val="24"/>
        </w:rPr>
      </w:pPr>
      <w:r>
        <w:rPr>
          <w:bCs/>
          <w:szCs w:val="24"/>
        </w:rPr>
        <w:t>MSAC considered advice from its ESC on the financial implications of publicly funding the 21-gene expression profiling test. The net impact to government health budgets is estimated to be approximately $</w:t>
      </w:r>
      <w:r w:rsidRPr="00AF7D7B">
        <w:rPr>
          <w:bCs/>
          <w:szCs w:val="24"/>
        </w:rPr>
        <w:t xml:space="preserve">5 </w:t>
      </w:r>
      <w:r>
        <w:rPr>
          <w:bCs/>
          <w:szCs w:val="24"/>
        </w:rPr>
        <w:t>million in year one, increasing to approximately $10 million in year five. Estimated financial savings to the PBS budget from reduced chemotherapy use is subject to the same uncertainty as in the economic evaluation. MSAC also noted the potential for the test to be requested for other patients with early breast cancer without clear clinical justification for the increased costs, but noted that there were no mechanisms available to mitigate this potential.</w:t>
      </w:r>
    </w:p>
    <w:p w14:paraId="4F646316" w14:textId="77777777" w:rsidR="00F45649" w:rsidRDefault="00F45649" w:rsidP="00F45649">
      <w:pPr>
        <w:spacing w:after="0" w:line="240" w:lineRule="auto"/>
        <w:ind w:left="0"/>
        <w:rPr>
          <w:bCs/>
          <w:szCs w:val="24"/>
        </w:rPr>
      </w:pPr>
    </w:p>
    <w:p w14:paraId="5740BCC6" w14:textId="4E4633B4" w:rsidR="00921254" w:rsidRDefault="00A31958" w:rsidP="00F45649">
      <w:pPr>
        <w:spacing w:after="0" w:line="240" w:lineRule="auto"/>
        <w:ind w:left="0"/>
        <w:rPr>
          <w:bCs/>
          <w:szCs w:val="24"/>
        </w:rPr>
      </w:pPr>
      <w:r>
        <w:rPr>
          <w:bCs/>
          <w:szCs w:val="24"/>
        </w:rPr>
        <w:t>MSAC questioned the development of arrangements to publicly fund a test that is available only outside Australia with the potential for delay in results and lack of local quality assurance. In addition, the request precludes implementation of the applicant’s test in Australia.</w:t>
      </w:r>
    </w:p>
    <w:p w14:paraId="79F88DC9" w14:textId="77777777" w:rsidR="00F45649" w:rsidRDefault="00F45649" w:rsidP="00F45649">
      <w:pPr>
        <w:pStyle w:val="Heading2"/>
        <w:spacing w:before="0" w:after="0" w:line="240" w:lineRule="auto"/>
        <w:ind w:left="0"/>
        <w:rPr>
          <w:rFonts w:ascii="Times New Roman" w:hAnsi="Times New Roman" w:cs="Times New Roman"/>
          <w:i w:val="0"/>
          <w:sz w:val="24"/>
          <w:szCs w:val="24"/>
        </w:rPr>
      </w:pPr>
    </w:p>
    <w:p w14:paraId="06DA4718" w14:textId="77777777" w:rsidR="00A31958" w:rsidRPr="00A31958" w:rsidRDefault="00A31958" w:rsidP="00F45649">
      <w:pPr>
        <w:pStyle w:val="Heading2"/>
        <w:spacing w:before="0" w:after="0" w:line="240" w:lineRule="auto"/>
        <w:ind w:left="0"/>
        <w:rPr>
          <w:rFonts w:ascii="Times New Roman" w:hAnsi="Times New Roman" w:cs="Times New Roman"/>
          <w:i w:val="0"/>
          <w:sz w:val="24"/>
          <w:szCs w:val="24"/>
        </w:rPr>
      </w:pPr>
      <w:r w:rsidRPr="00A31958">
        <w:rPr>
          <w:rFonts w:ascii="Times New Roman" w:hAnsi="Times New Roman" w:cs="Times New Roman"/>
          <w:i w:val="0"/>
          <w:sz w:val="24"/>
          <w:szCs w:val="24"/>
        </w:rPr>
        <w:t>Consumer perspective</w:t>
      </w:r>
    </w:p>
    <w:p w14:paraId="7EE618C4" w14:textId="29B61035" w:rsidR="00A31958" w:rsidRDefault="00A31958" w:rsidP="00F45649">
      <w:pPr>
        <w:spacing w:after="0" w:line="240" w:lineRule="auto"/>
        <w:ind w:left="0"/>
        <w:rPr>
          <w:bCs/>
          <w:szCs w:val="24"/>
        </w:rPr>
      </w:pPr>
      <w:r w:rsidRPr="00A31958">
        <w:rPr>
          <w:bCs/>
          <w:szCs w:val="24"/>
        </w:rPr>
        <w:t xml:space="preserve">MSAC considered consumer advice that consumers perceive an advantage in using the </w:t>
      </w:r>
      <w:r w:rsidR="00133C92">
        <w:t>GEP</w:t>
      </w:r>
      <w:r w:rsidR="00133C92" w:rsidRPr="00A31958">
        <w:rPr>
          <w:bCs/>
          <w:szCs w:val="24"/>
        </w:rPr>
        <w:t xml:space="preserve"> </w:t>
      </w:r>
      <w:r w:rsidR="00133C92">
        <w:rPr>
          <w:bCs/>
          <w:szCs w:val="24"/>
        </w:rPr>
        <w:t xml:space="preserve"> test (</w:t>
      </w:r>
      <w:r w:rsidRPr="00A31958">
        <w:rPr>
          <w:bCs/>
          <w:szCs w:val="24"/>
        </w:rPr>
        <w:t>Oncotype DX</w:t>
      </w:r>
      <w:r w:rsidRPr="00A31958">
        <w:rPr>
          <w:szCs w:val="24"/>
          <w:vertAlign w:val="superscript"/>
        </w:rPr>
        <w:t>®</w:t>
      </w:r>
      <w:r w:rsidRPr="00A31958">
        <w:rPr>
          <w:szCs w:val="24"/>
        </w:rPr>
        <w:t xml:space="preserve"> Breast Cancer Test</w:t>
      </w:r>
      <w:r w:rsidR="00C0225A">
        <w:rPr>
          <w:szCs w:val="24"/>
        </w:rPr>
        <w:t>)</w:t>
      </w:r>
      <w:r w:rsidRPr="00A31958">
        <w:rPr>
          <w:bCs/>
          <w:szCs w:val="24"/>
        </w:rPr>
        <w:t xml:space="preserve"> as a means to aid decision making regarding chemotherapy and a potential tool to avoid unnecessary treatment. However, the potential for ambiguous test results would require a well-designed process for obtaining informed consent, and for counselling once the results are received. The OOP cost is perceived to be high and would raise concerns about access and equity.</w:t>
      </w:r>
    </w:p>
    <w:p w14:paraId="510BCA98" w14:textId="77777777" w:rsidR="00D14EF7" w:rsidRDefault="00D14EF7" w:rsidP="00F45649">
      <w:pPr>
        <w:tabs>
          <w:tab w:val="left" w:pos="720"/>
        </w:tabs>
        <w:spacing w:after="0" w:line="240" w:lineRule="auto"/>
        <w:ind w:left="0"/>
        <w:rPr>
          <w:b/>
        </w:rPr>
      </w:pPr>
    </w:p>
    <w:p w14:paraId="727913EA" w14:textId="77777777" w:rsidR="0021651B" w:rsidRPr="008A07A9" w:rsidRDefault="0021651B" w:rsidP="00F45649">
      <w:pPr>
        <w:tabs>
          <w:tab w:val="left" w:pos="720"/>
        </w:tabs>
        <w:spacing w:after="0" w:line="240" w:lineRule="auto"/>
        <w:ind w:left="0"/>
        <w:rPr>
          <w:b/>
        </w:rPr>
      </w:pPr>
      <w:r>
        <w:rPr>
          <w:b/>
        </w:rPr>
        <w:t>Lay S</w:t>
      </w:r>
      <w:r w:rsidRPr="008A07A9">
        <w:rPr>
          <w:b/>
        </w:rPr>
        <w:t>ummary</w:t>
      </w:r>
    </w:p>
    <w:p w14:paraId="7FFCF0BC" w14:textId="70340979" w:rsidR="0021651B" w:rsidRDefault="0021651B" w:rsidP="00D14EF7">
      <w:pPr>
        <w:tabs>
          <w:tab w:val="left" w:pos="720"/>
        </w:tabs>
        <w:spacing w:after="0" w:line="240" w:lineRule="auto"/>
        <w:ind w:left="0"/>
      </w:pPr>
      <w:r>
        <w:t>In Australia, around 15</w:t>
      </w:r>
      <w:r w:rsidR="00133C92">
        <w:t>,</w:t>
      </w:r>
      <w:r>
        <w:t>000 women will be diagnosed with breast cancer each year. Despite improvements in therapies, around 10% will have recurrent tumours. The decision about whether to treat these women with adjuvant chemotherapy is complex and based on clinical criteria, medical expertise and patient choice. There is potential for both under-treatment – that is, women who don’t receive chemotherapy who would have benefitted – and over-</w:t>
      </w:r>
      <w:r>
        <w:lastRenderedPageBreak/>
        <w:t>treatment – that is, women who receive chemotherapy with its negative effects but without benefit.</w:t>
      </w:r>
    </w:p>
    <w:p w14:paraId="2628E0C7" w14:textId="77777777" w:rsidR="00F45649" w:rsidRDefault="00F45649" w:rsidP="00D14EF7">
      <w:pPr>
        <w:tabs>
          <w:tab w:val="left" w:pos="720"/>
        </w:tabs>
        <w:spacing w:after="0" w:line="240" w:lineRule="auto"/>
        <w:ind w:left="0"/>
      </w:pPr>
    </w:p>
    <w:p w14:paraId="6B1C3725" w14:textId="3875581A" w:rsidR="0021651B" w:rsidRDefault="0021651B" w:rsidP="00D14EF7">
      <w:pPr>
        <w:tabs>
          <w:tab w:val="left" w:pos="720"/>
        </w:tabs>
        <w:spacing w:after="0" w:line="240" w:lineRule="auto"/>
        <w:ind w:left="0"/>
      </w:pPr>
      <w:r>
        <w:t xml:space="preserve">The 21-gene expression profiling test </w:t>
      </w:r>
      <w:r w:rsidR="00C0225A">
        <w:t>(</w:t>
      </w:r>
      <w:r>
        <w:t>OncotypeDX</w:t>
      </w:r>
      <w:r w:rsidRPr="00EB1476">
        <w:rPr>
          <w:vertAlign w:val="superscript"/>
        </w:rPr>
        <w:t>®</w:t>
      </w:r>
      <w:r>
        <w:t xml:space="preserve"> B</w:t>
      </w:r>
      <w:r w:rsidRPr="005B2921">
        <w:t>reast Cancer Test</w:t>
      </w:r>
      <w:r w:rsidR="00C0225A">
        <w:t>)</w:t>
      </w:r>
      <w:r>
        <w:t xml:space="preserve"> aims to predict which cancers have a higher chance of recurring by assessing the different types of proteins that are expressed in each tumour. There is weak evidence to suggest that a high score denotes a higher chance of disease recurrence and a greater likelihood of a woman benefitting from chemotherapy.</w:t>
      </w:r>
    </w:p>
    <w:p w14:paraId="0943EA1E" w14:textId="77777777" w:rsidR="00F45649" w:rsidRDefault="00F45649" w:rsidP="00D14EF7">
      <w:pPr>
        <w:tabs>
          <w:tab w:val="left" w:pos="720"/>
        </w:tabs>
        <w:spacing w:after="0" w:line="240" w:lineRule="auto"/>
        <w:ind w:left="0"/>
      </w:pPr>
    </w:p>
    <w:p w14:paraId="37DFBF1B" w14:textId="7558B3D1" w:rsidR="0021651B" w:rsidRDefault="0021651B" w:rsidP="00D14EF7">
      <w:pPr>
        <w:tabs>
          <w:tab w:val="left" w:pos="720"/>
        </w:tabs>
        <w:spacing w:after="0" w:line="240" w:lineRule="auto"/>
        <w:ind w:left="0"/>
      </w:pPr>
      <w:r>
        <w:t>Based on a review of this evidence, MSAC found that there are still unanswered questions about the clinical usefulness of the</w:t>
      </w:r>
      <w:r w:rsidR="000B76A9">
        <w:t xml:space="preserve"> proposed GEP</w:t>
      </w:r>
      <w:r>
        <w:t xml:space="preserve"> test. MSAC also </w:t>
      </w:r>
      <w:r w:rsidR="000B76A9">
        <w:t>noted</w:t>
      </w:r>
      <w:r>
        <w:t xml:space="preserve"> the high cost of the </w:t>
      </w:r>
      <w:r w:rsidR="000B76A9">
        <w:t xml:space="preserve">GEP </w:t>
      </w:r>
      <w:r>
        <w:t>test, including the residual high costs to patients even if the test were publicly funded. MSAC advised that the 21-gene expression profiling test not be publically funded at this time.</w:t>
      </w:r>
    </w:p>
    <w:p w14:paraId="08C4A614" w14:textId="77777777" w:rsidR="00D14EF7" w:rsidRDefault="00D14EF7" w:rsidP="00D14EF7">
      <w:pPr>
        <w:tabs>
          <w:tab w:val="left" w:pos="720"/>
        </w:tabs>
        <w:spacing w:after="0" w:line="240" w:lineRule="auto"/>
        <w:ind w:left="0"/>
      </w:pPr>
    </w:p>
    <w:p w14:paraId="6996CEEB" w14:textId="2DA51D10" w:rsidR="00921254" w:rsidRPr="00D14EF7" w:rsidRDefault="00921254" w:rsidP="00D14EF7">
      <w:pPr>
        <w:pStyle w:val="Heading1"/>
        <w:spacing w:before="0" w:after="0" w:line="240" w:lineRule="auto"/>
        <w:ind w:left="0"/>
        <w:rPr>
          <w:rFonts w:ascii="Arial" w:hAnsi="Arial" w:cs="Arial"/>
          <w:sz w:val="24"/>
          <w:szCs w:val="24"/>
        </w:rPr>
      </w:pPr>
      <w:r w:rsidRPr="00D14EF7">
        <w:rPr>
          <w:rFonts w:ascii="Arial" w:hAnsi="Arial" w:cs="Arial"/>
          <w:sz w:val="24"/>
          <w:szCs w:val="24"/>
        </w:rPr>
        <w:t>1</w:t>
      </w:r>
      <w:r w:rsidR="00D14EF7" w:rsidRPr="00D14EF7">
        <w:rPr>
          <w:rFonts w:ascii="Arial" w:hAnsi="Arial" w:cs="Arial"/>
          <w:sz w:val="24"/>
          <w:szCs w:val="24"/>
        </w:rPr>
        <w:t>6</w:t>
      </w:r>
      <w:r w:rsidRPr="00D14EF7">
        <w:rPr>
          <w:rFonts w:ascii="Arial" w:hAnsi="Arial" w:cs="Arial"/>
          <w:sz w:val="24"/>
          <w:szCs w:val="24"/>
        </w:rPr>
        <w:t>.</w:t>
      </w:r>
      <w:r w:rsidRPr="00D14EF7">
        <w:rPr>
          <w:rFonts w:ascii="Arial" w:hAnsi="Arial" w:cs="Arial"/>
          <w:sz w:val="24"/>
          <w:szCs w:val="24"/>
        </w:rPr>
        <w:tab/>
        <w:t>MSAC’s advice to the Minister</w:t>
      </w:r>
    </w:p>
    <w:p w14:paraId="393F744C" w14:textId="77777777" w:rsidR="009002F9" w:rsidRDefault="009002F9" w:rsidP="00D14EF7">
      <w:pPr>
        <w:spacing w:after="0" w:line="240" w:lineRule="auto"/>
        <w:ind w:left="0"/>
      </w:pPr>
      <w:r w:rsidRPr="001800E6">
        <w:t xml:space="preserve">After considering the strength of the available evidence in relation to the safety, clinical effectiveness and cost-effectiveness </w:t>
      </w:r>
      <w:r>
        <w:t xml:space="preserve">of the proposed </w:t>
      </w:r>
      <w:r>
        <w:rPr>
          <w:szCs w:val="24"/>
        </w:rPr>
        <w:t>21-</w:t>
      </w:r>
      <w:r w:rsidRPr="005B2921">
        <w:rPr>
          <w:szCs w:val="24"/>
        </w:rPr>
        <w:t>gene expression profiling test</w:t>
      </w:r>
      <w:r>
        <w:t>, MSAC does not support public funding for its use to guide therapeutic decision making in breast cancer.</w:t>
      </w:r>
    </w:p>
    <w:p w14:paraId="525D4EA4" w14:textId="77777777" w:rsidR="009002F9" w:rsidRDefault="009002F9" w:rsidP="00F45649">
      <w:pPr>
        <w:spacing w:after="0" w:line="240" w:lineRule="auto"/>
        <w:ind w:left="0"/>
      </w:pPr>
    </w:p>
    <w:p w14:paraId="609ECAE9" w14:textId="77777777" w:rsidR="009002F9" w:rsidRDefault="009002F9" w:rsidP="00F45649">
      <w:pPr>
        <w:spacing w:after="0" w:line="240" w:lineRule="auto"/>
        <w:ind w:left="0"/>
      </w:pPr>
      <w:r>
        <w:t>MSAC also advised that it would be prepared to reconsider the application via the Evaluation Sub-Committee when the applicant has:</w:t>
      </w:r>
    </w:p>
    <w:p w14:paraId="46DB249C" w14:textId="77777777" w:rsidR="009002F9" w:rsidRDefault="009002F9" w:rsidP="00F45649">
      <w:pPr>
        <w:pStyle w:val="ListParagraph"/>
        <w:numPr>
          <w:ilvl w:val="0"/>
          <w:numId w:val="34"/>
        </w:numPr>
        <w:spacing w:after="0" w:line="240" w:lineRule="auto"/>
        <w:ind w:left="709" w:hanging="425"/>
      </w:pPr>
      <w:r>
        <w:t>prospective data regarding the predictive value of the test beyond its prognostic value and thus its clinical utility in improving subsequent decisions about which patients should and should not receive adjuvant chemotherapy in addition to hormone therapy</w:t>
      </w:r>
    </w:p>
    <w:p w14:paraId="601857F3" w14:textId="77777777" w:rsidR="009002F9" w:rsidRDefault="009002F9" w:rsidP="00F45649">
      <w:pPr>
        <w:pStyle w:val="ListParagraph"/>
        <w:numPr>
          <w:ilvl w:val="0"/>
          <w:numId w:val="34"/>
        </w:numPr>
        <w:spacing w:after="0" w:line="240" w:lineRule="auto"/>
        <w:ind w:left="709" w:hanging="425"/>
      </w:pPr>
      <w:r>
        <w:t>further data regarding the gains in patient health outcomes from this clinical utility irrespective of the type of chemotherapy and hormone therapy</w:t>
      </w:r>
    </w:p>
    <w:p w14:paraId="20F2F8F8" w14:textId="77777777" w:rsidR="009002F9" w:rsidRDefault="009002F9" w:rsidP="00F45649">
      <w:pPr>
        <w:pStyle w:val="ListParagraph"/>
        <w:numPr>
          <w:ilvl w:val="0"/>
          <w:numId w:val="34"/>
        </w:numPr>
        <w:spacing w:after="0" w:line="240" w:lineRule="auto"/>
        <w:ind w:left="709" w:hanging="425"/>
      </w:pPr>
      <w:r>
        <w:t>comparative data with other predictive tests available for breast cancer such as IHC-4</w:t>
      </w:r>
    </w:p>
    <w:p w14:paraId="244606F4" w14:textId="77777777" w:rsidR="009002F9" w:rsidRPr="00D64B4E" w:rsidRDefault="009002F9" w:rsidP="00F45649">
      <w:pPr>
        <w:pStyle w:val="ListParagraph"/>
        <w:numPr>
          <w:ilvl w:val="0"/>
          <w:numId w:val="34"/>
        </w:numPr>
        <w:spacing w:after="0" w:line="240" w:lineRule="auto"/>
        <w:ind w:left="709" w:hanging="425"/>
      </w:pPr>
      <w:r>
        <w:t>addressed concerns over the high cost of the test, to both the government and the consumer.</w:t>
      </w:r>
    </w:p>
    <w:p w14:paraId="3D95DAA1" w14:textId="0DEDCA8D" w:rsidR="00F45649" w:rsidRDefault="00F45649" w:rsidP="00F45649">
      <w:pPr>
        <w:keepNext/>
        <w:keepLines/>
        <w:spacing w:after="0" w:line="240" w:lineRule="auto"/>
        <w:ind w:left="0"/>
        <w:outlineLvl w:val="0"/>
        <w:rPr>
          <w:rFonts w:eastAsiaTheme="majorEastAsia"/>
          <w:b/>
          <w:bCs/>
          <w:szCs w:val="24"/>
        </w:rPr>
      </w:pPr>
    </w:p>
    <w:p w14:paraId="5E0C54BE" w14:textId="3A6CF3E9" w:rsidR="00921254" w:rsidRDefault="00921254" w:rsidP="00D14EF7">
      <w:pPr>
        <w:pStyle w:val="Heading1"/>
        <w:spacing w:before="0" w:after="0" w:line="240" w:lineRule="auto"/>
        <w:ind w:left="0"/>
        <w:rPr>
          <w:rFonts w:ascii="Arial" w:hAnsi="Arial" w:cs="Arial"/>
          <w:sz w:val="24"/>
          <w:szCs w:val="24"/>
        </w:rPr>
      </w:pPr>
      <w:r w:rsidRPr="00D14EF7">
        <w:rPr>
          <w:rFonts w:ascii="Arial" w:hAnsi="Arial" w:cs="Arial"/>
          <w:sz w:val="24"/>
          <w:szCs w:val="24"/>
        </w:rPr>
        <w:t>1</w:t>
      </w:r>
      <w:r w:rsidR="00D14EF7">
        <w:rPr>
          <w:rFonts w:ascii="Arial" w:hAnsi="Arial" w:cs="Arial"/>
          <w:sz w:val="24"/>
          <w:szCs w:val="24"/>
        </w:rPr>
        <w:t>7</w:t>
      </w:r>
      <w:r w:rsidRPr="00D14EF7">
        <w:rPr>
          <w:rFonts w:ascii="Arial" w:hAnsi="Arial" w:cs="Arial"/>
          <w:sz w:val="24"/>
          <w:szCs w:val="24"/>
        </w:rPr>
        <w:t>.</w:t>
      </w:r>
      <w:r w:rsidRPr="00D14EF7">
        <w:rPr>
          <w:rFonts w:ascii="Arial" w:hAnsi="Arial" w:cs="Arial"/>
          <w:sz w:val="24"/>
          <w:szCs w:val="24"/>
        </w:rPr>
        <w:tab/>
        <w:t>Applicant’s comments on MSAC’s Public Summary Document</w:t>
      </w:r>
    </w:p>
    <w:p w14:paraId="7B89F03B" w14:textId="12274E48" w:rsidR="00CA3E45" w:rsidRPr="00AF24BF" w:rsidRDefault="00CA3E45" w:rsidP="00AF24BF">
      <w:pPr>
        <w:tabs>
          <w:tab w:val="left" w:pos="720"/>
        </w:tabs>
        <w:spacing w:after="0" w:line="240" w:lineRule="auto"/>
        <w:ind w:left="0"/>
        <w:rPr>
          <w:szCs w:val="24"/>
        </w:rPr>
      </w:pPr>
      <w:r w:rsidRPr="00AF24BF">
        <w:rPr>
          <w:szCs w:val="24"/>
        </w:rPr>
        <w:t>Whilst disappointed with MSAC’s advice, Genomic Health Inc and Specialised Therapeutics Australia welcome the opportunity to provide information on and/or clarify the main points raised by MSAC when formulating that advice. We would like to take this opportunity to clarify that the data provided to MSAC is prospective and extensive as it led to the inclusion of the test into all the major international breast cancer guidelines and more recently the NICE guidelines in the UK. We would also like to clarify that patients’ co-payment for the test is consistent with all other MBS items. We look forward to working with MSAC to clarify these issues in order to achieve timely and equitable access to the test to assist women with difficult decisions about whether to undergo chemotherapy treatment for their breast cancer.</w:t>
      </w:r>
    </w:p>
    <w:p w14:paraId="08F2D655" w14:textId="67153ADE" w:rsidR="00CA3E45" w:rsidRDefault="00CA3E45">
      <w:pPr>
        <w:rPr>
          <w:rFonts w:eastAsiaTheme="majorEastAsia"/>
          <w:bCs/>
          <w:szCs w:val="24"/>
        </w:rPr>
      </w:pPr>
      <w:r>
        <w:rPr>
          <w:rFonts w:eastAsiaTheme="majorEastAsia"/>
          <w:bCs/>
          <w:szCs w:val="24"/>
        </w:rPr>
        <w:br w:type="page"/>
      </w:r>
    </w:p>
    <w:p w14:paraId="39C0E5F1" w14:textId="6CE69942" w:rsidR="00921254" w:rsidRPr="00D14EF7" w:rsidRDefault="00921254" w:rsidP="00D14EF7">
      <w:pPr>
        <w:pStyle w:val="Heading1"/>
        <w:spacing w:before="0" w:after="0" w:line="240" w:lineRule="auto"/>
        <w:ind w:left="0"/>
        <w:rPr>
          <w:rFonts w:ascii="Arial" w:hAnsi="Arial" w:cs="Arial"/>
          <w:sz w:val="24"/>
          <w:szCs w:val="24"/>
        </w:rPr>
      </w:pPr>
      <w:r w:rsidRPr="00D14EF7">
        <w:rPr>
          <w:rFonts w:ascii="Arial" w:hAnsi="Arial" w:cs="Arial"/>
          <w:sz w:val="24"/>
          <w:szCs w:val="24"/>
        </w:rPr>
        <w:lastRenderedPageBreak/>
        <w:t>1</w:t>
      </w:r>
      <w:r w:rsidR="00D14EF7">
        <w:rPr>
          <w:rFonts w:ascii="Arial" w:hAnsi="Arial" w:cs="Arial"/>
          <w:sz w:val="24"/>
          <w:szCs w:val="24"/>
        </w:rPr>
        <w:t>8</w:t>
      </w:r>
      <w:r w:rsidRPr="00D14EF7">
        <w:rPr>
          <w:rFonts w:ascii="Arial" w:hAnsi="Arial" w:cs="Arial"/>
          <w:sz w:val="24"/>
          <w:szCs w:val="24"/>
        </w:rPr>
        <w:t>.</w:t>
      </w:r>
      <w:r w:rsidRPr="00D14EF7">
        <w:rPr>
          <w:rFonts w:ascii="Arial" w:hAnsi="Arial" w:cs="Arial"/>
          <w:sz w:val="24"/>
          <w:szCs w:val="24"/>
        </w:rPr>
        <w:tab/>
        <w:t xml:space="preserve">Context for decision </w:t>
      </w:r>
    </w:p>
    <w:p w14:paraId="38420E9E" w14:textId="77777777" w:rsidR="00921254" w:rsidRPr="00921254" w:rsidRDefault="00921254" w:rsidP="00F45649">
      <w:pPr>
        <w:tabs>
          <w:tab w:val="left" w:pos="720"/>
        </w:tabs>
        <w:spacing w:after="0" w:line="240" w:lineRule="auto"/>
        <w:ind w:left="0"/>
        <w:rPr>
          <w:szCs w:val="24"/>
        </w:rPr>
      </w:pPr>
      <w:r w:rsidRPr="00921254">
        <w:rPr>
          <w:szCs w:val="24"/>
        </w:rPr>
        <w:t>This advice was made under the MSAC Terms of Reference.</w:t>
      </w:r>
    </w:p>
    <w:p w14:paraId="69334B84" w14:textId="77777777" w:rsidR="00F45649" w:rsidRDefault="00F45649" w:rsidP="00F45649">
      <w:pPr>
        <w:spacing w:after="0" w:line="240" w:lineRule="auto"/>
        <w:ind w:left="0"/>
        <w:rPr>
          <w:szCs w:val="24"/>
          <w:lang w:val="en-US" w:eastAsia="en-US"/>
        </w:rPr>
      </w:pPr>
    </w:p>
    <w:p w14:paraId="5937827D" w14:textId="77777777" w:rsidR="00921254" w:rsidRPr="00921254" w:rsidRDefault="00921254" w:rsidP="00F45649">
      <w:pPr>
        <w:spacing w:after="0" w:line="240" w:lineRule="auto"/>
        <w:ind w:left="0"/>
        <w:rPr>
          <w:szCs w:val="24"/>
          <w:lang w:val="en-US" w:eastAsia="en-US"/>
        </w:rPr>
      </w:pPr>
      <w:r w:rsidRPr="00921254">
        <w:rPr>
          <w:szCs w:val="24"/>
          <w:lang w:val="en-US" w:eastAsia="en-US"/>
        </w:rPr>
        <w:t xml:space="preserve">MSAC is to: </w:t>
      </w:r>
    </w:p>
    <w:p w14:paraId="66E7E46E" w14:textId="77777777" w:rsidR="00F45649" w:rsidRDefault="00F45649" w:rsidP="00F45649">
      <w:pPr>
        <w:spacing w:after="0" w:line="240" w:lineRule="auto"/>
        <w:ind w:left="0"/>
        <w:rPr>
          <w:szCs w:val="24"/>
          <w:lang w:val="en-US" w:eastAsia="en-US"/>
        </w:rPr>
      </w:pPr>
    </w:p>
    <w:p w14:paraId="4195CD00" w14:textId="7827AC4D" w:rsidR="00921254" w:rsidRPr="00921254" w:rsidRDefault="00921254" w:rsidP="00F45649">
      <w:pPr>
        <w:spacing w:after="0" w:line="240" w:lineRule="auto"/>
        <w:ind w:left="0"/>
        <w:rPr>
          <w:szCs w:val="24"/>
          <w:lang w:val="en-US" w:eastAsia="en-US"/>
        </w:rPr>
      </w:pPr>
      <w:r w:rsidRPr="00921254">
        <w:rPr>
          <w:szCs w:val="24"/>
          <w:lang w:val="en-US" w:eastAsia="en-US"/>
        </w:rPr>
        <w:t>Advise the Minister for Health on medical services that involve new or emerging technologies and procedures</w:t>
      </w:r>
      <w:r w:rsidRPr="00921254">
        <w:rPr>
          <w:szCs w:val="24"/>
        </w:rPr>
        <w:t xml:space="preserve"> and, where relevant, amendment to existing MBS items</w:t>
      </w:r>
      <w:r w:rsidRPr="00921254">
        <w:rPr>
          <w:szCs w:val="24"/>
          <w:lang w:val="en-US" w:eastAsia="en-US"/>
        </w:rPr>
        <w:t xml:space="preserve">, in relation to: </w:t>
      </w:r>
    </w:p>
    <w:p w14:paraId="2AE65FCE" w14:textId="77777777" w:rsidR="00921254" w:rsidRPr="00921254" w:rsidRDefault="00921254" w:rsidP="00F45649">
      <w:pPr>
        <w:numPr>
          <w:ilvl w:val="0"/>
          <w:numId w:val="30"/>
        </w:numPr>
        <w:tabs>
          <w:tab w:val="clear" w:pos="1080"/>
          <w:tab w:val="num" w:pos="360"/>
          <w:tab w:val="left" w:pos="810"/>
          <w:tab w:val="left" w:pos="1170"/>
        </w:tabs>
        <w:spacing w:after="0" w:line="240" w:lineRule="auto"/>
        <w:ind w:left="360"/>
        <w:rPr>
          <w:szCs w:val="24"/>
          <w:lang w:val="en-US" w:eastAsia="en-US"/>
        </w:rPr>
      </w:pPr>
      <w:r w:rsidRPr="00921254">
        <w:rPr>
          <w:szCs w:val="24"/>
          <w:lang w:val="en-US" w:eastAsia="en-US"/>
        </w:rPr>
        <w:t xml:space="preserve">the strength of evidence in relation to the comparative safety, effectiveness, cost-effectiveness and total cost of the medical service; </w:t>
      </w:r>
    </w:p>
    <w:p w14:paraId="62F61D67" w14:textId="77777777" w:rsidR="00921254" w:rsidRPr="00921254" w:rsidRDefault="00921254" w:rsidP="00F45649">
      <w:pPr>
        <w:numPr>
          <w:ilvl w:val="0"/>
          <w:numId w:val="30"/>
        </w:numPr>
        <w:tabs>
          <w:tab w:val="clear" w:pos="1080"/>
          <w:tab w:val="num" w:pos="360"/>
          <w:tab w:val="left" w:pos="810"/>
          <w:tab w:val="left" w:pos="1170"/>
        </w:tabs>
        <w:spacing w:after="0" w:line="240" w:lineRule="auto"/>
        <w:ind w:left="360"/>
        <w:rPr>
          <w:szCs w:val="24"/>
          <w:lang w:val="en-US" w:eastAsia="en-US"/>
        </w:rPr>
      </w:pPr>
      <w:r w:rsidRPr="00921254">
        <w:rPr>
          <w:szCs w:val="24"/>
          <w:lang w:val="en-US" w:eastAsia="en-US"/>
        </w:rPr>
        <w:t xml:space="preserve">whether public funding should be supported for the medical service and, if so, the circumstances under which public funding should be supported; </w:t>
      </w:r>
    </w:p>
    <w:p w14:paraId="16D2E1C5" w14:textId="77777777" w:rsidR="00921254" w:rsidRPr="00921254" w:rsidRDefault="00921254" w:rsidP="00F45649">
      <w:pPr>
        <w:numPr>
          <w:ilvl w:val="0"/>
          <w:numId w:val="30"/>
        </w:numPr>
        <w:tabs>
          <w:tab w:val="clear" w:pos="1080"/>
          <w:tab w:val="num" w:pos="360"/>
          <w:tab w:val="left" w:pos="810"/>
          <w:tab w:val="left" w:pos="1170"/>
        </w:tabs>
        <w:spacing w:after="0" w:line="240" w:lineRule="auto"/>
        <w:ind w:left="360"/>
        <w:rPr>
          <w:szCs w:val="24"/>
          <w:lang w:val="en-US" w:eastAsia="en-US"/>
        </w:rPr>
      </w:pPr>
      <w:r w:rsidRPr="00921254">
        <w:rPr>
          <w:szCs w:val="24"/>
          <w:lang w:val="en-US" w:eastAsia="en-US"/>
        </w:rPr>
        <w:t xml:space="preserve">the proposed Medicare Benefits Schedule (MBS) item descriptor and fee for the service where funding through the MBS is supported; </w:t>
      </w:r>
    </w:p>
    <w:p w14:paraId="332C04E1" w14:textId="77777777" w:rsidR="00921254" w:rsidRPr="00921254" w:rsidRDefault="00921254" w:rsidP="00F45649">
      <w:pPr>
        <w:numPr>
          <w:ilvl w:val="0"/>
          <w:numId w:val="30"/>
        </w:numPr>
        <w:tabs>
          <w:tab w:val="clear" w:pos="1080"/>
          <w:tab w:val="num" w:pos="360"/>
          <w:tab w:val="left" w:pos="810"/>
          <w:tab w:val="left" w:pos="1170"/>
        </w:tabs>
        <w:spacing w:after="0" w:line="240" w:lineRule="auto"/>
        <w:ind w:left="360"/>
        <w:rPr>
          <w:szCs w:val="24"/>
          <w:lang w:val="en-US" w:eastAsia="en-US"/>
        </w:rPr>
      </w:pPr>
      <w:r w:rsidRPr="00921254">
        <w:rPr>
          <w:szCs w:val="24"/>
          <w:lang w:val="en-US" w:eastAsia="en-US"/>
        </w:rPr>
        <w:t>the circumstances, where there is uncertainty in relation to the clinical or cost-effectiveness of a service, under which interim public funding of a service should be supported for a specified period, during which defined data collections under agreed clinical protocols would be collected to inform a re-assessment of the service by MSAC at the conclusion of that period;</w:t>
      </w:r>
    </w:p>
    <w:p w14:paraId="3AC3FC10" w14:textId="77777777" w:rsidR="00921254" w:rsidRPr="00921254" w:rsidRDefault="00921254" w:rsidP="00F45649">
      <w:pPr>
        <w:numPr>
          <w:ilvl w:val="0"/>
          <w:numId w:val="30"/>
        </w:numPr>
        <w:tabs>
          <w:tab w:val="clear" w:pos="1080"/>
          <w:tab w:val="num" w:pos="360"/>
          <w:tab w:val="left" w:pos="810"/>
          <w:tab w:val="left" w:pos="1170"/>
        </w:tabs>
        <w:spacing w:after="0" w:line="240" w:lineRule="auto"/>
        <w:ind w:left="360"/>
        <w:rPr>
          <w:szCs w:val="24"/>
          <w:lang w:val="en-US" w:eastAsia="en-US"/>
        </w:rPr>
      </w:pPr>
      <w:r w:rsidRPr="00921254">
        <w:rPr>
          <w:szCs w:val="24"/>
          <w:lang w:val="en-US" w:eastAsia="en-US"/>
        </w:rPr>
        <w:t>other matters related to the public funding of health services referred by the Minister.</w:t>
      </w:r>
    </w:p>
    <w:p w14:paraId="3D119758" w14:textId="77777777" w:rsidR="00F45649" w:rsidRDefault="00F45649" w:rsidP="00F45649">
      <w:pPr>
        <w:spacing w:after="0" w:line="240" w:lineRule="auto"/>
        <w:ind w:left="0"/>
        <w:rPr>
          <w:szCs w:val="24"/>
          <w:lang w:val="en-US" w:eastAsia="en-US"/>
        </w:rPr>
      </w:pPr>
    </w:p>
    <w:p w14:paraId="0BA9C0DE" w14:textId="77777777" w:rsidR="00921254" w:rsidRPr="00921254" w:rsidRDefault="00921254" w:rsidP="00F45649">
      <w:pPr>
        <w:spacing w:after="0" w:line="240" w:lineRule="auto"/>
        <w:ind w:left="0"/>
        <w:rPr>
          <w:szCs w:val="24"/>
          <w:lang w:val="en-US" w:eastAsia="en-US"/>
        </w:rPr>
      </w:pPr>
      <w:r w:rsidRPr="00921254">
        <w:rPr>
          <w:szCs w:val="24"/>
          <w:lang w:val="en-US" w:eastAsia="en-US"/>
        </w:rPr>
        <w:t xml:space="preserve">Advise the Australian Health Ministers’ Advisory Council (AHMAC) on health technology assessments referred under AHMAC arrangements. </w:t>
      </w:r>
    </w:p>
    <w:p w14:paraId="508C9A8B" w14:textId="77777777" w:rsidR="00F45649" w:rsidRDefault="00F45649" w:rsidP="00F45649">
      <w:pPr>
        <w:spacing w:after="0" w:line="240" w:lineRule="auto"/>
        <w:ind w:left="0"/>
        <w:rPr>
          <w:szCs w:val="24"/>
          <w:lang w:val="en-US" w:eastAsia="en-US"/>
        </w:rPr>
      </w:pPr>
    </w:p>
    <w:p w14:paraId="0A58A9F7" w14:textId="77777777" w:rsidR="00921254" w:rsidRPr="00921254" w:rsidRDefault="00921254" w:rsidP="00F45649">
      <w:pPr>
        <w:spacing w:after="0" w:line="240" w:lineRule="auto"/>
        <w:ind w:left="0"/>
        <w:rPr>
          <w:szCs w:val="24"/>
          <w:lang w:val="en-US" w:eastAsia="en-US"/>
        </w:rPr>
      </w:pPr>
      <w:r w:rsidRPr="00921254">
        <w:rPr>
          <w:szCs w:val="24"/>
          <w:lang w:val="en-US" w:eastAsia="en-US"/>
        </w:rPr>
        <w:t>MSAC may also establish sub-committees to assist MSAC to effectively undertake its role. MSAC may delegate some of its functions to its Executive sub-committee.</w:t>
      </w:r>
    </w:p>
    <w:p w14:paraId="34057600" w14:textId="77777777" w:rsidR="00F45649" w:rsidRDefault="00F45649" w:rsidP="00F45649">
      <w:pPr>
        <w:keepNext/>
        <w:keepLines/>
        <w:spacing w:after="0" w:line="240" w:lineRule="auto"/>
        <w:ind w:left="0"/>
        <w:outlineLvl w:val="0"/>
        <w:rPr>
          <w:rFonts w:eastAsiaTheme="majorEastAsia"/>
          <w:b/>
          <w:bCs/>
          <w:szCs w:val="24"/>
        </w:rPr>
      </w:pPr>
    </w:p>
    <w:p w14:paraId="067D2DBE" w14:textId="1AD0B965" w:rsidR="00921254" w:rsidRPr="00D14EF7" w:rsidRDefault="00921254" w:rsidP="00D14EF7">
      <w:pPr>
        <w:pStyle w:val="Heading1"/>
        <w:spacing w:before="0" w:after="0" w:line="240" w:lineRule="auto"/>
        <w:ind w:left="0"/>
        <w:rPr>
          <w:rFonts w:ascii="Arial" w:hAnsi="Arial" w:cs="Arial"/>
          <w:sz w:val="24"/>
          <w:szCs w:val="24"/>
        </w:rPr>
      </w:pPr>
      <w:r w:rsidRPr="00D14EF7">
        <w:rPr>
          <w:rFonts w:ascii="Arial" w:hAnsi="Arial" w:cs="Arial"/>
          <w:sz w:val="24"/>
          <w:szCs w:val="24"/>
        </w:rPr>
        <w:t>1</w:t>
      </w:r>
      <w:r w:rsidR="00D14EF7">
        <w:rPr>
          <w:rFonts w:ascii="Arial" w:hAnsi="Arial" w:cs="Arial"/>
          <w:sz w:val="24"/>
          <w:szCs w:val="24"/>
        </w:rPr>
        <w:t>9</w:t>
      </w:r>
      <w:r w:rsidRPr="00D14EF7">
        <w:rPr>
          <w:rFonts w:ascii="Arial" w:hAnsi="Arial" w:cs="Arial"/>
          <w:sz w:val="24"/>
          <w:szCs w:val="24"/>
        </w:rPr>
        <w:t>.</w:t>
      </w:r>
      <w:r w:rsidRPr="00D14EF7">
        <w:rPr>
          <w:rFonts w:ascii="Arial" w:hAnsi="Arial" w:cs="Arial"/>
          <w:sz w:val="24"/>
          <w:szCs w:val="24"/>
        </w:rPr>
        <w:tab/>
        <w:t xml:space="preserve">Linkages to other documents </w:t>
      </w:r>
    </w:p>
    <w:p w14:paraId="0B5090AB" w14:textId="77777777" w:rsidR="00921254" w:rsidRPr="00921254" w:rsidRDefault="00921254" w:rsidP="00F45649">
      <w:pPr>
        <w:tabs>
          <w:tab w:val="left" w:pos="720"/>
        </w:tabs>
        <w:spacing w:after="0" w:line="240" w:lineRule="auto"/>
        <w:ind w:left="706" w:hanging="706"/>
        <w:rPr>
          <w:szCs w:val="24"/>
        </w:rPr>
      </w:pPr>
      <w:r w:rsidRPr="00921254">
        <w:rPr>
          <w:szCs w:val="24"/>
        </w:rPr>
        <w:t xml:space="preserve">MSAC’s processes are detailed on the MSAC Website at: </w:t>
      </w:r>
      <w:hyperlink r:id="rId11" w:tooltip="Medical services advisory committee website" w:history="1">
        <w:r w:rsidRPr="006B6F9B">
          <w:rPr>
            <w:color w:val="0000FF"/>
            <w:szCs w:val="24"/>
            <w:u w:val="single"/>
          </w:rPr>
          <w:t>www.msac.gov.au</w:t>
        </w:r>
      </w:hyperlink>
      <w:r w:rsidRPr="00921254">
        <w:rPr>
          <w:szCs w:val="24"/>
        </w:rPr>
        <w:t xml:space="preserve">.  </w:t>
      </w:r>
    </w:p>
    <w:sectPr w:rsidR="00921254" w:rsidRPr="00921254" w:rsidSect="00A20A17">
      <w:headerReference w:type="even" r:id="rId12"/>
      <w:headerReference w:type="default" r:id="rId13"/>
      <w:footerReference w:type="even" r:id="rId14"/>
      <w:footerReference w:type="default" r:id="rId15"/>
      <w:headerReference w:type="first" r:id="rId16"/>
      <w:footerReference w:type="first" r:id="rId17"/>
      <w:pgSz w:w="11906" w:h="16838" w:code="9"/>
      <w:pgMar w:top="1008" w:right="1440" w:bottom="1296" w:left="144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154AD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26898E" w14:textId="77777777" w:rsidR="005E0FB4" w:rsidRDefault="005E0FB4">
      <w:r>
        <w:separator/>
      </w:r>
    </w:p>
  </w:endnote>
  <w:endnote w:type="continuationSeparator" w:id="0">
    <w:p w14:paraId="6C7D070F" w14:textId="77777777" w:rsidR="005E0FB4" w:rsidRDefault="005E0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1AE2B" w14:textId="77777777" w:rsidR="004631A9" w:rsidRDefault="00CE58D6" w:rsidP="003A5CBC">
    <w:pPr>
      <w:pStyle w:val="Footer"/>
      <w:framePr w:wrap="around" w:vAnchor="text" w:hAnchor="margin" w:xAlign="right" w:y="1"/>
      <w:rPr>
        <w:rStyle w:val="PageNumber"/>
      </w:rPr>
    </w:pPr>
    <w:r>
      <w:rPr>
        <w:rStyle w:val="PageNumber"/>
      </w:rPr>
      <w:fldChar w:fldCharType="begin"/>
    </w:r>
    <w:r w:rsidR="004631A9">
      <w:rPr>
        <w:rStyle w:val="PageNumber"/>
      </w:rPr>
      <w:instrText xml:space="preserve">PAGE  </w:instrText>
    </w:r>
    <w:r>
      <w:rPr>
        <w:rStyle w:val="PageNumber"/>
      </w:rPr>
      <w:fldChar w:fldCharType="end"/>
    </w:r>
  </w:p>
  <w:p w14:paraId="6E038A00" w14:textId="77777777" w:rsidR="004631A9" w:rsidRDefault="004631A9" w:rsidP="003A5C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E780F" w14:textId="77777777" w:rsidR="004631A9" w:rsidRPr="00712AB3" w:rsidRDefault="004631A9" w:rsidP="00AE503E">
    <w:pPr>
      <w:pStyle w:val="Footer"/>
      <w:tabs>
        <w:tab w:val="clear" w:pos="8306"/>
        <w:tab w:val="right" w:pos="9000"/>
      </w:tabs>
      <w:ind w:right="566"/>
      <w:rPr>
        <w:rFonts w:ascii="Arial Narrow" w:hAnsi="Arial Narrow"/>
      </w:rPr>
    </w:pPr>
    <w:r>
      <w:rPr>
        <w:rFonts w:ascii="Arial Narrow" w:hAnsi="Arial Narrow"/>
        <w:sz w:val="14"/>
        <w:szCs w:val="14"/>
      </w:rPr>
      <w:tab/>
    </w:r>
    <w:r w:rsidR="00CE58D6" w:rsidRPr="00712AB3">
      <w:rPr>
        <w:rFonts w:ascii="Arial Narrow" w:hAnsi="Arial Narrow"/>
      </w:rPr>
      <w:fldChar w:fldCharType="begin"/>
    </w:r>
    <w:r w:rsidRPr="00712AB3">
      <w:rPr>
        <w:rFonts w:ascii="Arial Narrow" w:hAnsi="Arial Narrow"/>
      </w:rPr>
      <w:instrText xml:space="preserve"> PAGE </w:instrText>
    </w:r>
    <w:r w:rsidR="00CE58D6" w:rsidRPr="00712AB3">
      <w:rPr>
        <w:rFonts w:ascii="Arial Narrow" w:hAnsi="Arial Narrow"/>
      </w:rPr>
      <w:fldChar w:fldCharType="separate"/>
    </w:r>
    <w:r w:rsidR="00D916E3">
      <w:rPr>
        <w:rFonts w:ascii="Arial Narrow" w:hAnsi="Arial Narrow"/>
        <w:noProof/>
      </w:rPr>
      <w:t>2</w:t>
    </w:r>
    <w:r w:rsidR="00CE58D6" w:rsidRPr="00712AB3">
      <w:rPr>
        <w:rFonts w:ascii="Arial Narrow" w:hAnsi="Arial Narrow"/>
      </w:rPr>
      <w:fldChar w:fldCharType="end"/>
    </w:r>
    <w:r w:rsidRPr="00712AB3">
      <w:rPr>
        <w:rFonts w:ascii="Arial Narrow" w:hAnsi="Arial Narrow"/>
      </w:rPr>
      <w:t>/</w:t>
    </w:r>
    <w:r w:rsidR="00CE58D6" w:rsidRPr="00712AB3">
      <w:rPr>
        <w:rFonts w:ascii="Arial Narrow" w:hAnsi="Arial Narrow"/>
      </w:rPr>
      <w:fldChar w:fldCharType="begin"/>
    </w:r>
    <w:r w:rsidRPr="00712AB3">
      <w:rPr>
        <w:rFonts w:ascii="Arial Narrow" w:hAnsi="Arial Narrow"/>
      </w:rPr>
      <w:instrText xml:space="preserve"> NUMPAGES </w:instrText>
    </w:r>
    <w:r w:rsidR="00CE58D6" w:rsidRPr="00712AB3">
      <w:rPr>
        <w:rFonts w:ascii="Arial Narrow" w:hAnsi="Arial Narrow"/>
      </w:rPr>
      <w:fldChar w:fldCharType="separate"/>
    </w:r>
    <w:r w:rsidR="00D916E3">
      <w:rPr>
        <w:rFonts w:ascii="Arial Narrow" w:hAnsi="Arial Narrow"/>
        <w:noProof/>
      </w:rPr>
      <w:t>14</w:t>
    </w:r>
    <w:r w:rsidR="00CE58D6" w:rsidRPr="00712AB3">
      <w:rPr>
        <w:rFonts w:ascii="Arial Narrow" w:hAnsi="Arial Narrow"/>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4C3A6" w14:textId="77777777" w:rsidR="00993F75" w:rsidRDefault="00993F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69BE5" w14:textId="77777777" w:rsidR="005E0FB4" w:rsidRDefault="005E0FB4">
      <w:r>
        <w:separator/>
      </w:r>
    </w:p>
  </w:footnote>
  <w:footnote w:type="continuationSeparator" w:id="0">
    <w:p w14:paraId="64DABF2F" w14:textId="77777777" w:rsidR="005E0FB4" w:rsidRDefault="005E0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86344" w14:textId="77777777" w:rsidR="00993F75" w:rsidRDefault="00993F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0CF62" w14:textId="44F94044" w:rsidR="00993F75" w:rsidRDefault="00993F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AAA35" w14:textId="77777777" w:rsidR="00993F75" w:rsidRDefault="00993F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5458"/>
    <w:multiLevelType w:val="hybridMultilevel"/>
    <w:tmpl w:val="04441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272AF4"/>
    <w:multiLevelType w:val="hybridMultilevel"/>
    <w:tmpl w:val="068A5EE2"/>
    <w:lvl w:ilvl="0" w:tplc="AD6A3CEA">
      <w:start w:val="1"/>
      <w:numFmt w:val="bullet"/>
      <w:lvlText w:val="•"/>
      <w:lvlJc w:val="left"/>
      <w:pPr>
        <w:tabs>
          <w:tab w:val="num" w:pos="720"/>
        </w:tabs>
        <w:ind w:left="720" w:hanging="360"/>
      </w:pPr>
      <w:rPr>
        <w:rFonts w:ascii="Arial" w:hAnsi="Arial" w:hint="default"/>
      </w:rPr>
    </w:lvl>
    <w:lvl w:ilvl="1" w:tplc="27AC6388" w:tentative="1">
      <w:start w:val="1"/>
      <w:numFmt w:val="bullet"/>
      <w:lvlText w:val="•"/>
      <w:lvlJc w:val="left"/>
      <w:pPr>
        <w:tabs>
          <w:tab w:val="num" w:pos="1440"/>
        </w:tabs>
        <w:ind w:left="1440" w:hanging="360"/>
      </w:pPr>
      <w:rPr>
        <w:rFonts w:ascii="Arial" w:hAnsi="Arial" w:hint="default"/>
      </w:rPr>
    </w:lvl>
    <w:lvl w:ilvl="2" w:tplc="BA34F814" w:tentative="1">
      <w:start w:val="1"/>
      <w:numFmt w:val="bullet"/>
      <w:lvlText w:val="•"/>
      <w:lvlJc w:val="left"/>
      <w:pPr>
        <w:tabs>
          <w:tab w:val="num" w:pos="2160"/>
        </w:tabs>
        <w:ind w:left="2160" w:hanging="360"/>
      </w:pPr>
      <w:rPr>
        <w:rFonts w:ascii="Arial" w:hAnsi="Arial" w:hint="default"/>
      </w:rPr>
    </w:lvl>
    <w:lvl w:ilvl="3" w:tplc="D1786A78" w:tentative="1">
      <w:start w:val="1"/>
      <w:numFmt w:val="bullet"/>
      <w:lvlText w:val="•"/>
      <w:lvlJc w:val="left"/>
      <w:pPr>
        <w:tabs>
          <w:tab w:val="num" w:pos="2880"/>
        </w:tabs>
        <w:ind w:left="2880" w:hanging="360"/>
      </w:pPr>
      <w:rPr>
        <w:rFonts w:ascii="Arial" w:hAnsi="Arial" w:hint="default"/>
      </w:rPr>
    </w:lvl>
    <w:lvl w:ilvl="4" w:tplc="E7C88DCA" w:tentative="1">
      <w:start w:val="1"/>
      <w:numFmt w:val="bullet"/>
      <w:lvlText w:val="•"/>
      <w:lvlJc w:val="left"/>
      <w:pPr>
        <w:tabs>
          <w:tab w:val="num" w:pos="3600"/>
        </w:tabs>
        <w:ind w:left="3600" w:hanging="360"/>
      </w:pPr>
      <w:rPr>
        <w:rFonts w:ascii="Arial" w:hAnsi="Arial" w:hint="default"/>
      </w:rPr>
    </w:lvl>
    <w:lvl w:ilvl="5" w:tplc="FAD0BDA4" w:tentative="1">
      <w:start w:val="1"/>
      <w:numFmt w:val="bullet"/>
      <w:lvlText w:val="•"/>
      <w:lvlJc w:val="left"/>
      <w:pPr>
        <w:tabs>
          <w:tab w:val="num" w:pos="4320"/>
        </w:tabs>
        <w:ind w:left="4320" w:hanging="360"/>
      </w:pPr>
      <w:rPr>
        <w:rFonts w:ascii="Arial" w:hAnsi="Arial" w:hint="default"/>
      </w:rPr>
    </w:lvl>
    <w:lvl w:ilvl="6" w:tplc="B3D2EC8E" w:tentative="1">
      <w:start w:val="1"/>
      <w:numFmt w:val="bullet"/>
      <w:lvlText w:val="•"/>
      <w:lvlJc w:val="left"/>
      <w:pPr>
        <w:tabs>
          <w:tab w:val="num" w:pos="5040"/>
        </w:tabs>
        <w:ind w:left="5040" w:hanging="360"/>
      </w:pPr>
      <w:rPr>
        <w:rFonts w:ascii="Arial" w:hAnsi="Arial" w:hint="default"/>
      </w:rPr>
    </w:lvl>
    <w:lvl w:ilvl="7" w:tplc="AE8475C8" w:tentative="1">
      <w:start w:val="1"/>
      <w:numFmt w:val="bullet"/>
      <w:lvlText w:val="•"/>
      <w:lvlJc w:val="left"/>
      <w:pPr>
        <w:tabs>
          <w:tab w:val="num" w:pos="5760"/>
        </w:tabs>
        <w:ind w:left="5760" w:hanging="360"/>
      </w:pPr>
      <w:rPr>
        <w:rFonts w:ascii="Arial" w:hAnsi="Arial" w:hint="default"/>
      </w:rPr>
    </w:lvl>
    <w:lvl w:ilvl="8" w:tplc="F10263F0" w:tentative="1">
      <w:start w:val="1"/>
      <w:numFmt w:val="bullet"/>
      <w:lvlText w:val="•"/>
      <w:lvlJc w:val="left"/>
      <w:pPr>
        <w:tabs>
          <w:tab w:val="num" w:pos="6480"/>
        </w:tabs>
        <w:ind w:left="6480" w:hanging="360"/>
      </w:pPr>
      <w:rPr>
        <w:rFonts w:ascii="Arial" w:hAnsi="Arial" w:hint="default"/>
      </w:rPr>
    </w:lvl>
  </w:abstractNum>
  <w:abstractNum w:abstractNumId="2">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48004C"/>
    <w:multiLevelType w:val="hybridMultilevel"/>
    <w:tmpl w:val="096CC966"/>
    <w:lvl w:ilvl="0" w:tplc="DBFA83DC">
      <w:start w:val="1"/>
      <w:numFmt w:val="bullet"/>
      <w:lvlText w:val=""/>
      <w:lvlJc w:val="left"/>
      <w:pPr>
        <w:tabs>
          <w:tab w:val="num" w:pos="1080"/>
        </w:tabs>
        <w:ind w:left="1080" w:hanging="360"/>
      </w:pPr>
      <w:rPr>
        <w:rFonts w:ascii="Symbol" w:hAnsi="Symbol" w:hint="default"/>
        <w:color w:val="auto"/>
        <w:sz w:val="22"/>
        <w:szCs w:val="22"/>
      </w:rPr>
    </w:lvl>
    <w:lvl w:ilvl="1" w:tplc="DBFA83DC">
      <w:start w:val="1"/>
      <w:numFmt w:val="bullet"/>
      <w:lvlText w:val=""/>
      <w:lvlJc w:val="left"/>
      <w:pPr>
        <w:tabs>
          <w:tab w:val="num" w:pos="360"/>
        </w:tabs>
        <w:ind w:left="360" w:hanging="360"/>
      </w:pPr>
      <w:rPr>
        <w:rFonts w:ascii="Symbol" w:hAnsi="Symbol" w:hint="default"/>
        <w:color w:val="auto"/>
        <w:sz w:val="22"/>
        <w:szCs w:val="22"/>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0744A4C"/>
    <w:multiLevelType w:val="multilevel"/>
    <w:tmpl w:val="9724EFD6"/>
    <w:styleLink w:val="Bullet1"/>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390F19"/>
    <w:multiLevelType w:val="hybridMultilevel"/>
    <w:tmpl w:val="497CAA46"/>
    <w:lvl w:ilvl="0" w:tplc="22FC7E4A">
      <w:start w:val="1"/>
      <w:numFmt w:val="bullet"/>
      <w:lvlText w:val=""/>
      <w:lvlJc w:val="left"/>
      <w:pPr>
        <w:tabs>
          <w:tab w:val="num" w:pos="720"/>
        </w:tabs>
        <w:ind w:left="720" w:hanging="360"/>
      </w:pPr>
      <w:rPr>
        <w:rFonts w:ascii="Symbol" w:hAnsi="Symbol" w:hint="default"/>
        <w:color w:val="auto"/>
        <w:sz w:val="22"/>
        <w:szCs w:val="2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D1C4357"/>
    <w:multiLevelType w:val="hybridMultilevel"/>
    <w:tmpl w:val="270085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D6B2B3E"/>
    <w:multiLevelType w:val="hybridMultilevel"/>
    <w:tmpl w:val="39888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43378C"/>
    <w:multiLevelType w:val="hybridMultilevel"/>
    <w:tmpl w:val="8EEEC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1243CCB"/>
    <w:multiLevelType w:val="hybridMultilevel"/>
    <w:tmpl w:val="F4365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3780F77"/>
    <w:multiLevelType w:val="hybridMultilevel"/>
    <w:tmpl w:val="E9E0C4C4"/>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3">
    <w:nsid w:val="47123FED"/>
    <w:multiLevelType w:val="hybridMultilevel"/>
    <w:tmpl w:val="0898F78E"/>
    <w:lvl w:ilvl="0" w:tplc="DBFA83DC">
      <w:start w:val="1"/>
      <w:numFmt w:val="bullet"/>
      <w:lvlText w:val=""/>
      <w:lvlJc w:val="left"/>
      <w:pPr>
        <w:tabs>
          <w:tab w:val="num" w:pos="1080"/>
        </w:tabs>
        <w:ind w:left="1080" w:hanging="360"/>
      </w:pPr>
      <w:rPr>
        <w:rFonts w:ascii="Symbol" w:hAnsi="Symbol" w:hint="default"/>
        <w:color w:val="auto"/>
        <w:sz w:val="22"/>
        <w:szCs w:val="22"/>
      </w:rPr>
    </w:lvl>
    <w:lvl w:ilvl="1" w:tplc="132CEF16">
      <w:numFmt w:val="bullet"/>
      <w:lvlText w:val="•"/>
      <w:lvlJc w:val="left"/>
      <w:pPr>
        <w:ind w:left="2520" w:hanging="720"/>
      </w:pPr>
      <w:rPr>
        <w:rFonts w:ascii="Arial" w:eastAsia="Times New Roman" w:hAnsi="Arial"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8343DE2"/>
    <w:multiLevelType w:val="hybridMultilevel"/>
    <w:tmpl w:val="ADE8080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48936709"/>
    <w:multiLevelType w:val="hybridMultilevel"/>
    <w:tmpl w:val="B52E2C1C"/>
    <w:lvl w:ilvl="0" w:tplc="D4D824BA">
      <w:start w:val="1"/>
      <w:numFmt w:val="bullet"/>
      <w:pStyle w:val="SectionSummary"/>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E14142E"/>
    <w:multiLevelType w:val="hybridMultilevel"/>
    <w:tmpl w:val="B58C5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06C78AC"/>
    <w:multiLevelType w:val="hybridMultilevel"/>
    <w:tmpl w:val="650609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50A47AB0"/>
    <w:multiLevelType w:val="hybridMultilevel"/>
    <w:tmpl w:val="F2683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BB045B9"/>
    <w:multiLevelType w:val="hybridMultilevel"/>
    <w:tmpl w:val="04D850E8"/>
    <w:lvl w:ilvl="0" w:tplc="DBFA83DC">
      <w:start w:val="1"/>
      <w:numFmt w:val="bullet"/>
      <w:lvlText w:val=""/>
      <w:lvlJc w:val="left"/>
      <w:pPr>
        <w:tabs>
          <w:tab w:val="num" w:pos="1080"/>
        </w:tabs>
        <w:ind w:left="1080" w:hanging="360"/>
      </w:pPr>
      <w:rPr>
        <w:rFonts w:ascii="Symbol" w:hAnsi="Symbol" w:hint="default"/>
        <w:color w:val="auto"/>
        <w:sz w:val="22"/>
        <w:szCs w:val="22"/>
      </w:rPr>
    </w:lvl>
    <w:lvl w:ilvl="1" w:tplc="E1D67A68">
      <w:start w:val="1"/>
      <w:numFmt w:val="bullet"/>
      <w:lvlText w:val="o"/>
      <w:lvlJc w:val="left"/>
      <w:pPr>
        <w:tabs>
          <w:tab w:val="num" w:pos="360"/>
        </w:tabs>
        <w:ind w:left="360" w:hanging="360"/>
      </w:pPr>
      <w:rPr>
        <w:rFonts w:ascii="Courier New" w:hAnsi="Courier New" w:hint="default"/>
        <w:color w:val="auto"/>
        <w:sz w:val="20"/>
        <w:szCs w:val="22"/>
      </w:rPr>
    </w:lvl>
    <w:lvl w:ilvl="2" w:tplc="E1D67A68">
      <w:start w:val="1"/>
      <w:numFmt w:val="bullet"/>
      <w:lvlText w:val="o"/>
      <w:lvlJc w:val="left"/>
      <w:pPr>
        <w:tabs>
          <w:tab w:val="num" w:pos="2880"/>
        </w:tabs>
        <w:ind w:left="2880" w:hanging="360"/>
      </w:pPr>
      <w:rPr>
        <w:rFonts w:ascii="Courier New" w:hAnsi="Courier New" w:hint="default"/>
        <w:sz w:val="20"/>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19">
      <w:start w:val="1"/>
      <w:numFmt w:val="lowerLetter"/>
      <w:lvlText w:val="%2."/>
      <w:lvlJc w:val="left"/>
      <w:pPr>
        <w:tabs>
          <w:tab w:val="num" w:pos="1080"/>
        </w:tabs>
        <w:ind w:left="1080" w:hanging="360"/>
      </w:pPr>
    </w:lvl>
    <w:lvl w:ilvl="2" w:tplc="DBFA83DC">
      <w:start w:val="1"/>
      <w:numFmt w:val="bullet"/>
      <w:lvlText w:val=""/>
      <w:lvlJc w:val="left"/>
      <w:pPr>
        <w:tabs>
          <w:tab w:val="num" w:pos="360"/>
        </w:tabs>
        <w:ind w:left="360" w:hanging="360"/>
      </w:pPr>
      <w:rPr>
        <w:rFonts w:ascii="Symbol" w:hAnsi="Symbol" w:hint="default"/>
        <w:color w:val="auto"/>
        <w:sz w:val="22"/>
        <w:szCs w:val="22"/>
      </w:rPr>
    </w:lvl>
    <w:lvl w:ilvl="3" w:tplc="DBFA83DC">
      <w:start w:val="1"/>
      <w:numFmt w:val="bullet"/>
      <w:lvlText w:val=""/>
      <w:lvlJc w:val="left"/>
      <w:pPr>
        <w:tabs>
          <w:tab w:val="num" w:pos="360"/>
        </w:tabs>
        <w:ind w:left="360" w:hanging="360"/>
      </w:pPr>
      <w:rPr>
        <w:rFonts w:ascii="Symbol" w:hAnsi="Symbol" w:hint="default"/>
        <w:color w:val="auto"/>
        <w:sz w:val="22"/>
        <w:szCs w:val="22"/>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60FC72BB"/>
    <w:multiLevelType w:val="hybridMultilevel"/>
    <w:tmpl w:val="8AF8E98C"/>
    <w:lvl w:ilvl="0" w:tplc="684CB84E">
      <w:start w:val="1"/>
      <w:numFmt w:val="bullet"/>
      <w:lvlText w:val="•"/>
      <w:lvlJc w:val="left"/>
      <w:pPr>
        <w:tabs>
          <w:tab w:val="num" w:pos="720"/>
        </w:tabs>
        <w:ind w:left="720" w:hanging="360"/>
      </w:pPr>
      <w:rPr>
        <w:rFonts w:ascii="Arial" w:hAnsi="Arial" w:hint="default"/>
      </w:rPr>
    </w:lvl>
    <w:lvl w:ilvl="1" w:tplc="3EB86592">
      <w:start w:val="843"/>
      <w:numFmt w:val="bullet"/>
      <w:lvlText w:val="•"/>
      <w:lvlJc w:val="left"/>
      <w:pPr>
        <w:tabs>
          <w:tab w:val="num" w:pos="1440"/>
        </w:tabs>
        <w:ind w:left="1440" w:hanging="360"/>
      </w:pPr>
      <w:rPr>
        <w:rFonts w:ascii="Arial" w:hAnsi="Arial" w:hint="default"/>
      </w:rPr>
    </w:lvl>
    <w:lvl w:ilvl="2" w:tplc="3272C162" w:tentative="1">
      <w:start w:val="1"/>
      <w:numFmt w:val="bullet"/>
      <w:lvlText w:val="•"/>
      <w:lvlJc w:val="left"/>
      <w:pPr>
        <w:tabs>
          <w:tab w:val="num" w:pos="2160"/>
        </w:tabs>
        <w:ind w:left="2160" w:hanging="360"/>
      </w:pPr>
      <w:rPr>
        <w:rFonts w:ascii="Arial" w:hAnsi="Arial" w:hint="default"/>
      </w:rPr>
    </w:lvl>
    <w:lvl w:ilvl="3" w:tplc="5BEA79D0" w:tentative="1">
      <w:start w:val="1"/>
      <w:numFmt w:val="bullet"/>
      <w:lvlText w:val="•"/>
      <w:lvlJc w:val="left"/>
      <w:pPr>
        <w:tabs>
          <w:tab w:val="num" w:pos="2880"/>
        </w:tabs>
        <w:ind w:left="2880" w:hanging="360"/>
      </w:pPr>
      <w:rPr>
        <w:rFonts w:ascii="Arial" w:hAnsi="Arial" w:hint="default"/>
      </w:rPr>
    </w:lvl>
    <w:lvl w:ilvl="4" w:tplc="B9F0C864" w:tentative="1">
      <w:start w:val="1"/>
      <w:numFmt w:val="bullet"/>
      <w:lvlText w:val="•"/>
      <w:lvlJc w:val="left"/>
      <w:pPr>
        <w:tabs>
          <w:tab w:val="num" w:pos="3600"/>
        </w:tabs>
        <w:ind w:left="3600" w:hanging="360"/>
      </w:pPr>
      <w:rPr>
        <w:rFonts w:ascii="Arial" w:hAnsi="Arial" w:hint="default"/>
      </w:rPr>
    </w:lvl>
    <w:lvl w:ilvl="5" w:tplc="4B16EAF6" w:tentative="1">
      <w:start w:val="1"/>
      <w:numFmt w:val="bullet"/>
      <w:lvlText w:val="•"/>
      <w:lvlJc w:val="left"/>
      <w:pPr>
        <w:tabs>
          <w:tab w:val="num" w:pos="4320"/>
        </w:tabs>
        <w:ind w:left="4320" w:hanging="360"/>
      </w:pPr>
      <w:rPr>
        <w:rFonts w:ascii="Arial" w:hAnsi="Arial" w:hint="default"/>
      </w:rPr>
    </w:lvl>
    <w:lvl w:ilvl="6" w:tplc="5DDADA4A" w:tentative="1">
      <w:start w:val="1"/>
      <w:numFmt w:val="bullet"/>
      <w:lvlText w:val="•"/>
      <w:lvlJc w:val="left"/>
      <w:pPr>
        <w:tabs>
          <w:tab w:val="num" w:pos="5040"/>
        </w:tabs>
        <w:ind w:left="5040" w:hanging="360"/>
      </w:pPr>
      <w:rPr>
        <w:rFonts w:ascii="Arial" w:hAnsi="Arial" w:hint="default"/>
      </w:rPr>
    </w:lvl>
    <w:lvl w:ilvl="7" w:tplc="D06C4168" w:tentative="1">
      <w:start w:val="1"/>
      <w:numFmt w:val="bullet"/>
      <w:lvlText w:val="•"/>
      <w:lvlJc w:val="left"/>
      <w:pPr>
        <w:tabs>
          <w:tab w:val="num" w:pos="5760"/>
        </w:tabs>
        <w:ind w:left="5760" w:hanging="360"/>
      </w:pPr>
      <w:rPr>
        <w:rFonts w:ascii="Arial" w:hAnsi="Arial" w:hint="default"/>
      </w:rPr>
    </w:lvl>
    <w:lvl w:ilvl="8" w:tplc="A2922E6A" w:tentative="1">
      <w:start w:val="1"/>
      <w:numFmt w:val="bullet"/>
      <w:lvlText w:val="•"/>
      <w:lvlJc w:val="left"/>
      <w:pPr>
        <w:tabs>
          <w:tab w:val="num" w:pos="6480"/>
        </w:tabs>
        <w:ind w:left="6480" w:hanging="360"/>
      </w:pPr>
      <w:rPr>
        <w:rFonts w:ascii="Arial" w:hAnsi="Arial" w:hint="default"/>
      </w:rPr>
    </w:lvl>
  </w:abstractNum>
  <w:abstractNum w:abstractNumId="26">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szCs w:val="22"/>
      </w:rPr>
    </w:lvl>
    <w:lvl w:ilvl="1" w:tplc="69B0DAB4">
      <w:start w:val="1"/>
      <w:numFmt w:val="bullet"/>
      <w:lvlText w:val=""/>
      <w:lvlJc w:val="left"/>
      <w:pPr>
        <w:tabs>
          <w:tab w:val="num" w:pos="1800"/>
        </w:tabs>
        <w:ind w:left="1800" w:hanging="360"/>
      </w:pPr>
      <w:rPr>
        <w:rFonts w:ascii="Symbol" w:hAnsi="Symbol" w:hint="default"/>
        <w:color w:val="auto"/>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E6741F5"/>
    <w:multiLevelType w:val="hybridMultilevel"/>
    <w:tmpl w:val="0A468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2951C7C"/>
    <w:multiLevelType w:val="hybridMultilevel"/>
    <w:tmpl w:val="E6B65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96B4C26"/>
    <w:multiLevelType w:val="hybridMultilevel"/>
    <w:tmpl w:val="0B08A144"/>
    <w:lvl w:ilvl="0" w:tplc="DBFA83DC">
      <w:start w:val="1"/>
      <w:numFmt w:val="bullet"/>
      <w:lvlText w:val=""/>
      <w:lvlJc w:val="left"/>
      <w:pPr>
        <w:tabs>
          <w:tab w:val="num" w:pos="720"/>
        </w:tabs>
        <w:ind w:left="720" w:hanging="360"/>
      </w:pPr>
      <w:rPr>
        <w:rFonts w:ascii="Symbol" w:hAnsi="Symbol" w:hint="default"/>
        <w:color w:val="auto"/>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0"/>
  </w:num>
  <w:num w:numId="3">
    <w:abstractNumId w:val="3"/>
  </w:num>
  <w:num w:numId="4">
    <w:abstractNumId w:val="22"/>
  </w:num>
  <w:num w:numId="5">
    <w:abstractNumId w:val="10"/>
  </w:num>
  <w:num w:numId="6">
    <w:abstractNumId w:val="21"/>
  </w:num>
  <w:num w:numId="7">
    <w:abstractNumId w:val="26"/>
  </w:num>
  <w:num w:numId="8">
    <w:abstractNumId w:val="13"/>
  </w:num>
  <w:num w:numId="9">
    <w:abstractNumId w:val="33"/>
  </w:num>
  <w:num w:numId="10">
    <w:abstractNumId w:val="2"/>
  </w:num>
  <w:num w:numId="11">
    <w:abstractNumId w:val="27"/>
  </w:num>
  <w:num w:numId="12">
    <w:abstractNumId w:val="0"/>
  </w:num>
  <w:num w:numId="13">
    <w:abstractNumId w:val="9"/>
  </w:num>
  <w:num w:numId="14">
    <w:abstractNumId w:val="32"/>
  </w:num>
  <w:num w:numId="15">
    <w:abstractNumId w:val="6"/>
  </w:num>
  <w:num w:numId="16">
    <w:abstractNumId w:val="12"/>
  </w:num>
  <w:num w:numId="17">
    <w:abstractNumId w:val="7"/>
  </w:num>
  <w:num w:numId="18">
    <w:abstractNumId w:val="18"/>
  </w:num>
  <w:num w:numId="19">
    <w:abstractNumId w:val="4"/>
  </w:num>
  <w:num w:numId="20">
    <w:abstractNumId w:val="23"/>
  </w:num>
  <w:num w:numId="21">
    <w:abstractNumId w:val="15"/>
  </w:num>
  <w:num w:numId="22">
    <w:abstractNumId w:val="14"/>
  </w:num>
  <w:num w:numId="23">
    <w:abstractNumId w:val="17"/>
  </w:num>
  <w:num w:numId="24">
    <w:abstractNumId w:val="11"/>
  </w:num>
  <w:num w:numId="25">
    <w:abstractNumId w:val="19"/>
  </w:num>
  <w:num w:numId="26">
    <w:abstractNumId w:val="8"/>
  </w:num>
  <w:num w:numId="27">
    <w:abstractNumId w:val="25"/>
  </w:num>
  <w:num w:numId="28">
    <w:abstractNumId w:val="1"/>
  </w:num>
  <w:num w:numId="29">
    <w:abstractNumId w:val="24"/>
  </w:num>
  <w:num w:numId="30">
    <w:abstractNumId w:val="29"/>
  </w:num>
  <w:num w:numId="31">
    <w:abstractNumId w:val="16"/>
  </w:num>
  <w:num w:numId="32">
    <w:abstractNumId w:val="28"/>
  </w:num>
  <w:num w:numId="33">
    <w:abstractNumId w:val="31"/>
  </w:num>
  <w:num w:numId="34">
    <w:abstractNumId w:val="30"/>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m Butler">
    <w15:presenceInfo w15:providerId="None" w15:userId="Jim But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58F"/>
    <w:rsid w:val="000001E6"/>
    <w:rsid w:val="00001C90"/>
    <w:rsid w:val="0000291D"/>
    <w:rsid w:val="00007D23"/>
    <w:rsid w:val="00017538"/>
    <w:rsid w:val="00017F63"/>
    <w:rsid w:val="00021288"/>
    <w:rsid w:val="0002494F"/>
    <w:rsid w:val="000261E5"/>
    <w:rsid w:val="00031FAC"/>
    <w:rsid w:val="00032088"/>
    <w:rsid w:val="00034C3A"/>
    <w:rsid w:val="00035317"/>
    <w:rsid w:val="00040454"/>
    <w:rsid w:val="00040C53"/>
    <w:rsid w:val="00042C05"/>
    <w:rsid w:val="00046361"/>
    <w:rsid w:val="000467AC"/>
    <w:rsid w:val="00052A77"/>
    <w:rsid w:val="00060966"/>
    <w:rsid w:val="00070650"/>
    <w:rsid w:val="00074597"/>
    <w:rsid w:val="000760F1"/>
    <w:rsid w:val="00080584"/>
    <w:rsid w:val="000912A0"/>
    <w:rsid w:val="00094129"/>
    <w:rsid w:val="0009546B"/>
    <w:rsid w:val="000A05D0"/>
    <w:rsid w:val="000A0E36"/>
    <w:rsid w:val="000A1C40"/>
    <w:rsid w:val="000A758A"/>
    <w:rsid w:val="000A7940"/>
    <w:rsid w:val="000B28C5"/>
    <w:rsid w:val="000B5C5D"/>
    <w:rsid w:val="000B668F"/>
    <w:rsid w:val="000B6CE7"/>
    <w:rsid w:val="000B76A9"/>
    <w:rsid w:val="000C7402"/>
    <w:rsid w:val="000D0603"/>
    <w:rsid w:val="000D56FC"/>
    <w:rsid w:val="000E142E"/>
    <w:rsid w:val="000E43BE"/>
    <w:rsid w:val="000E500F"/>
    <w:rsid w:val="000E6C30"/>
    <w:rsid w:val="000F2579"/>
    <w:rsid w:val="000F6455"/>
    <w:rsid w:val="00105349"/>
    <w:rsid w:val="001055A9"/>
    <w:rsid w:val="0011558F"/>
    <w:rsid w:val="00116F00"/>
    <w:rsid w:val="001206C8"/>
    <w:rsid w:val="001213EF"/>
    <w:rsid w:val="0012732A"/>
    <w:rsid w:val="00133C92"/>
    <w:rsid w:val="00133D8B"/>
    <w:rsid w:val="00133E99"/>
    <w:rsid w:val="00134C82"/>
    <w:rsid w:val="00143F8F"/>
    <w:rsid w:val="00145574"/>
    <w:rsid w:val="0015006C"/>
    <w:rsid w:val="00150A3B"/>
    <w:rsid w:val="00153F2F"/>
    <w:rsid w:val="00157A54"/>
    <w:rsid w:val="001609DA"/>
    <w:rsid w:val="001616F0"/>
    <w:rsid w:val="0016184B"/>
    <w:rsid w:val="001630F5"/>
    <w:rsid w:val="001635D7"/>
    <w:rsid w:val="00165085"/>
    <w:rsid w:val="0016524E"/>
    <w:rsid w:val="001654ED"/>
    <w:rsid w:val="00170410"/>
    <w:rsid w:val="0017654F"/>
    <w:rsid w:val="00180791"/>
    <w:rsid w:val="00181612"/>
    <w:rsid w:val="0018639D"/>
    <w:rsid w:val="0018656C"/>
    <w:rsid w:val="00190459"/>
    <w:rsid w:val="001918E6"/>
    <w:rsid w:val="001925B2"/>
    <w:rsid w:val="00194946"/>
    <w:rsid w:val="001A45FE"/>
    <w:rsid w:val="001B0E51"/>
    <w:rsid w:val="001B18EB"/>
    <w:rsid w:val="001B4017"/>
    <w:rsid w:val="001C2532"/>
    <w:rsid w:val="001C5552"/>
    <w:rsid w:val="001C5E73"/>
    <w:rsid w:val="001C7939"/>
    <w:rsid w:val="001D19DE"/>
    <w:rsid w:val="001D1B4E"/>
    <w:rsid w:val="001D6C14"/>
    <w:rsid w:val="001D70BE"/>
    <w:rsid w:val="001E238F"/>
    <w:rsid w:val="001E2C40"/>
    <w:rsid w:val="001E359E"/>
    <w:rsid w:val="001E4F85"/>
    <w:rsid w:val="001E67A4"/>
    <w:rsid w:val="001E7DDF"/>
    <w:rsid w:val="001F0320"/>
    <w:rsid w:val="001F1543"/>
    <w:rsid w:val="001F4F00"/>
    <w:rsid w:val="001F6220"/>
    <w:rsid w:val="001F7ADD"/>
    <w:rsid w:val="00200377"/>
    <w:rsid w:val="00201963"/>
    <w:rsid w:val="0020487F"/>
    <w:rsid w:val="00206293"/>
    <w:rsid w:val="00206C24"/>
    <w:rsid w:val="002109BD"/>
    <w:rsid w:val="002127CF"/>
    <w:rsid w:val="00213C76"/>
    <w:rsid w:val="00214C8B"/>
    <w:rsid w:val="00215153"/>
    <w:rsid w:val="00215DE0"/>
    <w:rsid w:val="0021651B"/>
    <w:rsid w:val="00217A79"/>
    <w:rsid w:val="00217B17"/>
    <w:rsid w:val="00220070"/>
    <w:rsid w:val="002269B7"/>
    <w:rsid w:val="002303BF"/>
    <w:rsid w:val="002318CC"/>
    <w:rsid w:val="00250E7A"/>
    <w:rsid w:val="00254BCC"/>
    <w:rsid w:val="00260379"/>
    <w:rsid w:val="00263461"/>
    <w:rsid w:val="00266C75"/>
    <w:rsid w:val="00267CEC"/>
    <w:rsid w:val="00270369"/>
    <w:rsid w:val="00270E6C"/>
    <w:rsid w:val="00274E7C"/>
    <w:rsid w:val="00276ACD"/>
    <w:rsid w:val="00281ABA"/>
    <w:rsid w:val="00281C96"/>
    <w:rsid w:val="00282BE5"/>
    <w:rsid w:val="002832E3"/>
    <w:rsid w:val="002851B7"/>
    <w:rsid w:val="00285AE8"/>
    <w:rsid w:val="0028729B"/>
    <w:rsid w:val="002A013D"/>
    <w:rsid w:val="002A36A3"/>
    <w:rsid w:val="002A56C8"/>
    <w:rsid w:val="002A7419"/>
    <w:rsid w:val="002B199C"/>
    <w:rsid w:val="002B57C6"/>
    <w:rsid w:val="002C20F6"/>
    <w:rsid w:val="002C37BA"/>
    <w:rsid w:val="002C4775"/>
    <w:rsid w:val="002C4953"/>
    <w:rsid w:val="002C5AC5"/>
    <w:rsid w:val="002D07F7"/>
    <w:rsid w:val="002D1D5D"/>
    <w:rsid w:val="002D2912"/>
    <w:rsid w:val="002D5019"/>
    <w:rsid w:val="002D5FD2"/>
    <w:rsid w:val="002E4576"/>
    <w:rsid w:val="002E7385"/>
    <w:rsid w:val="002F134D"/>
    <w:rsid w:val="002F289C"/>
    <w:rsid w:val="002F3450"/>
    <w:rsid w:val="002F5CFC"/>
    <w:rsid w:val="0030582B"/>
    <w:rsid w:val="003062CB"/>
    <w:rsid w:val="003122B9"/>
    <w:rsid w:val="00317D0E"/>
    <w:rsid w:val="0032021B"/>
    <w:rsid w:val="00322DDB"/>
    <w:rsid w:val="00323C78"/>
    <w:rsid w:val="003255D2"/>
    <w:rsid w:val="003257C8"/>
    <w:rsid w:val="00325FB2"/>
    <w:rsid w:val="00326EAA"/>
    <w:rsid w:val="0033148F"/>
    <w:rsid w:val="0033175F"/>
    <w:rsid w:val="0033624E"/>
    <w:rsid w:val="00351C0B"/>
    <w:rsid w:val="003535E4"/>
    <w:rsid w:val="003568CA"/>
    <w:rsid w:val="00360424"/>
    <w:rsid w:val="00361D4E"/>
    <w:rsid w:val="00364884"/>
    <w:rsid w:val="00375668"/>
    <w:rsid w:val="00376952"/>
    <w:rsid w:val="0038509D"/>
    <w:rsid w:val="0039128A"/>
    <w:rsid w:val="003916D5"/>
    <w:rsid w:val="00391C38"/>
    <w:rsid w:val="00392AD4"/>
    <w:rsid w:val="00392CD9"/>
    <w:rsid w:val="003944CD"/>
    <w:rsid w:val="00396FC8"/>
    <w:rsid w:val="003A12D8"/>
    <w:rsid w:val="003A5076"/>
    <w:rsid w:val="003A5CBC"/>
    <w:rsid w:val="003B15E6"/>
    <w:rsid w:val="003B1C0E"/>
    <w:rsid w:val="003B1F82"/>
    <w:rsid w:val="003B208B"/>
    <w:rsid w:val="003B3C3A"/>
    <w:rsid w:val="003B45A2"/>
    <w:rsid w:val="003B4B04"/>
    <w:rsid w:val="003B4FF5"/>
    <w:rsid w:val="003C0C16"/>
    <w:rsid w:val="003C2BE1"/>
    <w:rsid w:val="003C3A6F"/>
    <w:rsid w:val="003C4EEC"/>
    <w:rsid w:val="003D0F7D"/>
    <w:rsid w:val="003D2D5B"/>
    <w:rsid w:val="003E0669"/>
    <w:rsid w:val="003E2B1F"/>
    <w:rsid w:val="003E74BC"/>
    <w:rsid w:val="003F0F77"/>
    <w:rsid w:val="003F3624"/>
    <w:rsid w:val="00402A9A"/>
    <w:rsid w:val="00404F1F"/>
    <w:rsid w:val="00405950"/>
    <w:rsid w:val="00411037"/>
    <w:rsid w:val="00413CB6"/>
    <w:rsid w:val="00415194"/>
    <w:rsid w:val="00422A61"/>
    <w:rsid w:val="00422B7E"/>
    <w:rsid w:val="00426F5C"/>
    <w:rsid w:val="00430E83"/>
    <w:rsid w:val="00440B40"/>
    <w:rsid w:val="004410E3"/>
    <w:rsid w:val="004434F1"/>
    <w:rsid w:val="004460FD"/>
    <w:rsid w:val="00447142"/>
    <w:rsid w:val="0045219F"/>
    <w:rsid w:val="00454388"/>
    <w:rsid w:val="00454468"/>
    <w:rsid w:val="00455070"/>
    <w:rsid w:val="004623A3"/>
    <w:rsid w:val="004631A9"/>
    <w:rsid w:val="00464F44"/>
    <w:rsid w:val="004732EC"/>
    <w:rsid w:val="00473C6C"/>
    <w:rsid w:val="00476451"/>
    <w:rsid w:val="00481D77"/>
    <w:rsid w:val="004822AA"/>
    <w:rsid w:val="00484D44"/>
    <w:rsid w:val="00485642"/>
    <w:rsid w:val="004A1221"/>
    <w:rsid w:val="004A158D"/>
    <w:rsid w:val="004A772F"/>
    <w:rsid w:val="004B0854"/>
    <w:rsid w:val="004B4C24"/>
    <w:rsid w:val="004B6C01"/>
    <w:rsid w:val="004B7FC2"/>
    <w:rsid w:val="004C0814"/>
    <w:rsid w:val="004C0DCE"/>
    <w:rsid w:val="004C1F22"/>
    <w:rsid w:val="004C4926"/>
    <w:rsid w:val="004C6285"/>
    <w:rsid w:val="004D2663"/>
    <w:rsid w:val="004D31F3"/>
    <w:rsid w:val="004D7968"/>
    <w:rsid w:val="004E2CF8"/>
    <w:rsid w:val="004E31A3"/>
    <w:rsid w:val="004E6F63"/>
    <w:rsid w:val="004F243D"/>
    <w:rsid w:val="004F286E"/>
    <w:rsid w:val="004F3EAC"/>
    <w:rsid w:val="00502428"/>
    <w:rsid w:val="005037D5"/>
    <w:rsid w:val="00504C9D"/>
    <w:rsid w:val="00504FB9"/>
    <w:rsid w:val="00506306"/>
    <w:rsid w:val="00510DE5"/>
    <w:rsid w:val="0051150B"/>
    <w:rsid w:val="00512794"/>
    <w:rsid w:val="005134DF"/>
    <w:rsid w:val="00513B60"/>
    <w:rsid w:val="0051636D"/>
    <w:rsid w:val="00516CCD"/>
    <w:rsid w:val="00520A9B"/>
    <w:rsid w:val="00523711"/>
    <w:rsid w:val="00524FA2"/>
    <w:rsid w:val="00540975"/>
    <w:rsid w:val="00542887"/>
    <w:rsid w:val="005430D0"/>
    <w:rsid w:val="005440ED"/>
    <w:rsid w:val="0055118D"/>
    <w:rsid w:val="00556B74"/>
    <w:rsid w:val="00562EA2"/>
    <w:rsid w:val="00565BFB"/>
    <w:rsid w:val="00566D2A"/>
    <w:rsid w:val="005720EF"/>
    <w:rsid w:val="00577489"/>
    <w:rsid w:val="00580346"/>
    <w:rsid w:val="005865A8"/>
    <w:rsid w:val="0058665D"/>
    <w:rsid w:val="005874E1"/>
    <w:rsid w:val="00592829"/>
    <w:rsid w:val="00594941"/>
    <w:rsid w:val="00595606"/>
    <w:rsid w:val="00597298"/>
    <w:rsid w:val="00597679"/>
    <w:rsid w:val="005A1883"/>
    <w:rsid w:val="005A26F9"/>
    <w:rsid w:val="005A7331"/>
    <w:rsid w:val="005B381D"/>
    <w:rsid w:val="005B6492"/>
    <w:rsid w:val="005B76FB"/>
    <w:rsid w:val="005C008F"/>
    <w:rsid w:val="005D52A1"/>
    <w:rsid w:val="005E0FB4"/>
    <w:rsid w:val="005E1FE8"/>
    <w:rsid w:val="005E25A0"/>
    <w:rsid w:val="005E56A3"/>
    <w:rsid w:val="005F1591"/>
    <w:rsid w:val="005F3F55"/>
    <w:rsid w:val="00601648"/>
    <w:rsid w:val="00602287"/>
    <w:rsid w:val="006059E8"/>
    <w:rsid w:val="00606144"/>
    <w:rsid w:val="006065D3"/>
    <w:rsid w:val="006074B6"/>
    <w:rsid w:val="00610609"/>
    <w:rsid w:val="006132E9"/>
    <w:rsid w:val="00613801"/>
    <w:rsid w:val="00613A48"/>
    <w:rsid w:val="00614C27"/>
    <w:rsid w:val="006156C1"/>
    <w:rsid w:val="00617DE9"/>
    <w:rsid w:val="0062054F"/>
    <w:rsid w:val="0062170D"/>
    <w:rsid w:val="00621837"/>
    <w:rsid w:val="00647464"/>
    <w:rsid w:val="006477F4"/>
    <w:rsid w:val="00654179"/>
    <w:rsid w:val="0065444D"/>
    <w:rsid w:val="00664925"/>
    <w:rsid w:val="00666B54"/>
    <w:rsid w:val="006801C3"/>
    <w:rsid w:val="0068093B"/>
    <w:rsid w:val="0068485B"/>
    <w:rsid w:val="00685063"/>
    <w:rsid w:val="006906C7"/>
    <w:rsid w:val="00692619"/>
    <w:rsid w:val="006956E3"/>
    <w:rsid w:val="0069627A"/>
    <w:rsid w:val="00696509"/>
    <w:rsid w:val="006966E6"/>
    <w:rsid w:val="00696C68"/>
    <w:rsid w:val="006A1D86"/>
    <w:rsid w:val="006A34C5"/>
    <w:rsid w:val="006A3CDC"/>
    <w:rsid w:val="006A6F67"/>
    <w:rsid w:val="006B2A33"/>
    <w:rsid w:val="006B6F9B"/>
    <w:rsid w:val="006C0612"/>
    <w:rsid w:val="006C0794"/>
    <w:rsid w:val="006C3FAE"/>
    <w:rsid w:val="006D02FF"/>
    <w:rsid w:val="006D0A45"/>
    <w:rsid w:val="006D596A"/>
    <w:rsid w:val="006E1900"/>
    <w:rsid w:val="006F0F76"/>
    <w:rsid w:val="006F425B"/>
    <w:rsid w:val="006F5601"/>
    <w:rsid w:val="00700761"/>
    <w:rsid w:val="00700E31"/>
    <w:rsid w:val="0070750E"/>
    <w:rsid w:val="00710028"/>
    <w:rsid w:val="0071036D"/>
    <w:rsid w:val="00712AB3"/>
    <w:rsid w:val="00717294"/>
    <w:rsid w:val="0072441A"/>
    <w:rsid w:val="00724BFA"/>
    <w:rsid w:val="00730735"/>
    <w:rsid w:val="0073166B"/>
    <w:rsid w:val="00733A84"/>
    <w:rsid w:val="00735264"/>
    <w:rsid w:val="00741ECE"/>
    <w:rsid w:val="00747134"/>
    <w:rsid w:val="007503F6"/>
    <w:rsid w:val="00752130"/>
    <w:rsid w:val="007532F9"/>
    <w:rsid w:val="0075557E"/>
    <w:rsid w:val="007567F5"/>
    <w:rsid w:val="00757912"/>
    <w:rsid w:val="00764436"/>
    <w:rsid w:val="007647C5"/>
    <w:rsid w:val="00767C83"/>
    <w:rsid w:val="007759C6"/>
    <w:rsid w:val="007775EE"/>
    <w:rsid w:val="00784610"/>
    <w:rsid w:val="00784E7A"/>
    <w:rsid w:val="00786F37"/>
    <w:rsid w:val="00790492"/>
    <w:rsid w:val="00791153"/>
    <w:rsid w:val="0079412A"/>
    <w:rsid w:val="00797C47"/>
    <w:rsid w:val="007A14CC"/>
    <w:rsid w:val="007A4CDC"/>
    <w:rsid w:val="007B3858"/>
    <w:rsid w:val="007B3FFD"/>
    <w:rsid w:val="007B47D4"/>
    <w:rsid w:val="007C3B69"/>
    <w:rsid w:val="007C7B43"/>
    <w:rsid w:val="007D150D"/>
    <w:rsid w:val="007D1F7D"/>
    <w:rsid w:val="007D21A1"/>
    <w:rsid w:val="007D4080"/>
    <w:rsid w:val="007D5601"/>
    <w:rsid w:val="007D71C9"/>
    <w:rsid w:val="007E041E"/>
    <w:rsid w:val="007E046E"/>
    <w:rsid w:val="007E23E6"/>
    <w:rsid w:val="007E3B76"/>
    <w:rsid w:val="007E66E4"/>
    <w:rsid w:val="007F0206"/>
    <w:rsid w:val="007F1D42"/>
    <w:rsid w:val="007F47D7"/>
    <w:rsid w:val="007F6884"/>
    <w:rsid w:val="00800002"/>
    <w:rsid w:val="008013CB"/>
    <w:rsid w:val="00810926"/>
    <w:rsid w:val="008173B5"/>
    <w:rsid w:val="00817CE6"/>
    <w:rsid w:val="00823261"/>
    <w:rsid w:val="00825F8A"/>
    <w:rsid w:val="008320B6"/>
    <w:rsid w:val="00832A3A"/>
    <w:rsid w:val="00832BD3"/>
    <w:rsid w:val="00832C16"/>
    <w:rsid w:val="0083393B"/>
    <w:rsid w:val="00837157"/>
    <w:rsid w:val="00841ACE"/>
    <w:rsid w:val="00846C5A"/>
    <w:rsid w:val="00851687"/>
    <w:rsid w:val="00852D13"/>
    <w:rsid w:val="008572C6"/>
    <w:rsid w:val="00857D96"/>
    <w:rsid w:val="00863E04"/>
    <w:rsid w:val="00864337"/>
    <w:rsid w:val="00865B90"/>
    <w:rsid w:val="00865C26"/>
    <w:rsid w:val="008773C9"/>
    <w:rsid w:val="00877FE3"/>
    <w:rsid w:val="0088330C"/>
    <w:rsid w:val="008837C3"/>
    <w:rsid w:val="00885E02"/>
    <w:rsid w:val="008925DA"/>
    <w:rsid w:val="00895DBB"/>
    <w:rsid w:val="00897AC5"/>
    <w:rsid w:val="008A22AD"/>
    <w:rsid w:val="008A329D"/>
    <w:rsid w:val="008A4B37"/>
    <w:rsid w:val="008A62BC"/>
    <w:rsid w:val="008C3CB3"/>
    <w:rsid w:val="008C4F4C"/>
    <w:rsid w:val="008C5208"/>
    <w:rsid w:val="008C5A13"/>
    <w:rsid w:val="008C66BE"/>
    <w:rsid w:val="008C6F43"/>
    <w:rsid w:val="008D015C"/>
    <w:rsid w:val="008D4282"/>
    <w:rsid w:val="008D763C"/>
    <w:rsid w:val="008E014B"/>
    <w:rsid w:val="008E297A"/>
    <w:rsid w:val="008E5B6F"/>
    <w:rsid w:val="008E7553"/>
    <w:rsid w:val="008F065E"/>
    <w:rsid w:val="008F36E9"/>
    <w:rsid w:val="009002F9"/>
    <w:rsid w:val="00904D2C"/>
    <w:rsid w:val="0090526F"/>
    <w:rsid w:val="009060E4"/>
    <w:rsid w:val="009109B9"/>
    <w:rsid w:val="009140DF"/>
    <w:rsid w:val="00914392"/>
    <w:rsid w:val="00914B93"/>
    <w:rsid w:val="00920B3F"/>
    <w:rsid w:val="00921254"/>
    <w:rsid w:val="00923DF7"/>
    <w:rsid w:val="00924170"/>
    <w:rsid w:val="009315F9"/>
    <w:rsid w:val="0093478A"/>
    <w:rsid w:val="00936AFB"/>
    <w:rsid w:val="00937076"/>
    <w:rsid w:val="00946D15"/>
    <w:rsid w:val="0095175A"/>
    <w:rsid w:val="0095437C"/>
    <w:rsid w:val="009551F3"/>
    <w:rsid w:val="00955306"/>
    <w:rsid w:val="00960C94"/>
    <w:rsid w:val="009637F2"/>
    <w:rsid w:val="0096547C"/>
    <w:rsid w:val="00973F40"/>
    <w:rsid w:val="00981B39"/>
    <w:rsid w:val="00981F60"/>
    <w:rsid w:val="00982CF3"/>
    <w:rsid w:val="00984189"/>
    <w:rsid w:val="00986955"/>
    <w:rsid w:val="00986EE6"/>
    <w:rsid w:val="0099105C"/>
    <w:rsid w:val="009920D8"/>
    <w:rsid w:val="00992CFF"/>
    <w:rsid w:val="00993F75"/>
    <w:rsid w:val="00994BBC"/>
    <w:rsid w:val="009A0BC2"/>
    <w:rsid w:val="009A4A5F"/>
    <w:rsid w:val="009A5365"/>
    <w:rsid w:val="009A7108"/>
    <w:rsid w:val="009B0267"/>
    <w:rsid w:val="009B1648"/>
    <w:rsid w:val="009B683B"/>
    <w:rsid w:val="009B7217"/>
    <w:rsid w:val="009C32BA"/>
    <w:rsid w:val="009C5212"/>
    <w:rsid w:val="009C5963"/>
    <w:rsid w:val="009D09F3"/>
    <w:rsid w:val="009D1988"/>
    <w:rsid w:val="009D33C4"/>
    <w:rsid w:val="009D5E45"/>
    <w:rsid w:val="009E0DF2"/>
    <w:rsid w:val="009E3D23"/>
    <w:rsid w:val="009F47B9"/>
    <w:rsid w:val="009F5952"/>
    <w:rsid w:val="00A10960"/>
    <w:rsid w:val="00A10FCB"/>
    <w:rsid w:val="00A112D1"/>
    <w:rsid w:val="00A12741"/>
    <w:rsid w:val="00A13B8D"/>
    <w:rsid w:val="00A17680"/>
    <w:rsid w:val="00A20A17"/>
    <w:rsid w:val="00A23360"/>
    <w:rsid w:val="00A27483"/>
    <w:rsid w:val="00A31958"/>
    <w:rsid w:val="00A34BD3"/>
    <w:rsid w:val="00A45528"/>
    <w:rsid w:val="00A45B73"/>
    <w:rsid w:val="00A46F4B"/>
    <w:rsid w:val="00A52A50"/>
    <w:rsid w:val="00A5459E"/>
    <w:rsid w:val="00A54BDE"/>
    <w:rsid w:val="00A569E2"/>
    <w:rsid w:val="00A6312E"/>
    <w:rsid w:val="00A72451"/>
    <w:rsid w:val="00A75E04"/>
    <w:rsid w:val="00A77860"/>
    <w:rsid w:val="00A8632A"/>
    <w:rsid w:val="00A86614"/>
    <w:rsid w:val="00A86E44"/>
    <w:rsid w:val="00A87E7A"/>
    <w:rsid w:val="00A91791"/>
    <w:rsid w:val="00AA0203"/>
    <w:rsid w:val="00AA30A8"/>
    <w:rsid w:val="00AA52E0"/>
    <w:rsid w:val="00AA71D6"/>
    <w:rsid w:val="00AB6E0C"/>
    <w:rsid w:val="00AB7192"/>
    <w:rsid w:val="00AB7826"/>
    <w:rsid w:val="00AC01FF"/>
    <w:rsid w:val="00AC21E0"/>
    <w:rsid w:val="00AD00A8"/>
    <w:rsid w:val="00AD4063"/>
    <w:rsid w:val="00AD5F7C"/>
    <w:rsid w:val="00AD674D"/>
    <w:rsid w:val="00AD6E52"/>
    <w:rsid w:val="00AE2800"/>
    <w:rsid w:val="00AE2C72"/>
    <w:rsid w:val="00AE503E"/>
    <w:rsid w:val="00AF0F0E"/>
    <w:rsid w:val="00AF17E4"/>
    <w:rsid w:val="00AF24BF"/>
    <w:rsid w:val="00AF3808"/>
    <w:rsid w:val="00AF5337"/>
    <w:rsid w:val="00B006E6"/>
    <w:rsid w:val="00B02169"/>
    <w:rsid w:val="00B03804"/>
    <w:rsid w:val="00B079B5"/>
    <w:rsid w:val="00B1057B"/>
    <w:rsid w:val="00B125A5"/>
    <w:rsid w:val="00B149C6"/>
    <w:rsid w:val="00B1606F"/>
    <w:rsid w:val="00B16B13"/>
    <w:rsid w:val="00B16BE7"/>
    <w:rsid w:val="00B16F3D"/>
    <w:rsid w:val="00B22DA5"/>
    <w:rsid w:val="00B30021"/>
    <w:rsid w:val="00B314F5"/>
    <w:rsid w:val="00B32BFE"/>
    <w:rsid w:val="00B33308"/>
    <w:rsid w:val="00B34483"/>
    <w:rsid w:val="00B35771"/>
    <w:rsid w:val="00B40A4B"/>
    <w:rsid w:val="00B55EE3"/>
    <w:rsid w:val="00B56FC6"/>
    <w:rsid w:val="00B64B0E"/>
    <w:rsid w:val="00B67C7A"/>
    <w:rsid w:val="00B710D6"/>
    <w:rsid w:val="00B71A8D"/>
    <w:rsid w:val="00B7306D"/>
    <w:rsid w:val="00B87A9B"/>
    <w:rsid w:val="00B87ADE"/>
    <w:rsid w:val="00B9324C"/>
    <w:rsid w:val="00B946A6"/>
    <w:rsid w:val="00B94B8B"/>
    <w:rsid w:val="00B97287"/>
    <w:rsid w:val="00BA0568"/>
    <w:rsid w:val="00BA381E"/>
    <w:rsid w:val="00BB02C1"/>
    <w:rsid w:val="00BB2C8F"/>
    <w:rsid w:val="00BB418D"/>
    <w:rsid w:val="00BB4BAD"/>
    <w:rsid w:val="00BB5E41"/>
    <w:rsid w:val="00BB62F3"/>
    <w:rsid w:val="00BC0801"/>
    <w:rsid w:val="00BC3F17"/>
    <w:rsid w:val="00BC5FCA"/>
    <w:rsid w:val="00BD0180"/>
    <w:rsid w:val="00BD5FC6"/>
    <w:rsid w:val="00BE0593"/>
    <w:rsid w:val="00BE09FF"/>
    <w:rsid w:val="00BE4593"/>
    <w:rsid w:val="00BE70B6"/>
    <w:rsid w:val="00BF45D1"/>
    <w:rsid w:val="00BF6398"/>
    <w:rsid w:val="00BF7FFA"/>
    <w:rsid w:val="00C013CB"/>
    <w:rsid w:val="00C0225A"/>
    <w:rsid w:val="00C027F1"/>
    <w:rsid w:val="00C029BC"/>
    <w:rsid w:val="00C07E90"/>
    <w:rsid w:val="00C11F69"/>
    <w:rsid w:val="00C238E8"/>
    <w:rsid w:val="00C34A68"/>
    <w:rsid w:val="00C37708"/>
    <w:rsid w:val="00C41346"/>
    <w:rsid w:val="00C439B0"/>
    <w:rsid w:val="00C44602"/>
    <w:rsid w:val="00C51F91"/>
    <w:rsid w:val="00C527BF"/>
    <w:rsid w:val="00C54972"/>
    <w:rsid w:val="00C60C7D"/>
    <w:rsid w:val="00C61DFD"/>
    <w:rsid w:val="00C627A8"/>
    <w:rsid w:val="00C6406D"/>
    <w:rsid w:val="00C667AF"/>
    <w:rsid w:val="00C7572B"/>
    <w:rsid w:val="00C77BEF"/>
    <w:rsid w:val="00C80488"/>
    <w:rsid w:val="00C80CC7"/>
    <w:rsid w:val="00C82BE2"/>
    <w:rsid w:val="00C83FA9"/>
    <w:rsid w:val="00C92476"/>
    <w:rsid w:val="00C92DE2"/>
    <w:rsid w:val="00C93A35"/>
    <w:rsid w:val="00C94F4A"/>
    <w:rsid w:val="00CA0F4C"/>
    <w:rsid w:val="00CA2445"/>
    <w:rsid w:val="00CA3E45"/>
    <w:rsid w:val="00CA66DC"/>
    <w:rsid w:val="00CA7588"/>
    <w:rsid w:val="00CB0C0E"/>
    <w:rsid w:val="00CB2C02"/>
    <w:rsid w:val="00CB5BF3"/>
    <w:rsid w:val="00CC1650"/>
    <w:rsid w:val="00CC35B8"/>
    <w:rsid w:val="00CC5B7F"/>
    <w:rsid w:val="00CD203C"/>
    <w:rsid w:val="00CD2E21"/>
    <w:rsid w:val="00CE0914"/>
    <w:rsid w:val="00CE1D7F"/>
    <w:rsid w:val="00CE4935"/>
    <w:rsid w:val="00CE58D6"/>
    <w:rsid w:val="00CE76D5"/>
    <w:rsid w:val="00CF321C"/>
    <w:rsid w:val="00CF4519"/>
    <w:rsid w:val="00D003A5"/>
    <w:rsid w:val="00D00C2F"/>
    <w:rsid w:val="00D02A74"/>
    <w:rsid w:val="00D031B8"/>
    <w:rsid w:val="00D03BC1"/>
    <w:rsid w:val="00D0483F"/>
    <w:rsid w:val="00D06983"/>
    <w:rsid w:val="00D1250D"/>
    <w:rsid w:val="00D14EF7"/>
    <w:rsid w:val="00D15BF6"/>
    <w:rsid w:val="00D16916"/>
    <w:rsid w:val="00D22745"/>
    <w:rsid w:val="00D23B33"/>
    <w:rsid w:val="00D24444"/>
    <w:rsid w:val="00D27A26"/>
    <w:rsid w:val="00D32311"/>
    <w:rsid w:val="00D36031"/>
    <w:rsid w:val="00D37E55"/>
    <w:rsid w:val="00D4275E"/>
    <w:rsid w:val="00D4627E"/>
    <w:rsid w:val="00D537D5"/>
    <w:rsid w:val="00D53F89"/>
    <w:rsid w:val="00D55A2B"/>
    <w:rsid w:val="00D567A9"/>
    <w:rsid w:val="00D56FC5"/>
    <w:rsid w:val="00D574D1"/>
    <w:rsid w:val="00D6007D"/>
    <w:rsid w:val="00D61DF6"/>
    <w:rsid w:val="00D61F41"/>
    <w:rsid w:val="00D66B26"/>
    <w:rsid w:val="00D66F58"/>
    <w:rsid w:val="00D74FB8"/>
    <w:rsid w:val="00D84C76"/>
    <w:rsid w:val="00D869E5"/>
    <w:rsid w:val="00D87E90"/>
    <w:rsid w:val="00D916E3"/>
    <w:rsid w:val="00D9229A"/>
    <w:rsid w:val="00D92AD4"/>
    <w:rsid w:val="00D948C9"/>
    <w:rsid w:val="00D94DD2"/>
    <w:rsid w:val="00D94F57"/>
    <w:rsid w:val="00D96DC7"/>
    <w:rsid w:val="00D974A7"/>
    <w:rsid w:val="00DA418A"/>
    <w:rsid w:val="00DA50A4"/>
    <w:rsid w:val="00DA77BE"/>
    <w:rsid w:val="00DB140F"/>
    <w:rsid w:val="00DB42E0"/>
    <w:rsid w:val="00DB56CB"/>
    <w:rsid w:val="00DB6645"/>
    <w:rsid w:val="00DB67D3"/>
    <w:rsid w:val="00DB7D02"/>
    <w:rsid w:val="00DC56F4"/>
    <w:rsid w:val="00DC6150"/>
    <w:rsid w:val="00DD35E5"/>
    <w:rsid w:val="00DD37DA"/>
    <w:rsid w:val="00DD3ADA"/>
    <w:rsid w:val="00DE0A89"/>
    <w:rsid w:val="00DE11C4"/>
    <w:rsid w:val="00DE5644"/>
    <w:rsid w:val="00DF20BD"/>
    <w:rsid w:val="00DF4B27"/>
    <w:rsid w:val="00E00AF8"/>
    <w:rsid w:val="00E04466"/>
    <w:rsid w:val="00E06302"/>
    <w:rsid w:val="00E12E85"/>
    <w:rsid w:val="00E16B30"/>
    <w:rsid w:val="00E17AE7"/>
    <w:rsid w:val="00E2038B"/>
    <w:rsid w:val="00E22626"/>
    <w:rsid w:val="00E22C0D"/>
    <w:rsid w:val="00E318DC"/>
    <w:rsid w:val="00E5044D"/>
    <w:rsid w:val="00E51C55"/>
    <w:rsid w:val="00E53837"/>
    <w:rsid w:val="00E55A0E"/>
    <w:rsid w:val="00E62708"/>
    <w:rsid w:val="00E63028"/>
    <w:rsid w:val="00E6329F"/>
    <w:rsid w:val="00E66638"/>
    <w:rsid w:val="00E67C5A"/>
    <w:rsid w:val="00E71A0D"/>
    <w:rsid w:val="00E7419C"/>
    <w:rsid w:val="00E74704"/>
    <w:rsid w:val="00E76080"/>
    <w:rsid w:val="00E76127"/>
    <w:rsid w:val="00E8253A"/>
    <w:rsid w:val="00E83181"/>
    <w:rsid w:val="00E857D4"/>
    <w:rsid w:val="00E86E50"/>
    <w:rsid w:val="00E86EA2"/>
    <w:rsid w:val="00E87F76"/>
    <w:rsid w:val="00E95756"/>
    <w:rsid w:val="00E9619E"/>
    <w:rsid w:val="00EA3E28"/>
    <w:rsid w:val="00EB08CC"/>
    <w:rsid w:val="00EB5104"/>
    <w:rsid w:val="00EB54F1"/>
    <w:rsid w:val="00EC6858"/>
    <w:rsid w:val="00ED2A31"/>
    <w:rsid w:val="00ED3635"/>
    <w:rsid w:val="00ED4A03"/>
    <w:rsid w:val="00EE138F"/>
    <w:rsid w:val="00EE18EF"/>
    <w:rsid w:val="00EE5DDC"/>
    <w:rsid w:val="00EE6575"/>
    <w:rsid w:val="00EE7082"/>
    <w:rsid w:val="00EF0689"/>
    <w:rsid w:val="00EF1C6F"/>
    <w:rsid w:val="00EF1C85"/>
    <w:rsid w:val="00EF296E"/>
    <w:rsid w:val="00EF3183"/>
    <w:rsid w:val="00EF4E85"/>
    <w:rsid w:val="00EF5904"/>
    <w:rsid w:val="00EF6746"/>
    <w:rsid w:val="00F06A7B"/>
    <w:rsid w:val="00F0752C"/>
    <w:rsid w:val="00F07823"/>
    <w:rsid w:val="00F2198B"/>
    <w:rsid w:val="00F239B4"/>
    <w:rsid w:val="00F32B84"/>
    <w:rsid w:val="00F34AB0"/>
    <w:rsid w:val="00F352BE"/>
    <w:rsid w:val="00F35820"/>
    <w:rsid w:val="00F366D7"/>
    <w:rsid w:val="00F4118F"/>
    <w:rsid w:val="00F45649"/>
    <w:rsid w:val="00F47D90"/>
    <w:rsid w:val="00F5279A"/>
    <w:rsid w:val="00F52DB4"/>
    <w:rsid w:val="00F562B7"/>
    <w:rsid w:val="00F56F8E"/>
    <w:rsid w:val="00F6145E"/>
    <w:rsid w:val="00F64553"/>
    <w:rsid w:val="00F649EC"/>
    <w:rsid w:val="00F77178"/>
    <w:rsid w:val="00F83D71"/>
    <w:rsid w:val="00F84BE1"/>
    <w:rsid w:val="00F9546C"/>
    <w:rsid w:val="00F97C34"/>
    <w:rsid w:val="00FA1DDE"/>
    <w:rsid w:val="00FA2B88"/>
    <w:rsid w:val="00FA3CC0"/>
    <w:rsid w:val="00FB7E6D"/>
    <w:rsid w:val="00FC7C85"/>
    <w:rsid w:val="00FD36AD"/>
    <w:rsid w:val="00FD3BF5"/>
    <w:rsid w:val="00FE1840"/>
    <w:rsid w:val="00FE4F81"/>
    <w:rsid w:val="00FE7A24"/>
    <w:rsid w:val="00FF05DA"/>
    <w:rsid w:val="00FF1CD9"/>
    <w:rsid w:val="00FF70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E8F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pPr>
        <w:spacing w:after="200" w:line="312" w:lineRule="auto"/>
        <w:ind w:left="-357"/>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9FF"/>
    <w:rPr>
      <w:sz w:val="24"/>
    </w:rPr>
  </w:style>
  <w:style w:type="paragraph" w:styleId="Heading1">
    <w:name w:val="heading 1"/>
    <w:aliases w:val="H1"/>
    <w:basedOn w:val="Normal"/>
    <w:next w:val="Normal"/>
    <w:link w:val="Heading1Char"/>
    <w:uiPriority w:val="99"/>
    <w:qFormat/>
    <w:rsid w:val="002B199C"/>
    <w:pPr>
      <w:keepNext/>
      <w:keepLines/>
      <w:spacing w:before="480"/>
      <w:outlineLvl w:val="0"/>
    </w:pPr>
    <w:rPr>
      <w:rFonts w:asciiTheme="majorHAnsi" w:eastAsiaTheme="majorEastAsia" w:hAnsiTheme="majorHAnsi" w:cstheme="majorBidi"/>
      <w:b/>
      <w:bCs/>
      <w:sz w:val="28"/>
      <w:szCs w:val="28"/>
    </w:rPr>
  </w:style>
  <w:style w:type="paragraph" w:styleId="Heading2">
    <w:name w:val="heading 2"/>
    <w:aliases w:val="H2,Follow Up Question"/>
    <w:basedOn w:val="Normal"/>
    <w:next w:val="Normal"/>
    <w:uiPriority w:val="99"/>
    <w:qFormat/>
    <w:rsid w:val="00981F60"/>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274E7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rsid w:val="00F4118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BE09FF"/>
    <w:rPr>
      <w:rFonts w:ascii="Arial" w:hAnsi="Arial" w:cs="Arial"/>
      <w:sz w:val="22"/>
      <w:szCs w:val="22"/>
      <w:lang w:eastAsia="en-US"/>
    </w:rPr>
  </w:style>
  <w:style w:type="character" w:styleId="CommentReference">
    <w:name w:val="annotation reference"/>
    <w:semiHidden/>
    <w:rsid w:val="003A5CBC"/>
    <w:rPr>
      <w:sz w:val="16"/>
      <w:szCs w:val="16"/>
    </w:rPr>
  </w:style>
  <w:style w:type="paragraph" w:styleId="CommentText">
    <w:name w:val="annotation text"/>
    <w:basedOn w:val="Normal"/>
    <w:semiHidden/>
    <w:rsid w:val="003A5CBC"/>
    <w:rPr>
      <w:sz w:val="20"/>
    </w:rPr>
  </w:style>
  <w:style w:type="paragraph" w:styleId="CommentSubject">
    <w:name w:val="annotation subject"/>
    <w:basedOn w:val="CommentText"/>
    <w:next w:val="CommentText"/>
    <w:semiHidden/>
    <w:rsid w:val="003A5CBC"/>
    <w:rPr>
      <w:b/>
      <w:bCs/>
    </w:rPr>
  </w:style>
  <w:style w:type="paragraph" w:styleId="BalloonText">
    <w:name w:val="Balloon Text"/>
    <w:basedOn w:val="Normal"/>
    <w:semiHidden/>
    <w:rsid w:val="003A5CBC"/>
    <w:rPr>
      <w:rFonts w:ascii="Tahoma" w:hAnsi="Tahoma" w:cs="Tahoma"/>
      <w:sz w:val="16"/>
      <w:szCs w:val="16"/>
    </w:rPr>
  </w:style>
  <w:style w:type="paragraph" w:styleId="Footer">
    <w:name w:val="footer"/>
    <w:basedOn w:val="Normal"/>
    <w:rsid w:val="003A5CBC"/>
    <w:pPr>
      <w:tabs>
        <w:tab w:val="center" w:pos="4153"/>
        <w:tab w:val="right" w:pos="8306"/>
      </w:tabs>
    </w:pPr>
  </w:style>
  <w:style w:type="character" w:styleId="PageNumber">
    <w:name w:val="page number"/>
    <w:basedOn w:val="DefaultParagraphFont"/>
    <w:rsid w:val="003A5CBC"/>
  </w:style>
  <w:style w:type="paragraph" w:styleId="Header">
    <w:name w:val="header"/>
    <w:basedOn w:val="Normal"/>
    <w:rsid w:val="003A5CBC"/>
    <w:pPr>
      <w:tabs>
        <w:tab w:val="center" w:pos="4153"/>
        <w:tab w:val="right" w:pos="8306"/>
      </w:tabs>
    </w:pPr>
  </w:style>
  <w:style w:type="character" w:styleId="Hyperlink">
    <w:name w:val="Hyperlink"/>
    <w:uiPriority w:val="99"/>
    <w:rsid w:val="004C0814"/>
    <w:rPr>
      <w:color w:val="0000FF"/>
      <w:u w:val="single"/>
    </w:rPr>
  </w:style>
  <w:style w:type="paragraph" w:customStyle="1" w:styleId="CharChar1CharCharCharChar">
    <w:name w:val="Char Char1 Char Char Char Char"/>
    <w:basedOn w:val="Normal"/>
    <w:rsid w:val="006156C1"/>
    <w:rPr>
      <w:rFonts w:ascii="Arial" w:hAnsi="Arial" w:cs="Arial"/>
      <w:sz w:val="22"/>
      <w:szCs w:val="22"/>
      <w:lang w:eastAsia="en-US"/>
    </w:rPr>
  </w:style>
  <w:style w:type="paragraph" w:styleId="FootnoteText">
    <w:name w:val="footnote text"/>
    <w:basedOn w:val="Normal"/>
    <w:semiHidden/>
    <w:rsid w:val="00FD36AD"/>
    <w:rPr>
      <w:sz w:val="20"/>
    </w:rPr>
  </w:style>
  <w:style w:type="character" w:styleId="FootnoteReference">
    <w:name w:val="footnote reference"/>
    <w:semiHidden/>
    <w:rsid w:val="00FD36AD"/>
    <w:rPr>
      <w:vertAlign w:val="superscript"/>
    </w:rPr>
  </w:style>
  <w:style w:type="paragraph" w:customStyle="1" w:styleId="Char">
    <w:name w:val="Char"/>
    <w:basedOn w:val="Normal"/>
    <w:rsid w:val="00D03BC1"/>
    <w:rPr>
      <w:rFonts w:ascii="Arial" w:hAnsi="Arial" w:cs="Arial"/>
      <w:sz w:val="22"/>
      <w:szCs w:val="22"/>
      <w:lang w:eastAsia="en-US"/>
    </w:rPr>
  </w:style>
  <w:style w:type="character" w:customStyle="1" w:styleId="Heading1Char">
    <w:name w:val="Heading 1 Char"/>
    <w:aliases w:val="H1 Char"/>
    <w:basedOn w:val="DefaultParagraphFont"/>
    <w:link w:val="Heading1"/>
    <w:uiPriority w:val="99"/>
    <w:rsid w:val="002B199C"/>
    <w:rPr>
      <w:rFonts w:asciiTheme="majorHAnsi" w:eastAsiaTheme="majorEastAsia" w:hAnsiTheme="majorHAnsi" w:cstheme="majorBidi"/>
      <w:b/>
      <w:bCs/>
      <w:sz w:val="28"/>
      <w:szCs w:val="28"/>
    </w:rPr>
  </w:style>
  <w:style w:type="paragraph" w:styleId="Title">
    <w:name w:val="Title"/>
    <w:basedOn w:val="Normal"/>
    <w:next w:val="Normal"/>
    <w:link w:val="TitleChar"/>
    <w:qFormat/>
    <w:rsid w:val="000609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6096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060966"/>
    <w:pPr>
      <w:numPr>
        <w:ilvl w:val="1"/>
      </w:numPr>
      <w:ind w:left="-357"/>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060966"/>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3568CA"/>
    <w:pPr>
      <w:ind w:left="720"/>
      <w:contextualSpacing/>
    </w:pPr>
  </w:style>
  <w:style w:type="paragraph" w:customStyle="1" w:styleId="Text">
    <w:name w:val="Text"/>
    <w:basedOn w:val="Normal"/>
    <w:link w:val="TextChar"/>
    <w:qFormat/>
    <w:rsid w:val="00E04466"/>
    <w:rPr>
      <w:rFonts w:ascii="Tahoma" w:eastAsia="Calibri" w:hAnsi="Tahoma"/>
      <w:sz w:val="22"/>
      <w:szCs w:val="22"/>
      <w:lang w:val="en-GB" w:eastAsia="en-US"/>
    </w:rPr>
  </w:style>
  <w:style w:type="character" w:customStyle="1" w:styleId="TextChar">
    <w:name w:val="Text Char"/>
    <w:link w:val="Text"/>
    <w:rsid w:val="00E04466"/>
    <w:rPr>
      <w:rFonts w:ascii="Tahoma" w:eastAsia="Calibri" w:hAnsi="Tahoma"/>
      <w:sz w:val="22"/>
      <w:szCs w:val="22"/>
      <w:lang w:val="en-GB" w:eastAsia="en-US"/>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qFormat/>
    <w:rsid w:val="002127CF"/>
    <w:pPr>
      <w:keepNext/>
      <w:spacing w:before="120" w:after="120"/>
      <w:ind w:left="1080" w:hanging="1080"/>
    </w:pPr>
    <w:rPr>
      <w:rFonts w:ascii="Arial" w:hAnsi="Arial" w:cs="Tahoma"/>
      <w:b/>
      <w:bCs/>
      <w:sz w:val="20"/>
      <w:lang w:eastAsia="en-US"/>
    </w:rPr>
  </w:style>
  <w:style w:type="character" w:customStyle="1" w:styleId="Heading4Char">
    <w:name w:val="Heading 4 Char"/>
    <w:basedOn w:val="DefaultParagraphFont"/>
    <w:link w:val="Heading4"/>
    <w:semiHidden/>
    <w:rsid w:val="00274E7C"/>
    <w:rPr>
      <w:rFonts w:asciiTheme="majorHAnsi" w:eastAsiaTheme="majorEastAsia" w:hAnsiTheme="majorHAnsi" w:cstheme="majorBidi"/>
      <w:b/>
      <w:bCs/>
      <w:i/>
      <w:iCs/>
      <w:color w:val="4F81BD" w:themeColor="accent1"/>
      <w:sz w:val="24"/>
    </w:rPr>
  </w:style>
  <w:style w:type="paragraph" w:styleId="NoSpacing">
    <w:name w:val="No Spacing"/>
    <w:aliases w:val="ExecSumm"/>
    <w:qFormat/>
    <w:rsid w:val="00A75E04"/>
    <w:pPr>
      <w:spacing w:after="120" w:line="240" w:lineRule="auto"/>
      <w:ind w:left="0"/>
      <w:jc w:val="both"/>
    </w:pPr>
    <w:rPr>
      <w:rFonts w:ascii="Arial" w:hAnsi="Arial"/>
      <w:sz w:val="22"/>
      <w:szCs w:val="22"/>
      <w:lang w:val="en-US" w:eastAsia="en-US"/>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7759C6"/>
    <w:rPr>
      <w:rFonts w:ascii="Arial" w:hAnsi="Arial" w:cs="Tahoma"/>
      <w:b/>
      <w:bCs/>
      <w:lang w:eastAsia="en-US"/>
    </w:rPr>
  </w:style>
  <w:style w:type="paragraph" w:customStyle="1" w:styleId="Tables">
    <w:name w:val="Tables"/>
    <w:basedOn w:val="Normal"/>
    <w:link w:val="TablesChar"/>
    <w:qFormat/>
    <w:rsid w:val="007759C6"/>
    <w:pPr>
      <w:keepNext/>
      <w:keepLines/>
      <w:spacing w:after="60" w:line="240" w:lineRule="auto"/>
      <w:ind w:left="0"/>
    </w:pPr>
    <w:rPr>
      <w:rFonts w:ascii="Arial" w:hAnsi="Arial"/>
      <w:sz w:val="18"/>
      <w:szCs w:val="22"/>
      <w:lang w:eastAsia="en-US"/>
    </w:rPr>
  </w:style>
  <w:style w:type="character" w:customStyle="1" w:styleId="TablesChar">
    <w:name w:val="Tables Char"/>
    <w:link w:val="Tables"/>
    <w:rsid w:val="007759C6"/>
    <w:rPr>
      <w:rFonts w:ascii="Arial" w:hAnsi="Arial"/>
      <w:sz w:val="18"/>
      <w:szCs w:val="22"/>
      <w:lang w:eastAsia="en-US"/>
    </w:rPr>
  </w:style>
  <w:style w:type="paragraph" w:customStyle="1" w:styleId="TableNotes">
    <w:name w:val="Table Notes"/>
    <w:basedOn w:val="Normal"/>
    <w:link w:val="TableNotesChar"/>
    <w:rsid w:val="007759C6"/>
    <w:pPr>
      <w:spacing w:after="360" w:line="240" w:lineRule="auto"/>
      <w:ind w:left="0"/>
    </w:pPr>
    <w:rPr>
      <w:rFonts w:ascii="Arial" w:hAnsi="Arial"/>
      <w:sz w:val="18"/>
      <w:szCs w:val="22"/>
      <w:lang w:eastAsia="en-US"/>
    </w:rPr>
  </w:style>
  <w:style w:type="character" w:customStyle="1" w:styleId="TableNotesChar">
    <w:name w:val="Table Notes Char"/>
    <w:link w:val="TableNotes"/>
    <w:rsid w:val="007759C6"/>
    <w:rPr>
      <w:rFonts w:ascii="Arial" w:hAnsi="Arial"/>
      <w:sz w:val="18"/>
      <w:szCs w:val="22"/>
      <w:lang w:eastAsia="en-US"/>
    </w:rPr>
  </w:style>
  <w:style w:type="paragraph" w:customStyle="1" w:styleId="Tabletext">
    <w:name w:val="Table text"/>
    <w:basedOn w:val="Normal"/>
    <w:link w:val="TabletextChar"/>
    <w:qFormat/>
    <w:rsid w:val="00CF321C"/>
    <w:pPr>
      <w:keepNext/>
      <w:spacing w:before="60" w:after="40" w:line="240" w:lineRule="auto"/>
      <w:ind w:left="0"/>
    </w:pPr>
    <w:rPr>
      <w:rFonts w:ascii="Arial Narrow" w:hAnsi="Arial Narrow"/>
      <w:sz w:val="20"/>
      <w:lang w:eastAsia="en-US"/>
    </w:rPr>
  </w:style>
  <w:style w:type="paragraph" w:customStyle="1" w:styleId="TableText0">
    <w:name w:val="Table Text"/>
    <w:basedOn w:val="Tabletext"/>
    <w:next w:val="Tabletext"/>
    <w:link w:val="TableTextChar0"/>
    <w:qFormat/>
    <w:rsid w:val="00CF321C"/>
  </w:style>
  <w:style w:type="character" w:customStyle="1" w:styleId="TableTextChar0">
    <w:name w:val="Table Text Char"/>
    <w:link w:val="TableText0"/>
    <w:rsid w:val="00CF321C"/>
    <w:rPr>
      <w:rFonts w:ascii="Arial Narrow" w:hAnsi="Arial Narrow"/>
      <w:lang w:eastAsia="en-US"/>
    </w:rPr>
  </w:style>
  <w:style w:type="character" w:customStyle="1" w:styleId="TabletextChar">
    <w:name w:val="Table text Char"/>
    <w:link w:val="Tabletext"/>
    <w:rsid w:val="00CF321C"/>
    <w:rPr>
      <w:rFonts w:ascii="Arial Narrow" w:hAnsi="Arial Narrow"/>
      <w:lang w:eastAsia="en-US"/>
    </w:rPr>
  </w:style>
  <w:style w:type="paragraph" w:customStyle="1" w:styleId="Tablefooter">
    <w:name w:val="Table footer"/>
    <w:basedOn w:val="Text"/>
    <w:link w:val="TablefooterChar"/>
    <w:qFormat/>
    <w:rsid w:val="00CF321C"/>
    <w:pPr>
      <w:keepNext/>
      <w:keepLines/>
      <w:spacing w:after="0" w:line="240" w:lineRule="auto"/>
      <w:ind w:left="0"/>
    </w:pPr>
    <w:rPr>
      <w:rFonts w:ascii="Arial" w:hAnsi="Arial"/>
      <w:sz w:val="16"/>
      <w:szCs w:val="18"/>
    </w:rPr>
  </w:style>
  <w:style w:type="character" w:customStyle="1" w:styleId="TablefooterChar">
    <w:name w:val="Table footer Char"/>
    <w:link w:val="Tablefooter"/>
    <w:rsid w:val="00CF321C"/>
    <w:rPr>
      <w:rFonts w:ascii="Arial" w:eastAsia="Calibri" w:hAnsi="Arial"/>
      <w:sz w:val="16"/>
      <w:szCs w:val="18"/>
      <w:lang w:val="en-GB" w:eastAsia="en-US"/>
    </w:rPr>
  </w:style>
  <w:style w:type="numbering" w:customStyle="1" w:styleId="Bullet1">
    <w:name w:val="Bullet1"/>
    <w:basedOn w:val="NoList"/>
    <w:rsid w:val="005B381D"/>
    <w:pPr>
      <w:numPr>
        <w:numId w:val="19"/>
      </w:numPr>
    </w:pPr>
  </w:style>
  <w:style w:type="character" w:customStyle="1" w:styleId="Heading6Char">
    <w:name w:val="Heading 6 Char"/>
    <w:basedOn w:val="DefaultParagraphFont"/>
    <w:link w:val="Heading6"/>
    <w:semiHidden/>
    <w:rsid w:val="00F4118F"/>
    <w:rPr>
      <w:rFonts w:asciiTheme="majorHAnsi" w:eastAsiaTheme="majorEastAsia" w:hAnsiTheme="majorHAnsi" w:cstheme="majorBidi"/>
      <w:i/>
      <w:iCs/>
      <w:color w:val="243F60" w:themeColor="accent1" w:themeShade="7F"/>
      <w:sz w:val="24"/>
    </w:rPr>
  </w:style>
  <w:style w:type="paragraph" w:customStyle="1" w:styleId="SectionSummary">
    <w:name w:val="SectionSummary"/>
    <w:next w:val="BodyText"/>
    <w:link w:val="SectionSummaryChar"/>
    <w:qFormat/>
    <w:rsid w:val="00BC3F17"/>
    <w:pPr>
      <w:numPr>
        <w:numId w:val="21"/>
      </w:numPr>
      <w:spacing w:after="120" w:line="240" w:lineRule="auto"/>
    </w:pPr>
    <w:rPr>
      <w:rFonts w:ascii="Arial" w:hAnsi="Arial"/>
      <w:szCs w:val="24"/>
      <w:lang w:eastAsia="en-US"/>
    </w:rPr>
  </w:style>
  <w:style w:type="character" w:customStyle="1" w:styleId="SectionSummaryChar">
    <w:name w:val="SectionSummary Char"/>
    <w:link w:val="SectionSummary"/>
    <w:rsid w:val="00BC3F17"/>
    <w:rPr>
      <w:rFonts w:ascii="Arial" w:hAnsi="Arial"/>
      <w:szCs w:val="24"/>
      <w:lang w:eastAsia="en-US"/>
    </w:rPr>
  </w:style>
  <w:style w:type="paragraph" w:customStyle="1" w:styleId="SectionSummTop">
    <w:name w:val="SectionSummTop"/>
    <w:basedOn w:val="SectionSummary"/>
    <w:rsid w:val="00BC3F17"/>
    <w:pPr>
      <w:numPr>
        <w:numId w:val="0"/>
      </w:numPr>
    </w:pPr>
    <w:rPr>
      <w:b/>
      <w:bCs/>
      <w:szCs w:val="20"/>
    </w:rPr>
  </w:style>
  <w:style w:type="paragraph" w:styleId="BodyText">
    <w:name w:val="Body Text"/>
    <w:basedOn w:val="Normal"/>
    <w:link w:val="BodyTextChar"/>
    <w:rsid w:val="00BC3F17"/>
    <w:pPr>
      <w:spacing w:after="120"/>
    </w:pPr>
  </w:style>
  <w:style w:type="character" w:customStyle="1" w:styleId="BodyTextChar">
    <w:name w:val="Body Text Char"/>
    <w:basedOn w:val="DefaultParagraphFont"/>
    <w:link w:val="BodyText"/>
    <w:rsid w:val="00BC3F17"/>
    <w:rPr>
      <w:sz w:val="24"/>
    </w:rPr>
  </w:style>
  <w:style w:type="paragraph" w:customStyle="1" w:styleId="Default">
    <w:name w:val="Default"/>
    <w:rsid w:val="00F07823"/>
    <w:pPr>
      <w:autoSpaceDE w:val="0"/>
      <w:autoSpaceDN w:val="0"/>
      <w:adjustRightInd w:val="0"/>
      <w:spacing w:after="0" w:line="240" w:lineRule="auto"/>
      <w:ind w:left="0"/>
    </w:pPr>
    <w:rPr>
      <w:rFonts w:ascii="Arial" w:hAnsi="Arial" w:cs="Arial"/>
      <w:color w:val="000000"/>
      <w:sz w:val="24"/>
      <w:szCs w:val="24"/>
    </w:rPr>
  </w:style>
  <w:style w:type="character" w:styleId="Emphasis">
    <w:name w:val="Emphasis"/>
    <w:uiPriority w:val="20"/>
    <w:qFormat/>
    <w:rsid w:val="002851B7"/>
    <w:rPr>
      <w:rFonts w:ascii="Garamond" w:eastAsia="Times New Roman" w:hAnsi="Garamond" w:cs="Times New Roman"/>
      <w:i/>
      <w:sz w:val="24"/>
      <w:szCs w:val="24"/>
    </w:rPr>
  </w:style>
  <w:style w:type="paragraph" w:customStyle="1" w:styleId="Tablecaption">
    <w:name w:val="Table caption"/>
    <w:basedOn w:val="Normal"/>
    <w:link w:val="TablecaptionChar"/>
    <w:qFormat/>
    <w:rsid w:val="00FC7C85"/>
    <w:pPr>
      <w:keepNext/>
      <w:keepLines/>
      <w:spacing w:after="0" w:line="240" w:lineRule="auto"/>
      <w:ind w:left="0"/>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FC7C85"/>
    <w:rPr>
      <w:rFonts w:ascii="Arial Narrow" w:hAnsi="Arial Narrow" w:cs="Arial"/>
      <w:lang w:eastAsia="en-US"/>
    </w:rPr>
  </w:style>
  <w:style w:type="paragraph" w:customStyle="1" w:styleId="Tabletextbold">
    <w:name w:val="Table text bold"/>
    <w:basedOn w:val="Normal"/>
    <w:link w:val="TabletextboldChar"/>
    <w:qFormat/>
    <w:rsid w:val="00FC7C85"/>
    <w:pPr>
      <w:keepNext/>
      <w:spacing w:after="0" w:line="240" w:lineRule="auto"/>
      <w:ind w:left="0"/>
      <w:jc w:val="center"/>
    </w:pPr>
    <w:rPr>
      <w:rFonts w:ascii="Arial Narrow" w:hAnsi="Arial Narrow" w:cs="Arial"/>
      <w:b/>
      <w:sz w:val="20"/>
      <w:lang w:eastAsia="en-US"/>
    </w:rPr>
  </w:style>
  <w:style w:type="character" w:customStyle="1" w:styleId="TabletextboldChar">
    <w:name w:val="Table text bold Char"/>
    <w:basedOn w:val="DefaultParagraphFont"/>
    <w:link w:val="Tabletextbold"/>
    <w:rsid w:val="00FC7C85"/>
    <w:rPr>
      <w:rFonts w:ascii="Arial Narrow" w:hAnsi="Arial Narrow" w:cs="Arial"/>
      <w:b/>
      <w:lang w:eastAsia="en-US"/>
    </w:rPr>
  </w:style>
  <w:style w:type="paragraph" w:customStyle="1" w:styleId="Tabletextboldleft">
    <w:name w:val="Table text bold left"/>
    <w:basedOn w:val="Tabletextbold"/>
    <w:link w:val="TabletextboldleftChar"/>
    <w:qFormat/>
    <w:rsid w:val="00FC7C85"/>
    <w:pPr>
      <w:jc w:val="left"/>
    </w:pPr>
  </w:style>
  <w:style w:type="paragraph" w:customStyle="1" w:styleId="Tabletextcentred">
    <w:name w:val="Table text centred"/>
    <w:basedOn w:val="Tabletext"/>
    <w:link w:val="TabletextcentredChar"/>
    <w:qFormat/>
    <w:rsid w:val="00FC7C85"/>
    <w:pPr>
      <w:keepNext w:val="0"/>
      <w:spacing w:before="0" w:after="0"/>
      <w:jc w:val="center"/>
    </w:pPr>
    <w:rPr>
      <w:szCs w:val="24"/>
    </w:rPr>
  </w:style>
  <w:style w:type="character" w:customStyle="1" w:styleId="TabletextboldleftChar">
    <w:name w:val="Table text bold left Char"/>
    <w:basedOn w:val="TabletextboldChar"/>
    <w:link w:val="Tabletextboldleft"/>
    <w:rsid w:val="00FC7C85"/>
    <w:rPr>
      <w:rFonts w:ascii="Arial Narrow" w:hAnsi="Arial Narrow" w:cs="Arial"/>
      <w:b/>
      <w:lang w:eastAsia="en-US"/>
    </w:rPr>
  </w:style>
  <w:style w:type="character" w:customStyle="1" w:styleId="TabletextcentredChar">
    <w:name w:val="Table text centred Char"/>
    <w:basedOn w:val="TabletextChar"/>
    <w:link w:val="Tabletextcentred"/>
    <w:rsid w:val="00FC7C85"/>
    <w:rPr>
      <w:rFonts w:ascii="Arial Narrow" w:hAnsi="Arial Narrow"/>
      <w:szCs w:val="24"/>
      <w:lang w:eastAsia="en-US"/>
    </w:rPr>
  </w:style>
  <w:style w:type="paragraph" w:styleId="NormalWeb">
    <w:name w:val="Normal (Web)"/>
    <w:basedOn w:val="Normal"/>
    <w:uiPriority w:val="99"/>
    <w:unhideWhenUsed/>
    <w:rsid w:val="0021651B"/>
    <w:pPr>
      <w:spacing w:after="0" w:line="240" w:lineRule="auto"/>
      <w:ind w:left="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pPr>
        <w:spacing w:after="200" w:line="312" w:lineRule="auto"/>
        <w:ind w:left="-357"/>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9FF"/>
    <w:rPr>
      <w:sz w:val="24"/>
    </w:rPr>
  </w:style>
  <w:style w:type="paragraph" w:styleId="Heading1">
    <w:name w:val="heading 1"/>
    <w:aliases w:val="H1"/>
    <w:basedOn w:val="Normal"/>
    <w:next w:val="Normal"/>
    <w:link w:val="Heading1Char"/>
    <w:uiPriority w:val="99"/>
    <w:qFormat/>
    <w:rsid w:val="002B199C"/>
    <w:pPr>
      <w:keepNext/>
      <w:keepLines/>
      <w:spacing w:before="480"/>
      <w:outlineLvl w:val="0"/>
    </w:pPr>
    <w:rPr>
      <w:rFonts w:asciiTheme="majorHAnsi" w:eastAsiaTheme="majorEastAsia" w:hAnsiTheme="majorHAnsi" w:cstheme="majorBidi"/>
      <w:b/>
      <w:bCs/>
      <w:sz w:val="28"/>
      <w:szCs w:val="28"/>
    </w:rPr>
  </w:style>
  <w:style w:type="paragraph" w:styleId="Heading2">
    <w:name w:val="heading 2"/>
    <w:aliases w:val="H2,Follow Up Question"/>
    <w:basedOn w:val="Normal"/>
    <w:next w:val="Normal"/>
    <w:uiPriority w:val="99"/>
    <w:qFormat/>
    <w:rsid w:val="00981F60"/>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274E7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rsid w:val="00F4118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BE09FF"/>
    <w:rPr>
      <w:rFonts w:ascii="Arial" w:hAnsi="Arial" w:cs="Arial"/>
      <w:sz w:val="22"/>
      <w:szCs w:val="22"/>
      <w:lang w:eastAsia="en-US"/>
    </w:rPr>
  </w:style>
  <w:style w:type="character" w:styleId="CommentReference">
    <w:name w:val="annotation reference"/>
    <w:semiHidden/>
    <w:rsid w:val="003A5CBC"/>
    <w:rPr>
      <w:sz w:val="16"/>
      <w:szCs w:val="16"/>
    </w:rPr>
  </w:style>
  <w:style w:type="paragraph" w:styleId="CommentText">
    <w:name w:val="annotation text"/>
    <w:basedOn w:val="Normal"/>
    <w:semiHidden/>
    <w:rsid w:val="003A5CBC"/>
    <w:rPr>
      <w:sz w:val="20"/>
    </w:rPr>
  </w:style>
  <w:style w:type="paragraph" w:styleId="CommentSubject">
    <w:name w:val="annotation subject"/>
    <w:basedOn w:val="CommentText"/>
    <w:next w:val="CommentText"/>
    <w:semiHidden/>
    <w:rsid w:val="003A5CBC"/>
    <w:rPr>
      <w:b/>
      <w:bCs/>
    </w:rPr>
  </w:style>
  <w:style w:type="paragraph" w:styleId="BalloonText">
    <w:name w:val="Balloon Text"/>
    <w:basedOn w:val="Normal"/>
    <w:semiHidden/>
    <w:rsid w:val="003A5CBC"/>
    <w:rPr>
      <w:rFonts w:ascii="Tahoma" w:hAnsi="Tahoma" w:cs="Tahoma"/>
      <w:sz w:val="16"/>
      <w:szCs w:val="16"/>
    </w:rPr>
  </w:style>
  <w:style w:type="paragraph" w:styleId="Footer">
    <w:name w:val="footer"/>
    <w:basedOn w:val="Normal"/>
    <w:rsid w:val="003A5CBC"/>
    <w:pPr>
      <w:tabs>
        <w:tab w:val="center" w:pos="4153"/>
        <w:tab w:val="right" w:pos="8306"/>
      </w:tabs>
    </w:pPr>
  </w:style>
  <w:style w:type="character" w:styleId="PageNumber">
    <w:name w:val="page number"/>
    <w:basedOn w:val="DefaultParagraphFont"/>
    <w:rsid w:val="003A5CBC"/>
  </w:style>
  <w:style w:type="paragraph" w:styleId="Header">
    <w:name w:val="header"/>
    <w:basedOn w:val="Normal"/>
    <w:rsid w:val="003A5CBC"/>
    <w:pPr>
      <w:tabs>
        <w:tab w:val="center" w:pos="4153"/>
        <w:tab w:val="right" w:pos="8306"/>
      </w:tabs>
    </w:pPr>
  </w:style>
  <w:style w:type="character" w:styleId="Hyperlink">
    <w:name w:val="Hyperlink"/>
    <w:uiPriority w:val="99"/>
    <w:rsid w:val="004C0814"/>
    <w:rPr>
      <w:color w:val="0000FF"/>
      <w:u w:val="single"/>
    </w:rPr>
  </w:style>
  <w:style w:type="paragraph" w:customStyle="1" w:styleId="CharChar1CharCharCharChar">
    <w:name w:val="Char Char1 Char Char Char Char"/>
    <w:basedOn w:val="Normal"/>
    <w:rsid w:val="006156C1"/>
    <w:rPr>
      <w:rFonts w:ascii="Arial" w:hAnsi="Arial" w:cs="Arial"/>
      <w:sz w:val="22"/>
      <w:szCs w:val="22"/>
      <w:lang w:eastAsia="en-US"/>
    </w:rPr>
  </w:style>
  <w:style w:type="paragraph" w:styleId="FootnoteText">
    <w:name w:val="footnote text"/>
    <w:basedOn w:val="Normal"/>
    <w:semiHidden/>
    <w:rsid w:val="00FD36AD"/>
    <w:rPr>
      <w:sz w:val="20"/>
    </w:rPr>
  </w:style>
  <w:style w:type="character" w:styleId="FootnoteReference">
    <w:name w:val="footnote reference"/>
    <w:semiHidden/>
    <w:rsid w:val="00FD36AD"/>
    <w:rPr>
      <w:vertAlign w:val="superscript"/>
    </w:rPr>
  </w:style>
  <w:style w:type="paragraph" w:customStyle="1" w:styleId="Char">
    <w:name w:val="Char"/>
    <w:basedOn w:val="Normal"/>
    <w:rsid w:val="00D03BC1"/>
    <w:rPr>
      <w:rFonts w:ascii="Arial" w:hAnsi="Arial" w:cs="Arial"/>
      <w:sz w:val="22"/>
      <w:szCs w:val="22"/>
      <w:lang w:eastAsia="en-US"/>
    </w:rPr>
  </w:style>
  <w:style w:type="character" w:customStyle="1" w:styleId="Heading1Char">
    <w:name w:val="Heading 1 Char"/>
    <w:aliases w:val="H1 Char"/>
    <w:basedOn w:val="DefaultParagraphFont"/>
    <w:link w:val="Heading1"/>
    <w:uiPriority w:val="99"/>
    <w:rsid w:val="002B199C"/>
    <w:rPr>
      <w:rFonts w:asciiTheme="majorHAnsi" w:eastAsiaTheme="majorEastAsia" w:hAnsiTheme="majorHAnsi" w:cstheme="majorBidi"/>
      <w:b/>
      <w:bCs/>
      <w:sz w:val="28"/>
      <w:szCs w:val="28"/>
    </w:rPr>
  </w:style>
  <w:style w:type="paragraph" w:styleId="Title">
    <w:name w:val="Title"/>
    <w:basedOn w:val="Normal"/>
    <w:next w:val="Normal"/>
    <w:link w:val="TitleChar"/>
    <w:qFormat/>
    <w:rsid w:val="000609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6096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060966"/>
    <w:pPr>
      <w:numPr>
        <w:ilvl w:val="1"/>
      </w:numPr>
      <w:ind w:left="-357"/>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060966"/>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3568CA"/>
    <w:pPr>
      <w:ind w:left="720"/>
      <w:contextualSpacing/>
    </w:pPr>
  </w:style>
  <w:style w:type="paragraph" w:customStyle="1" w:styleId="Text">
    <w:name w:val="Text"/>
    <w:basedOn w:val="Normal"/>
    <w:link w:val="TextChar"/>
    <w:qFormat/>
    <w:rsid w:val="00E04466"/>
    <w:rPr>
      <w:rFonts w:ascii="Tahoma" w:eastAsia="Calibri" w:hAnsi="Tahoma"/>
      <w:sz w:val="22"/>
      <w:szCs w:val="22"/>
      <w:lang w:val="en-GB" w:eastAsia="en-US"/>
    </w:rPr>
  </w:style>
  <w:style w:type="character" w:customStyle="1" w:styleId="TextChar">
    <w:name w:val="Text Char"/>
    <w:link w:val="Text"/>
    <w:rsid w:val="00E04466"/>
    <w:rPr>
      <w:rFonts w:ascii="Tahoma" w:eastAsia="Calibri" w:hAnsi="Tahoma"/>
      <w:sz w:val="22"/>
      <w:szCs w:val="22"/>
      <w:lang w:val="en-GB" w:eastAsia="en-US"/>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qFormat/>
    <w:rsid w:val="002127CF"/>
    <w:pPr>
      <w:keepNext/>
      <w:spacing w:before="120" w:after="120"/>
      <w:ind w:left="1080" w:hanging="1080"/>
    </w:pPr>
    <w:rPr>
      <w:rFonts w:ascii="Arial" w:hAnsi="Arial" w:cs="Tahoma"/>
      <w:b/>
      <w:bCs/>
      <w:sz w:val="20"/>
      <w:lang w:eastAsia="en-US"/>
    </w:rPr>
  </w:style>
  <w:style w:type="character" w:customStyle="1" w:styleId="Heading4Char">
    <w:name w:val="Heading 4 Char"/>
    <w:basedOn w:val="DefaultParagraphFont"/>
    <w:link w:val="Heading4"/>
    <w:semiHidden/>
    <w:rsid w:val="00274E7C"/>
    <w:rPr>
      <w:rFonts w:asciiTheme="majorHAnsi" w:eastAsiaTheme="majorEastAsia" w:hAnsiTheme="majorHAnsi" w:cstheme="majorBidi"/>
      <w:b/>
      <w:bCs/>
      <w:i/>
      <w:iCs/>
      <w:color w:val="4F81BD" w:themeColor="accent1"/>
      <w:sz w:val="24"/>
    </w:rPr>
  </w:style>
  <w:style w:type="paragraph" w:styleId="NoSpacing">
    <w:name w:val="No Spacing"/>
    <w:aliases w:val="ExecSumm"/>
    <w:qFormat/>
    <w:rsid w:val="00A75E04"/>
    <w:pPr>
      <w:spacing w:after="120" w:line="240" w:lineRule="auto"/>
      <w:ind w:left="0"/>
      <w:jc w:val="both"/>
    </w:pPr>
    <w:rPr>
      <w:rFonts w:ascii="Arial" w:hAnsi="Arial"/>
      <w:sz w:val="22"/>
      <w:szCs w:val="22"/>
      <w:lang w:val="en-US" w:eastAsia="en-US"/>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7759C6"/>
    <w:rPr>
      <w:rFonts w:ascii="Arial" w:hAnsi="Arial" w:cs="Tahoma"/>
      <w:b/>
      <w:bCs/>
      <w:lang w:eastAsia="en-US"/>
    </w:rPr>
  </w:style>
  <w:style w:type="paragraph" w:customStyle="1" w:styleId="Tables">
    <w:name w:val="Tables"/>
    <w:basedOn w:val="Normal"/>
    <w:link w:val="TablesChar"/>
    <w:qFormat/>
    <w:rsid w:val="007759C6"/>
    <w:pPr>
      <w:keepNext/>
      <w:keepLines/>
      <w:spacing w:after="60" w:line="240" w:lineRule="auto"/>
      <w:ind w:left="0"/>
    </w:pPr>
    <w:rPr>
      <w:rFonts w:ascii="Arial" w:hAnsi="Arial"/>
      <w:sz w:val="18"/>
      <w:szCs w:val="22"/>
      <w:lang w:eastAsia="en-US"/>
    </w:rPr>
  </w:style>
  <w:style w:type="character" w:customStyle="1" w:styleId="TablesChar">
    <w:name w:val="Tables Char"/>
    <w:link w:val="Tables"/>
    <w:rsid w:val="007759C6"/>
    <w:rPr>
      <w:rFonts w:ascii="Arial" w:hAnsi="Arial"/>
      <w:sz w:val="18"/>
      <w:szCs w:val="22"/>
      <w:lang w:eastAsia="en-US"/>
    </w:rPr>
  </w:style>
  <w:style w:type="paragraph" w:customStyle="1" w:styleId="TableNotes">
    <w:name w:val="Table Notes"/>
    <w:basedOn w:val="Normal"/>
    <w:link w:val="TableNotesChar"/>
    <w:rsid w:val="007759C6"/>
    <w:pPr>
      <w:spacing w:after="360" w:line="240" w:lineRule="auto"/>
      <w:ind w:left="0"/>
    </w:pPr>
    <w:rPr>
      <w:rFonts w:ascii="Arial" w:hAnsi="Arial"/>
      <w:sz w:val="18"/>
      <w:szCs w:val="22"/>
      <w:lang w:eastAsia="en-US"/>
    </w:rPr>
  </w:style>
  <w:style w:type="character" w:customStyle="1" w:styleId="TableNotesChar">
    <w:name w:val="Table Notes Char"/>
    <w:link w:val="TableNotes"/>
    <w:rsid w:val="007759C6"/>
    <w:rPr>
      <w:rFonts w:ascii="Arial" w:hAnsi="Arial"/>
      <w:sz w:val="18"/>
      <w:szCs w:val="22"/>
      <w:lang w:eastAsia="en-US"/>
    </w:rPr>
  </w:style>
  <w:style w:type="paragraph" w:customStyle="1" w:styleId="Tabletext">
    <w:name w:val="Table text"/>
    <w:basedOn w:val="Normal"/>
    <w:link w:val="TabletextChar"/>
    <w:qFormat/>
    <w:rsid w:val="00CF321C"/>
    <w:pPr>
      <w:keepNext/>
      <w:spacing w:before="60" w:after="40" w:line="240" w:lineRule="auto"/>
      <w:ind w:left="0"/>
    </w:pPr>
    <w:rPr>
      <w:rFonts w:ascii="Arial Narrow" w:hAnsi="Arial Narrow"/>
      <w:sz w:val="20"/>
      <w:lang w:eastAsia="en-US"/>
    </w:rPr>
  </w:style>
  <w:style w:type="paragraph" w:customStyle="1" w:styleId="TableText0">
    <w:name w:val="Table Text"/>
    <w:basedOn w:val="Tabletext"/>
    <w:next w:val="Tabletext"/>
    <w:link w:val="TableTextChar0"/>
    <w:qFormat/>
    <w:rsid w:val="00CF321C"/>
  </w:style>
  <w:style w:type="character" w:customStyle="1" w:styleId="TableTextChar0">
    <w:name w:val="Table Text Char"/>
    <w:link w:val="TableText0"/>
    <w:rsid w:val="00CF321C"/>
    <w:rPr>
      <w:rFonts w:ascii="Arial Narrow" w:hAnsi="Arial Narrow"/>
      <w:lang w:eastAsia="en-US"/>
    </w:rPr>
  </w:style>
  <w:style w:type="character" w:customStyle="1" w:styleId="TabletextChar">
    <w:name w:val="Table text Char"/>
    <w:link w:val="Tabletext"/>
    <w:rsid w:val="00CF321C"/>
    <w:rPr>
      <w:rFonts w:ascii="Arial Narrow" w:hAnsi="Arial Narrow"/>
      <w:lang w:eastAsia="en-US"/>
    </w:rPr>
  </w:style>
  <w:style w:type="paragraph" w:customStyle="1" w:styleId="Tablefooter">
    <w:name w:val="Table footer"/>
    <w:basedOn w:val="Text"/>
    <w:link w:val="TablefooterChar"/>
    <w:qFormat/>
    <w:rsid w:val="00CF321C"/>
    <w:pPr>
      <w:keepNext/>
      <w:keepLines/>
      <w:spacing w:after="0" w:line="240" w:lineRule="auto"/>
      <w:ind w:left="0"/>
    </w:pPr>
    <w:rPr>
      <w:rFonts w:ascii="Arial" w:hAnsi="Arial"/>
      <w:sz w:val="16"/>
      <w:szCs w:val="18"/>
    </w:rPr>
  </w:style>
  <w:style w:type="character" w:customStyle="1" w:styleId="TablefooterChar">
    <w:name w:val="Table footer Char"/>
    <w:link w:val="Tablefooter"/>
    <w:rsid w:val="00CF321C"/>
    <w:rPr>
      <w:rFonts w:ascii="Arial" w:eastAsia="Calibri" w:hAnsi="Arial"/>
      <w:sz w:val="16"/>
      <w:szCs w:val="18"/>
      <w:lang w:val="en-GB" w:eastAsia="en-US"/>
    </w:rPr>
  </w:style>
  <w:style w:type="numbering" w:customStyle="1" w:styleId="Bullet1">
    <w:name w:val="Bullet1"/>
    <w:basedOn w:val="NoList"/>
    <w:rsid w:val="005B381D"/>
    <w:pPr>
      <w:numPr>
        <w:numId w:val="19"/>
      </w:numPr>
    </w:pPr>
  </w:style>
  <w:style w:type="character" w:customStyle="1" w:styleId="Heading6Char">
    <w:name w:val="Heading 6 Char"/>
    <w:basedOn w:val="DefaultParagraphFont"/>
    <w:link w:val="Heading6"/>
    <w:semiHidden/>
    <w:rsid w:val="00F4118F"/>
    <w:rPr>
      <w:rFonts w:asciiTheme="majorHAnsi" w:eastAsiaTheme="majorEastAsia" w:hAnsiTheme="majorHAnsi" w:cstheme="majorBidi"/>
      <w:i/>
      <w:iCs/>
      <w:color w:val="243F60" w:themeColor="accent1" w:themeShade="7F"/>
      <w:sz w:val="24"/>
    </w:rPr>
  </w:style>
  <w:style w:type="paragraph" w:customStyle="1" w:styleId="SectionSummary">
    <w:name w:val="SectionSummary"/>
    <w:next w:val="BodyText"/>
    <w:link w:val="SectionSummaryChar"/>
    <w:qFormat/>
    <w:rsid w:val="00BC3F17"/>
    <w:pPr>
      <w:numPr>
        <w:numId w:val="21"/>
      </w:numPr>
      <w:spacing w:after="120" w:line="240" w:lineRule="auto"/>
    </w:pPr>
    <w:rPr>
      <w:rFonts w:ascii="Arial" w:hAnsi="Arial"/>
      <w:szCs w:val="24"/>
      <w:lang w:eastAsia="en-US"/>
    </w:rPr>
  </w:style>
  <w:style w:type="character" w:customStyle="1" w:styleId="SectionSummaryChar">
    <w:name w:val="SectionSummary Char"/>
    <w:link w:val="SectionSummary"/>
    <w:rsid w:val="00BC3F17"/>
    <w:rPr>
      <w:rFonts w:ascii="Arial" w:hAnsi="Arial"/>
      <w:szCs w:val="24"/>
      <w:lang w:eastAsia="en-US"/>
    </w:rPr>
  </w:style>
  <w:style w:type="paragraph" w:customStyle="1" w:styleId="SectionSummTop">
    <w:name w:val="SectionSummTop"/>
    <w:basedOn w:val="SectionSummary"/>
    <w:rsid w:val="00BC3F17"/>
    <w:pPr>
      <w:numPr>
        <w:numId w:val="0"/>
      </w:numPr>
    </w:pPr>
    <w:rPr>
      <w:b/>
      <w:bCs/>
      <w:szCs w:val="20"/>
    </w:rPr>
  </w:style>
  <w:style w:type="paragraph" w:styleId="BodyText">
    <w:name w:val="Body Text"/>
    <w:basedOn w:val="Normal"/>
    <w:link w:val="BodyTextChar"/>
    <w:rsid w:val="00BC3F17"/>
    <w:pPr>
      <w:spacing w:after="120"/>
    </w:pPr>
  </w:style>
  <w:style w:type="character" w:customStyle="1" w:styleId="BodyTextChar">
    <w:name w:val="Body Text Char"/>
    <w:basedOn w:val="DefaultParagraphFont"/>
    <w:link w:val="BodyText"/>
    <w:rsid w:val="00BC3F17"/>
    <w:rPr>
      <w:sz w:val="24"/>
    </w:rPr>
  </w:style>
  <w:style w:type="paragraph" w:customStyle="1" w:styleId="Default">
    <w:name w:val="Default"/>
    <w:rsid w:val="00F07823"/>
    <w:pPr>
      <w:autoSpaceDE w:val="0"/>
      <w:autoSpaceDN w:val="0"/>
      <w:adjustRightInd w:val="0"/>
      <w:spacing w:after="0" w:line="240" w:lineRule="auto"/>
      <w:ind w:left="0"/>
    </w:pPr>
    <w:rPr>
      <w:rFonts w:ascii="Arial" w:hAnsi="Arial" w:cs="Arial"/>
      <w:color w:val="000000"/>
      <w:sz w:val="24"/>
      <w:szCs w:val="24"/>
    </w:rPr>
  </w:style>
  <w:style w:type="character" w:styleId="Emphasis">
    <w:name w:val="Emphasis"/>
    <w:uiPriority w:val="20"/>
    <w:qFormat/>
    <w:rsid w:val="002851B7"/>
    <w:rPr>
      <w:rFonts w:ascii="Garamond" w:eastAsia="Times New Roman" w:hAnsi="Garamond" w:cs="Times New Roman"/>
      <w:i/>
      <w:sz w:val="24"/>
      <w:szCs w:val="24"/>
    </w:rPr>
  </w:style>
  <w:style w:type="paragraph" w:customStyle="1" w:styleId="Tablecaption">
    <w:name w:val="Table caption"/>
    <w:basedOn w:val="Normal"/>
    <w:link w:val="TablecaptionChar"/>
    <w:qFormat/>
    <w:rsid w:val="00FC7C85"/>
    <w:pPr>
      <w:keepNext/>
      <w:keepLines/>
      <w:spacing w:after="0" w:line="240" w:lineRule="auto"/>
      <w:ind w:left="0"/>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FC7C85"/>
    <w:rPr>
      <w:rFonts w:ascii="Arial Narrow" w:hAnsi="Arial Narrow" w:cs="Arial"/>
      <w:lang w:eastAsia="en-US"/>
    </w:rPr>
  </w:style>
  <w:style w:type="paragraph" w:customStyle="1" w:styleId="Tabletextbold">
    <w:name w:val="Table text bold"/>
    <w:basedOn w:val="Normal"/>
    <w:link w:val="TabletextboldChar"/>
    <w:qFormat/>
    <w:rsid w:val="00FC7C85"/>
    <w:pPr>
      <w:keepNext/>
      <w:spacing w:after="0" w:line="240" w:lineRule="auto"/>
      <w:ind w:left="0"/>
      <w:jc w:val="center"/>
    </w:pPr>
    <w:rPr>
      <w:rFonts w:ascii="Arial Narrow" w:hAnsi="Arial Narrow" w:cs="Arial"/>
      <w:b/>
      <w:sz w:val="20"/>
      <w:lang w:eastAsia="en-US"/>
    </w:rPr>
  </w:style>
  <w:style w:type="character" w:customStyle="1" w:styleId="TabletextboldChar">
    <w:name w:val="Table text bold Char"/>
    <w:basedOn w:val="DefaultParagraphFont"/>
    <w:link w:val="Tabletextbold"/>
    <w:rsid w:val="00FC7C85"/>
    <w:rPr>
      <w:rFonts w:ascii="Arial Narrow" w:hAnsi="Arial Narrow" w:cs="Arial"/>
      <w:b/>
      <w:lang w:eastAsia="en-US"/>
    </w:rPr>
  </w:style>
  <w:style w:type="paragraph" w:customStyle="1" w:styleId="Tabletextboldleft">
    <w:name w:val="Table text bold left"/>
    <w:basedOn w:val="Tabletextbold"/>
    <w:link w:val="TabletextboldleftChar"/>
    <w:qFormat/>
    <w:rsid w:val="00FC7C85"/>
    <w:pPr>
      <w:jc w:val="left"/>
    </w:pPr>
  </w:style>
  <w:style w:type="paragraph" w:customStyle="1" w:styleId="Tabletextcentred">
    <w:name w:val="Table text centred"/>
    <w:basedOn w:val="Tabletext"/>
    <w:link w:val="TabletextcentredChar"/>
    <w:qFormat/>
    <w:rsid w:val="00FC7C85"/>
    <w:pPr>
      <w:keepNext w:val="0"/>
      <w:spacing w:before="0" w:after="0"/>
      <w:jc w:val="center"/>
    </w:pPr>
    <w:rPr>
      <w:szCs w:val="24"/>
    </w:rPr>
  </w:style>
  <w:style w:type="character" w:customStyle="1" w:styleId="TabletextboldleftChar">
    <w:name w:val="Table text bold left Char"/>
    <w:basedOn w:val="TabletextboldChar"/>
    <w:link w:val="Tabletextboldleft"/>
    <w:rsid w:val="00FC7C85"/>
    <w:rPr>
      <w:rFonts w:ascii="Arial Narrow" w:hAnsi="Arial Narrow" w:cs="Arial"/>
      <w:b/>
      <w:lang w:eastAsia="en-US"/>
    </w:rPr>
  </w:style>
  <w:style w:type="character" w:customStyle="1" w:styleId="TabletextcentredChar">
    <w:name w:val="Table text centred Char"/>
    <w:basedOn w:val="TabletextChar"/>
    <w:link w:val="Tabletextcentred"/>
    <w:rsid w:val="00FC7C85"/>
    <w:rPr>
      <w:rFonts w:ascii="Arial Narrow" w:hAnsi="Arial Narrow"/>
      <w:szCs w:val="24"/>
      <w:lang w:eastAsia="en-US"/>
    </w:rPr>
  </w:style>
  <w:style w:type="paragraph" w:styleId="NormalWeb">
    <w:name w:val="Normal (Web)"/>
    <w:basedOn w:val="Normal"/>
    <w:uiPriority w:val="99"/>
    <w:unhideWhenUsed/>
    <w:rsid w:val="0021651B"/>
    <w:pPr>
      <w:spacing w:after="0" w:line="240" w:lineRule="auto"/>
      <w:ind w:left="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51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6201B-D886-400C-A979-C2F13C1E4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6257</Words>
  <Characters>34937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41112</CharactersWithSpaces>
  <SharedDoc>false</SharedDoc>
  <HLinks>
    <vt:vector size="6" baseType="variant">
      <vt:variant>
        <vt:i4>3997744</vt:i4>
      </vt:variant>
      <vt:variant>
        <vt:i4>3</vt:i4>
      </vt:variant>
      <vt:variant>
        <vt:i4>0</vt:i4>
      </vt:variant>
      <vt:variant>
        <vt:i4>5</vt:i4>
      </vt:variant>
      <vt:variant>
        <vt:lpwstr>http://www.msac.gov.au/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janssd</dc:creator>
  <cp:lastModifiedBy>McCandless Sean</cp:lastModifiedBy>
  <cp:revision>3</cp:revision>
  <cp:lastPrinted>2014-09-03T01:40:00Z</cp:lastPrinted>
  <dcterms:created xsi:type="dcterms:W3CDTF">2014-09-01T08:38:00Z</dcterms:created>
  <dcterms:modified xsi:type="dcterms:W3CDTF">2014-09-03T01:41:00Z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