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8CB2" w14:textId="77777777" w:rsidR="00642CDC" w:rsidRDefault="00642CDC" w:rsidP="00642CDC">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p w14:paraId="626234BA" w14:textId="77777777" w:rsidR="00C26F2E" w:rsidRPr="00F954C6" w:rsidRDefault="00FE03FE" w:rsidP="00C26F2E">
      <w:pPr>
        <w:jc w:val="center"/>
        <w:rPr>
          <w:rFonts w:ascii="Arial" w:eastAsia="Times New Roman" w:hAnsi="Arial" w:cs="Arial"/>
          <w:b/>
          <w:bCs/>
          <w:i/>
          <w:color w:val="000080"/>
          <w:sz w:val="28"/>
          <w:szCs w:val="28"/>
          <w:lang w:eastAsia="en-AU"/>
        </w:rPr>
      </w:pPr>
      <w:r w:rsidRPr="0044058B">
        <w:rPr>
          <w:rFonts w:ascii="Arial" w:eastAsia="Times New Roman" w:hAnsi="Arial" w:cs="Arial"/>
          <w:b/>
          <w:bCs/>
          <w:i/>
          <w:color w:val="000080"/>
          <w:sz w:val="28"/>
          <w:szCs w:val="28"/>
          <w:lang w:eastAsia="en-AU"/>
        </w:rPr>
        <w:t xml:space="preserve">Application </w:t>
      </w:r>
      <w:r w:rsidRPr="00C26F2E">
        <w:rPr>
          <w:rFonts w:ascii="Arial" w:eastAsia="Times New Roman" w:hAnsi="Arial" w:cs="Arial"/>
          <w:b/>
          <w:bCs/>
          <w:i/>
          <w:color w:val="000080"/>
          <w:sz w:val="28"/>
          <w:szCs w:val="28"/>
          <w:lang w:eastAsia="en-AU"/>
        </w:rPr>
        <w:t xml:space="preserve">No. </w:t>
      </w:r>
      <w:r w:rsidR="00C26F2E" w:rsidRPr="00C26F2E">
        <w:rPr>
          <w:rFonts w:ascii="Arial" w:eastAsia="Times New Roman" w:hAnsi="Arial" w:cs="Arial"/>
          <w:b/>
          <w:bCs/>
          <w:i/>
          <w:color w:val="000080"/>
          <w:sz w:val="28"/>
          <w:szCs w:val="28"/>
          <w:lang w:eastAsia="en-AU"/>
        </w:rPr>
        <w:t>1712</w:t>
      </w:r>
      <w:r w:rsidRPr="00C26F2E">
        <w:rPr>
          <w:rFonts w:ascii="Arial" w:eastAsia="Times New Roman" w:hAnsi="Arial" w:cs="Arial"/>
          <w:b/>
          <w:bCs/>
          <w:i/>
          <w:color w:val="000080"/>
          <w:sz w:val="28"/>
          <w:szCs w:val="28"/>
          <w:lang w:eastAsia="en-AU"/>
        </w:rPr>
        <w:t xml:space="preserve"> – </w:t>
      </w:r>
      <w:r w:rsidR="00C26F2E" w:rsidRPr="00C26F2E">
        <w:rPr>
          <w:rFonts w:ascii="Arial" w:eastAsia="Times New Roman" w:hAnsi="Arial" w:cs="Arial"/>
          <w:b/>
          <w:bCs/>
          <w:i/>
          <w:color w:val="000080"/>
          <w:sz w:val="28"/>
          <w:szCs w:val="28"/>
          <w:lang w:eastAsia="en-AU"/>
        </w:rPr>
        <w:t>Out-of-laboratory sleep studies in the diagnosis and management</w:t>
      </w:r>
      <w:r w:rsidR="00C26F2E" w:rsidRPr="00F954C6">
        <w:rPr>
          <w:rFonts w:ascii="Arial" w:eastAsia="Times New Roman" w:hAnsi="Arial" w:cs="Arial"/>
          <w:b/>
          <w:bCs/>
          <w:i/>
          <w:color w:val="000080"/>
          <w:sz w:val="28"/>
          <w:szCs w:val="28"/>
          <w:lang w:eastAsia="en-AU"/>
        </w:rPr>
        <w:t xml:space="preserve"> of sleep disordered breathing in children &amp; adolescents</w:t>
      </w:r>
    </w:p>
    <w:p w14:paraId="40A524D1" w14:textId="25BF4A88" w:rsidR="00FE03FE" w:rsidRPr="00C26F2E" w:rsidRDefault="00FE03FE" w:rsidP="00550719">
      <w:pPr>
        <w:tabs>
          <w:tab w:val="left" w:pos="3686"/>
        </w:tabs>
        <w:spacing w:before="120"/>
        <w:rPr>
          <w:rFonts w:ascii="Arial" w:eastAsia="Calibri" w:hAnsi="Arial" w:cs="Arial"/>
          <w:b/>
          <w:szCs w:val="24"/>
        </w:rPr>
      </w:pPr>
      <w:r w:rsidRPr="0044058B">
        <w:rPr>
          <w:rFonts w:ascii="Arial" w:eastAsia="Calibri" w:hAnsi="Arial" w:cs="Arial"/>
          <w:b/>
          <w:szCs w:val="24"/>
        </w:rPr>
        <w:t>Applicant</w:t>
      </w:r>
      <w:r w:rsidR="00550719">
        <w:rPr>
          <w:rFonts w:ascii="Arial" w:eastAsia="Calibri" w:hAnsi="Arial" w:cs="Arial"/>
          <w:b/>
          <w:szCs w:val="24"/>
        </w:rPr>
        <w:t>:</w:t>
      </w:r>
      <w:r w:rsidR="00550719">
        <w:rPr>
          <w:rFonts w:ascii="Arial" w:eastAsia="Calibri" w:hAnsi="Arial" w:cs="Arial"/>
          <w:b/>
          <w:szCs w:val="24"/>
        </w:rPr>
        <w:tab/>
      </w:r>
      <w:r w:rsidR="00C26F2E" w:rsidRPr="00C26F2E">
        <w:rPr>
          <w:rFonts w:ascii="Arial" w:eastAsia="Calibri" w:hAnsi="Arial" w:cs="Arial"/>
          <w:b/>
          <w:szCs w:val="24"/>
        </w:rPr>
        <w:t>Australasian Sleep Association</w:t>
      </w:r>
    </w:p>
    <w:p w14:paraId="43AD14F3" w14:textId="1E89D100" w:rsidR="00FE03FE" w:rsidRDefault="00FE03FE" w:rsidP="00FE03FE">
      <w:pPr>
        <w:tabs>
          <w:tab w:val="left" w:pos="3686"/>
        </w:tabs>
        <w:spacing w:before="120" w:after="360" w:line="259" w:lineRule="auto"/>
        <w:rPr>
          <w:rFonts w:ascii="Arial" w:eastAsia="Calibri" w:hAnsi="Arial" w:cs="Arial"/>
          <w:b/>
          <w:szCs w:val="24"/>
        </w:rPr>
      </w:pPr>
      <w:r w:rsidRPr="00C26F2E">
        <w:rPr>
          <w:rFonts w:ascii="Arial" w:eastAsia="Calibri" w:hAnsi="Arial" w:cs="Arial"/>
          <w:b/>
          <w:szCs w:val="24"/>
        </w:rPr>
        <w:t xml:space="preserve">Date of </w:t>
      </w:r>
      <w:r w:rsidR="00642CDC">
        <w:rPr>
          <w:rFonts w:ascii="Arial" w:eastAsia="Calibri" w:hAnsi="Arial" w:cs="Arial"/>
          <w:b/>
          <w:szCs w:val="24"/>
        </w:rPr>
        <w:t>MSAC</w:t>
      </w:r>
      <w:r w:rsidRPr="00C26F2E">
        <w:rPr>
          <w:rFonts w:ascii="Arial" w:eastAsia="Calibri" w:hAnsi="Arial" w:cs="Arial"/>
          <w:b/>
          <w:szCs w:val="24"/>
        </w:rPr>
        <w:t xml:space="preserve"> consideration:</w:t>
      </w:r>
      <w:r w:rsidRPr="00C26F2E">
        <w:rPr>
          <w:rFonts w:ascii="Arial" w:eastAsia="Calibri" w:hAnsi="Arial" w:cs="Arial"/>
          <w:b/>
          <w:szCs w:val="24"/>
        </w:rPr>
        <w:tab/>
      </w:r>
      <w:r w:rsidR="00642CDC">
        <w:rPr>
          <w:rFonts w:ascii="Arial" w:eastAsia="Calibri" w:hAnsi="Arial" w:cs="Arial"/>
          <w:b/>
          <w:szCs w:val="24"/>
        </w:rPr>
        <w:t>4-5 April</w:t>
      </w:r>
      <w:r w:rsidR="00C26F2E" w:rsidRPr="00C26F2E">
        <w:rPr>
          <w:rFonts w:ascii="Arial" w:eastAsia="Calibri" w:hAnsi="Arial" w:cs="Arial"/>
          <w:b/>
          <w:szCs w:val="24"/>
        </w:rPr>
        <w:t xml:space="preserve"> 2024</w:t>
      </w:r>
    </w:p>
    <w:p w14:paraId="761020E0" w14:textId="77777777" w:rsidR="00642CDC" w:rsidRPr="00415A9B" w:rsidRDefault="00642CDC" w:rsidP="00642CDC">
      <w:pPr>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8A257DD" w14:textId="4D1D2958" w:rsidR="005E1CA4" w:rsidRPr="00CE28E3" w:rsidRDefault="005E1CA4" w:rsidP="00D06ED4">
      <w:pPr>
        <w:pStyle w:val="ESHeading2"/>
        <w:ind w:left="567" w:hanging="567"/>
      </w:pPr>
      <w:bookmarkStart w:id="0" w:name="_Toc145678752"/>
      <w:bookmarkStart w:id="1" w:name="_Toc150172394"/>
      <w:bookmarkStart w:id="2" w:name="_Toc153462772"/>
      <w:r w:rsidRPr="00CE28E3">
        <w:t xml:space="preserve">Purpose </w:t>
      </w:r>
      <w:r w:rsidRPr="00CE28E3">
        <w:rPr>
          <w:szCs w:val="32"/>
        </w:rPr>
        <w:t>of</w:t>
      </w:r>
      <w:r w:rsidRPr="00CE28E3">
        <w:t xml:space="preserve"> application</w:t>
      </w:r>
      <w:bookmarkEnd w:id="0"/>
      <w:bookmarkEnd w:id="1"/>
      <w:bookmarkEnd w:id="2"/>
    </w:p>
    <w:p w14:paraId="0711BF30" w14:textId="77777777" w:rsidR="005E1CA4" w:rsidRDefault="005E1CA4" w:rsidP="005E1CA4">
      <w:pPr>
        <w:rPr>
          <w:rFonts w:ascii="Franklin Gothic Book" w:hAnsi="Franklin Gothic Book"/>
          <w:iCs/>
        </w:rPr>
      </w:pPr>
      <w:bookmarkStart w:id="3" w:name="_Hlk69734469"/>
      <w:r w:rsidRPr="00395DB7">
        <w:rPr>
          <w:rFonts w:ascii="Franklin Gothic Book" w:hAnsi="Franklin Gothic Book"/>
          <w:iCs/>
        </w:rPr>
        <w:t xml:space="preserve">An application requesting Medicare Benefits Schedule (MBS) listing of out-of-laboratory sleep studies (Levels 2 and 3) for the investigation of sleep disordered breathing (SDB) in children and adolescents (age </w:t>
      </w:r>
      <w:r w:rsidRPr="00395DB7">
        <w:rPr>
          <w:rFonts w:ascii="Franklin Gothic Book" w:hAnsi="Franklin Gothic Book"/>
        </w:rPr>
        <w:t>3 to &lt;18 years</w:t>
      </w:r>
      <w:r w:rsidRPr="00395DB7">
        <w:rPr>
          <w:rFonts w:ascii="Franklin Gothic Book" w:hAnsi="Franklin Gothic Book"/>
          <w:iCs/>
        </w:rPr>
        <w:t>) was received from the Australasian Sleep Association (ASA) by the Department of Health and Aged Care.</w:t>
      </w:r>
    </w:p>
    <w:p w14:paraId="6E2D831C" w14:textId="77777777" w:rsidR="00642CDC" w:rsidRDefault="00642CDC" w:rsidP="00642CDC">
      <w:pPr>
        <w:pStyle w:val="Heading2"/>
        <w:numPr>
          <w:ilvl w:val="0"/>
          <w:numId w:val="0"/>
        </w:numPr>
      </w:pPr>
      <w:r>
        <w:t>2.</w:t>
      </w:r>
      <w:r>
        <w:tab/>
        <w:t>MSAC’s advice to the Minister</w:t>
      </w:r>
    </w:p>
    <w:p w14:paraId="5FFACE66" w14:textId="711CF309" w:rsidR="00FA7F0C" w:rsidRPr="00FA7F0C" w:rsidRDefault="00FA7F0C" w:rsidP="00FA7F0C">
      <w:pPr>
        <w:spacing w:before="120" w:after="160" w:line="259" w:lineRule="auto"/>
        <w:rPr>
          <w:rFonts w:ascii="Franklin Gothic Book" w:hAnsi="Franklin Gothic Book"/>
          <w:szCs w:val="24"/>
        </w:rPr>
      </w:pPr>
      <w:r w:rsidRPr="00FA7F0C">
        <w:rPr>
          <w:rFonts w:ascii="Franklin Gothic Book" w:hAnsi="Franklin Gothic Book"/>
        </w:rPr>
        <w:t xml:space="preserve">After considering the strength of the available evidence in relation to comparative safety, clinical effectiveness, cost-effectiveness and total cost, </w:t>
      </w:r>
      <w:r w:rsidRPr="00FA7F0C">
        <w:rPr>
          <w:rFonts w:ascii="Franklin Gothic Book" w:hAnsi="Franklin Gothic Book"/>
          <w:szCs w:val="24"/>
        </w:rPr>
        <w:t xml:space="preserve">MSAC did not support public funding </w:t>
      </w:r>
      <w:r w:rsidR="00C11A26">
        <w:rPr>
          <w:rFonts w:ascii="Franklin Gothic Book" w:hAnsi="Franklin Gothic Book"/>
          <w:szCs w:val="24"/>
        </w:rPr>
        <w:t>for</w:t>
      </w:r>
      <w:r w:rsidRPr="00FA7F0C">
        <w:rPr>
          <w:rFonts w:ascii="Franklin Gothic Book" w:hAnsi="Franklin Gothic Book"/>
          <w:szCs w:val="24"/>
        </w:rPr>
        <w:t xml:space="preserve"> out-of-laboratory sleep studies (Level 2 polysomnography (PSG)</w:t>
      </w:r>
      <w:r w:rsidR="00C11A26">
        <w:rPr>
          <w:rFonts w:ascii="Franklin Gothic Book" w:hAnsi="Franklin Gothic Book"/>
          <w:szCs w:val="24"/>
        </w:rPr>
        <w:t xml:space="preserve"> or </w:t>
      </w:r>
      <w:r w:rsidRPr="00FA7F0C">
        <w:rPr>
          <w:rFonts w:ascii="Franklin Gothic Book" w:hAnsi="Franklin Gothic Book"/>
          <w:szCs w:val="24"/>
        </w:rPr>
        <w:t>Level 3 cardiorespiratory polygraphy (CRP)) for the investigation of sleep disordered breathing (SDB) in children and adolescents (ages 3 to &lt;18 years). MSAC noted that Level 2 PSGs are currently publicly funded under the Medicare Benefits Schedule (MBS) for adult patients aged 18 years or older.</w:t>
      </w:r>
    </w:p>
    <w:p w14:paraId="33CD0FAC" w14:textId="77777777" w:rsidR="00FA7F0C" w:rsidRPr="00FA7F0C" w:rsidRDefault="00FA7F0C" w:rsidP="00FA7F0C">
      <w:pPr>
        <w:spacing w:before="120" w:after="160" w:line="259" w:lineRule="auto"/>
        <w:rPr>
          <w:rFonts w:ascii="Franklin Gothic Book" w:hAnsi="Franklin Gothic Book"/>
          <w:szCs w:val="24"/>
        </w:rPr>
      </w:pPr>
      <w:r w:rsidRPr="00FA7F0C">
        <w:rPr>
          <w:rFonts w:ascii="Franklin Gothic Book" w:hAnsi="Franklin Gothic Book"/>
          <w:szCs w:val="24"/>
        </w:rPr>
        <w:t>MSAC considered that there was a paucity of evidence for Level 3 CRP sleep studies and noted there was no MBS item for these studies in adults. Based on the available evidence, which was very low certainty, MSAC concluded that the test accuracy of Level 3 CRP (diagnostic) and Level 3 (monitoring) was likely inferior to Level 1 PSG, and failure rates were likely higher. There was no evidence presented to support the claim of superiority for the clinical utility of Level 3 CRP (diagnostic) based on avoidance of tonsillectomy. MSAC considered the incremental diagnostic value of Level 3 CRP (diagnostic) was likely minimal. MSAC noted that the economic evaluations for Level 3 CRP (diagnostic) were also based on sparse data. MSAC noted the population proposed for Level 3 CRP (diagnostic) was difficult to define, which created the potential for unintended use outside of the proposed population. In addition, MSAC considered there was potential for Level 3 CRP (monitoring) to be undertaken in patients who may be eligible for the MBS item but where monitoring is not clinically warranted.</w:t>
      </w:r>
    </w:p>
    <w:p w14:paraId="5CDF138C" w14:textId="6E0411C8" w:rsidR="00FA7F0C" w:rsidRPr="00FA7F0C" w:rsidRDefault="00FA7F0C" w:rsidP="00FA7F0C">
      <w:pPr>
        <w:spacing w:before="120" w:after="160" w:line="259" w:lineRule="auto"/>
        <w:rPr>
          <w:rFonts w:ascii="Franklin Gothic Book" w:hAnsi="Franklin Gothic Book"/>
          <w:szCs w:val="24"/>
        </w:rPr>
      </w:pPr>
      <w:r w:rsidRPr="00FA7F0C">
        <w:rPr>
          <w:rFonts w:ascii="Franklin Gothic Book" w:hAnsi="Franklin Gothic Book"/>
          <w:szCs w:val="24"/>
        </w:rPr>
        <w:t xml:space="preserve">MSAC acknowledged there was a potential clinical need for Level 2 PSG (diagnostic) to increase testing capacity and thereby reduce long wait times for Level 1 PSG. However, MSAC considered that this potential benefit may not be realised given the requirement for a patient to first be referred to a paediatric sleep physician before an out-of-laboratory sleep study can be requested. The likely increased referrals to paediatric sleep physicians coupled with the relatively low number of paediatric sleep physicians may inadvertently create a new access barrier. MSAC considered that, when compared with Level 1 PSG (diagnostic), the evidence suggested that </w:t>
      </w:r>
      <w:r w:rsidRPr="00FA7F0C">
        <w:rPr>
          <w:rFonts w:ascii="Franklin Gothic Book" w:hAnsi="Franklin Gothic Book"/>
          <w:szCs w:val="24"/>
        </w:rPr>
        <w:lastRenderedPageBreak/>
        <w:t xml:space="preserve">Level 2 PSG (diagnostic) was non-inferior in test accuracy, effectiveness and safety, although likely inferior in testing success, but MSAC acknowledged that this may be offset by the convenience </w:t>
      </w:r>
      <w:r w:rsidR="00C11A26">
        <w:rPr>
          <w:rFonts w:ascii="Franklin Gothic Book" w:hAnsi="Franklin Gothic Book"/>
          <w:szCs w:val="24"/>
        </w:rPr>
        <w:t xml:space="preserve">and accessibility </w:t>
      </w:r>
      <w:r w:rsidRPr="00FA7F0C">
        <w:rPr>
          <w:rFonts w:ascii="Franklin Gothic Book" w:hAnsi="Franklin Gothic Book"/>
          <w:szCs w:val="24"/>
        </w:rPr>
        <w:t xml:space="preserve">of home-based testing. MSAC considered the certainty of this evidence was low and based on small sample sizes but also acknowledged that it was unlikely that studies with larger sample sizes would be available for a paediatric population. </w:t>
      </w:r>
    </w:p>
    <w:p w14:paraId="74FDC86F" w14:textId="7EA4A617" w:rsidR="00FA7F0C" w:rsidRPr="00FA7F0C" w:rsidRDefault="00FA7F0C" w:rsidP="00934B9E">
      <w:pPr>
        <w:spacing w:before="120" w:line="259" w:lineRule="auto"/>
        <w:rPr>
          <w:rFonts w:ascii="Franklin Gothic Book" w:hAnsi="Franklin Gothic Book"/>
          <w:color w:val="4472C4" w:themeColor="accent1"/>
          <w:szCs w:val="24"/>
        </w:rPr>
      </w:pPr>
      <w:r w:rsidRPr="00FA7F0C">
        <w:rPr>
          <w:rFonts w:ascii="Franklin Gothic Book" w:hAnsi="Franklin Gothic Book"/>
          <w:szCs w:val="24"/>
        </w:rPr>
        <w:t xml:space="preserve">MSAC noted that the economic evaluation found that Level 2 PSG (diagnostic) was lower cost relative to Level 1 PSG, which was an acceptable result if the conclusion (based on low-certainty evidence) that Level 2 PSG has non-inferior test accuracy compared to Level 1 PSG is correct. MSAC noted that the financial impact of funding Level 2 PSG (diagnostic) was likely to be cost saving only if the growth in utilisation of Level 1 PSG </w:t>
      </w:r>
      <w:r w:rsidR="00C11A26">
        <w:rPr>
          <w:rFonts w:ascii="Franklin Gothic Book" w:hAnsi="Franklin Gothic Book"/>
          <w:szCs w:val="24"/>
        </w:rPr>
        <w:t>was</w:t>
      </w:r>
      <w:r w:rsidRPr="00FA7F0C">
        <w:rPr>
          <w:rFonts w:ascii="Franklin Gothic Book" w:hAnsi="Franklin Gothic Book"/>
          <w:szCs w:val="24"/>
        </w:rPr>
        <w:t xml:space="preserve"> at least as high as the growth in utilisation of Level 2 PSG (diagnostic).</w:t>
      </w:r>
    </w:p>
    <w:tbl>
      <w:tblPr>
        <w:tblStyle w:val="TableGrid"/>
        <w:tblW w:w="0" w:type="auto"/>
        <w:tblLook w:val="04A0" w:firstRow="1" w:lastRow="0" w:firstColumn="1" w:lastColumn="0" w:noHBand="0" w:noVBand="1"/>
        <w:tblDescription w:val="Consumer summary of MSAC consideration"/>
      </w:tblPr>
      <w:tblGrid>
        <w:gridCol w:w="9016"/>
      </w:tblGrid>
      <w:tr w:rsidR="00FA7F0C" w:rsidRPr="00FA7F0C" w14:paraId="22FC0092" w14:textId="77777777" w:rsidTr="43E75038">
        <w:trPr>
          <w:tblHeader/>
        </w:trPr>
        <w:tc>
          <w:tcPr>
            <w:tcW w:w="9016" w:type="dxa"/>
          </w:tcPr>
          <w:p w14:paraId="48EF64D4" w14:textId="77777777" w:rsidR="00FA7F0C" w:rsidRPr="007006BD" w:rsidRDefault="00FA7F0C" w:rsidP="00934B9E">
            <w:pPr>
              <w:keepNext/>
              <w:keepLines/>
              <w:spacing w:before="120" w:after="120" w:line="259" w:lineRule="auto"/>
              <w:outlineLvl w:val="2"/>
              <w:rPr>
                <w:rFonts w:ascii="Franklin Gothic Book" w:hAnsi="Franklin Gothic Book"/>
                <w:b/>
                <w:bCs/>
                <w:iCs/>
                <w:color w:val="1F3763" w:themeColor="accent1" w:themeShade="7F"/>
                <w:sz w:val="24"/>
                <w:szCs w:val="24"/>
              </w:rPr>
            </w:pPr>
            <w:r w:rsidRPr="007006BD">
              <w:rPr>
                <w:rFonts w:ascii="Franklin Gothic Book" w:eastAsiaTheme="majorEastAsia" w:hAnsi="Franklin Gothic Book" w:cstheme="majorBidi"/>
                <w:b/>
                <w:bCs/>
                <w:sz w:val="24"/>
                <w:szCs w:val="24"/>
              </w:rPr>
              <w:t xml:space="preserve">Consumer summary </w:t>
            </w:r>
          </w:p>
        </w:tc>
      </w:tr>
      <w:tr w:rsidR="00FA7F0C" w:rsidRPr="00FA7F0C" w14:paraId="1082D1AE" w14:textId="77777777" w:rsidTr="43E75038">
        <w:tc>
          <w:tcPr>
            <w:tcW w:w="9016" w:type="dxa"/>
          </w:tcPr>
          <w:p w14:paraId="38AE9591" w14:textId="77777777" w:rsidR="00FA7F0C" w:rsidRPr="00FA7F0C" w:rsidRDefault="00FA7F0C" w:rsidP="00EB1ECF">
            <w:pPr>
              <w:rPr>
                <w:rFonts w:ascii="Franklin Gothic Book" w:hAnsi="Franklin Gothic Book"/>
              </w:rPr>
            </w:pPr>
            <w:r w:rsidRPr="00FA7F0C">
              <w:rPr>
                <w:rFonts w:ascii="Franklin Gothic Book" w:hAnsi="Franklin Gothic Book"/>
              </w:rPr>
              <w:t>This is an application from the Australasian Sleep Association for listing out-of-laboratory sleep studies (Levels 2 and 3) for investigation of sleep disordered breathing (SDB) in children and adolescents (aged 3 to &lt;18 years) on the Medicare Benefits Schedule (MBS).</w:t>
            </w:r>
          </w:p>
          <w:p w14:paraId="1CAC9BD1" w14:textId="396FFFBA" w:rsidR="00FA7F0C" w:rsidRPr="00FA7F0C" w:rsidRDefault="00FA7F0C" w:rsidP="00EB1ECF">
            <w:pPr>
              <w:rPr>
                <w:rFonts w:ascii="Franklin Gothic Book" w:hAnsi="Franklin Gothic Book"/>
              </w:rPr>
            </w:pPr>
            <w:r w:rsidRPr="00FA7F0C">
              <w:rPr>
                <w:rFonts w:ascii="Franklin Gothic Book" w:hAnsi="Franklin Gothic Book"/>
              </w:rPr>
              <w:t>Many children and adolescents with SDB have obstructive sleep apnoea (OSA), which can be diagnosed with a sleep study. The best type of sleep study (called the gold standard) is a Level 1 sleep study</w:t>
            </w:r>
            <w:r w:rsidR="004042BE">
              <w:rPr>
                <w:rFonts w:ascii="Franklin Gothic Book" w:hAnsi="Franklin Gothic Book"/>
              </w:rPr>
              <w:t xml:space="preserve"> which </w:t>
            </w:r>
            <w:r w:rsidR="00E65A48">
              <w:rPr>
                <w:rFonts w:ascii="Franklin Gothic Book" w:hAnsi="Franklin Gothic Book"/>
              </w:rPr>
              <w:t>continuously records multiple par</w:t>
            </w:r>
            <w:r w:rsidR="003B63A1">
              <w:rPr>
                <w:rFonts w:ascii="Franklin Gothic Book" w:hAnsi="Franklin Gothic Book"/>
              </w:rPr>
              <w:t>ameters (</w:t>
            </w:r>
            <w:r w:rsidR="00EA694A">
              <w:rPr>
                <w:rFonts w:ascii="Franklin Gothic Book" w:hAnsi="Franklin Gothic Book"/>
              </w:rPr>
              <w:t>8-</w:t>
            </w:r>
            <w:r w:rsidR="00B92750">
              <w:rPr>
                <w:rFonts w:ascii="Franklin Gothic Book" w:hAnsi="Franklin Gothic Book"/>
              </w:rPr>
              <w:t xml:space="preserve">13) such as </w:t>
            </w:r>
            <w:r w:rsidR="00AF0BBB">
              <w:rPr>
                <w:rFonts w:ascii="Franklin Gothic Book" w:hAnsi="Franklin Gothic Book"/>
              </w:rPr>
              <w:t>breathing</w:t>
            </w:r>
            <w:r w:rsidR="00341CE5">
              <w:rPr>
                <w:rFonts w:ascii="Franklin Gothic Book" w:hAnsi="Franklin Gothic Book"/>
              </w:rPr>
              <w:t xml:space="preserve"> (</w:t>
            </w:r>
            <w:r w:rsidR="00AF0BBB">
              <w:rPr>
                <w:rFonts w:ascii="Franklin Gothic Book" w:hAnsi="Franklin Gothic Book"/>
              </w:rPr>
              <w:t>airflow</w:t>
            </w:r>
            <w:r w:rsidR="00341CE5">
              <w:rPr>
                <w:rFonts w:ascii="Franklin Gothic Book" w:hAnsi="Franklin Gothic Book"/>
              </w:rPr>
              <w:t xml:space="preserve"> and respiratory </w:t>
            </w:r>
            <w:r w:rsidR="00F10481">
              <w:rPr>
                <w:rFonts w:ascii="Franklin Gothic Book" w:hAnsi="Franklin Gothic Book"/>
              </w:rPr>
              <w:t>effort</w:t>
            </w:r>
            <w:r w:rsidR="00341CE5">
              <w:rPr>
                <w:rFonts w:ascii="Franklin Gothic Book" w:hAnsi="Franklin Gothic Book"/>
              </w:rPr>
              <w:t>)</w:t>
            </w:r>
            <w:r w:rsidR="00AF0BBB">
              <w:rPr>
                <w:rFonts w:ascii="Franklin Gothic Book" w:hAnsi="Franklin Gothic Book"/>
              </w:rPr>
              <w:t>,</w:t>
            </w:r>
            <w:r w:rsidR="00DF298E">
              <w:rPr>
                <w:rFonts w:ascii="Franklin Gothic Book" w:hAnsi="Franklin Gothic Book"/>
              </w:rPr>
              <w:t xml:space="preserve"> oxygen saturation, carbon</w:t>
            </w:r>
            <w:r w:rsidR="00AF0BBB">
              <w:rPr>
                <w:rFonts w:ascii="Franklin Gothic Book" w:hAnsi="Franklin Gothic Book"/>
              </w:rPr>
              <w:t xml:space="preserve"> </w:t>
            </w:r>
            <w:r w:rsidR="00ED3587">
              <w:rPr>
                <w:rFonts w:ascii="Franklin Gothic Book" w:hAnsi="Franklin Gothic Book"/>
              </w:rPr>
              <w:t>dioxide,</w:t>
            </w:r>
            <w:r w:rsidR="00AF0BBB">
              <w:rPr>
                <w:rFonts w:ascii="Franklin Gothic Book" w:hAnsi="Franklin Gothic Book"/>
              </w:rPr>
              <w:t xml:space="preserve"> heart</w:t>
            </w:r>
            <w:r w:rsidR="00ED3587">
              <w:rPr>
                <w:rFonts w:ascii="Franklin Gothic Book" w:hAnsi="Franklin Gothic Book"/>
              </w:rPr>
              <w:t xml:space="preserve"> rate</w:t>
            </w:r>
            <w:r w:rsidR="00443E4D">
              <w:rPr>
                <w:rFonts w:ascii="Franklin Gothic Book" w:hAnsi="Franklin Gothic Book"/>
              </w:rPr>
              <w:t xml:space="preserve"> and </w:t>
            </w:r>
            <w:r w:rsidR="00277F64">
              <w:rPr>
                <w:rFonts w:ascii="Franklin Gothic Book" w:hAnsi="Franklin Gothic Book"/>
              </w:rPr>
              <w:t>activity plus</w:t>
            </w:r>
            <w:r w:rsidR="00D37DDF">
              <w:rPr>
                <w:rFonts w:ascii="Franklin Gothic Book" w:hAnsi="Franklin Gothic Book"/>
              </w:rPr>
              <w:t xml:space="preserve"> </w:t>
            </w:r>
            <w:r w:rsidR="00176934">
              <w:rPr>
                <w:rFonts w:ascii="Franklin Gothic Book" w:hAnsi="Franklin Gothic Book"/>
              </w:rPr>
              <w:t>electrical activity of the brain</w:t>
            </w:r>
            <w:r w:rsidRPr="00FA7F0C">
              <w:rPr>
                <w:rFonts w:ascii="Franklin Gothic Book" w:hAnsi="Franklin Gothic Book"/>
              </w:rPr>
              <w:t>. These are done as an overnight stay in a hospital or sleep clinic</w:t>
            </w:r>
            <w:r w:rsidR="006A44E9">
              <w:rPr>
                <w:rFonts w:ascii="Franklin Gothic Book" w:hAnsi="Franklin Gothic Book"/>
              </w:rPr>
              <w:t xml:space="preserve"> where </w:t>
            </w:r>
            <w:r w:rsidR="0026277A">
              <w:rPr>
                <w:rFonts w:ascii="Franklin Gothic Book" w:hAnsi="Franklin Gothic Book"/>
              </w:rPr>
              <w:t>a sleep technic</w:t>
            </w:r>
            <w:r w:rsidR="00A207AA">
              <w:rPr>
                <w:rFonts w:ascii="Franklin Gothic Book" w:hAnsi="Franklin Gothic Book"/>
              </w:rPr>
              <w:t xml:space="preserve">ian or sleep nurse is </w:t>
            </w:r>
            <w:r w:rsidR="00011F0E">
              <w:rPr>
                <w:rFonts w:ascii="Franklin Gothic Book" w:hAnsi="Franklin Gothic Book"/>
              </w:rPr>
              <w:t>continuously in attendance</w:t>
            </w:r>
            <w:r w:rsidRPr="00FA7F0C">
              <w:rPr>
                <w:rFonts w:ascii="Franklin Gothic Book" w:hAnsi="Franklin Gothic Book"/>
              </w:rPr>
              <w:t xml:space="preserve">. However, there are long waiting lists for Level 1 sleep studies, and not all patients can stay overnight for different reasons, or they may live too far away from a sleep study laboratory. </w:t>
            </w:r>
          </w:p>
          <w:p w14:paraId="09245830" w14:textId="3DA32BEB" w:rsidR="00E626F1" w:rsidRDefault="007F6D07" w:rsidP="00EB1ECF">
            <w:pPr>
              <w:rPr>
                <w:rFonts w:ascii="Franklin Gothic Book" w:hAnsi="Franklin Gothic Book"/>
              </w:rPr>
            </w:pPr>
            <w:r>
              <w:rPr>
                <w:rFonts w:ascii="Franklin Gothic Book" w:hAnsi="Franklin Gothic Book"/>
              </w:rPr>
              <w:t>Out-of-laboratory s</w:t>
            </w:r>
            <w:r w:rsidR="00E90E9A">
              <w:rPr>
                <w:rFonts w:ascii="Franklin Gothic Book" w:hAnsi="Franklin Gothic Book"/>
              </w:rPr>
              <w:t xml:space="preserve">leep studies are </w:t>
            </w:r>
            <w:r w:rsidR="00715C58">
              <w:rPr>
                <w:rFonts w:ascii="Franklin Gothic Book" w:hAnsi="Franklin Gothic Book"/>
              </w:rPr>
              <w:t>studies</w:t>
            </w:r>
            <w:r w:rsidR="00E90E9A">
              <w:rPr>
                <w:rFonts w:ascii="Franklin Gothic Book" w:hAnsi="Franklin Gothic Book"/>
              </w:rPr>
              <w:t xml:space="preserve"> that </w:t>
            </w:r>
            <w:r w:rsidR="00341B80">
              <w:rPr>
                <w:rFonts w:ascii="Franklin Gothic Book" w:hAnsi="Franklin Gothic Book"/>
              </w:rPr>
              <w:t>can be</w:t>
            </w:r>
            <w:r w:rsidR="00E90E9A">
              <w:rPr>
                <w:rFonts w:ascii="Franklin Gothic Book" w:hAnsi="Franklin Gothic Book"/>
              </w:rPr>
              <w:t xml:space="preserve"> done at home or at a </w:t>
            </w:r>
            <w:r w:rsidR="00E76332">
              <w:rPr>
                <w:rFonts w:ascii="Franklin Gothic Book" w:hAnsi="Franklin Gothic Book"/>
              </w:rPr>
              <w:t xml:space="preserve">local centre. </w:t>
            </w:r>
            <w:r w:rsidR="0032685D">
              <w:rPr>
                <w:rFonts w:ascii="Franklin Gothic Book" w:hAnsi="Franklin Gothic Book"/>
              </w:rPr>
              <w:t>These studies record l</w:t>
            </w:r>
            <w:r w:rsidR="00E87BEB">
              <w:rPr>
                <w:rFonts w:ascii="Franklin Gothic Book" w:hAnsi="Franklin Gothic Book"/>
              </w:rPr>
              <w:t>e</w:t>
            </w:r>
            <w:r w:rsidR="00D66FDE">
              <w:rPr>
                <w:rFonts w:ascii="Franklin Gothic Book" w:hAnsi="Franklin Gothic Book"/>
              </w:rPr>
              <w:t>s</w:t>
            </w:r>
            <w:r w:rsidR="00E87BEB">
              <w:rPr>
                <w:rFonts w:ascii="Franklin Gothic Book" w:hAnsi="Franklin Gothic Book"/>
              </w:rPr>
              <w:t xml:space="preserve">s </w:t>
            </w:r>
            <w:r w:rsidR="00AA72BC">
              <w:rPr>
                <w:rFonts w:ascii="Franklin Gothic Book" w:hAnsi="Franklin Gothic Book"/>
              </w:rPr>
              <w:t>pa</w:t>
            </w:r>
            <w:r w:rsidR="00A20CB6">
              <w:rPr>
                <w:rFonts w:ascii="Franklin Gothic Book" w:hAnsi="Franklin Gothic Book"/>
              </w:rPr>
              <w:t xml:space="preserve">rameters </w:t>
            </w:r>
            <w:r w:rsidR="00E87BEB">
              <w:rPr>
                <w:rFonts w:ascii="Franklin Gothic Book" w:hAnsi="Franklin Gothic Book"/>
              </w:rPr>
              <w:t xml:space="preserve">than a Level 1 sleep study. A Level 2 sleep study </w:t>
            </w:r>
            <w:r w:rsidR="00D1378F">
              <w:rPr>
                <w:rFonts w:ascii="Franklin Gothic Book" w:hAnsi="Franklin Gothic Book"/>
              </w:rPr>
              <w:t xml:space="preserve">is most similar to a Level 1 sleep study and records a </w:t>
            </w:r>
            <w:r w:rsidR="00C76DAA">
              <w:rPr>
                <w:rFonts w:ascii="Franklin Gothic Book" w:hAnsi="Franklin Gothic Book"/>
              </w:rPr>
              <w:t>minimum of 7</w:t>
            </w:r>
            <w:r w:rsidR="00FD1EA5">
              <w:rPr>
                <w:rFonts w:ascii="Franklin Gothic Book" w:hAnsi="Franklin Gothic Book"/>
              </w:rPr>
              <w:t xml:space="preserve"> para</w:t>
            </w:r>
            <w:r w:rsidR="00164DEA">
              <w:rPr>
                <w:rFonts w:ascii="Franklin Gothic Book" w:hAnsi="Franklin Gothic Book"/>
              </w:rPr>
              <w:t>meters</w:t>
            </w:r>
            <w:r w:rsidR="005B2AA7">
              <w:rPr>
                <w:rFonts w:ascii="Franklin Gothic Book" w:hAnsi="Franklin Gothic Book"/>
              </w:rPr>
              <w:t xml:space="preserve"> including </w:t>
            </w:r>
            <w:r w:rsidR="008E4931">
              <w:rPr>
                <w:rFonts w:ascii="Franklin Gothic Book" w:hAnsi="Franklin Gothic Book"/>
              </w:rPr>
              <w:t>breathing (airflow and respiratory movement)</w:t>
            </w:r>
            <w:r w:rsidR="00A8064C">
              <w:rPr>
                <w:rFonts w:ascii="Franklin Gothic Book" w:hAnsi="Franklin Gothic Book"/>
              </w:rPr>
              <w:t>, oxygen saturation</w:t>
            </w:r>
            <w:r w:rsidR="007F5548">
              <w:rPr>
                <w:rFonts w:ascii="Franklin Gothic Book" w:hAnsi="Franklin Gothic Book"/>
              </w:rPr>
              <w:t>, heart rate</w:t>
            </w:r>
            <w:r w:rsidR="00277F64">
              <w:rPr>
                <w:rFonts w:ascii="Franklin Gothic Book" w:hAnsi="Franklin Gothic Book"/>
              </w:rPr>
              <w:t xml:space="preserve"> and activity</w:t>
            </w:r>
            <w:r w:rsidR="007F5548">
              <w:rPr>
                <w:rFonts w:ascii="Franklin Gothic Book" w:hAnsi="Franklin Gothic Book"/>
              </w:rPr>
              <w:t>, and electrical activity of the brain. A Level 3 sleep study</w:t>
            </w:r>
            <w:r w:rsidR="00552037">
              <w:rPr>
                <w:rFonts w:ascii="Franklin Gothic Book" w:hAnsi="Franklin Gothic Book"/>
              </w:rPr>
              <w:t xml:space="preserve"> re</w:t>
            </w:r>
            <w:r w:rsidR="00A91E11">
              <w:rPr>
                <w:rFonts w:ascii="Franklin Gothic Book" w:hAnsi="Franklin Gothic Book"/>
              </w:rPr>
              <w:t xml:space="preserve">cords a </w:t>
            </w:r>
            <w:r w:rsidR="00512DBD">
              <w:rPr>
                <w:rFonts w:ascii="Franklin Gothic Book" w:hAnsi="Franklin Gothic Book"/>
              </w:rPr>
              <w:t>minimum of 4 parameters</w:t>
            </w:r>
            <w:r w:rsidR="002F232F">
              <w:rPr>
                <w:rFonts w:ascii="Franklin Gothic Book" w:hAnsi="Franklin Gothic Book"/>
              </w:rPr>
              <w:t xml:space="preserve"> </w:t>
            </w:r>
            <w:r w:rsidR="003A3576">
              <w:rPr>
                <w:rFonts w:ascii="Franklin Gothic Book" w:hAnsi="Franklin Gothic Book"/>
              </w:rPr>
              <w:t xml:space="preserve">such as </w:t>
            </w:r>
            <w:r w:rsidR="00E055FE">
              <w:rPr>
                <w:rFonts w:ascii="Franklin Gothic Book" w:hAnsi="Franklin Gothic Book"/>
              </w:rPr>
              <w:t>hear</w:t>
            </w:r>
            <w:r w:rsidR="004B6041">
              <w:rPr>
                <w:rFonts w:ascii="Franklin Gothic Book" w:hAnsi="Franklin Gothic Book"/>
              </w:rPr>
              <w:t xml:space="preserve">t rate/activity, </w:t>
            </w:r>
            <w:r w:rsidR="00EA3740">
              <w:rPr>
                <w:rFonts w:ascii="Franklin Gothic Book" w:hAnsi="Franklin Gothic Book"/>
              </w:rPr>
              <w:t>oxygen saturation and airflow but do</w:t>
            </w:r>
            <w:r w:rsidR="00C11A26">
              <w:rPr>
                <w:rFonts w:ascii="Franklin Gothic Book" w:hAnsi="Franklin Gothic Book"/>
              </w:rPr>
              <w:t>es</w:t>
            </w:r>
            <w:r w:rsidR="00EA3740">
              <w:rPr>
                <w:rFonts w:ascii="Franklin Gothic Book" w:hAnsi="Franklin Gothic Book"/>
              </w:rPr>
              <w:t xml:space="preserve"> not recor</w:t>
            </w:r>
            <w:r w:rsidR="00712B80">
              <w:rPr>
                <w:rFonts w:ascii="Franklin Gothic Book" w:hAnsi="Franklin Gothic Book"/>
              </w:rPr>
              <w:t xml:space="preserve">d </w:t>
            </w:r>
            <w:r w:rsidR="009346D2">
              <w:rPr>
                <w:rFonts w:ascii="Franklin Gothic Book" w:hAnsi="Franklin Gothic Book"/>
              </w:rPr>
              <w:t>electrical activity of the brain</w:t>
            </w:r>
            <w:r w:rsidR="00E626F1">
              <w:rPr>
                <w:rFonts w:ascii="Franklin Gothic Book" w:hAnsi="Franklin Gothic Book"/>
              </w:rPr>
              <w:t>.</w:t>
            </w:r>
          </w:p>
          <w:p w14:paraId="24E266FC" w14:textId="44847E65" w:rsidR="00FA7F0C" w:rsidRPr="00FA7F0C" w:rsidRDefault="00AC3157" w:rsidP="00EB1ECF">
            <w:pPr>
              <w:rPr>
                <w:rFonts w:ascii="Franklin Gothic Book" w:hAnsi="Franklin Gothic Book"/>
              </w:rPr>
            </w:pPr>
            <w:r>
              <w:rPr>
                <w:rFonts w:ascii="Franklin Gothic Book" w:hAnsi="Franklin Gothic Book"/>
              </w:rPr>
              <w:t xml:space="preserve">This application proposes MBS funding for </w:t>
            </w:r>
            <w:r w:rsidR="00FA7F0C" w:rsidRPr="00FA7F0C">
              <w:rPr>
                <w:rFonts w:ascii="Franklin Gothic Book" w:hAnsi="Franklin Gothic Book"/>
              </w:rPr>
              <w:t xml:space="preserve">Level 2 </w:t>
            </w:r>
            <w:r w:rsidR="005A0CE9">
              <w:rPr>
                <w:rFonts w:ascii="Franklin Gothic Book" w:hAnsi="Franklin Gothic Book"/>
              </w:rPr>
              <w:t xml:space="preserve">and Level 3 </w:t>
            </w:r>
            <w:r w:rsidR="00FA7F0C" w:rsidRPr="00FA7F0C">
              <w:rPr>
                <w:rFonts w:ascii="Franklin Gothic Book" w:hAnsi="Franklin Gothic Book"/>
              </w:rPr>
              <w:t xml:space="preserve">sleep studies. </w:t>
            </w:r>
            <w:r w:rsidR="00140FFC">
              <w:rPr>
                <w:rFonts w:ascii="Franklin Gothic Book" w:hAnsi="Franklin Gothic Book"/>
              </w:rPr>
              <w:t>A</w:t>
            </w:r>
            <w:r>
              <w:rPr>
                <w:rFonts w:ascii="Franklin Gothic Book" w:hAnsi="Franklin Gothic Book"/>
              </w:rPr>
              <w:t xml:space="preserve"> </w:t>
            </w:r>
            <w:r w:rsidR="00FA7F0C" w:rsidRPr="00FA7F0C">
              <w:rPr>
                <w:rFonts w:ascii="Franklin Gothic Book" w:hAnsi="Franklin Gothic Book"/>
              </w:rPr>
              <w:t xml:space="preserve">parent or carer would need to set the equipment up at home and place </w:t>
            </w:r>
            <w:r w:rsidR="00121B7C">
              <w:rPr>
                <w:rFonts w:ascii="Franklin Gothic Book" w:hAnsi="Franklin Gothic Book"/>
              </w:rPr>
              <w:t>sensing</w:t>
            </w:r>
            <w:r w:rsidR="00FA7F0C" w:rsidRPr="00FA7F0C">
              <w:rPr>
                <w:rFonts w:ascii="Franklin Gothic Book" w:hAnsi="Franklin Gothic Book"/>
              </w:rPr>
              <w:t xml:space="preserve"> electrodes on the child at night before bedtime. </w:t>
            </w:r>
            <w:r w:rsidR="003244E1">
              <w:rPr>
                <w:rFonts w:ascii="Franklin Gothic Book" w:hAnsi="Franklin Gothic Book"/>
              </w:rPr>
              <w:t xml:space="preserve">There is also an option for some patients to visit a local centre where staff would </w:t>
            </w:r>
            <w:r w:rsidR="00652464">
              <w:rPr>
                <w:rFonts w:ascii="Franklin Gothic Book" w:hAnsi="Franklin Gothic Book"/>
              </w:rPr>
              <w:t xml:space="preserve">place the sensing electrodes and the patient would </w:t>
            </w:r>
            <w:r w:rsidR="00C729C2">
              <w:rPr>
                <w:rFonts w:ascii="Franklin Gothic Book" w:hAnsi="Franklin Gothic Book"/>
              </w:rPr>
              <w:t xml:space="preserve">stay there overnight or </w:t>
            </w:r>
            <w:r w:rsidR="00652464">
              <w:rPr>
                <w:rFonts w:ascii="Franklin Gothic Book" w:hAnsi="Franklin Gothic Book"/>
              </w:rPr>
              <w:t>return hom</w:t>
            </w:r>
            <w:r w:rsidR="00B40705">
              <w:rPr>
                <w:rFonts w:ascii="Franklin Gothic Book" w:hAnsi="Franklin Gothic Book"/>
              </w:rPr>
              <w:t>e</w:t>
            </w:r>
            <w:r w:rsidR="00925B3D">
              <w:rPr>
                <w:rFonts w:ascii="Franklin Gothic Book" w:hAnsi="Franklin Gothic Book"/>
              </w:rPr>
              <w:t xml:space="preserve"> to do the </w:t>
            </w:r>
            <w:r w:rsidR="00F2682F">
              <w:rPr>
                <w:rFonts w:ascii="Franklin Gothic Book" w:hAnsi="Franklin Gothic Book"/>
              </w:rPr>
              <w:t xml:space="preserve">Level 2 </w:t>
            </w:r>
            <w:r w:rsidR="004671B0">
              <w:rPr>
                <w:rFonts w:ascii="Franklin Gothic Book" w:hAnsi="Franklin Gothic Book"/>
              </w:rPr>
              <w:t xml:space="preserve">or 3 </w:t>
            </w:r>
            <w:r w:rsidR="00925B3D">
              <w:rPr>
                <w:rFonts w:ascii="Franklin Gothic Book" w:hAnsi="Franklin Gothic Book"/>
              </w:rPr>
              <w:t>sleep study</w:t>
            </w:r>
            <w:r w:rsidR="009E0C99">
              <w:rPr>
                <w:rFonts w:ascii="Franklin Gothic Book" w:hAnsi="Franklin Gothic Book"/>
              </w:rPr>
              <w:t xml:space="preserve">. </w:t>
            </w:r>
          </w:p>
          <w:p w14:paraId="1C95A505" w14:textId="33773D6E" w:rsidR="00FA7F0C" w:rsidRPr="00FA7F0C" w:rsidRDefault="43C5904E" w:rsidP="00EB1ECF">
            <w:pPr>
              <w:rPr>
                <w:rFonts w:ascii="Franklin Gothic Book" w:hAnsi="Franklin Gothic Book"/>
              </w:rPr>
            </w:pPr>
            <w:r w:rsidRPr="43E75038">
              <w:rPr>
                <w:rFonts w:ascii="Franklin Gothic Book" w:hAnsi="Franklin Gothic Book"/>
              </w:rPr>
              <w:t xml:space="preserve">This application was for three different populations. One population was children and adolescents </w:t>
            </w:r>
            <w:r w:rsidR="428376D7" w:rsidRPr="43E75038">
              <w:rPr>
                <w:rFonts w:ascii="Franklin Gothic Book" w:hAnsi="Franklin Gothic Book"/>
              </w:rPr>
              <w:t xml:space="preserve">with an otherwise uncomplicated medical history </w:t>
            </w:r>
            <w:r w:rsidRPr="43E75038">
              <w:rPr>
                <w:rFonts w:ascii="Franklin Gothic Book" w:hAnsi="Franklin Gothic Book"/>
              </w:rPr>
              <w:t>who needed a sleep study</w:t>
            </w:r>
            <w:r w:rsidR="6D580978" w:rsidRPr="43E75038">
              <w:rPr>
                <w:rFonts w:ascii="Franklin Gothic Book" w:hAnsi="Franklin Gothic Book"/>
              </w:rPr>
              <w:t xml:space="preserve"> </w:t>
            </w:r>
            <w:r w:rsidR="49B44B6D" w:rsidRPr="43E75038">
              <w:rPr>
                <w:rFonts w:ascii="Franklin Gothic Book" w:hAnsi="Franklin Gothic Book"/>
              </w:rPr>
              <w:t xml:space="preserve">to confirm suspected </w:t>
            </w:r>
            <w:r w:rsidR="62A9975B" w:rsidRPr="43E75038">
              <w:rPr>
                <w:rFonts w:ascii="Franklin Gothic Book" w:hAnsi="Franklin Gothic Book"/>
              </w:rPr>
              <w:t>OSA</w:t>
            </w:r>
            <w:r w:rsidRPr="43E75038">
              <w:rPr>
                <w:rFonts w:ascii="Franklin Gothic Book" w:hAnsi="Franklin Gothic Book"/>
              </w:rPr>
              <w:t xml:space="preserve">. </w:t>
            </w:r>
            <w:r w:rsidR="5A16AE15" w:rsidRPr="43E75038">
              <w:rPr>
                <w:rFonts w:ascii="Franklin Gothic Book" w:hAnsi="Franklin Gothic Book"/>
              </w:rPr>
              <w:t>It was proposed that t</w:t>
            </w:r>
            <w:r w:rsidRPr="43E75038">
              <w:rPr>
                <w:rFonts w:ascii="Franklin Gothic Book" w:hAnsi="Franklin Gothic Book"/>
              </w:rPr>
              <w:t xml:space="preserve">hese patients </w:t>
            </w:r>
            <w:r w:rsidR="0863FF78" w:rsidRPr="43E75038">
              <w:rPr>
                <w:rFonts w:ascii="Franklin Gothic Book" w:hAnsi="Franklin Gothic Book"/>
              </w:rPr>
              <w:t>could</w:t>
            </w:r>
            <w:r w:rsidRPr="43E75038">
              <w:rPr>
                <w:rFonts w:ascii="Franklin Gothic Book" w:hAnsi="Franklin Gothic Book"/>
              </w:rPr>
              <w:t xml:space="preserve"> access a</w:t>
            </w:r>
            <w:r w:rsidR="079D3FC7" w:rsidRPr="43E75038">
              <w:rPr>
                <w:rFonts w:ascii="Franklin Gothic Book" w:hAnsi="Franklin Gothic Book"/>
              </w:rPr>
              <w:t>n out-of-laboratory</w:t>
            </w:r>
            <w:r w:rsidRPr="43E75038">
              <w:rPr>
                <w:rFonts w:ascii="Franklin Gothic Book" w:hAnsi="Franklin Gothic Book"/>
              </w:rPr>
              <w:t xml:space="preserve">  Level 2 sleep study. </w:t>
            </w:r>
            <w:r w:rsidR="011E4189" w:rsidRPr="43E75038">
              <w:rPr>
                <w:rFonts w:ascii="Franklin Gothic Book" w:hAnsi="Franklin Gothic Book"/>
              </w:rPr>
              <w:t>For t</w:t>
            </w:r>
            <w:r w:rsidRPr="43E75038">
              <w:rPr>
                <w:rFonts w:ascii="Franklin Gothic Book" w:hAnsi="Franklin Gothic Book"/>
              </w:rPr>
              <w:t>he other two populations</w:t>
            </w:r>
            <w:r w:rsidR="70D9239A" w:rsidRPr="43E75038">
              <w:rPr>
                <w:rFonts w:ascii="Franklin Gothic Book" w:hAnsi="Franklin Gothic Book"/>
              </w:rPr>
              <w:t xml:space="preserve"> (children and adolescents intolerant of Level 1 or 2 sleep studies who needed a sleep study to confirm suspected OSA and </w:t>
            </w:r>
            <w:r w:rsidR="19A1A194" w:rsidRPr="43E75038">
              <w:rPr>
                <w:rFonts w:ascii="Franklin Gothic Book" w:hAnsi="Franklin Gothic Book"/>
              </w:rPr>
              <w:t>children and adolescents who have treated OSA and need monitoring)</w:t>
            </w:r>
            <w:r w:rsidR="70D9239A" w:rsidRPr="43E75038">
              <w:rPr>
                <w:rFonts w:ascii="Franklin Gothic Book" w:hAnsi="Franklin Gothic Book"/>
              </w:rPr>
              <w:t xml:space="preserve"> </w:t>
            </w:r>
            <w:r w:rsidRPr="43E75038">
              <w:rPr>
                <w:rFonts w:ascii="Franklin Gothic Book" w:hAnsi="Franklin Gothic Book"/>
              </w:rPr>
              <w:t xml:space="preserve"> </w:t>
            </w:r>
            <w:r w:rsidR="011E4189" w:rsidRPr="43E75038">
              <w:rPr>
                <w:rFonts w:ascii="Franklin Gothic Book" w:hAnsi="Franklin Gothic Book"/>
              </w:rPr>
              <w:t xml:space="preserve">it was proposed that they </w:t>
            </w:r>
            <w:r w:rsidRPr="43E75038">
              <w:rPr>
                <w:rFonts w:ascii="Franklin Gothic Book" w:hAnsi="Franklin Gothic Book"/>
              </w:rPr>
              <w:t>would be able to access a</w:t>
            </w:r>
            <w:r w:rsidR="079D3FC7" w:rsidRPr="43E75038">
              <w:rPr>
                <w:rFonts w:ascii="Franklin Gothic Book" w:hAnsi="Franklin Gothic Book"/>
              </w:rPr>
              <w:t>n out-of</w:t>
            </w:r>
            <w:r w:rsidR="571B2F8D" w:rsidRPr="43E75038">
              <w:rPr>
                <w:rFonts w:ascii="Franklin Gothic Book" w:hAnsi="Franklin Gothic Book"/>
              </w:rPr>
              <w:t>-laboratory</w:t>
            </w:r>
            <w:r w:rsidRPr="43E75038">
              <w:rPr>
                <w:rFonts w:ascii="Franklin Gothic Book" w:hAnsi="Franklin Gothic Book"/>
              </w:rPr>
              <w:t xml:space="preserve">  Level 3 sleep study.</w:t>
            </w:r>
          </w:p>
          <w:p w14:paraId="33E871A1" w14:textId="0D84AA15" w:rsidR="00FA7F0C" w:rsidRPr="00FA7F0C" w:rsidRDefault="43C5904E" w:rsidP="00EB1ECF">
            <w:pPr>
              <w:rPr>
                <w:rFonts w:ascii="Franklin Gothic Book" w:hAnsi="Franklin Gothic Book"/>
              </w:rPr>
            </w:pPr>
            <w:r w:rsidRPr="43E75038">
              <w:rPr>
                <w:rFonts w:ascii="Franklin Gothic Book" w:hAnsi="Franklin Gothic Book"/>
              </w:rPr>
              <w:t xml:space="preserve">MSAC did not support listing </w:t>
            </w:r>
            <w:r w:rsidR="571B2F8D" w:rsidRPr="43E75038">
              <w:rPr>
                <w:rFonts w:ascii="Franklin Gothic Book" w:hAnsi="Franklin Gothic Book"/>
              </w:rPr>
              <w:t xml:space="preserve">out-of-laboratory </w:t>
            </w:r>
            <w:r w:rsidRPr="43E75038">
              <w:rPr>
                <w:rFonts w:ascii="Franklin Gothic Book" w:hAnsi="Franklin Gothic Book"/>
              </w:rPr>
              <w:t>Level 2 sleep studies</w:t>
            </w:r>
            <w:r w:rsidR="6C779212" w:rsidRPr="43E75038">
              <w:rPr>
                <w:rFonts w:ascii="Franklin Gothic Book" w:hAnsi="Franklin Gothic Book"/>
              </w:rPr>
              <w:t xml:space="preserve"> for </w:t>
            </w:r>
            <w:r w:rsidR="00B70A86">
              <w:rPr>
                <w:rFonts w:ascii="Franklin Gothic Book" w:hAnsi="Franklin Gothic Book"/>
              </w:rPr>
              <w:t>the proposed population</w:t>
            </w:r>
            <w:r w:rsidRPr="43E75038">
              <w:rPr>
                <w:rFonts w:ascii="Franklin Gothic Book" w:hAnsi="Franklin Gothic Book"/>
              </w:rPr>
              <w:t>. MSAC acknowledged that there are currently long waiting times to access Level 1 sleep studies, but i</w:t>
            </w:r>
            <w:r w:rsidRPr="000A798B">
              <w:rPr>
                <w:rFonts w:ascii="Franklin Gothic Book" w:hAnsi="Franklin Gothic Book"/>
              </w:rPr>
              <w:t>t was unclear from the application how a home-based Level 2 study would help decrease waiting times.</w:t>
            </w:r>
            <w:r w:rsidRPr="43E75038">
              <w:rPr>
                <w:rFonts w:ascii="Franklin Gothic Book" w:hAnsi="Franklin Gothic Book"/>
              </w:rPr>
              <w:t xml:space="preserve"> This is because the application stated that a paediatric sleep physician would need to refer a patient to the Level 2 study, but there appears to be a </w:t>
            </w:r>
            <w:r w:rsidRPr="43E75038">
              <w:rPr>
                <w:rFonts w:ascii="Franklin Gothic Book" w:hAnsi="Franklin Gothic Book"/>
              </w:rPr>
              <w:lastRenderedPageBreak/>
              <w:t xml:space="preserve">shortage of these clinicians, meaning patients would still have to wait. Further, MSAC was concerned that the application did not consider all costs of the service, which means families could face large out-of-pocket costs. The application also did not consider factors such as </w:t>
            </w:r>
            <w:r w:rsidR="155C29CD" w:rsidRPr="43E75038">
              <w:rPr>
                <w:rFonts w:ascii="Franklin Gothic Book" w:hAnsi="Franklin Gothic Book"/>
              </w:rPr>
              <w:t xml:space="preserve">barriers to </w:t>
            </w:r>
            <w:r w:rsidRPr="43E75038">
              <w:rPr>
                <w:rFonts w:ascii="Franklin Gothic Book" w:hAnsi="Franklin Gothic Book"/>
              </w:rPr>
              <w:t xml:space="preserve">telehealth access, patients with disability, families who had low English proficiency, and Aboriginal and Torres Strait Islander cultural needs. </w:t>
            </w:r>
            <w:r w:rsidRPr="000A798B">
              <w:rPr>
                <w:rFonts w:ascii="Franklin Gothic Book" w:hAnsi="Franklin Gothic Book"/>
              </w:rPr>
              <w:t>MSAC wanted to see more information about how these factors would be resolved before it could make a recommendation on Level 2 sleep studies.</w:t>
            </w:r>
            <w:r w:rsidRPr="43E75038">
              <w:rPr>
                <w:rFonts w:ascii="Franklin Gothic Book" w:hAnsi="Franklin Gothic Book"/>
              </w:rPr>
              <w:t xml:space="preserve"> </w:t>
            </w:r>
          </w:p>
          <w:p w14:paraId="775C0BE5" w14:textId="357DA67F" w:rsidR="00FA7F0C" w:rsidRPr="00FA7F0C" w:rsidRDefault="43C5904E" w:rsidP="00EB1ECF">
            <w:pPr>
              <w:rPr>
                <w:rFonts w:ascii="Franklin Gothic Book" w:hAnsi="Franklin Gothic Book"/>
              </w:rPr>
            </w:pPr>
            <w:r w:rsidRPr="43E75038">
              <w:rPr>
                <w:rFonts w:ascii="Franklin Gothic Book" w:hAnsi="Franklin Gothic Book"/>
              </w:rPr>
              <w:t xml:space="preserve">MSAC did not support listing </w:t>
            </w:r>
            <w:r w:rsidR="67BF941A" w:rsidRPr="43E75038">
              <w:rPr>
                <w:rFonts w:ascii="Franklin Gothic Book" w:hAnsi="Franklin Gothic Book"/>
              </w:rPr>
              <w:t>out-of-laboratory</w:t>
            </w:r>
            <w:r w:rsidRPr="43E75038">
              <w:rPr>
                <w:rFonts w:ascii="Franklin Gothic Book" w:hAnsi="Franklin Gothic Book"/>
              </w:rPr>
              <w:t xml:space="preserve"> Level 3 sleep studies for </w:t>
            </w:r>
            <w:r w:rsidR="00B70A86">
              <w:rPr>
                <w:rFonts w:ascii="Franklin Gothic Book" w:hAnsi="Franklin Gothic Book"/>
              </w:rPr>
              <w:t>either of the proposed</w:t>
            </w:r>
            <w:r w:rsidRPr="43E75038">
              <w:rPr>
                <w:rFonts w:ascii="Franklin Gothic Book" w:hAnsi="Franklin Gothic Book"/>
              </w:rPr>
              <w:t xml:space="preserve"> population</w:t>
            </w:r>
            <w:r w:rsidR="00B70A86">
              <w:rPr>
                <w:rFonts w:ascii="Franklin Gothic Book" w:hAnsi="Franklin Gothic Book"/>
              </w:rPr>
              <w:t>s</w:t>
            </w:r>
            <w:r w:rsidRPr="43E75038">
              <w:rPr>
                <w:rFonts w:ascii="Franklin Gothic Book" w:hAnsi="Franklin Gothic Book"/>
              </w:rPr>
              <w:t xml:space="preserve">. MSAC considered that </w:t>
            </w:r>
            <w:r w:rsidR="29C7530D" w:rsidRPr="43E75038">
              <w:rPr>
                <w:rFonts w:ascii="Franklin Gothic Book" w:hAnsi="Franklin Gothic Book"/>
              </w:rPr>
              <w:t xml:space="preserve">there was no research available </w:t>
            </w:r>
            <w:r w:rsidR="712A1460" w:rsidRPr="43E75038">
              <w:rPr>
                <w:rFonts w:ascii="Franklin Gothic Book" w:hAnsi="Franklin Gothic Book"/>
              </w:rPr>
              <w:t xml:space="preserve">to show that </w:t>
            </w:r>
            <w:r w:rsidR="7D51E47F" w:rsidRPr="43E75038">
              <w:rPr>
                <w:rFonts w:ascii="Franklin Gothic Book" w:hAnsi="Franklin Gothic Book"/>
              </w:rPr>
              <w:t>Level 3 sleep</w:t>
            </w:r>
            <w:r w:rsidRPr="43E75038">
              <w:rPr>
                <w:rFonts w:ascii="Franklin Gothic Book" w:hAnsi="Franklin Gothic Book"/>
              </w:rPr>
              <w:t xml:space="preserve"> studies</w:t>
            </w:r>
            <w:r w:rsidR="4A15F113" w:rsidRPr="43E75038">
              <w:rPr>
                <w:rFonts w:ascii="Franklin Gothic Book" w:hAnsi="Franklin Gothic Book"/>
              </w:rPr>
              <w:t xml:space="preserve"> produced accurate results</w:t>
            </w:r>
            <w:r w:rsidR="06E6EB70" w:rsidRPr="43E75038">
              <w:rPr>
                <w:rFonts w:ascii="Franklin Gothic Book" w:hAnsi="Franklin Gothic Book"/>
              </w:rPr>
              <w:t xml:space="preserve">. </w:t>
            </w:r>
            <w:r w:rsidR="5CCE7297" w:rsidRPr="43E75038">
              <w:rPr>
                <w:rFonts w:ascii="Franklin Gothic Book" w:hAnsi="Franklin Gothic Book"/>
              </w:rPr>
              <w:t xml:space="preserve">Level 3 sleep studies did </w:t>
            </w:r>
            <w:r w:rsidR="0389E5B9" w:rsidRPr="43E75038">
              <w:rPr>
                <w:rFonts w:ascii="Franklin Gothic Book" w:hAnsi="Franklin Gothic Book"/>
              </w:rPr>
              <w:t>not</w:t>
            </w:r>
            <w:r w:rsidRPr="43E75038">
              <w:rPr>
                <w:rFonts w:ascii="Franklin Gothic Book" w:hAnsi="Franklin Gothic Book"/>
              </w:rPr>
              <w:t xml:space="preserve"> </w:t>
            </w:r>
            <w:r w:rsidR="0389E5B9" w:rsidRPr="43E75038">
              <w:rPr>
                <w:rFonts w:ascii="Franklin Gothic Book" w:hAnsi="Franklin Gothic Book"/>
              </w:rPr>
              <w:t xml:space="preserve">present </w:t>
            </w:r>
            <w:r w:rsidRPr="43E75038">
              <w:rPr>
                <w:rFonts w:ascii="Franklin Gothic Book" w:hAnsi="Franklin Gothic Book"/>
              </w:rPr>
              <w:t xml:space="preserve">good value for money. MSAC considered that the benefits claimed in the application would not be realised, and that listing </w:t>
            </w:r>
            <w:r w:rsidR="39AEA87B" w:rsidRPr="43E75038">
              <w:rPr>
                <w:rFonts w:ascii="Franklin Gothic Book" w:hAnsi="Franklin Gothic Book"/>
              </w:rPr>
              <w:t xml:space="preserve">Level 3 sleep studies </w:t>
            </w:r>
            <w:r w:rsidRPr="43E75038">
              <w:rPr>
                <w:rFonts w:ascii="Franklin Gothic Book" w:hAnsi="Franklin Gothic Book"/>
              </w:rPr>
              <w:t>may lead to unnecessary sleep studies for monitoring</w:t>
            </w:r>
            <w:r w:rsidR="374055B3" w:rsidRPr="43E75038">
              <w:rPr>
                <w:rFonts w:ascii="Franklin Gothic Book" w:hAnsi="Franklin Gothic Book"/>
              </w:rPr>
              <w:t>.</w:t>
            </w:r>
            <w:r w:rsidRPr="43E75038">
              <w:rPr>
                <w:rFonts w:ascii="Franklin Gothic Book" w:hAnsi="Franklin Gothic Book"/>
              </w:rPr>
              <w:t xml:space="preserve"> Also, the populations that are proposed to access these studies are difficult to define, meaning more people </w:t>
            </w:r>
            <w:r w:rsidR="4CFA4AC6" w:rsidRPr="43E75038">
              <w:rPr>
                <w:rFonts w:ascii="Franklin Gothic Book" w:hAnsi="Franklin Gothic Book"/>
              </w:rPr>
              <w:t>may end up</w:t>
            </w:r>
            <w:r w:rsidRPr="43E75038">
              <w:rPr>
                <w:rFonts w:ascii="Franklin Gothic Book" w:hAnsi="Franklin Gothic Book"/>
              </w:rPr>
              <w:t xml:space="preserve"> us</w:t>
            </w:r>
            <w:r w:rsidR="4CFA4AC6" w:rsidRPr="43E75038">
              <w:rPr>
                <w:rFonts w:ascii="Franklin Gothic Book" w:hAnsi="Franklin Gothic Book"/>
              </w:rPr>
              <w:t>ing</w:t>
            </w:r>
            <w:r w:rsidRPr="43E75038">
              <w:rPr>
                <w:rFonts w:ascii="Franklin Gothic Book" w:hAnsi="Franklin Gothic Book"/>
              </w:rPr>
              <w:t xml:space="preserve"> them than intended. MSAC did not support </w:t>
            </w:r>
            <w:r w:rsidR="4DA2958D" w:rsidRPr="43E75038">
              <w:rPr>
                <w:rFonts w:ascii="Franklin Gothic Book" w:hAnsi="Franklin Gothic Book"/>
              </w:rPr>
              <w:t>Level 3 sleep studies</w:t>
            </w:r>
            <w:r w:rsidRPr="43E75038">
              <w:rPr>
                <w:rFonts w:ascii="Franklin Gothic Book" w:hAnsi="Franklin Gothic Book"/>
              </w:rPr>
              <w:t xml:space="preserve"> for similar reasons when it considered its use in the adult population in 2010.</w:t>
            </w:r>
          </w:p>
          <w:p w14:paraId="72824913" w14:textId="155DC492" w:rsidR="000E523A" w:rsidRPr="00FA61D1" w:rsidRDefault="00FA7F0C" w:rsidP="00934B9E">
            <w:pPr>
              <w:keepNext/>
              <w:keepLines/>
              <w:spacing w:before="40" w:after="120" w:line="259" w:lineRule="auto"/>
              <w:outlineLvl w:val="2"/>
              <w:rPr>
                <w:rFonts w:ascii="Franklin Gothic Medium" w:eastAsiaTheme="majorEastAsia" w:hAnsi="Franklin Gothic Medium" w:cstheme="majorBidi"/>
                <w:sz w:val="24"/>
                <w:szCs w:val="24"/>
              </w:rPr>
            </w:pPr>
            <w:r w:rsidRPr="00FA61D1">
              <w:rPr>
                <w:rFonts w:ascii="Franklin Gothic Medium" w:eastAsiaTheme="majorEastAsia" w:hAnsi="Franklin Gothic Medium" w:cstheme="majorBidi"/>
                <w:sz w:val="24"/>
                <w:szCs w:val="24"/>
              </w:rPr>
              <w:t xml:space="preserve">MSAC’s advice to the </w:t>
            </w:r>
            <w:proofErr w:type="gramStart"/>
            <w:r w:rsidRPr="00FA61D1">
              <w:rPr>
                <w:rFonts w:ascii="Franklin Gothic Medium" w:eastAsiaTheme="majorEastAsia" w:hAnsi="Franklin Gothic Medium" w:cstheme="majorBidi"/>
                <w:sz w:val="24"/>
                <w:szCs w:val="24"/>
              </w:rPr>
              <w:t>Commonwealth Minister</w:t>
            </w:r>
            <w:proofErr w:type="gramEnd"/>
            <w:r w:rsidRPr="00FA61D1">
              <w:rPr>
                <w:rFonts w:ascii="Franklin Gothic Medium" w:eastAsiaTheme="majorEastAsia" w:hAnsi="Franklin Gothic Medium" w:cstheme="majorBidi"/>
                <w:sz w:val="24"/>
                <w:szCs w:val="24"/>
              </w:rPr>
              <w:t xml:space="preserve"> for Health</w:t>
            </w:r>
            <w:r w:rsidR="00EB1ECF" w:rsidRPr="00FA61D1">
              <w:rPr>
                <w:rFonts w:ascii="Franklin Gothic Medium" w:eastAsiaTheme="majorEastAsia" w:hAnsi="Franklin Gothic Medium" w:cstheme="majorBidi"/>
                <w:sz w:val="24"/>
                <w:szCs w:val="24"/>
              </w:rPr>
              <w:t xml:space="preserve"> and Aged Care</w:t>
            </w:r>
          </w:p>
          <w:p w14:paraId="60F28D3B" w14:textId="306918D3" w:rsidR="00FA7F0C" w:rsidRPr="00FA7F0C" w:rsidRDefault="00FA7F0C" w:rsidP="00EB1ECF">
            <w:pPr>
              <w:rPr>
                <w:rFonts w:ascii="Franklin Gothic Book" w:hAnsi="Franklin Gothic Book"/>
              </w:rPr>
            </w:pPr>
            <w:r w:rsidRPr="00FA7F0C">
              <w:rPr>
                <w:rFonts w:ascii="Franklin Gothic Book" w:hAnsi="Franklin Gothic Book"/>
              </w:rPr>
              <w:t xml:space="preserve">MSAC did not support listing Level 2 sleep studies. MSAC asked the applicant for clarification on the complete costs of the service and how out-of-pocket costs would be reduced; and how this service would be accessed by, for example, people with disabilities or low English proficiency, families living regionally or remotely, </w:t>
            </w:r>
            <w:r w:rsidR="00C11A26">
              <w:rPr>
                <w:rFonts w:ascii="Franklin Gothic Book" w:hAnsi="Franklin Gothic Book"/>
              </w:rPr>
              <w:t>and</w:t>
            </w:r>
            <w:r w:rsidRPr="00FA7F0C">
              <w:rPr>
                <w:rFonts w:ascii="Franklin Gothic Book" w:hAnsi="Franklin Gothic Book"/>
              </w:rPr>
              <w:t xml:space="preserve"> Aboriginal and Torres Strait Islander families. </w:t>
            </w:r>
          </w:p>
          <w:p w14:paraId="5420FC7B" w14:textId="77777777" w:rsidR="00FA7F0C" w:rsidRPr="00FA7F0C" w:rsidRDefault="00FA7F0C" w:rsidP="00EB1ECF">
            <w:r w:rsidRPr="00FA7F0C">
              <w:rPr>
                <w:rFonts w:ascii="Franklin Gothic Book" w:hAnsi="Franklin Gothic Book"/>
              </w:rPr>
              <w:t>MSAC did not support Level 3 sleep studies because it did not consider them to be effective, safe or good value for money.</w:t>
            </w:r>
          </w:p>
        </w:tc>
      </w:tr>
    </w:tbl>
    <w:p w14:paraId="7501A445" w14:textId="77777777" w:rsidR="00642CDC" w:rsidRDefault="00642CDC" w:rsidP="00642CDC">
      <w:pPr>
        <w:pStyle w:val="Heading2"/>
        <w:numPr>
          <w:ilvl w:val="1"/>
          <w:numId w:val="0"/>
        </w:numPr>
      </w:pPr>
      <w:r>
        <w:lastRenderedPageBreak/>
        <w:t>3.</w:t>
      </w:r>
      <w:r>
        <w:tab/>
        <w:t>Summary of consideration and rationale for MSAC’s advice</w:t>
      </w:r>
    </w:p>
    <w:p w14:paraId="4047A089" w14:textId="66C5DB9C" w:rsidR="00594927" w:rsidRPr="00594927" w:rsidRDefault="00594927" w:rsidP="00594927">
      <w:pPr>
        <w:rPr>
          <w:rFonts w:ascii="Franklin Gothic Book" w:hAnsi="Franklin Gothic Book"/>
          <w:iCs/>
        </w:rPr>
      </w:pPr>
      <w:r w:rsidRPr="00594927">
        <w:rPr>
          <w:rFonts w:ascii="Franklin Gothic Book" w:hAnsi="Franklin Gothic Book"/>
          <w:iCs/>
        </w:rPr>
        <w:t xml:space="preserve">MSAC noted that this application from the Australasian Sleep Association (ASA) </w:t>
      </w:r>
      <w:r w:rsidR="00947FC2">
        <w:rPr>
          <w:rFonts w:ascii="Franklin Gothic Book" w:hAnsi="Franklin Gothic Book"/>
          <w:iCs/>
        </w:rPr>
        <w:t>sought</w:t>
      </w:r>
      <w:r w:rsidRPr="00594927">
        <w:rPr>
          <w:rFonts w:ascii="Franklin Gothic Book" w:hAnsi="Franklin Gothic Book"/>
          <w:iCs/>
        </w:rPr>
        <w:t xml:space="preserve"> MBS listing of out-of-laboratory sleep studies (Levels 2 and 3) for investigation of SDB in children and adolescents (aged 3 to &lt;18 years).</w:t>
      </w:r>
    </w:p>
    <w:p w14:paraId="16E6746D" w14:textId="24919D30" w:rsidR="00594927" w:rsidRPr="00594927" w:rsidRDefault="00594927" w:rsidP="00594927">
      <w:pPr>
        <w:rPr>
          <w:rFonts w:ascii="Franklin Gothic Book" w:hAnsi="Franklin Gothic Book"/>
          <w:iCs/>
        </w:rPr>
      </w:pPr>
      <w:r w:rsidRPr="00594927">
        <w:rPr>
          <w:rFonts w:ascii="Franklin Gothic Book" w:hAnsi="Franklin Gothic Book"/>
          <w:iCs/>
        </w:rPr>
        <w:t xml:space="preserve">MSAC recalled that, in 2010, it did not support Level 3 and Level 4 sleep studies for adults, or any </w:t>
      </w:r>
      <w:r w:rsidR="00681A32">
        <w:rPr>
          <w:rFonts w:ascii="Franklin Gothic Book" w:hAnsi="Franklin Gothic Book"/>
          <w:iCs/>
        </w:rPr>
        <w:t xml:space="preserve">out-of-laboratory </w:t>
      </w:r>
      <w:r w:rsidRPr="00594927">
        <w:rPr>
          <w:rFonts w:ascii="Franklin Gothic Book" w:hAnsi="Franklin Gothic Book"/>
          <w:iCs/>
        </w:rPr>
        <w:t>paediatric sleep studies (</w:t>
      </w:r>
      <w:hyperlink r:id="rId9" w:history="1">
        <w:r w:rsidRPr="00594927">
          <w:rPr>
            <w:rStyle w:val="Hyperlink"/>
            <w:rFonts w:ascii="Franklin Gothic Book" w:hAnsi="Franklin Gothic Book"/>
            <w:iCs/>
          </w:rPr>
          <w:t>application 1130</w:t>
        </w:r>
      </w:hyperlink>
      <w:r w:rsidRPr="00594927">
        <w:rPr>
          <w:rFonts w:ascii="Franklin Gothic Book" w:hAnsi="Franklin Gothic Book"/>
          <w:iCs/>
        </w:rPr>
        <w:t xml:space="preserve">), because there was a lack of comparative evidence and sparse linked evidence to indicate the effectiveness of </w:t>
      </w:r>
      <w:r w:rsidR="00681A32">
        <w:rPr>
          <w:rFonts w:ascii="Franklin Gothic Book" w:hAnsi="Franklin Gothic Book"/>
          <w:iCs/>
        </w:rPr>
        <w:t xml:space="preserve">out-of-laboratory </w:t>
      </w:r>
      <w:r w:rsidRPr="00594927">
        <w:rPr>
          <w:rFonts w:ascii="Franklin Gothic Book" w:hAnsi="Franklin Gothic Book"/>
          <w:iCs/>
        </w:rPr>
        <w:t>sleep studies for a paediatric population compared to Level 1 sleep studies.</w:t>
      </w:r>
    </w:p>
    <w:p w14:paraId="220D3D1C" w14:textId="00C36A9F" w:rsidR="00594927" w:rsidRPr="00594927" w:rsidRDefault="00594927" w:rsidP="00594927">
      <w:pPr>
        <w:rPr>
          <w:rFonts w:ascii="Franklin Gothic Book" w:hAnsi="Franklin Gothic Book"/>
          <w:iCs/>
        </w:rPr>
      </w:pPr>
      <w:r w:rsidRPr="00594927">
        <w:rPr>
          <w:rFonts w:ascii="Franklin Gothic Book" w:hAnsi="Franklin Gothic Book"/>
          <w:iCs/>
        </w:rPr>
        <w:t>MSAC noted the most common form of SDB is obstructive sleep apnoea (OSA; prevalence of 1–5%), which disrupts sleep quality and cardiorespiratory physiology. The most common cause of OSA is enlarged tonsils and adenoids, and common treatments include surgery (</w:t>
      </w:r>
      <w:r w:rsidR="00D61EE2">
        <w:rPr>
          <w:rFonts w:ascii="Franklin Gothic Book" w:hAnsi="Franklin Gothic Book"/>
          <w:iCs/>
        </w:rPr>
        <w:t xml:space="preserve">most commonly </w:t>
      </w:r>
      <w:r w:rsidRPr="00594927">
        <w:rPr>
          <w:rFonts w:ascii="Franklin Gothic Book" w:hAnsi="Franklin Gothic Book"/>
          <w:iCs/>
        </w:rPr>
        <w:t>adenotonsillectomies), intranasal sprays, dental appliances and weight loss.</w:t>
      </w:r>
    </w:p>
    <w:p w14:paraId="70EE27E5" w14:textId="4AEA2374" w:rsidR="00594927" w:rsidRPr="00594927" w:rsidRDefault="00594927" w:rsidP="00594927">
      <w:pPr>
        <w:rPr>
          <w:rFonts w:ascii="Franklin Gothic Book" w:hAnsi="Franklin Gothic Book"/>
          <w:iCs/>
        </w:rPr>
      </w:pPr>
      <w:r w:rsidRPr="00594927">
        <w:rPr>
          <w:rFonts w:ascii="Franklin Gothic Book" w:hAnsi="Franklin Gothic Book"/>
          <w:iCs/>
        </w:rPr>
        <w:t>MSAC noted that the gold standard to diagnose and quantify SDB is in-laboratory polysomnography (</w:t>
      </w:r>
      <w:r w:rsidR="00CA733E">
        <w:rPr>
          <w:rFonts w:ascii="Franklin Gothic Book" w:hAnsi="Franklin Gothic Book"/>
          <w:iCs/>
        </w:rPr>
        <w:t xml:space="preserve">Level 1 </w:t>
      </w:r>
      <w:r w:rsidRPr="00594927">
        <w:rPr>
          <w:rFonts w:ascii="Franklin Gothic Book" w:hAnsi="Franklin Gothic Book"/>
          <w:iCs/>
        </w:rPr>
        <w:t xml:space="preserve">PSG) studies. However, </w:t>
      </w:r>
      <w:r w:rsidR="00813E9D">
        <w:rPr>
          <w:rFonts w:ascii="Franklin Gothic Book" w:hAnsi="Franklin Gothic Book"/>
          <w:iCs/>
        </w:rPr>
        <w:t>Level 1 PSG</w:t>
      </w:r>
      <w:r w:rsidRPr="00594927">
        <w:rPr>
          <w:rFonts w:ascii="Franklin Gothic Book" w:hAnsi="Franklin Gothic Book"/>
          <w:iCs/>
        </w:rPr>
        <w:t xml:space="preserve"> studies are not readily available due to long waiting lists, are time consuming</w:t>
      </w:r>
      <w:r w:rsidR="00C11A26">
        <w:rPr>
          <w:rFonts w:ascii="Franklin Gothic Book" w:hAnsi="Franklin Gothic Book"/>
          <w:iCs/>
        </w:rPr>
        <w:t>,</w:t>
      </w:r>
      <w:r w:rsidRPr="00594927">
        <w:rPr>
          <w:rFonts w:ascii="Franklin Gothic Book" w:hAnsi="Franklin Gothic Book"/>
          <w:iCs/>
        </w:rPr>
        <w:t xml:space="preserve"> often require travel to metropolitan centres, and they should be prioritised for those with highest need</w:t>
      </w:r>
      <w:r w:rsidR="00B158F0">
        <w:rPr>
          <w:rFonts w:ascii="Franklin Gothic Book" w:hAnsi="Franklin Gothic Book"/>
          <w:iCs/>
        </w:rPr>
        <w:t xml:space="preserve">, </w:t>
      </w:r>
      <w:r w:rsidR="00B158F0" w:rsidRPr="00B158F0">
        <w:rPr>
          <w:rFonts w:ascii="Franklin Gothic Book" w:hAnsi="Franklin Gothic Book"/>
          <w:iCs/>
        </w:rPr>
        <w:t>particularly those with underlying medical conditions, those younger than two or three years of age, and those in whom severe OSA is suspected</w:t>
      </w:r>
      <w:r w:rsidRPr="00594927">
        <w:rPr>
          <w:rFonts w:ascii="Franklin Gothic Book" w:hAnsi="Franklin Gothic Book"/>
          <w:iCs/>
        </w:rPr>
        <w:t>. MSAC noted the applicant’s claim that listing will improve access to sleep monitoring services</w:t>
      </w:r>
      <w:r w:rsidR="004071A4">
        <w:rPr>
          <w:rFonts w:ascii="Franklin Gothic Book" w:hAnsi="Franklin Gothic Book"/>
          <w:iCs/>
        </w:rPr>
        <w:t xml:space="preserve"> (including for rural patients)</w:t>
      </w:r>
      <w:r w:rsidRPr="00594927">
        <w:rPr>
          <w:rFonts w:ascii="Franklin Gothic Book" w:hAnsi="Franklin Gothic Book"/>
          <w:iCs/>
        </w:rPr>
        <w:t xml:space="preserve"> and consumer satisfaction, and reduce wait times for Level 1 PSG and time to diagnosis and treatment of SDB. </w:t>
      </w:r>
    </w:p>
    <w:p w14:paraId="181A0071" w14:textId="77777777" w:rsidR="00594927" w:rsidRPr="00594927" w:rsidRDefault="00594927" w:rsidP="00594927">
      <w:pPr>
        <w:rPr>
          <w:rFonts w:ascii="Franklin Gothic Book" w:hAnsi="Franklin Gothic Book"/>
          <w:iCs/>
        </w:rPr>
      </w:pPr>
      <w:r w:rsidRPr="00594927">
        <w:rPr>
          <w:rFonts w:ascii="Franklin Gothic Book" w:hAnsi="Franklin Gothic Book"/>
          <w:iCs/>
        </w:rPr>
        <w:lastRenderedPageBreak/>
        <w:t xml:space="preserve">MSAC noted the three populations and PICO sets: </w:t>
      </w:r>
    </w:p>
    <w:p w14:paraId="388FA91F" w14:textId="4BCA3F23" w:rsidR="00594927" w:rsidRPr="00594927" w:rsidRDefault="00594927" w:rsidP="00594927">
      <w:pPr>
        <w:numPr>
          <w:ilvl w:val="0"/>
          <w:numId w:val="31"/>
        </w:numPr>
        <w:rPr>
          <w:rFonts w:ascii="Franklin Gothic Book" w:hAnsi="Franklin Gothic Book"/>
          <w:iCs/>
        </w:rPr>
      </w:pPr>
      <w:r w:rsidRPr="00594927">
        <w:rPr>
          <w:rFonts w:ascii="Franklin Gothic Book" w:hAnsi="Franklin Gothic Book"/>
          <w:iCs/>
        </w:rPr>
        <w:t xml:space="preserve">Children aged 3 to &lt;12 years and adolescents aged 12 to &lt;18 years with a high probability for symptomatic moderate to severe OSA (intervention: </w:t>
      </w:r>
      <w:r w:rsidRPr="00012618">
        <w:rPr>
          <w:rFonts w:ascii="Franklin Gothic Book" w:hAnsi="Franklin Gothic Book"/>
          <w:iCs/>
        </w:rPr>
        <w:t>d</w:t>
      </w:r>
      <w:r w:rsidRPr="00594927">
        <w:rPr>
          <w:rFonts w:ascii="Franklin Gothic Book" w:hAnsi="Franklin Gothic Book"/>
          <w:iCs/>
        </w:rPr>
        <w:t xml:space="preserve">iagnostic out-of-laboratory Level 2 PSG) – considered low-risk patients. </w:t>
      </w:r>
      <w:r w:rsidR="00A46C18">
        <w:rPr>
          <w:rFonts w:ascii="Franklin Gothic Book" w:hAnsi="Franklin Gothic Book"/>
          <w:iCs/>
        </w:rPr>
        <w:t>The i</w:t>
      </w:r>
      <w:r w:rsidRPr="00594927">
        <w:rPr>
          <w:rFonts w:ascii="Franklin Gothic Book" w:hAnsi="Franklin Gothic Book"/>
          <w:iCs/>
        </w:rPr>
        <w:t xml:space="preserve">ntention is </w:t>
      </w:r>
      <w:r w:rsidR="00CE0495">
        <w:rPr>
          <w:rFonts w:ascii="Franklin Gothic Book" w:hAnsi="Franklin Gothic Book"/>
          <w:iCs/>
        </w:rPr>
        <w:t>for a</w:t>
      </w:r>
      <w:r w:rsidRPr="00594927">
        <w:rPr>
          <w:rFonts w:ascii="Franklin Gothic Book" w:hAnsi="Franklin Gothic Book"/>
          <w:iCs/>
        </w:rPr>
        <w:t xml:space="preserve"> </w:t>
      </w:r>
      <w:r w:rsidR="00CE0495">
        <w:rPr>
          <w:rFonts w:ascii="Franklin Gothic Book" w:hAnsi="Franklin Gothic Book"/>
          <w:iCs/>
        </w:rPr>
        <w:t xml:space="preserve">Level 2 PSG </w:t>
      </w:r>
      <w:r w:rsidRPr="00594927">
        <w:rPr>
          <w:rFonts w:ascii="Franklin Gothic Book" w:hAnsi="Franklin Gothic Book"/>
          <w:iCs/>
        </w:rPr>
        <w:t>to replace a Level 1 PSG.</w:t>
      </w:r>
    </w:p>
    <w:p w14:paraId="7A57DB55" w14:textId="2772A74B" w:rsidR="00594927" w:rsidRPr="00594927" w:rsidRDefault="00594927" w:rsidP="00594927">
      <w:pPr>
        <w:numPr>
          <w:ilvl w:val="0"/>
          <w:numId w:val="31"/>
        </w:numPr>
        <w:rPr>
          <w:rFonts w:ascii="Franklin Gothic Book" w:hAnsi="Franklin Gothic Book"/>
          <w:iCs/>
        </w:rPr>
      </w:pPr>
      <w:r w:rsidRPr="00594927">
        <w:rPr>
          <w:rFonts w:ascii="Franklin Gothic Book" w:hAnsi="Franklin Gothic Book"/>
          <w:iCs/>
        </w:rPr>
        <w:t xml:space="preserve">Children aged 3 to &lt;12 years and adolescents aged 12 to &lt;18 years with a high probability for symptomatic moderate to severe OSA (intervention: diagnostic out-of-laboratory Level 3 cardiorespiratory polygraphy [CRP]) – patients that cannot tolerate a Level 1 </w:t>
      </w:r>
      <w:r w:rsidR="00263E93">
        <w:rPr>
          <w:rFonts w:ascii="Franklin Gothic Book" w:hAnsi="Franklin Gothic Book"/>
          <w:iCs/>
        </w:rPr>
        <w:t>or 2</w:t>
      </w:r>
      <w:r w:rsidRPr="00594927">
        <w:rPr>
          <w:rFonts w:ascii="Franklin Gothic Book" w:hAnsi="Franklin Gothic Book"/>
          <w:iCs/>
        </w:rPr>
        <w:t xml:space="preserve"> </w:t>
      </w:r>
      <w:r w:rsidR="006B3B16">
        <w:rPr>
          <w:rFonts w:ascii="Franklin Gothic Book" w:hAnsi="Franklin Gothic Book"/>
          <w:iCs/>
        </w:rPr>
        <w:t>PSG</w:t>
      </w:r>
      <w:r w:rsidRPr="00594927">
        <w:rPr>
          <w:rFonts w:ascii="Franklin Gothic Book" w:hAnsi="Franklin Gothic Book"/>
          <w:iCs/>
        </w:rPr>
        <w:t xml:space="preserve">. </w:t>
      </w:r>
      <w:r w:rsidR="006B3B16">
        <w:rPr>
          <w:rFonts w:ascii="Franklin Gothic Book" w:hAnsi="Franklin Gothic Book"/>
          <w:iCs/>
        </w:rPr>
        <w:t>The i</w:t>
      </w:r>
      <w:r w:rsidRPr="00594927">
        <w:rPr>
          <w:rFonts w:ascii="Franklin Gothic Book" w:hAnsi="Franklin Gothic Book"/>
          <w:iCs/>
        </w:rPr>
        <w:t xml:space="preserve">ntent is to offer a </w:t>
      </w:r>
      <w:r w:rsidR="006B3B16">
        <w:rPr>
          <w:rFonts w:ascii="Franklin Gothic Book" w:hAnsi="Franklin Gothic Book"/>
          <w:iCs/>
        </w:rPr>
        <w:t>Level 3</w:t>
      </w:r>
      <w:r w:rsidRPr="00594927">
        <w:rPr>
          <w:rFonts w:ascii="Franklin Gothic Book" w:hAnsi="Franklin Gothic Book"/>
          <w:iCs/>
        </w:rPr>
        <w:t xml:space="preserve"> </w:t>
      </w:r>
      <w:r w:rsidR="006B3B16">
        <w:rPr>
          <w:rFonts w:ascii="Franklin Gothic Book" w:hAnsi="Franklin Gothic Book"/>
          <w:iCs/>
        </w:rPr>
        <w:t>CRP</w:t>
      </w:r>
      <w:r w:rsidRPr="00594927">
        <w:rPr>
          <w:rFonts w:ascii="Franklin Gothic Book" w:hAnsi="Franklin Gothic Book"/>
          <w:iCs/>
        </w:rPr>
        <w:t xml:space="preserve"> where the patient would not otherwise receive one.</w:t>
      </w:r>
    </w:p>
    <w:p w14:paraId="17863A40" w14:textId="3C068920" w:rsidR="00594927" w:rsidRPr="00594927" w:rsidRDefault="00594927" w:rsidP="00594927">
      <w:pPr>
        <w:numPr>
          <w:ilvl w:val="0"/>
          <w:numId w:val="31"/>
        </w:numPr>
        <w:rPr>
          <w:rFonts w:ascii="Franklin Gothic Book" w:hAnsi="Franklin Gothic Book"/>
          <w:iCs/>
        </w:rPr>
      </w:pPr>
      <w:r w:rsidRPr="00594927">
        <w:rPr>
          <w:rFonts w:ascii="Franklin Gothic Book" w:hAnsi="Franklin Gothic Book"/>
          <w:iCs/>
        </w:rPr>
        <w:t xml:space="preserve">Children aged 3 to &lt;12 years and adolescents aged 12 to &lt;18 years who are stable on continuous positive airway pressure (CPAP) or bilevel positive airway pressure (BiPAP) respiratory support (intervention: out-of-laboratory Level 3 CRP for treatment monitoring). </w:t>
      </w:r>
      <w:r w:rsidR="006B3B16">
        <w:rPr>
          <w:rFonts w:ascii="Franklin Gothic Book" w:hAnsi="Franklin Gothic Book"/>
          <w:iCs/>
        </w:rPr>
        <w:t>The</w:t>
      </w:r>
      <w:r w:rsidRPr="00594927">
        <w:rPr>
          <w:rFonts w:ascii="Franklin Gothic Book" w:hAnsi="Franklin Gothic Book"/>
          <w:iCs/>
        </w:rPr>
        <w:t xml:space="preserve"> </w:t>
      </w:r>
      <w:r w:rsidR="006B3B16">
        <w:rPr>
          <w:rFonts w:ascii="Franklin Gothic Book" w:hAnsi="Franklin Gothic Book"/>
          <w:iCs/>
        </w:rPr>
        <w:t>i</w:t>
      </w:r>
      <w:r w:rsidRPr="00594927">
        <w:rPr>
          <w:rFonts w:ascii="Franklin Gothic Book" w:hAnsi="Franklin Gothic Book"/>
          <w:iCs/>
        </w:rPr>
        <w:t xml:space="preserve">ntention is </w:t>
      </w:r>
      <w:r w:rsidR="006B3B16">
        <w:rPr>
          <w:rFonts w:ascii="Franklin Gothic Book" w:hAnsi="Franklin Gothic Book"/>
          <w:iCs/>
        </w:rPr>
        <w:t>for Level 3 CRP</w:t>
      </w:r>
      <w:r w:rsidRPr="00594927">
        <w:rPr>
          <w:rFonts w:ascii="Franklin Gothic Book" w:hAnsi="Franklin Gothic Book"/>
          <w:iCs/>
        </w:rPr>
        <w:t xml:space="preserve"> to replace a Level 1 PSG.</w:t>
      </w:r>
    </w:p>
    <w:p w14:paraId="4FE180A2" w14:textId="125917BF" w:rsidR="000F356B" w:rsidRDefault="18AA6AF3" w:rsidP="43E75038">
      <w:pPr>
        <w:rPr>
          <w:rFonts w:ascii="Franklin Gothic Book" w:hAnsi="Franklin Gothic Book"/>
        </w:rPr>
      </w:pPr>
      <w:r w:rsidRPr="1652562D">
        <w:rPr>
          <w:rFonts w:ascii="Franklin Gothic Book" w:hAnsi="Franklin Gothic Book"/>
        </w:rPr>
        <w:t xml:space="preserve">MSAC noted the proposed MBS item descriptors and fees. MSAC considered that a restriction of </w:t>
      </w:r>
      <w:r w:rsidR="095BCBC8" w:rsidRPr="1652562D">
        <w:rPr>
          <w:rFonts w:ascii="Franklin Gothic Book" w:hAnsi="Franklin Gothic Book"/>
        </w:rPr>
        <w:t>three studies</w:t>
      </w:r>
      <w:r w:rsidRPr="1652562D">
        <w:rPr>
          <w:rFonts w:ascii="Franklin Gothic Book" w:hAnsi="Franklin Gothic Book"/>
        </w:rPr>
        <w:t xml:space="preserve"> in a 12-month period was appropriate</w:t>
      </w:r>
      <w:r w:rsidR="4733D700" w:rsidRPr="1652562D">
        <w:rPr>
          <w:rFonts w:ascii="Franklin Gothic Book" w:hAnsi="Franklin Gothic Book"/>
        </w:rPr>
        <w:t xml:space="preserve"> as this is consistent with the current MBS paediatric sleep study items.</w:t>
      </w:r>
      <w:r w:rsidRPr="1652562D">
        <w:rPr>
          <w:rFonts w:ascii="Franklin Gothic Book" w:hAnsi="Franklin Gothic Book"/>
        </w:rPr>
        <w:t xml:space="preserve"> </w:t>
      </w:r>
      <w:r w:rsidR="59B64889" w:rsidRPr="1652562D">
        <w:rPr>
          <w:rFonts w:ascii="Franklin Gothic Book" w:hAnsi="Franklin Gothic Book"/>
        </w:rPr>
        <w:t xml:space="preserve">MSAC considered that </w:t>
      </w:r>
      <w:r w:rsidR="60BF6F08" w:rsidRPr="1652562D">
        <w:rPr>
          <w:rFonts w:ascii="Franklin Gothic Book" w:hAnsi="Franklin Gothic Book"/>
        </w:rPr>
        <w:t>a</w:t>
      </w:r>
      <w:r w:rsidR="41F69AAA" w:rsidRPr="1652562D">
        <w:rPr>
          <w:rFonts w:ascii="Franklin Gothic Book" w:hAnsi="Franklin Gothic Book"/>
        </w:rPr>
        <w:t xml:space="preserve"> requirement for all patients to be referred to a paediatric sleep physician mitigate</w:t>
      </w:r>
      <w:r w:rsidR="6FBDCACB" w:rsidRPr="1652562D">
        <w:rPr>
          <w:rFonts w:ascii="Franklin Gothic Book" w:hAnsi="Franklin Gothic Book"/>
        </w:rPr>
        <w:t>d</w:t>
      </w:r>
      <w:r w:rsidR="41F69AAA" w:rsidRPr="1652562D">
        <w:rPr>
          <w:rFonts w:ascii="Franklin Gothic Book" w:hAnsi="Franklin Gothic Book"/>
        </w:rPr>
        <w:t xml:space="preserve"> the risk of use in other unintended populations</w:t>
      </w:r>
      <w:r w:rsidR="2F7FA229" w:rsidRPr="1652562D">
        <w:rPr>
          <w:rFonts w:ascii="Franklin Gothic Book" w:hAnsi="Franklin Gothic Book"/>
        </w:rPr>
        <w:t xml:space="preserve">. However MSAC </w:t>
      </w:r>
      <w:r w:rsidR="7D6A8004" w:rsidRPr="1652562D">
        <w:rPr>
          <w:rFonts w:ascii="Franklin Gothic Book" w:hAnsi="Franklin Gothic Book"/>
        </w:rPr>
        <w:t>also noted that this requirement may inadvertently reduce access</w:t>
      </w:r>
      <w:r w:rsidR="2F7FA229" w:rsidRPr="1652562D">
        <w:rPr>
          <w:rFonts w:ascii="Franklin Gothic Book" w:hAnsi="Franklin Gothic Book"/>
        </w:rPr>
        <w:t xml:space="preserve"> given the limited number of </w:t>
      </w:r>
      <w:r w:rsidR="7D6A8004" w:rsidRPr="1652562D">
        <w:rPr>
          <w:rFonts w:ascii="Franklin Gothic Book" w:hAnsi="Franklin Gothic Book"/>
        </w:rPr>
        <w:t>paediatric sleep physicians</w:t>
      </w:r>
      <w:r w:rsidR="00DF53C5">
        <w:rPr>
          <w:rFonts w:ascii="Franklin Gothic Book" w:hAnsi="Franklin Gothic Book"/>
        </w:rPr>
        <w:t xml:space="preserve">. MSAC </w:t>
      </w:r>
      <w:r w:rsidR="2F7FA229" w:rsidRPr="1652562D">
        <w:rPr>
          <w:rFonts w:ascii="Franklin Gothic Book" w:hAnsi="Franklin Gothic Book"/>
        </w:rPr>
        <w:t xml:space="preserve">suggested that </w:t>
      </w:r>
      <w:r w:rsidR="3B3CF293" w:rsidRPr="1652562D">
        <w:rPr>
          <w:rFonts w:ascii="Franklin Gothic Book" w:hAnsi="Franklin Gothic Book"/>
        </w:rPr>
        <w:t>alternative models,</w:t>
      </w:r>
      <w:r w:rsidR="4878DE1B" w:rsidRPr="1652562D">
        <w:rPr>
          <w:rFonts w:ascii="Franklin Gothic Book" w:hAnsi="Franklin Gothic Book"/>
        </w:rPr>
        <w:t xml:space="preserve"> such as </w:t>
      </w:r>
      <w:r w:rsidR="2F7FA229" w:rsidRPr="1652562D">
        <w:rPr>
          <w:rFonts w:ascii="Franklin Gothic Book" w:hAnsi="Franklin Gothic Book"/>
        </w:rPr>
        <w:t xml:space="preserve">referrals through telehealth may need to be considered in cases </w:t>
      </w:r>
      <w:r w:rsidR="00281ABC">
        <w:rPr>
          <w:rFonts w:ascii="Franklin Gothic Book" w:hAnsi="Franklin Gothic Book"/>
        </w:rPr>
        <w:t>where attendance</w:t>
      </w:r>
      <w:r w:rsidR="2F7FA229" w:rsidRPr="1652562D">
        <w:rPr>
          <w:rFonts w:ascii="Franklin Gothic Book" w:hAnsi="Franklin Gothic Book"/>
        </w:rPr>
        <w:t xml:space="preserve"> access</w:t>
      </w:r>
      <w:r w:rsidR="00281ABC">
        <w:rPr>
          <w:rFonts w:ascii="Franklin Gothic Book" w:hAnsi="Franklin Gothic Book"/>
        </w:rPr>
        <w:t xml:space="preserve"> is an</w:t>
      </w:r>
      <w:r w:rsidR="2F7FA229" w:rsidRPr="1652562D">
        <w:rPr>
          <w:rFonts w:ascii="Franklin Gothic Book" w:hAnsi="Franklin Gothic Book"/>
        </w:rPr>
        <w:t xml:space="preserve"> issue.</w:t>
      </w:r>
      <w:r w:rsidR="1352723A" w:rsidRPr="1652562D">
        <w:rPr>
          <w:rFonts w:ascii="Franklin Gothic Book" w:hAnsi="Franklin Gothic Book"/>
        </w:rPr>
        <w:t xml:space="preserve"> </w:t>
      </w:r>
    </w:p>
    <w:p w14:paraId="13757229" w14:textId="2AD20488" w:rsidR="00594927" w:rsidRPr="00235F0B" w:rsidRDefault="009C05E2" w:rsidP="1652562D">
      <w:pPr>
        <w:rPr>
          <w:rFonts w:ascii="Franklin Gothic Book" w:hAnsi="Franklin Gothic Book"/>
        </w:rPr>
      </w:pPr>
      <w:r w:rsidRPr="1652562D">
        <w:rPr>
          <w:rFonts w:ascii="Franklin Gothic Book" w:hAnsi="Franklin Gothic Book"/>
        </w:rPr>
        <w:t xml:space="preserve">MSAC considered that it is inappropriate to include costs for telehealth consultations in the </w:t>
      </w:r>
      <w:r w:rsidR="006B3B16" w:rsidRPr="1652562D">
        <w:rPr>
          <w:rFonts w:ascii="Franklin Gothic Book" w:hAnsi="Franklin Gothic Book"/>
        </w:rPr>
        <w:t xml:space="preserve">proposed </w:t>
      </w:r>
      <w:r w:rsidRPr="1652562D">
        <w:rPr>
          <w:rFonts w:ascii="Franklin Gothic Book" w:hAnsi="Franklin Gothic Book"/>
        </w:rPr>
        <w:t>MBS items or to charge a separate telehealth consultation item.  The fee should be sufficient to include technician time for the application of equipment regardless of whether it is done in per</w:t>
      </w:r>
      <w:r w:rsidR="00C11A26">
        <w:rPr>
          <w:rFonts w:ascii="Franklin Gothic Book" w:hAnsi="Franklin Gothic Book"/>
        </w:rPr>
        <w:t>s</w:t>
      </w:r>
      <w:r w:rsidRPr="1652562D">
        <w:rPr>
          <w:rFonts w:ascii="Franklin Gothic Book" w:hAnsi="Franklin Gothic Book"/>
        </w:rPr>
        <w:t>on or via telehealth.  This is consistent with the principle of a complete medical service.</w:t>
      </w:r>
      <w:r w:rsidR="00831DBA" w:rsidRPr="1652562D">
        <w:rPr>
          <w:rFonts w:ascii="Franklin Gothic Book" w:hAnsi="Franklin Gothic Book"/>
        </w:rPr>
        <w:t xml:space="preserve"> MSAC considered that the </w:t>
      </w:r>
      <w:r w:rsidR="00A85BC8" w:rsidRPr="1652562D">
        <w:rPr>
          <w:rFonts w:ascii="Franklin Gothic Book" w:hAnsi="Franklin Gothic Book"/>
        </w:rPr>
        <w:t>proposed tests</w:t>
      </w:r>
      <w:r w:rsidR="00831DBA" w:rsidRPr="1652562D">
        <w:rPr>
          <w:rFonts w:ascii="Franklin Gothic Book" w:hAnsi="Franklin Gothic Book"/>
        </w:rPr>
        <w:t xml:space="preserve"> should be classified as Type C procedures as they are out-of-hospital procedures. </w:t>
      </w:r>
    </w:p>
    <w:p w14:paraId="4A5974E8" w14:textId="174673BD" w:rsidR="00380608" w:rsidRPr="00594927" w:rsidRDefault="00594927" w:rsidP="00380608">
      <w:pPr>
        <w:rPr>
          <w:rFonts w:ascii="Franklin Gothic Book" w:hAnsi="Franklin Gothic Book"/>
          <w:iCs/>
        </w:rPr>
      </w:pPr>
      <w:r w:rsidRPr="00594927">
        <w:rPr>
          <w:rFonts w:ascii="Franklin Gothic Book" w:hAnsi="Franklin Gothic Book"/>
          <w:iCs/>
        </w:rPr>
        <w:t>MSAC noted the clinical management algorithm</w:t>
      </w:r>
      <w:r w:rsidR="00A70962">
        <w:rPr>
          <w:rFonts w:ascii="Franklin Gothic Book" w:hAnsi="Franklin Gothic Book"/>
          <w:iCs/>
        </w:rPr>
        <w:t xml:space="preserve"> for diagnos</w:t>
      </w:r>
      <w:r w:rsidR="007556A5">
        <w:rPr>
          <w:rFonts w:ascii="Franklin Gothic Book" w:hAnsi="Franklin Gothic Book"/>
          <w:iCs/>
        </w:rPr>
        <w:t>tic sleep studies</w:t>
      </w:r>
      <w:r w:rsidR="00E952C9">
        <w:rPr>
          <w:rFonts w:ascii="Franklin Gothic Book" w:hAnsi="Franklin Gothic Book"/>
          <w:iCs/>
        </w:rPr>
        <w:t>.</w:t>
      </w:r>
      <w:r w:rsidR="00380608">
        <w:rPr>
          <w:rFonts w:ascii="Franklin Gothic Book" w:hAnsi="Franklin Gothic Book"/>
          <w:iCs/>
        </w:rPr>
        <w:t xml:space="preserve"> </w:t>
      </w:r>
      <w:r w:rsidR="00380608" w:rsidRPr="00594927">
        <w:rPr>
          <w:rFonts w:ascii="Franklin Gothic Book" w:hAnsi="Franklin Gothic Book"/>
          <w:iCs/>
        </w:rPr>
        <w:t xml:space="preserve">MSAC noted the emphasis from the consultation feedback and the clinical claim around improving access to sleep studies; however, MSAC did not receive any feedback that addressed what the unmet clinical need for </w:t>
      </w:r>
      <w:r w:rsidR="00844464">
        <w:rPr>
          <w:rFonts w:ascii="Franklin Gothic Book" w:hAnsi="Franklin Gothic Book"/>
          <w:iCs/>
        </w:rPr>
        <w:t>out of laboratory diagnostic sleep studies is</w:t>
      </w:r>
      <w:r w:rsidR="00380608" w:rsidRPr="00594927">
        <w:rPr>
          <w:rFonts w:ascii="Franklin Gothic Book" w:hAnsi="Franklin Gothic Book"/>
          <w:iCs/>
        </w:rPr>
        <w:t>. MSAC considered that the clinical need may be to:</w:t>
      </w:r>
    </w:p>
    <w:p w14:paraId="64E6CEEE" w14:textId="26FD5EEA" w:rsidR="00380608" w:rsidRPr="00594927" w:rsidRDefault="00380608" w:rsidP="00380608">
      <w:pPr>
        <w:numPr>
          <w:ilvl w:val="0"/>
          <w:numId w:val="49"/>
        </w:numPr>
        <w:rPr>
          <w:rFonts w:ascii="Franklin Gothic Book" w:hAnsi="Franklin Gothic Book"/>
          <w:iCs/>
        </w:rPr>
      </w:pPr>
      <w:r w:rsidRPr="00594927">
        <w:rPr>
          <w:rFonts w:ascii="Franklin Gothic Book" w:hAnsi="Franklin Gothic Book"/>
          <w:iCs/>
        </w:rPr>
        <w:t xml:space="preserve">decrease the number of inappropriate adenotonsillectomies being performed. However, MSAC considered it unclear how the results of a sleep study inform decision making. The decision to perform surgery is a clinical one based on several factors including history of recurrent infections, the age of the patient, comorbidities and patient/family preference. The claim that out-of-laboratory sleep studies would decrease the number of adenotonsillectomies being performed is not supported by evidence. MSAC advised that </w:t>
      </w:r>
      <w:r>
        <w:rPr>
          <w:rFonts w:ascii="Franklin Gothic Book" w:hAnsi="Franklin Gothic Book"/>
          <w:iCs/>
        </w:rPr>
        <w:t xml:space="preserve">further </w:t>
      </w:r>
      <w:r w:rsidRPr="00594927">
        <w:rPr>
          <w:rFonts w:ascii="Franklin Gothic Book" w:hAnsi="Franklin Gothic Book"/>
          <w:iCs/>
        </w:rPr>
        <w:t xml:space="preserve">evidence </w:t>
      </w:r>
      <w:r>
        <w:rPr>
          <w:rFonts w:ascii="Franklin Gothic Book" w:hAnsi="Franklin Gothic Book"/>
          <w:iCs/>
        </w:rPr>
        <w:t xml:space="preserve">was needed to determine </w:t>
      </w:r>
      <w:r w:rsidRPr="00594927">
        <w:rPr>
          <w:rFonts w:ascii="Franklin Gothic Book" w:hAnsi="Franklin Gothic Book"/>
          <w:iCs/>
        </w:rPr>
        <w:t xml:space="preserve">whether </w:t>
      </w:r>
      <w:r w:rsidR="00074842">
        <w:rPr>
          <w:rFonts w:ascii="Franklin Gothic Book" w:hAnsi="Franklin Gothic Book"/>
          <w:iCs/>
        </w:rPr>
        <w:t xml:space="preserve">the parents or carers of </w:t>
      </w:r>
      <w:r w:rsidRPr="00594927">
        <w:rPr>
          <w:rFonts w:ascii="Franklin Gothic Book" w:hAnsi="Franklin Gothic Book"/>
          <w:iCs/>
        </w:rPr>
        <w:t xml:space="preserve">symptomatic patients or those with higher </w:t>
      </w:r>
      <w:r w:rsidR="005961F5">
        <w:rPr>
          <w:rFonts w:ascii="Franklin Gothic Book" w:hAnsi="Franklin Gothic Book"/>
          <w:iCs/>
        </w:rPr>
        <w:t>surgical</w:t>
      </w:r>
      <w:r w:rsidRPr="00594927">
        <w:rPr>
          <w:rFonts w:ascii="Franklin Gothic Book" w:hAnsi="Franklin Gothic Book"/>
          <w:iCs/>
        </w:rPr>
        <w:t xml:space="preserve"> risk with normal or mild sleep study results would choose watchful waiting instead of surgery</w:t>
      </w:r>
      <w:r>
        <w:rPr>
          <w:rFonts w:ascii="Franklin Gothic Book" w:hAnsi="Franklin Gothic Book"/>
          <w:iCs/>
        </w:rPr>
        <w:t xml:space="preserve"> due to their sleep study results</w:t>
      </w:r>
      <w:r w:rsidR="00C47013">
        <w:rPr>
          <w:rFonts w:ascii="Franklin Gothic Book" w:hAnsi="Franklin Gothic Book"/>
          <w:iCs/>
        </w:rPr>
        <w:t>.</w:t>
      </w:r>
    </w:p>
    <w:p w14:paraId="059D7AD3" w14:textId="135EF9F3" w:rsidR="00380608" w:rsidRPr="00594927" w:rsidRDefault="00380608" w:rsidP="00380608">
      <w:pPr>
        <w:numPr>
          <w:ilvl w:val="0"/>
          <w:numId w:val="49"/>
        </w:numPr>
        <w:rPr>
          <w:rFonts w:ascii="Franklin Gothic Book" w:hAnsi="Franklin Gothic Book"/>
          <w:iCs/>
        </w:rPr>
      </w:pPr>
      <w:r w:rsidRPr="00594927">
        <w:rPr>
          <w:rFonts w:ascii="Franklin Gothic Book" w:hAnsi="Franklin Gothic Book"/>
          <w:iCs/>
        </w:rPr>
        <w:t xml:space="preserve">decrease wait times for those most in need. However, MSAC considered it unclear what the drivers are for wait times for Level 1 studies. MSAC recommended </w:t>
      </w:r>
      <w:r>
        <w:rPr>
          <w:rFonts w:ascii="Franklin Gothic Book" w:hAnsi="Franklin Gothic Book"/>
          <w:iCs/>
        </w:rPr>
        <w:t xml:space="preserve">further </w:t>
      </w:r>
      <w:r w:rsidRPr="00594927">
        <w:rPr>
          <w:rFonts w:ascii="Franklin Gothic Book" w:hAnsi="Franklin Gothic Book"/>
          <w:iCs/>
        </w:rPr>
        <w:t xml:space="preserve">evidence </w:t>
      </w:r>
      <w:r>
        <w:rPr>
          <w:rFonts w:ascii="Franklin Gothic Book" w:hAnsi="Franklin Gothic Book"/>
          <w:iCs/>
        </w:rPr>
        <w:t xml:space="preserve">was needed to determine </w:t>
      </w:r>
      <w:r w:rsidRPr="00594927">
        <w:rPr>
          <w:rFonts w:ascii="Franklin Gothic Book" w:hAnsi="Franklin Gothic Book"/>
          <w:iCs/>
        </w:rPr>
        <w:t xml:space="preserve">whether </w:t>
      </w:r>
      <w:r w:rsidR="00C3683A">
        <w:rPr>
          <w:rFonts w:ascii="Franklin Gothic Book" w:hAnsi="Franklin Gothic Book"/>
          <w:iCs/>
        </w:rPr>
        <w:t>long waiting lists for Level 1 studies</w:t>
      </w:r>
      <w:r w:rsidRPr="00594927">
        <w:rPr>
          <w:rFonts w:ascii="Franklin Gothic Book" w:hAnsi="Franklin Gothic Book"/>
          <w:iCs/>
        </w:rPr>
        <w:t xml:space="preserve"> is </w:t>
      </w:r>
      <w:r w:rsidR="00C3683A">
        <w:rPr>
          <w:rFonts w:ascii="Franklin Gothic Book" w:hAnsi="Franklin Gothic Book"/>
          <w:iCs/>
        </w:rPr>
        <w:t xml:space="preserve">due to </w:t>
      </w:r>
      <w:r w:rsidR="006632C1">
        <w:rPr>
          <w:rFonts w:ascii="Franklin Gothic Book" w:hAnsi="Franklin Gothic Book"/>
          <w:iCs/>
        </w:rPr>
        <w:t>high volumes of</w:t>
      </w:r>
      <w:r w:rsidRPr="00594927">
        <w:rPr>
          <w:rFonts w:ascii="Franklin Gothic Book" w:hAnsi="Franklin Gothic Book"/>
          <w:iCs/>
        </w:rPr>
        <w:t xml:space="preserve"> low-acuity patients accessing services or whether there is an unmet need for more services to accommodate the needs of high-risk patients.</w:t>
      </w:r>
    </w:p>
    <w:p w14:paraId="7F77AFB1" w14:textId="5C4EBDD4" w:rsidR="00E979A3" w:rsidRDefault="00E979A3" w:rsidP="00594927">
      <w:pPr>
        <w:rPr>
          <w:rFonts w:ascii="Franklin Gothic Book" w:hAnsi="Franklin Gothic Book"/>
          <w:iCs/>
        </w:rPr>
      </w:pPr>
      <w:r>
        <w:rPr>
          <w:rFonts w:ascii="Franklin Gothic Book" w:hAnsi="Franklin Gothic Book"/>
          <w:iCs/>
        </w:rPr>
        <w:lastRenderedPageBreak/>
        <w:t xml:space="preserve">MSAC noted that </w:t>
      </w:r>
      <w:r w:rsidRPr="00E979A3">
        <w:rPr>
          <w:rFonts w:ascii="Franklin Gothic Book" w:hAnsi="Franklin Gothic Book"/>
          <w:iCs/>
        </w:rPr>
        <w:t>ESC</w:t>
      </w:r>
      <w:r>
        <w:rPr>
          <w:rFonts w:ascii="Franklin Gothic Book" w:hAnsi="Franklin Gothic Book"/>
          <w:iCs/>
        </w:rPr>
        <w:t xml:space="preserve"> had </w:t>
      </w:r>
      <w:r w:rsidR="00C55255">
        <w:rPr>
          <w:rFonts w:ascii="Franklin Gothic Book" w:hAnsi="Franklin Gothic Book"/>
          <w:iCs/>
        </w:rPr>
        <w:t>requested</w:t>
      </w:r>
      <w:r>
        <w:rPr>
          <w:rFonts w:ascii="Franklin Gothic Book" w:hAnsi="Franklin Gothic Book"/>
          <w:iCs/>
        </w:rPr>
        <w:t xml:space="preserve"> further clarification on </w:t>
      </w:r>
      <w:r w:rsidR="00844464">
        <w:rPr>
          <w:rFonts w:ascii="Franklin Gothic Book" w:hAnsi="Franklin Gothic Book"/>
          <w:iCs/>
        </w:rPr>
        <w:t xml:space="preserve">these issues </w:t>
      </w:r>
      <w:r>
        <w:rPr>
          <w:rFonts w:ascii="Franklin Gothic Book" w:hAnsi="Franklin Gothic Book"/>
          <w:iCs/>
        </w:rPr>
        <w:t xml:space="preserve">but this had not been </w:t>
      </w:r>
      <w:r w:rsidR="00A9208C">
        <w:rPr>
          <w:rFonts w:ascii="Franklin Gothic Book" w:hAnsi="Franklin Gothic Book"/>
          <w:iCs/>
        </w:rPr>
        <w:t>sufficiently addressed</w:t>
      </w:r>
      <w:r>
        <w:rPr>
          <w:rFonts w:ascii="Franklin Gothic Book" w:hAnsi="Franklin Gothic Book"/>
          <w:iCs/>
        </w:rPr>
        <w:t xml:space="preserve"> by the applicant</w:t>
      </w:r>
      <w:r w:rsidR="00844464">
        <w:rPr>
          <w:rFonts w:ascii="Franklin Gothic Book" w:hAnsi="Franklin Gothic Book"/>
          <w:iCs/>
        </w:rPr>
        <w:t xml:space="preserve"> in its pre-MSAC response</w:t>
      </w:r>
      <w:r>
        <w:rPr>
          <w:rFonts w:ascii="Franklin Gothic Book" w:hAnsi="Franklin Gothic Book"/>
          <w:iCs/>
        </w:rPr>
        <w:t xml:space="preserve">. </w:t>
      </w:r>
    </w:p>
    <w:p w14:paraId="56DAABD8" w14:textId="0B5F4972" w:rsidR="00940C99" w:rsidRPr="00594927" w:rsidRDefault="00940C99" w:rsidP="00940C99">
      <w:pPr>
        <w:rPr>
          <w:rFonts w:ascii="Franklin Gothic Book" w:hAnsi="Franklin Gothic Book"/>
          <w:iCs/>
        </w:rPr>
      </w:pPr>
      <w:r w:rsidRPr="00594927">
        <w:rPr>
          <w:rFonts w:ascii="Franklin Gothic Book" w:hAnsi="Franklin Gothic Book"/>
          <w:iCs/>
        </w:rPr>
        <w:t>MSAC noted that, based on the findings in the Australian Atlas of Healthcare Variation, the decision to undertake some adenotonsillectomy surgeries in Australia may not be supported by evidence.</w:t>
      </w:r>
      <w:r>
        <w:rPr>
          <w:rFonts w:ascii="Franklin Gothic Book" w:hAnsi="Franklin Gothic Book"/>
          <w:iCs/>
        </w:rPr>
        <w:t xml:space="preserve"> MSAC agreed with the </w:t>
      </w:r>
      <w:r w:rsidRPr="00411AFD">
        <w:rPr>
          <w:rFonts w:ascii="Franklin Gothic Book" w:hAnsi="Franklin Gothic Book"/>
          <w:iCs/>
        </w:rPr>
        <w:t xml:space="preserve">ESC </w:t>
      </w:r>
      <w:r>
        <w:rPr>
          <w:rFonts w:ascii="Franklin Gothic Book" w:hAnsi="Franklin Gothic Book"/>
          <w:iCs/>
        </w:rPr>
        <w:t xml:space="preserve">recommendation to </w:t>
      </w:r>
      <w:r w:rsidRPr="00411AFD">
        <w:rPr>
          <w:rFonts w:ascii="Franklin Gothic Book" w:hAnsi="Franklin Gothic Book"/>
          <w:iCs/>
        </w:rPr>
        <w:t>refer a review of MBS item 41789 to the MBS Review Advisory Committee</w:t>
      </w:r>
      <w:r w:rsidR="00DA6161">
        <w:rPr>
          <w:rFonts w:ascii="Franklin Gothic Book" w:hAnsi="Franklin Gothic Book"/>
          <w:iCs/>
        </w:rPr>
        <w:t>.</w:t>
      </w:r>
    </w:p>
    <w:p w14:paraId="1BA93842" w14:textId="73C26596" w:rsidR="00594927" w:rsidRPr="00594927" w:rsidRDefault="00BB2E3F" w:rsidP="00594927">
      <w:pPr>
        <w:rPr>
          <w:rFonts w:ascii="Franklin Gothic Book" w:hAnsi="Franklin Gothic Book"/>
          <w:iCs/>
        </w:rPr>
      </w:pPr>
      <w:r>
        <w:rPr>
          <w:rFonts w:ascii="Franklin Gothic Book" w:hAnsi="Franklin Gothic Book"/>
          <w:iCs/>
        </w:rPr>
        <w:t>MSAC considered</w:t>
      </w:r>
      <w:r w:rsidR="00643E35">
        <w:rPr>
          <w:rFonts w:ascii="Franklin Gothic Book" w:hAnsi="Franklin Gothic Book"/>
          <w:iCs/>
        </w:rPr>
        <w:t xml:space="preserve"> Population </w:t>
      </w:r>
      <w:r w:rsidR="005B10C4">
        <w:rPr>
          <w:rFonts w:ascii="Franklin Gothic Book" w:hAnsi="Franklin Gothic Book"/>
          <w:iCs/>
        </w:rPr>
        <w:t>3,</w:t>
      </w:r>
      <w:r w:rsidR="000032AC">
        <w:rPr>
          <w:rFonts w:ascii="Franklin Gothic Book" w:hAnsi="Franklin Gothic Book"/>
          <w:iCs/>
        </w:rPr>
        <w:t xml:space="preserve"> </w:t>
      </w:r>
      <w:r w:rsidR="00F40695">
        <w:rPr>
          <w:rFonts w:ascii="Franklin Gothic Book" w:hAnsi="Franklin Gothic Book"/>
          <w:iCs/>
        </w:rPr>
        <w:t xml:space="preserve">children and adolescents </w:t>
      </w:r>
      <w:r>
        <w:rPr>
          <w:rFonts w:ascii="Franklin Gothic Book" w:hAnsi="Franklin Gothic Book"/>
          <w:iCs/>
        </w:rPr>
        <w:t xml:space="preserve">receiving respiratory support </w:t>
      </w:r>
      <w:r w:rsidR="000032AC">
        <w:rPr>
          <w:rFonts w:ascii="Franklin Gothic Book" w:hAnsi="Franklin Gothic Book"/>
          <w:iCs/>
        </w:rPr>
        <w:t>who are eligible for Level 3 CRP for treatment monitoring</w:t>
      </w:r>
      <w:r w:rsidR="00E50385">
        <w:rPr>
          <w:rFonts w:ascii="Franklin Gothic Book" w:hAnsi="Franklin Gothic Book"/>
          <w:iCs/>
        </w:rPr>
        <w:t>.</w:t>
      </w:r>
      <w:r w:rsidR="00594927" w:rsidRPr="00594927">
        <w:rPr>
          <w:rFonts w:ascii="Franklin Gothic Book" w:hAnsi="Franklin Gothic Book"/>
          <w:iCs/>
        </w:rPr>
        <w:t xml:space="preserve"> MSAC queried </w:t>
      </w:r>
      <w:r w:rsidR="00E0460C">
        <w:rPr>
          <w:rFonts w:ascii="Franklin Gothic Book" w:hAnsi="Franklin Gothic Book"/>
          <w:iCs/>
        </w:rPr>
        <w:t>whether</w:t>
      </w:r>
      <w:r w:rsidR="00594927" w:rsidRPr="00594927">
        <w:rPr>
          <w:rFonts w:ascii="Franklin Gothic Book" w:hAnsi="Franklin Gothic Book"/>
          <w:iCs/>
        </w:rPr>
        <w:t xml:space="preserve"> </w:t>
      </w:r>
      <w:r w:rsidR="007B69DE">
        <w:rPr>
          <w:rFonts w:ascii="Franklin Gothic Book" w:hAnsi="Franklin Gothic Book"/>
          <w:iCs/>
        </w:rPr>
        <w:t>routine</w:t>
      </w:r>
      <w:r w:rsidR="0048668D">
        <w:rPr>
          <w:rFonts w:ascii="Franklin Gothic Book" w:hAnsi="Franklin Gothic Book"/>
          <w:iCs/>
        </w:rPr>
        <w:t xml:space="preserve"> </w:t>
      </w:r>
      <w:r w:rsidR="00594927" w:rsidRPr="00594927">
        <w:rPr>
          <w:rFonts w:ascii="Franklin Gothic Book" w:hAnsi="Franklin Gothic Book"/>
          <w:iCs/>
        </w:rPr>
        <w:t xml:space="preserve">monitoring </w:t>
      </w:r>
      <w:r w:rsidR="007B69DE">
        <w:rPr>
          <w:rFonts w:ascii="Franklin Gothic Book" w:hAnsi="Franklin Gothic Book"/>
          <w:iCs/>
        </w:rPr>
        <w:t>using Level 1 PSG</w:t>
      </w:r>
      <w:r w:rsidR="00594927" w:rsidRPr="00594927">
        <w:rPr>
          <w:rFonts w:ascii="Franklin Gothic Book" w:hAnsi="Franklin Gothic Book"/>
          <w:iCs/>
        </w:rPr>
        <w:t xml:space="preserve"> was required for clinically stable patients, and </w:t>
      </w:r>
      <w:r w:rsidR="005A3F55">
        <w:rPr>
          <w:rFonts w:ascii="Franklin Gothic Book" w:hAnsi="Franklin Gothic Book"/>
          <w:iCs/>
        </w:rPr>
        <w:t>whether</w:t>
      </w:r>
      <w:r w:rsidR="003D1C0B">
        <w:rPr>
          <w:rFonts w:ascii="Franklin Gothic Book" w:hAnsi="Franklin Gothic Book"/>
          <w:iCs/>
        </w:rPr>
        <w:t xml:space="preserve"> </w:t>
      </w:r>
      <w:r w:rsidR="005B7F87">
        <w:rPr>
          <w:rFonts w:ascii="Franklin Gothic Book" w:hAnsi="Franklin Gothic Book"/>
          <w:iCs/>
        </w:rPr>
        <w:t xml:space="preserve">increasing access to </w:t>
      </w:r>
      <w:r w:rsidR="00B776F7">
        <w:rPr>
          <w:rFonts w:ascii="Franklin Gothic Book" w:hAnsi="Franklin Gothic Book"/>
          <w:iCs/>
        </w:rPr>
        <w:t>routine</w:t>
      </w:r>
      <w:r w:rsidR="003D1C0B">
        <w:rPr>
          <w:rFonts w:ascii="Franklin Gothic Book" w:hAnsi="Franklin Gothic Book"/>
          <w:iCs/>
        </w:rPr>
        <w:t xml:space="preserve"> monitoring </w:t>
      </w:r>
      <w:r w:rsidR="005B7F87">
        <w:rPr>
          <w:rFonts w:ascii="Franklin Gothic Book" w:hAnsi="Franklin Gothic Book"/>
          <w:iCs/>
        </w:rPr>
        <w:t xml:space="preserve">via </w:t>
      </w:r>
      <w:r w:rsidR="00A03CEA">
        <w:rPr>
          <w:rFonts w:ascii="Franklin Gothic Book" w:hAnsi="Franklin Gothic Book"/>
          <w:iCs/>
        </w:rPr>
        <w:t xml:space="preserve">MBS funded Level 3 CRP </w:t>
      </w:r>
      <w:r w:rsidR="0047144D">
        <w:rPr>
          <w:rFonts w:ascii="Franklin Gothic Book" w:hAnsi="Franklin Gothic Book"/>
          <w:iCs/>
        </w:rPr>
        <w:t xml:space="preserve">could introduce the </w:t>
      </w:r>
      <w:r w:rsidR="00594927" w:rsidRPr="00594927">
        <w:rPr>
          <w:rFonts w:ascii="Franklin Gothic Book" w:hAnsi="Franklin Gothic Book"/>
          <w:iCs/>
        </w:rPr>
        <w:t xml:space="preserve">potential for overservicing. </w:t>
      </w:r>
    </w:p>
    <w:p w14:paraId="015B2975" w14:textId="77777777" w:rsidR="00DC270B" w:rsidRPr="00594927" w:rsidRDefault="00DC270B" w:rsidP="00DC270B">
      <w:pPr>
        <w:rPr>
          <w:rFonts w:ascii="Franklin Gothic Book" w:hAnsi="Franklin Gothic Book"/>
          <w:iCs/>
        </w:rPr>
      </w:pPr>
      <w:r w:rsidRPr="00594927">
        <w:rPr>
          <w:rFonts w:ascii="Franklin Gothic Book" w:hAnsi="Franklin Gothic Book"/>
          <w:iCs/>
        </w:rPr>
        <w:t>MSAC noted that consultation feedback from three professional organisations and one consumer body was largely supportive, citing improved access (especially for regional areas), improved wellbeing for patients and families, and better triaging for surgery. The main disadvantages raised were associated with remote monitoring, such as increased rate of signal loss, elevated risk of negative diagnosis and risk of entanglement in the leads.</w:t>
      </w:r>
    </w:p>
    <w:p w14:paraId="4A620CF2" w14:textId="0F52CB78" w:rsidR="00111CEF" w:rsidRDefault="00594927" w:rsidP="00594927">
      <w:pPr>
        <w:rPr>
          <w:rFonts w:ascii="Franklin Gothic Book" w:hAnsi="Franklin Gothic Book"/>
          <w:iCs/>
        </w:rPr>
      </w:pPr>
      <w:r w:rsidRPr="00594927">
        <w:rPr>
          <w:rFonts w:ascii="Franklin Gothic Book" w:hAnsi="Franklin Gothic Book"/>
          <w:iCs/>
        </w:rPr>
        <w:t>Regarding safety, MSAC noted that no comparative studies met the inclusion criteria and reported safety outcomes</w:t>
      </w:r>
      <w:r w:rsidR="00E11334">
        <w:rPr>
          <w:rFonts w:ascii="Franklin Gothic Book" w:hAnsi="Franklin Gothic Book"/>
          <w:iCs/>
        </w:rPr>
        <w:t xml:space="preserve"> for any of the proposed sleep studies</w:t>
      </w:r>
      <w:r w:rsidRPr="00594927">
        <w:rPr>
          <w:rFonts w:ascii="Franklin Gothic Book" w:hAnsi="Franklin Gothic Book"/>
          <w:iCs/>
        </w:rPr>
        <w:t>. One included study, Griffiths et al. (2022) – an Australian single-arm, single-centre, retrospective audit of Level 2 PSG studies (diagnostic) – reported no adverse events during the study period. The ASA clinical practice guidelines</w:t>
      </w:r>
      <w:r w:rsidRPr="00594927">
        <w:rPr>
          <w:rFonts w:ascii="Franklin Gothic Book" w:hAnsi="Franklin Gothic Book"/>
          <w:iCs/>
          <w:vertAlign w:val="superscript"/>
        </w:rPr>
        <w:footnoteReference w:id="2"/>
      </w:r>
      <w:r w:rsidRPr="00594927">
        <w:rPr>
          <w:rFonts w:ascii="Franklin Gothic Book" w:hAnsi="Franklin Gothic Book"/>
          <w:iCs/>
        </w:rPr>
        <w:t xml:space="preserve"> for sleep studies in children states that, although safety concerns have not been identified, attention to safety is required for unattended studies</w:t>
      </w:r>
      <w:r w:rsidR="00237232">
        <w:rPr>
          <w:rFonts w:ascii="Franklin Gothic Book" w:hAnsi="Franklin Gothic Book"/>
          <w:iCs/>
        </w:rPr>
        <w:t>. The guidelines emphasise the importance of</w:t>
      </w:r>
      <w:r w:rsidRPr="00594927">
        <w:rPr>
          <w:rFonts w:ascii="Franklin Gothic Book" w:hAnsi="Franklin Gothic Book"/>
          <w:iCs/>
        </w:rPr>
        <w:t xml:space="preserve"> adequate parental instruction and</w:t>
      </w:r>
      <w:r w:rsidR="00702757">
        <w:rPr>
          <w:rFonts w:ascii="Franklin Gothic Book" w:hAnsi="Franklin Gothic Book"/>
          <w:iCs/>
        </w:rPr>
        <w:t xml:space="preserve"> recommends</w:t>
      </w:r>
      <w:r w:rsidRPr="00594927">
        <w:rPr>
          <w:rFonts w:ascii="Franklin Gothic Book" w:hAnsi="Franklin Gothic Book"/>
          <w:iCs/>
        </w:rPr>
        <w:t xml:space="preserve">, where possible, </w:t>
      </w:r>
      <w:r w:rsidR="00702757">
        <w:rPr>
          <w:rFonts w:ascii="Franklin Gothic Book" w:hAnsi="Franklin Gothic Book"/>
          <w:iCs/>
        </w:rPr>
        <w:t xml:space="preserve">that </w:t>
      </w:r>
      <w:r w:rsidRPr="00594927">
        <w:rPr>
          <w:rFonts w:ascii="Franklin Gothic Book" w:hAnsi="Franklin Gothic Book"/>
          <w:iCs/>
        </w:rPr>
        <w:t>monitors should be set up by trained staff.</w:t>
      </w:r>
      <w:r w:rsidR="001F295B">
        <w:rPr>
          <w:rFonts w:ascii="Franklin Gothic Book" w:hAnsi="Franklin Gothic Book"/>
          <w:iCs/>
        </w:rPr>
        <w:t xml:space="preserve"> </w:t>
      </w:r>
      <w:r w:rsidR="001F295B" w:rsidRPr="00594927">
        <w:rPr>
          <w:rFonts w:ascii="Franklin Gothic Book" w:hAnsi="Franklin Gothic Book"/>
          <w:iCs/>
        </w:rPr>
        <w:t>MSAC noted that</w:t>
      </w:r>
      <w:r w:rsidRPr="00594927">
        <w:rPr>
          <w:rFonts w:ascii="Franklin Gothic Book" w:hAnsi="Franklin Gothic Book"/>
          <w:iCs/>
        </w:rPr>
        <w:t xml:space="preserve"> </w:t>
      </w:r>
      <w:r w:rsidR="00BC2004">
        <w:rPr>
          <w:rFonts w:ascii="Franklin Gothic Book" w:hAnsi="Franklin Gothic Book"/>
          <w:iCs/>
        </w:rPr>
        <w:t>i</w:t>
      </w:r>
      <w:r w:rsidRPr="00594927">
        <w:rPr>
          <w:rFonts w:ascii="Franklin Gothic Book" w:hAnsi="Franklin Gothic Book"/>
          <w:iCs/>
        </w:rPr>
        <w:t>n the ratified PICO, the proposed item descriptors for Level 2 and Level 3 sleep studies required that the equipment be applied by a sleep technician, or if this is not possible, by a clinician</w:t>
      </w:r>
      <w:r w:rsidR="00BC2004">
        <w:rPr>
          <w:rFonts w:ascii="Franklin Gothic Book" w:hAnsi="Franklin Gothic Book"/>
          <w:iCs/>
        </w:rPr>
        <w:t xml:space="preserve"> but </w:t>
      </w:r>
      <w:r w:rsidRPr="00594927">
        <w:rPr>
          <w:rFonts w:ascii="Franklin Gothic Book" w:hAnsi="Franklin Gothic Book"/>
          <w:iCs/>
        </w:rPr>
        <w:t xml:space="preserve">did not provide for parent application of the leads. </w:t>
      </w:r>
    </w:p>
    <w:p w14:paraId="45DFF9A4" w14:textId="540FFBB8" w:rsidR="00594927" w:rsidRPr="00594927" w:rsidRDefault="00D8787E" w:rsidP="00594927">
      <w:pPr>
        <w:rPr>
          <w:rFonts w:ascii="Franklin Gothic Book" w:hAnsi="Franklin Gothic Book"/>
          <w:iCs/>
        </w:rPr>
      </w:pPr>
      <w:r>
        <w:rPr>
          <w:rFonts w:ascii="Franklin Gothic Book" w:hAnsi="Franklin Gothic Book"/>
          <w:iCs/>
        </w:rPr>
        <w:t>MSAC noted that a</w:t>
      </w:r>
      <w:r w:rsidR="00594927" w:rsidRPr="00594927">
        <w:rPr>
          <w:rFonts w:ascii="Franklin Gothic Book" w:hAnsi="Franklin Gothic Book"/>
          <w:iCs/>
        </w:rPr>
        <w:t xml:space="preserve">lthough no </w:t>
      </w:r>
      <w:r w:rsidR="007A3519">
        <w:rPr>
          <w:rFonts w:ascii="Franklin Gothic Book" w:hAnsi="Franklin Gothic Book"/>
          <w:iCs/>
        </w:rPr>
        <w:t xml:space="preserve">safety </w:t>
      </w:r>
      <w:r w:rsidR="00594927" w:rsidRPr="00594927">
        <w:rPr>
          <w:rFonts w:ascii="Franklin Gothic Book" w:hAnsi="Franklin Gothic Book"/>
          <w:iCs/>
        </w:rPr>
        <w:t xml:space="preserve">data were identified for Level 3 CRP (diagnostic or monitoring studies), it </w:t>
      </w:r>
      <w:r w:rsidR="001A6616">
        <w:rPr>
          <w:rFonts w:ascii="Franklin Gothic Book" w:hAnsi="Franklin Gothic Book"/>
          <w:iCs/>
        </w:rPr>
        <w:t>was</w:t>
      </w:r>
      <w:r w:rsidR="001A6616" w:rsidRPr="00594927">
        <w:rPr>
          <w:rFonts w:ascii="Franklin Gothic Book" w:hAnsi="Franklin Gothic Book"/>
          <w:iCs/>
        </w:rPr>
        <w:t xml:space="preserve"> </w:t>
      </w:r>
      <w:r w:rsidR="00594927" w:rsidRPr="00594927">
        <w:rPr>
          <w:rFonts w:ascii="Franklin Gothic Book" w:hAnsi="Franklin Gothic Book"/>
          <w:iCs/>
        </w:rPr>
        <w:t xml:space="preserve">inferred to have a lower risk due to reduced equipment requirements. MSAC considered that, theoretically, there could be a difference in exposure to nosocomial respiratory infections for out-of-laboratory settings compared to in-laboratory settings, but no data </w:t>
      </w:r>
      <w:r w:rsidR="000F04D5">
        <w:rPr>
          <w:rFonts w:ascii="Franklin Gothic Book" w:hAnsi="Franklin Gothic Book"/>
          <w:iCs/>
        </w:rPr>
        <w:t>was</w:t>
      </w:r>
      <w:r w:rsidR="000F04D5" w:rsidRPr="00594927">
        <w:rPr>
          <w:rFonts w:ascii="Franklin Gothic Book" w:hAnsi="Franklin Gothic Book"/>
          <w:iCs/>
        </w:rPr>
        <w:t xml:space="preserve"> </w:t>
      </w:r>
      <w:r w:rsidR="00594927" w:rsidRPr="00594927">
        <w:rPr>
          <w:rFonts w:ascii="Franklin Gothic Book" w:hAnsi="Franklin Gothic Book"/>
          <w:iCs/>
        </w:rPr>
        <w:t>available</w:t>
      </w:r>
      <w:r w:rsidR="00F2046C">
        <w:rPr>
          <w:rFonts w:ascii="Franklin Gothic Book" w:hAnsi="Franklin Gothic Book"/>
          <w:iCs/>
        </w:rPr>
        <w:t xml:space="preserve"> to </w:t>
      </w:r>
      <w:r w:rsidR="004366CB">
        <w:rPr>
          <w:rFonts w:ascii="Franklin Gothic Book" w:hAnsi="Franklin Gothic Book"/>
          <w:iCs/>
        </w:rPr>
        <w:t>support</w:t>
      </w:r>
      <w:r w:rsidR="00F2046C">
        <w:rPr>
          <w:rFonts w:ascii="Franklin Gothic Book" w:hAnsi="Franklin Gothic Book"/>
          <w:iCs/>
        </w:rPr>
        <w:t xml:space="preserve"> this</w:t>
      </w:r>
      <w:r w:rsidR="00594927" w:rsidRPr="00594927">
        <w:rPr>
          <w:rFonts w:ascii="Franklin Gothic Book" w:hAnsi="Franklin Gothic Book"/>
          <w:iCs/>
        </w:rPr>
        <w:t xml:space="preserve">. </w:t>
      </w:r>
      <w:r>
        <w:rPr>
          <w:rFonts w:ascii="Franklin Gothic Book" w:hAnsi="Franklin Gothic Book"/>
          <w:iCs/>
        </w:rPr>
        <w:t>MSAC considered that t</w:t>
      </w:r>
      <w:r w:rsidR="00594927" w:rsidRPr="00594927">
        <w:rPr>
          <w:rFonts w:ascii="Franklin Gothic Book" w:hAnsi="Franklin Gothic Book"/>
          <w:iCs/>
        </w:rPr>
        <w:t>his may have heightened relevance to PICO set 3 due to the high rate of complex co-occurring conditions in individuals receiving respiratory support.</w:t>
      </w:r>
    </w:p>
    <w:p w14:paraId="3C78F53A" w14:textId="77777777" w:rsidR="00594927" w:rsidRPr="00594927" w:rsidRDefault="00594927" w:rsidP="00594927">
      <w:pPr>
        <w:rPr>
          <w:rFonts w:ascii="Franklin Gothic Book" w:hAnsi="Franklin Gothic Book"/>
          <w:iCs/>
        </w:rPr>
      </w:pPr>
      <w:r w:rsidRPr="00594927">
        <w:rPr>
          <w:rFonts w:ascii="Franklin Gothic Book" w:hAnsi="Franklin Gothic Book"/>
          <w:iCs/>
        </w:rPr>
        <w:t>MSAC considered that only PICO set 2 is likely to alter the downstream treatment decisions, based on the diagnostic assessment frameworks. There is a theoretical benefit of the Level 3 CRP (diagnostic) from avoiding inappropriate tonsillectomies and the attendant risk of harms, but this is not supported by evidence.</w:t>
      </w:r>
    </w:p>
    <w:p w14:paraId="07647416" w14:textId="77777777" w:rsidR="00594927" w:rsidRPr="00594927" w:rsidRDefault="00594927" w:rsidP="00594927">
      <w:pPr>
        <w:rPr>
          <w:rFonts w:ascii="Franklin Gothic Book" w:hAnsi="Franklin Gothic Book"/>
          <w:iCs/>
        </w:rPr>
      </w:pPr>
      <w:r w:rsidRPr="00594927">
        <w:rPr>
          <w:rFonts w:ascii="Franklin Gothic Book" w:hAnsi="Franklin Gothic Book"/>
          <w:iCs/>
        </w:rPr>
        <w:t>Regarding clinical effectiveness, MSAC agreed with ESC’s conclusions that:</w:t>
      </w:r>
    </w:p>
    <w:p w14:paraId="33C62471" w14:textId="247BCE2F" w:rsidR="00594927" w:rsidRPr="00594927" w:rsidRDefault="00594927" w:rsidP="00594927">
      <w:pPr>
        <w:numPr>
          <w:ilvl w:val="0"/>
          <w:numId w:val="48"/>
        </w:numPr>
        <w:rPr>
          <w:rFonts w:ascii="Franklin Gothic Book" w:hAnsi="Franklin Gothic Book"/>
          <w:iCs/>
        </w:rPr>
      </w:pPr>
      <w:r w:rsidRPr="00594927">
        <w:rPr>
          <w:rFonts w:ascii="Franklin Gothic Book" w:hAnsi="Franklin Gothic Book"/>
          <w:iCs/>
        </w:rPr>
        <w:t>for PICO set 1, the claim of non-inferior test accuracy was uncertain and testing success was likely inferior. However, this may be offset by the convenience of home-based testing. The overall claim of non-inferior effectiveness was uncertain and assumed that the test would be a replacement for Level 1 studies rather than an additional test</w:t>
      </w:r>
      <w:r w:rsidR="00904299">
        <w:rPr>
          <w:rFonts w:ascii="Franklin Gothic Book" w:hAnsi="Franklin Gothic Book"/>
          <w:iCs/>
        </w:rPr>
        <w:t>.</w:t>
      </w:r>
    </w:p>
    <w:p w14:paraId="5370E295" w14:textId="13D739AB" w:rsidR="00594927" w:rsidRPr="00594927" w:rsidRDefault="00594927" w:rsidP="00594927">
      <w:pPr>
        <w:numPr>
          <w:ilvl w:val="0"/>
          <w:numId w:val="48"/>
        </w:numPr>
        <w:rPr>
          <w:rFonts w:ascii="Franklin Gothic Book" w:hAnsi="Franklin Gothic Book"/>
          <w:iCs/>
        </w:rPr>
      </w:pPr>
      <w:r w:rsidRPr="00594927">
        <w:rPr>
          <w:rFonts w:ascii="Franklin Gothic Book" w:hAnsi="Franklin Gothic Book"/>
          <w:iCs/>
        </w:rPr>
        <w:lastRenderedPageBreak/>
        <w:t>for PICO set 2, there was no evidence on test accuracy, although it is likely inferior to Level 1 studies and superior to no sleep study. Clinical utility, effectiveness and testing success was unknown, so it was highly uncertain that the test could improve patient selection for adenotonsillectomy and lead to safer outcomes</w:t>
      </w:r>
      <w:r w:rsidR="00904299">
        <w:rPr>
          <w:rFonts w:ascii="Franklin Gothic Book" w:hAnsi="Franklin Gothic Book"/>
          <w:iCs/>
        </w:rPr>
        <w:t>.</w:t>
      </w:r>
    </w:p>
    <w:p w14:paraId="2CB15EAC" w14:textId="0438B769" w:rsidR="00594927" w:rsidRPr="00594927" w:rsidRDefault="00594927" w:rsidP="00594927">
      <w:pPr>
        <w:numPr>
          <w:ilvl w:val="0"/>
          <w:numId w:val="48"/>
        </w:numPr>
        <w:rPr>
          <w:rFonts w:ascii="Franklin Gothic Book" w:hAnsi="Franklin Gothic Book"/>
          <w:iCs/>
        </w:rPr>
      </w:pPr>
      <w:r w:rsidRPr="00594927">
        <w:rPr>
          <w:rFonts w:ascii="Franklin Gothic Book" w:hAnsi="Franklin Gothic Book"/>
          <w:iCs/>
        </w:rPr>
        <w:t xml:space="preserve">for PICO set 3, there is likely inferior accuracy and inferior change in management, but this may be offset by likely increased acceptability </w:t>
      </w:r>
      <w:r w:rsidR="00904299">
        <w:rPr>
          <w:rFonts w:ascii="Franklin Gothic Book" w:hAnsi="Franklin Gothic Book"/>
          <w:iCs/>
        </w:rPr>
        <w:t xml:space="preserve">of </w:t>
      </w:r>
      <w:r w:rsidR="004B0FC6">
        <w:rPr>
          <w:rFonts w:ascii="Franklin Gothic Book" w:hAnsi="Franklin Gothic Book"/>
          <w:iCs/>
        </w:rPr>
        <w:t>Level 3 CRP</w:t>
      </w:r>
      <w:r w:rsidRPr="00594927">
        <w:rPr>
          <w:rFonts w:ascii="Franklin Gothic Book" w:hAnsi="Franklin Gothic Book"/>
          <w:iCs/>
        </w:rPr>
        <w:t xml:space="preserve"> </w:t>
      </w:r>
      <w:r w:rsidR="0093532D">
        <w:rPr>
          <w:rFonts w:ascii="Franklin Gothic Book" w:hAnsi="Franklin Gothic Book"/>
          <w:iCs/>
        </w:rPr>
        <w:t>to</w:t>
      </w:r>
      <w:r w:rsidRPr="00594927">
        <w:rPr>
          <w:rFonts w:ascii="Franklin Gothic Book" w:hAnsi="Franklin Gothic Book"/>
          <w:iCs/>
        </w:rPr>
        <w:t xml:space="preserve"> the user population.</w:t>
      </w:r>
    </w:p>
    <w:p w14:paraId="20218CDA" w14:textId="6D36741B" w:rsidR="00594927" w:rsidRPr="00594927" w:rsidRDefault="00594927" w:rsidP="00594927">
      <w:pPr>
        <w:rPr>
          <w:rFonts w:ascii="Franklin Gothic Book" w:hAnsi="Franklin Gothic Book"/>
          <w:iCs/>
        </w:rPr>
      </w:pPr>
      <w:r w:rsidRPr="00594927">
        <w:rPr>
          <w:rFonts w:ascii="Franklin Gothic Book" w:hAnsi="Franklin Gothic Book"/>
          <w:iCs/>
        </w:rPr>
        <w:t xml:space="preserve">MSAC noted that a cost-minimisation analysis was undertaken for PICO set 1. The base case results are presented in terms of cost per accurate diagnosis, accounting for the risk of incorrect diagnosis among the intervention group, and the costs of repeat testing because of failure of an initial test. Level 2 PSG has a lower cost per accurate diagnosis than Level 1 PSG. The intervention was lower cost, albeit lower accuracy, than the comparator, but resulted in cost savings of $645.29 per accurate diagnosis. However, </w:t>
      </w:r>
      <w:r w:rsidR="0059568C">
        <w:rPr>
          <w:rFonts w:ascii="Franklin Gothic Book" w:hAnsi="Franklin Gothic Book"/>
          <w:iCs/>
        </w:rPr>
        <w:t xml:space="preserve">MSAC noted that this result, while acceptable, was premised on the low certainty evidence that </w:t>
      </w:r>
      <w:r w:rsidR="00121449">
        <w:rPr>
          <w:rFonts w:ascii="Franklin Gothic Book" w:hAnsi="Franklin Gothic Book"/>
          <w:iCs/>
        </w:rPr>
        <w:t>test accuracy was non-inferior.</w:t>
      </w:r>
    </w:p>
    <w:p w14:paraId="42255B13" w14:textId="2B299C36" w:rsidR="00594927" w:rsidRPr="00594927" w:rsidRDefault="00594927" w:rsidP="00594927">
      <w:pPr>
        <w:rPr>
          <w:rFonts w:ascii="Franklin Gothic Book" w:hAnsi="Franklin Gothic Book"/>
          <w:iCs/>
        </w:rPr>
      </w:pPr>
      <w:r w:rsidRPr="00594927">
        <w:rPr>
          <w:rFonts w:ascii="Franklin Gothic Book" w:hAnsi="Franklin Gothic Book"/>
          <w:iCs/>
        </w:rPr>
        <w:t xml:space="preserve">MSAC noted that a cost-effectiveness analysis was undertaken for PICO set 2. A decision tree was constructed simulating the passage of children and adolescents at significant risk of OSA to either Level 3 CRP (intervention) or to no sleep study (comparator). The transition probabilities were derived from non-randomised studies and, where no published data were available, expert opinion was used. As the outcome of interest for the cost-effectiveness analysis was tonsillectomies avoided, the cost of tonsillectomy was used to set a “willingness-to-pay” threshold for the intervention. MSAC noted that the base-case incremental cost per tonsillectomy avoided of $1,751.65 was less than the expected cost per tonsillectomy ($2,721.41), meaning that the intervention </w:t>
      </w:r>
      <w:r w:rsidR="0037463B">
        <w:rPr>
          <w:rFonts w:ascii="Franklin Gothic Book" w:hAnsi="Franklin Gothic Book"/>
          <w:iCs/>
        </w:rPr>
        <w:t>was</w:t>
      </w:r>
      <w:r w:rsidRPr="00594927">
        <w:rPr>
          <w:rFonts w:ascii="Franklin Gothic Book" w:hAnsi="Franklin Gothic Book"/>
          <w:iCs/>
        </w:rPr>
        <w:t xml:space="preserve"> considered</w:t>
      </w:r>
      <w:r w:rsidR="0037463B">
        <w:rPr>
          <w:rFonts w:ascii="Franklin Gothic Book" w:hAnsi="Franklin Gothic Book"/>
          <w:iCs/>
        </w:rPr>
        <w:t xml:space="preserve"> by the DCAR</w:t>
      </w:r>
      <w:r w:rsidRPr="00594927">
        <w:rPr>
          <w:rFonts w:ascii="Franklin Gothic Book" w:hAnsi="Franklin Gothic Book"/>
          <w:iCs/>
        </w:rPr>
        <w:t xml:space="preserve"> to be cost-effective by this measure. However, MSAC considered that the claim of tonsillectomies avoided is not supported by evidence, as it is highly uncertain that sleep study findings would overturn operative management decisions. The other key limitations are the lack of utility data and that most of the clinical inputs were based on non-randomised data or expert opinion. The evaluation is based on very sparse data (</w:t>
      </w:r>
      <w:r w:rsidRPr="00594927">
        <w:rPr>
          <w:rFonts w:ascii="Franklin Gothic Book" w:hAnsi="Franklin Gothic Book"/>
          <w:i/>
          <w:iCs/>
        </w:rPr>
        <w:t>n</w:t>
      </w:r>
      <w:r w:rsidRPr="00594927">
        <w:rPr>
          <w:rFonts w:ascii="Franklin Gothic Book" w:hAnsi="Franklin Gothic Book"/>
          <w:iCs/>
        </w:rPr>
        <w:t> = 34). In addition, potential downstream benefits of avoiding tonsillectomies could not be quantified and were excluded. MSAC agreed with ESC that a cost-utility analysis (rather than a cost-effectiveness analysis) is preferred for decision making.</w:t>
      </w:r>
    </w:p>
    <w:p w14:paraId="2E23CB39" w14:textId="77777777" w:rsidR="00594927" w:rsidRPr="00594927" w:rsidRDefault="00594927" w:rsidP="00594927">
      <w:pPr>
        <w:rPr>
          <w:rFonts w:ascii="Franklin Gothic Book" w:hAnsi="Franklin Gothic Book"/>
          <w:iCs/>
        </w:rPr>
      </w:pPr>
      <w:r w:rsidRPr="00594927">
        <w:rPr>
          <w:rFonts w:ascii="Franklin Gothic Book" w:hAnsi="Franklin Gothic Book"/>
          <w:iCs/>
        </w:rPr>
        <w:t>MSAC noted that, due to the limited evidence available for PICO set 3, a costing analysis was undertaken. The proposed fees for the new MBS items ($284.19) are much lower than existing MBS items for Level 1 PSG ($768.70 and $692.50) because of lower clinician staffing costs for out-of-laboratory sleep studies. This was not a comprehensive cost analysis because it only considered MBS fees. The evaluation of the consequences of the out-of-laboratory studies in comparison to Level 1 PSG is limited by a lack of appropriate data.</w:t>
      </w:r>
    </w:p>
    <w:p w14:paraId="2E38074D" w14:textId="77777777" w:rsidR="00594927" w:rsidRPr="00594927" w:rsidRDefault="00594927" w:rsidP="00594927">
      <w:pPr>
        <w:rPr>
          <w:rFonts w:ascii="Franklin Gothic Book" w:hAnsi="Franklin Gothic Book"/>
          <w:iCs/>
        </w:rPr>
      </w:pPr>
      <w:r w:rsidRPr="00594927">
        <w:rPr>
          <w:rFonts w:ascii="Franklin Gothic Book" w:hAnsi="Franklin Gothic Book"/>
          <w:iCs/>
        </w:rPr>
        <w:t>MSAC noted that a combined epidemiological and market-share approach was taken to estimate the use of paediatric out-of-laboratory sleep studies in Australia and estimate budget impact. For PICO set 1, MSAC noted that the applicant estimated that 30% of wait-listed children and adolescents are likely to be eligible for Level 2 PSG. The net financial impact to the MBS is estimated to be a cost saving of $461,109 in year 1, rising to an additional cost to the MBS of $306,739 in year 6 due to the greater growth rate of Level 2 studies compared to Level 1 services. If the growth rate is the same for Level 1 and Level 2 studies, the proposed service remains cost saving. The costs are predominately attributable to use of the items for children rather than adolescents.</w:t>
      </w:r>
    </w:p>
    <w:p w14:paraId="367CD44A" w14:textId="77777777" w:rsidR="00594927" w:rsidRPr="00594927" w:rsidRDefault="00594927" w:rsidP="00594927">
      <w:pPr>
        <w:rPr>
          <w:rFonts w:ascii="Franklin Gothic Book" w:hAnsi="Franklin Gothic Book"/>
          <w:iCs/>
        </w:rPr>
      </w:pPr>
      <w:r w:rsidRPr="00594927">
        <w:rPr>
          <w:rFonts w:ascii="Franklin Gothic Book" w:hAnsi="Franklin Gothic Book"/>
          <w:iCs/>
        </w:rPr>
        <w:t>For PICO set 2, MSAC noted that the applicant estimated that 5% of wait-listed children and adolescents are likely to be suitable for Level 3 CRP. The net financial impact to the MBS is estimated to be $134,102 in year 1, rising to $269,728 in year 6. No Level 1 PSG studies are substituted as the comparator for this population is no sleep study.</w:t>
      </w:r>
    </w:p>
    <w:p w14:paraId="6DE8E103" w14:textId="765A91C4" w:rsidR="00594927" w:rsidRPr="00594927" w:rsidRDefault="00594927" w:rsidP="00594927">
      <w:pPr>
        <w:rPr>
          <w:rFonts w:ascii="Franklin Gothic Book" w:hAnsi="Franklin Gothic Book"/>
          <w:iCs/>
        </w:rPr>
      </w:pPr>
      <w:r w:rsidRPr="00594927">
        <w:rPr>
          <w:rFonts w:ascii="Franklin Gothic Book" w:hAnsi="Franklin Gothic Book"/>
          <w:iCs/>
        </w:rPr>
        <w:lastRenderedPageBreak/>
        <w:t xml:space="preserve">For PICO set 3, MSAC noted that the applicant estimated 1,045 children and adolescents required </w:t>
      </w:r>
      <w:r w:rsidR="004866D7">
        <w:rPr>
          <w:rFonts w:ascii="Franklin Gothic Book" w:hAnsi="Franklin Gothic Book"/>
          <w:iCs/>
        </w:rPr>
        <w:t>respira</w:t>
      </w:r>
      <w:r w:rsidR="00B16CB3">
        <w:rPr>
          <w:rFonts w:ascii="Franklin Gothic Book" w:hAnsi="Franklin Gothic Book"/>
          <w:iCs/>
        </w:rPr>
        <w:t xml:space="preserve">tory </w:t>
      </w:r>
      <w:r w:rsidRPr="00594927">
        <w:rPr>
          <w:rFonts w:ascii="Franklin Gothic Book" w:hAnsi="Franklin Gothic Book"/>
          <w:iCs/>
        </w:rPr>
        <w:t>support in Australia in 2009. Half of these were estimated to be suitable for out-of-laboratory monitoring. The net financial impact to the MBS is a cost saving due to the substitution of Level 3 studies for Level 1 monitoring studies; it is estimated to be a saving of $364,624 in year 1, rising to a saving of $465,362 in year 6.</w:t>
      </w:r>
    </w:p>
    <w:p w14:paraId="1A0D30E5" w14:textId="77777777" w:rsidR="00594927" w:rsidRPr="00594927" w:rsidRDefault="00594927" w:rsidP="00594927">
      <w:pPr>
        <w:rPr>
          <w:rFonts w:ascii="Franklin Gothic Book" w:hAnsi="Franklin Gothic Book"/>
          <w:iCs/>
        </w:rPr>
      </w:pPr>
      <w:r w:rsidRPr="00594927">
        <w:rPr>
          <w:rFonts w:ascii="Franklin Gothic Book" w:hAnsi="Franklin Gothic Book"/>
          <w:iCs/>
        </w:rPr>
        <w:t>MSAC considered that if half of the recommended monitoring visits are undertaken but the introduction of Level 3 CRP monitoring results in all patients undergoing recommended monitoring, then the substitution rate would be two Level 3 CRPs for every one Level 1 PSG, thereby reducing the cost saving to $56,096 in year 1 to $71,594 in year 6.</w:t>
      </w:r>
    </w:p>
    <w:p w14:paraId="07197DF6" w14:textId="77777777" w:rsidR="00594927" w:rsidRDefault="00594927" w:rsidP="00594927">
      <w:pPr>
        <w:rPr>
          <w:rFonts w:ascii="Franklin Gothic Book" w:hAnsi="Franklin Gothic Book"/>
          <w:iCs/>
        </w:rPr>
      </w:pPr>
      <w:r w:rsidRPr="00594927">
        <w:rPr>
          <w:rFonts w:ascii="Franklin Gothic Book" w:hAnsi="Franklin Gothic Book"/>
          <w:iCs/>
        </w:rPr>
        <w:t>MSAC noted that the combined budget impact was a net saving of $691,631 in year 1 and a net cost of $111,105 in year 6.</w:t>
      </w:r>
    </w:p>
    <w:p w14:paraId="5277C05D" w14:textId="0B96F75B" w:rsidR="00F416DA" w:rsidRPr="00594927" w:rsidRDefault="00F416DA" w:rsidP="00F416DA">
      <w:pPr>
        <w:rPr>
          <w:rFonts w:ascii="Franklin Gothic Book" w:hAnsi="Franklin Gothic Book"/>
          <w:iCs/>
        </w:rPr>
      </w:pPr>
      <w:r w:rsidRPr="00594927">
        <w:rPr>
          <w:rFonts w:ascii="Franklin Gothic Book" w:hAnsi="Franklin Gothic Book"/>
          <w:iCs/>
        </w:rPr>
        <w:t xml:space="preserve">MSAC considered the possibility of </w:t>
      </w:r>
      <w:r w:rsidR="008066C5">
        <w:rPr>
          <w:rFonts w:ascii="Franklin Gothic Book" w:hAnsi="Franklin Gothic Book"/>
          <w:iCs/>
        </w:rPr>
        <w:t xml:space="preserve">the </w:t>
      </w:r>
      <w:r w:rsidR="00365D49">
        <w:rPr>
          <w:rFonts w:ascii="Franklin Gothic Book" w:hAnsi="Franklin Gothic Book"/>
          <w:iCs/>
        </w:rPr>
        <w:t xml:space="preserve">use </w:t>
      </w:r>
      <w:r w:rsidR="00D11E96">
        <w:rPr>
          <w:rFonts w:ascii="Franklin Gothic Book" w:hAnsi="Franklin Gothic Book"/>
          <w:iCs/>
        </w:rPr>
        <w:t xml:space="preserve">of out-of-laboratory sleep studies </w:t>
      </w:r>
      <w:r w:rsidR="00365D49">
        <w:rPr>
          <w:rFonts w:ascii="Franklin Gothic Book" w:hAnsi="Franklin Gothic Book"/>
          <w:iCs/>
        </w:rPr>
        <w:t>outside of the intended populations</w:t>
      </w:r>
      <w:r w:rsidRPr="00594927">
        <w:rPr>
          <w:rFonts w:ascii="Franklin Gothic Book" w:hAnsi="Franklin Gothic Book"/>
          <w:iCs/>
        </w:rPr>
        <w:t xml:space="preserve"> to be high for all three populations:</w:t>
      </w:r>
    </w:p>
    <w:p w14:paraId="571B928A" w14:textId="77777777" w:rsidR="00F416DA" w:rsidRPr="00594927" w:rsidRDefault="00F416DA" w:rsidP="00F416DA">
      <w:pPr>
        <w:numPr>
          <w:ilvl w:val="0"/>
          <w:numId w:val="50"/>
        </w:numPr>
        <w:rPr>
          <w:rFonts w:ascii="Franklin Gothic Book" w:hAnsi="Franklin Gothic Book"/>
          <w:iCs/>
        </w:rPr>
      </w:pPr>
      <w:r w:rsidRPr="00594927">
        <w:rPr>
          <w:rFonts w:ascii="Franklin Gothic Book" w:hAnsi="Franklin Gothic Book"/>
          <w:iCs/>
        </w:rPr>
        <w:t>Population 1 – although the eligible population for Level 2 PSG are those with a high probability of OSA, in reality it is possible that it may be used for patients across the full spectrum of SDB (from mild to severe).</w:t>
      </w:r>
    </w:p>
    <w:p w14:paraId="57D1A168" w14:textId="5D116124" w:rsidR="00F416DA" w:rsidRPr="00594927" w:rsidRDefault="00F416DA" w:rsidP="00F416DA">
      <w:pPr>
        <w:numPr>
          <w:ilvl w:val="0"/>
          <w:numId w:val="50"/>
        </w:numPr>
        <w:rPr>
          <w:rFonts w:ascii="Franklin Gothic Book" w:hAnsi="Franklin Gothic Book"/>
          <w:iCs/>
        </w:rPr>
      </w:pPr>
      <w:r w:rsidRPr="00594927">
        <w:rPr>
          <w:rFonts w:ascii="Franklin Gothic Book" w:hAnsi="Franklin Gothic Book"/>
          <w:iCs/>
        </w:rPr>
        <w:t xml:space="preserve">Population 2 – patients who cannot tolerate a </w:t>
      </w:r>
      <w:r w:rsidR="00371518">
        <w:rPr>
          <w:rFonts w:ascii="Franklin Gothic Book" w:hAnsi="Franklin Gothic Book"/>
          <w:iCs/>
        </w:rPr>
        <w:t xml:space="preserve">Level 1 or 2 </w:t>
      </w:r>
      <w:r w:rsidRPr="00594927">
        <w:rPr>
          <w:rFonts w:ascii="Franklin Gothic Book" w:hAnsi="Franklin Gothic Book"/>
          <w:iCs/>
        </w:rPr>
        <w:t>PSG may be difficult to define, so there is potential for use outside the intended population.</w:t>
      </w:r>
    </w:p>
    <w:p w14:paraId="2029F47D" w14:textId="77777777" w:rsidR="00F416DA" w:rsidRPr="00594927" w:rsidRDefault="00F416DA" w:rsidP="00F416DA">
      <w:pPr>
        <w:numPr>
          <w:ilvl w:val="0"/>
          <w:numId w:val="50"/>
        </w:numPr>
        <w:rPr>
          <w:rFonts w:ascii="Franklin Gothic Book" w:hAnsi="Franklin Gothic Book"/>
          <w:iCs/>
        </w:rPr>
      </w:pPr>
      <w:r w:rsidRPr="00594927">
        <w:rPr>
          <w:rFonts w:ascii="Franklin Gothic Book" w:hAnsi="Franklin Gothic Book"/>
          <w:iCs/>
        </w:rPr>
        <w:t>Population 3 – it is unclear whether laboratory-based sleep studies were required for patients who are clinically stable and whether monitoring would occur unnecessarily with increased access to out-of-laboratory options.</w:t>
      </w:r>
    </w:p>
    <w:p w14:paraId="049533DC" w14:textId="1EC01E21" w:rsidR="00F416DA" w:rsidRDefault="00F416DA" w:rsidP="00F416DA">
      <w:pPr>
        <w:rPr>
          <w:rFonts w:ascii="Franklin Gothic Book" w:hAnsi="Franklin Gothic Book"/>
          <w:iCs/>
        </w:rPr>
      </w:pPr>
      <w:r w:rsidRPr="00594927">
        <w:rPr>
          <w:rFonts w:ascii="Franklin Gothic Book" w:hAnsi="Franklin Gothic Book"/>
          <w:iCs/>
        </w:rPr>
        <w:t xml:space="preserve">Based on current data on patient out-of-pocket costs for MBS items 12210 and 12213, </w:t>
      </w:r>
      <w:r w:rsidR="003D3B2F">
        <w:rPr>
          <w:rFonts w:ascii="Franklin Gothic Book" w:hAnsi="Franklin Gothic Book"/>
          <w:iCs/>
        </w:rPr>
        <w:t xml:space="preserve">MSAC noted that </w:t>
      </w:r>
      <w:r w:rsidRPr="00594927">
        <w:rPr>
          <w:rFonts w:ascii="Franklin Gothic Book" w:hAnsi="Franklin Gothic Book"/>
          <w:iCs/>
        </w:rPr>
        <w:t xml:space="preserve">ESC </w:t>
      </w:r>
      <w:r w:rsidR="004338E7">
        <w:rPr>
          <w:rFonts w:ascii="Franklin Gothic Book" w:hAnsi="Franklin Gothic Book"/>
          <w:iCs/>
        </w:rPr>
        <w:t xml:space="preserve">had </w:t>
      </w:r>
      <w:r w:rsidRPr="00594927">
        <w:rPr>
          <w:rFonts w:ascii="Franklin Gothic Book" w:hAnsi="Franklin Gothic Book"/>
          <w:iCs/>
        </w:rPr>
        <w:t xml:space="preserve">considered that out-of-pocket costs may be substantial relative to average fees charged. MSAC agreed with ESC that these out-of-pocket costs may be proportionally higher for patients who live further away if </w:t>
      </w:r>
      <w:r w:rsidR="009247B2">
        <w:rPr>
          <w:rFonts w:ascii="Franklin Gothic Book" w:hAnsi="Franklin Gothic Book"/>
          <w:iCs/>
        </w:rPr>
        <w:t xml:space="preserve">the </w:t>
      </w:r>
      <w:r w:rsidRPr="00594927">
        <w:rPr>
          <w:rFonts w:ascii="Franklin Gothic Book" w:hAnsi="Franklin Gothic Book"/>
          <w:iCs/>
        </w:rPr>
        <w:t>cost of equipment delivery, setup and return of equipment is billed separately to the patient, which could lead to access issues.</w:t>
      </w:r>
    </w:p>
    <w:p w14:paraId="5FA6C890" w14:textId="4B7F74DD" w:rsidR="00F416DA" w:rsidRPr="00F416DA" w:rsidRDefault="00F416DA" w:rsidP="00F416DA">
      <w:pPr>
        <w:rPr>
          <w:rFonts w:ascii="Franklin Gothic Book" w:hAnsi="Franklin Gothic Book"/>
          <w:iCs/>
        </w:rPr>
      </w:pPr>
      <w:r>
        <w:rPr>
          <w:rFonts w:ascii="Franklin Gothic Book" w:hAnsi="Franklin Gothic Book"/>
          <w:iCs/>
        </w:rPr>
        <w:t>MSAC agreed with ESC that t</w:t>
      </w:r>
      <w:r w:rsidRPr="00F416DA">
        <w:rPr>
          <w:rFonts w:ascii="Franklin Gothic Book" w:hAnsi="Franklin Gothic Book"/>
          <w:iCs/>
        </w:rPr>
        <w:t>here may be additional access issues arising from unintended consequences:</w:t>
      </w:r>
    </w:p>
    <w:p w14:paraId="1C69157B" w14:textId="0143090C" w:rsidR="00F416DA" w:rsidRDefault="00F416DA" w:rsidP="00F416DA">
      <w:pPr>
        <w:pStyle w:val="ListParagraph"/>
        <w:numPr>
          <w:ilvl w:val="0"/>
          <w:numId w:val="51"/>
        </w:numPr>
        <w:rPr>
          <w:iCs/>
        </w:rPr>
      </w:pPr>
      <w:r w:rsidRPr="00F416DA">
        <w:rPr>
          <w:iCs/>
        </w:rPr>
        <w:t xml:space="preserve">Sleep laboratory sites may </w:t>
      </w:r>
      <w:r w:rsidR="00AC22CB">
        <w:rPr>
          <w:iCs/>
        </w:rPr>
        <w:t>face reduced incentives to</w:t>
      </w:r>
      <w:r w:rsidRPr="00F416DA">
        <w:rPr>
          <w:iCs/>
        </w:rPr>
        <w:t xml:space="preserve"> maintain current skills in accommodating children with disability or sensory support needs</w:t>
      </w:r>
      <w:r w:rsidR="00AC22CB">
        <w:rPr>
          <w:iCs/>
        </w:rPr>
        <w:t xml:space="preserve"> if home-based options become available</w:t>
      </w:r>
      <w:r w:rsidR="009247B2">
        <w:rPr>
          <w:iCs/>
        </w:rPr>
        <w:t>.</w:t>
      </w:r>
    </w:p>
    <w:p w14:paraId="4CB184DA" w14:textId="0669C902" w:rsidR="00F416DA" w:rsidRPr="00F416DA" w:rsidRDefault="00F416DA" w:rsidP="00012618">
      <w:pPr>
        <w:pStyle w:val="ListParagraph"/>
        <w:numPr>
          <w:ilvl w:val="0"/>
          <w:numId w:val="51"/>
        </w:numPr>
        <w:rPr>
          <w:iCs/>
        </w:rPr>
      </w:pPr>
      <w:r w:rsidRPr="00F416DA">
        <w:rPr>
          <w:iCs/>
        </w:rPr>
        <w:t>Potential removal of transport subsidies for remote patients who prefer to have a laboratory sleep study as home-based options become available.</w:t>
      </w:r>
    </w:p>
    <w:p w14:paraId="780205C1" w14:textId="77777777" w:rsidR="00594927" w:rsidRPr="00594927" w:rsidRDefault="00594927" w:rsidP="00594927">
      <w:pPr>
        <w:rPr>
          <w:rFonts w:ascii="Franklin Gothic Book" w:hAnsi="Franklin Gothic Book"/>
          <w:iCs/>
        </w:rPr>
      </w:pPr>
      <w:r w:rsidRPr="00594927">
        <w:rPr>
          <w:rFonts w:ascii="Franklin Gothic Book" w:hAnsi="Franklin Gothic Book"/>
          <w:iCs/>
        </w:rPr>
        <w:t>MSAC disagreed with the suggestion that providers should be accredited by the National Association of Testing Authorities, as this is not a requirement for adult MBS items and may worsen access.</w:t>
      </w:r>
    </w:p>
    <w:p w14:paraId="00A3B095" w14:textId="56620603" w:rsidR="00594927" w:rsidRPr="00594927" w:rsidRDefault="00594927" w:rsidP="00594927">
      <w:pPr>
        <w:rPr>
          <w:rFonts w:ascii="Franklin Gothic Book" w:hAnsi="Franklin Gothic Book"/>
          <w:iCs/>
        </w:rPr>
      </w:pPr>
      <w:r w:rsidRPr="00594927">
        <w:rPr>
          <w:rFonts w:ascii="Franklin Gothic Book" w:hAnsi="Franklin Gothic Book"/>
          <w:iCs/>
        </w:rPr>
        <w:t>Overall, MSAC did not support listing Level 3 CRP studies for populations 2 and 3. MSAC considered that the clinical claim of superiority for clinical utility is not supported by evidence. No studies met inclusion criteria for change in management for population 2. The clinical claim put forward by the applicant that the intervention for PICO set 2 could lead to a reduction in tonsillectom</w:t>
      </w:r>
      <w:r w:rsidR="0050554F">
        <w:rPr>
          <w:rFonts w:ascii="Franklin Gothic Book" w:hAnsi="Franklin Gothic Book"/>
          <w:iCs/>
        </w:rPr>
        <w:t>ies</w:t>
      </w:r>
      <w:r w:rsidRPr="00594927">
        <w:rPr>
          <w:rFonts w:ascii="Franklin Gothic Book" w:hAnsi="Franklin Gothic Book"/>
          <w:iCs/>
        </w:rPr>
        <w:t xml:space="preserve"> is largely speculative. There is no evidence </w:t>
      </w:r>
      <w:r w:rsidR="003958F6">
        <w:rPr>
          <w:rFonts w:ascii="Franklin Gothic Book" w:hAnsi="Franklin Gothic Book"/>
          <w:iCs/>
        </w:rPr>
        <w:t>available</w:t>
      </w:r>
      <w:r w:rsidRPr="00594927">
        <w:rPr>
          <w:rFonts w:ascii="Franklin Gothic Book" w:hAnsi="Franklin Gothic Book"/>
          <w:iCs/>
        </w:rPr>
        <w:t xml:space="preserve"> to suggest that a </w:t>
      </w:r>
      <w:r w:rsidR="0091106A">
        <w:rPr>
          <w:rFonts w:ascii="Franklin Gothic Book" w:hAnsi="Franklin Gothic Book"/>
          <w:iCs/>
        </w:rPr>
        <w:t xml:space="preserve">Level 3 CRP </w:t>
      </w:r>
      <w:r w:rsidRPr="00594927">
        <w:rPr>
          <w:rFonts w:ascii="Franklin Gothic Book" w:hAnsi="Franklin Gothic Book"/>
          <w:iCs/>
        </w:rPr>
        <w:t xml:space="preserve">sleep study will overturn any previous recommendations for surgery. </w:t>
      </w:r>
      <w:r w:rsidR="00F74D69">
        <w:rPr>
          <w:rFonts w:ascii="Franklin Gothic Book" w:hAnsi="Franklin Gothic Book"/>
          <w:iCs/>
        </w:rPr>
        <w:t>Many</w:t>
      </w:r>
      <w:r w:rsidRPr="00594927">
        <w:rPr>
          <w:rFonts w:ascii="Franklin Gothic Book" w:hAnsi="Franklin Gothic Book"/>
          <w:iCs/>
        </w:rPr>
        <w:t xml:space="preserve"> clinical factors</w:t>
      </w:r>
      <w:r w:rsidR="00F74D69">
        <w:rPr>
          <w:rFonts w:ascii="Franklin Gothic Book" w:hAnsi="Franklin Gothic Book"/>
          <w:iCs/>
        </w:rPr>
        <w:t>, in addition to sleep study results,</w:t>
      </w:r>
      <w:r w:rsidRPr="00594927">
        <w:rPr>
          <w:rFonts w:ascii="Franklin Gothic Book" w:hAnsi="Franklin Gothic Book"/>
          <w:iCs/>
        </w:rPr>
        <w:t xml:space="preserve"> are considered when a decision is being made to progress to adenotonsillectomy, and these </w:t>
      </w:r>
      <w:r w:rsidR="0033502C">
        <w:rPr>
          <w:rFonts w:ascii="Franklin Gothic Book" w:hAnsi="Franklin Gothic Book"/>
          <w:iCs/>
        </w:rPr>
        <w:t xml:space="preserve">operations </w:t>
      </w:r>
      <w:r w:rsidRPr="00594927">
        <w:rPr>
          <w:rFonts w:ascii="Franklin Gothic Book" w:hAnsi="Franklin Gothic Book"/>
          <w:iCs/>
        </w:rPr>
        <w:t xml:space="preserve">may occur even if the sleep study is negative for OSA. In addition, MSAC considered that the </w:t>
      </w:r>
      <w:r w:rsidR="00F57F04">
        <w:rPr>
          <w:rFonts w:ascii="Franklin Gothic Book" w:hAnsi="Franklin Gothic Book"/>
          <w:iCs/>
        </w:rPr>
        <w:t>evidence</w:t>
      </w:r>
      <w:r w:rsidRPr="00594927">
        <w:rPr>
          <w:rFonts w:ascii="Franklin Gothic Book" w:hAnsi="Franklin Gothic Book"/>
          <w:iCs/>
        </w:rPr>
        <w:t xml:space="preserve"> </w:t>
      </w:r>
      <w:r w:rsidR="007F1032">
        <w:rPr>
          <w:rFonts w:ascii="Franklin Gothic Book" w:hAnsi="Franklin Gothic Book"/>
          <w:iCs/>
        </w:rPr>
        <w:t>supporting</w:t>
      </w:r>
      <w:r w:rsidRPr="00594927">
        <w:rPr>
          <w:rFonts w:ascii="Franklin Gothic Book" w:hAnsi="Franklin Gothic Book"/>
          <w:iCs/>
        </w:rPr>
        <w:t xml:space="preserve"> Level 3 CRP ha</w:t>
      </w:r>
      <w:r w:rsidR="007F1032">
        <w:rPr>
          <w:rFonts w:ascii="Franklin Gothic Book" w:hAnsi="Franklin Gothic Book"/>
          <w:iCs/>
        </w:rPr>
        <w:t>d</w:t>
      </w:r>
      <w:r w:rsidRPr="00594927">
        <w:rPr>
          <w:rFonts w:ascii="Franklin Gothic Book" w:hAnsi="Franklin Gothic Book"/>
          <w:iCs/>
        </w:rPr>
        <w:t xml:space="preserve"> a high risk of bias, </w:t>
      </w:r>
      <w:r w:rsidRPr="00594927">
        <w:rPr>
          <w:rFonts w:ascii="Franklin Gothic Book" w:hAnsi="Franklin Gothic Book"/>
          <w:iCs/>
        </w:rPr>
        <w:lastRenderedPageBreak/>
        <w:t xml:space="preserve">and </w:t>
      </w:r>
      <w:r w:rsidR="006E6A2C">
        <w:rPr>
          <w:rFonts w:ascii="Franklin Gothic Book" w:hAnsi="Franklin Gothic Book"/>
          <w:iCs/>
        </w:rPr>
        <w:t xml:space="preserve">there were </w:t>
      </w:r>
      <w:r w:rsidRPr="00594927">
        <w:rPr>
          <w:rFonts w:ascii="Franklin Gothic Book" w:hAnsi="Franklin Gothic Book"/>
          <w:iCs/>
        </w:rPr>
        <w:t xml:space="preserve">issues with </w:t>
      </w:r>
      <w:r w:rsidR="006E6A2C">
        <w:rPr>
          <w:rFonts w:ascii="Franklin Gothic Book" w:hAnsi="Franklin Gothic Book"/>
          <w:iCs/>
        </w:rPr>
        <w:t>diagnostic</w:t>
      </w:r>
      <w:r w:rsidRPr="00594927">
        <w:rPr>
          <w:rFonts w:ascii="Franklin Gothic Book" w:hAnsi="Franklin Gothic Book"/>
          <w:iCs/>
        </w:rPr>
        <w:t xml:space="preserve"> accuracy and high </w:t>
      </w:r>
      <w:r w:rsidR="006E6A2C">
        <w:rPr>
          <w:rFonts w:ascii="Franklin Gothic Book" w:hAnsi="Franklin Gothic Book"/>
          <w:iCs/>
        </w:rPr>
        <w:t xml:space="preserve">test </w:t>
      </w:r>
      <w:r w:rsidRPr="00594927">
        <w:rPr>
          <w:rFonts w:ascii="Franklin Gothic Book" w:hAnsi="Franklin Gothic Book"/>
          <w:iCs/>
        </w:rPr>
        <w:t>failure rates. The incremental diagnostic value is likely to be minimal (or zero) in the study populations. No evidence on incremental value was identified for the target population</w:t>
      </w:r>
      <w:r w:rsidR="00AD3623">
        <w:rPr>
          <w:rFonts w:ascii="Franklin Gothic Book" w:hAnsi="Franklin Gothic Book"/>
          <w:iCs/>
        </w:rPr>
        <w:t>.</w:t>
      </w:r>
      <w:r w:rsidRPr="00594927">
        <w:rPr>
          <w:rFonts w:ascii="Franklin Gothic Book" w:hAnsi="Franklin Gothic Book"/>
          <w:iCs/>
        </w:rPr>
        <w:t xml:space="preserve"> </w:t>
      </w:r>
      <w:r w:rsidR="00AD3623">
        <w:rPr>
          <w:rFonts w:ascii="Franklin Gothic Book" w:hAnsi="Franklin Gothic Book"/>
          <w:iCs/>
        </w:rPr>
        <w:t xml:space="preserve">MSAC considered that </w:t>
      </w:r>
      <w:r w:rsidRPr="00594927">
        <w:rPr>
          <w:rFonts w:ascii="Franklin Gothic Book" w:hAnsi="Franklin Gothic Book"/>
          <w:iCs/>
        </w:rPr>
        <w:t xml:space="preserve">there </w:t>
      </w:r>
      <w:r w:rsidR="00F156E5">
        <w:rPr>
          <w:rFonts w:ascii="Franklin Gothic Book" w:hAnsi="Franklin Gothic Book"/>
          <w:iCs/>
        </w:rPr>
        <w:t>was</w:t>
      </w:r>
      <w:r w:rsidRPr="00594927">
        <w:rPr>
          <w:rFonts w:ascii="Franklin Gothic Book" w:hAnsi="Franklin Gothic Book"/>
          <w:iCs/>
        </w:rPr>
        <w:t xml:space="preserve"> uncertainty in </w:t>
      </w:r>
      <w:r w:rsidR="00F156E5">
        <w:rPr>
          <w:rFonts w:ascii="Franklin Gothic Book" w:hAnsi="Franklin Gothic Book"/>
          <w:iCs/>
        </w:rPr>
        <w:t xml:space="preserve">the applicability of </w:t>
      </w:r>
      <w:r w:rsidRPr="00594927">
        <w:rPr>
          <w:rFonts w:ascii="Franklin Gothic Book" w:hAnsi="Franklin Gothic Book"/>
          <w:iCs/>
        </w:rPr>
        <w:t>the evidence to the intended use population (population 2)</w:t>
      </w:r>
      <w:r w:rsidR="0038386A">
        <w:rPr>
          <w:rFonts w:ascii="Franklin Gothic Book" w:hAnsi="Franklin Gothic Book"/>
          <w:iCs/>
        </w:rPr>
        <w:t>, due to</w:t>
      </w:r>
      <w:r w:rsidR="00935B4C">
        <w:rPr>
          <w:rFonts w:ascii="Franklin Gothic Book" w:hAnsi="Franklin Gothic Book"/>
          <w:iCs/>
        </w:rPr>
        <w:t xml:space="preserve"> </w:t>
      </w:r>
      <w:r w:rsidR="002D31FB">
        <w:rPr>
          <w:rFonts w:ascii="Franklin Gothic Book" w:hAnsi="Franklin Gothic Book"/>
          <w:iCs/>
        </w:rPr>
        <w:t xml:space="preserve">uncertainty </w:t>
      </w:r>
      <w:r w:rsidR="00B34A3A">
        <w:rPr>
          <w:rFonts w:ascii="Franklin Gothic Book" w:hAnsi="Franklin Gothic Book"/>
          <w:iCs/>
        </w:rPr>
        <w:t xml:space="preserve">whether </w:t>
      </w:r>
      <w:r w:rsidR="00B77E0E">
        <w:rPr>
          <w:rFonts w:ascii="Franklin Gothic Book" w:hAnsi="Franklin Gothic Book"/>
          <w:iCs/>
        </w:rPr>
        <w:t>the study populations were reflective of population 2</w:t>
      </w:r>
      <w:r w:rsidR="009E013A">
        <w:rPr>
          <w:rFonts w:ascii="Franklin Gothic Book" w:hAnsi="Franklin Gothic Book"/>
          <w:iCs/>
        </w:rPr>
        <w:t xml:space="preserve"> (patients unable to tolerate Level 1 or 2 PSG</w:t>
      </w:r>
      <w:r w:rsidRPr="00594927">
        <w:rPr>
          <w:rFonts w:ascii="Franklin Gothic Book" w:hAnsi="Franklin Gothic Book"/>
          <w:iCs/>
        </w:rPr>
        <w:t>).</w:t>
      </w:r>
      <w:r w:rsidR="00F007F4">
        <w:rPr>
          <w:rFonts w:ascii="Franklin Gothic Book" w:hAnsi="Franklin Gothic Book"/>
          <w:iCs/>
        </w:rPr>
        <w:t xml:space="preserve"> </w:t>
      </w:r>
    </w:p>
    <w:p w14:paraId="22B9F429" w14:textId="1F4AE984" w:rsidR="00594927" w:rsidRPr="00594927" w:rsidRDefault="00594927" w:rsidP="00594927">
      <w:pPr>
        <w:rPr>
          <w:rFonts w:ascii="Franklin Gothic Book" w:hAnsi="Franklin Gothic Book"/>
          <w:iCs/>
        </w:rPr>
      </w:pPr>
      <w:r w:rsidRPr="00594927">
        <w:rPr>
          <w:rFonts w:ascii="Franklin Gothic Book" w:hAnsi="Franklin Gothic Book"/>
          <w:iCs/>
        </w:rPr>
        <w:t xml:space="preserve">MSAC considered that the economic evaluation for PICO set 2 is uncertain because it is based on very sparse data and is limited by the lack of utility data. Most of the clinical inputs are based on non-randomised data or expert opinion. The cost-effectiveness analysis is based on a willingness-to-pay threshold that is set at the cost of performing a tonsillectomy. However, the claim of tonsillectomies avoided is not supported by the evidence for the reasons discussed. Further, MSAC considered that children who cannot tolerate an in-laboratory sleep study (population 2) may be difficult to define, thus there is the potential for leakage. For population 3, it is unclear whether laboratory-based sleep studies are required for patients who are clinically stable, and whether Level 3 CRP for monitoring purposes will occur unnecessarily in clinical practice for clinically stable patients (that is, there is the potential for overservicing) given </w:t>
      </w:r>
      <w:r w:rsidR="003A28F7">
        <w:rPr>
          <w:rFonts w:ascii="Franklin Gothic Book" w:hAnsi="Franklin Gothic Book"/>
          <w:iCs/>
        </w:rPr>
        <w:t xml:space="preserve">that Level 3 CRP is </w:t>
      </w:r>
      <w:r w:rsidRPr="00594927">
        <w:rPr>
          <w:rFonts w:ascii="Franklin Gothic Book" w:hAnsi="Franklin Gothic Book"/>
          <w:iCs/>
        </w:rPr>
        <w:t>a more accessible and easier-to-administer sleep test.</w:t>
      </w:r>
    </w:p>
    <w:p w14:paraId="52D88CEE" w14:textId="148C444F" w:rsidR="00594927" w:rsidRPr="00594927" w:rsidRDefault="00594927" w:rsidP="00594927">
      <w:pPr>
        <w:rPr>
          <w:rFonts w:ascii="Franklin Gothic Book" w:hAnsi="Franklin Gothic Book"/>
          <w:iCs/>
        </w:rPr>
      </w:pPr>
      <w:r w:rsidRPr="00594927">
        <w:rPr>
          <w:rFonts w:ascii="Franklin Gothic Book" w:hAnsi="Franklin Gothic Book"/>
          <w:iCs/>
        </w:rPr>
        <w:t>MSAC considered that any resubmission for a Level 3 CRP would need to demonstrate a clear clinical need, and would need higher-level evidence to support, as a minimum, non-inferior clinical effectiveness, safety and cost-effectiveness.</w:t>
      </w:r>
      <w:r w:rsidR="004A7BA2">
        <w:rPr>
          <w:rFonts w:ascii="Franklin Gothic Book" w:hAnsi="Franklin Gothic Book"/>
          <w:iCs/>
        </w:rPr>
        <w:t xml:space="preserve"> MSAC considered that a </w:t>
      </w:r>
      <w:r w:rsidR="004A7BA2" w:rsidRPr="00100061">
        <w:rPr>
          <w:rFonts w:ascii="Franklin Gothic Book" w:hAnsi="Franklin Gothic Book"/>
          <w:iCs/>
        </w:rPr>
        <w:t>very clear justification to fund Level 3 studies in the paediatric population</w:t>
      </w:r>
      <w:r w:rsidR="004A7BA2">
        <w:rPr>
          <w:rFonts w:ascii="Franklin Gothic Book" w:hAnsi="Franklin Gothic Book"/>
          <w:iCs/>
        </w:rPr>
        <w:t xml:space="preserve"> would be required given that </w:t>
      </w:r>
      <w:r w:rsidR="004A7BA2" w:rsidRPr="00100061">
        <w:rPr>
          <w:rFonts w:ascii="Franklin Gothic Book" w:hAnsi="Franklin Gothic Book"/>
          <w:iCs/>
        </w:rPr>
        <w:t xml:space="preserve">it is not </w:t>
      </w:r>
      <w:r w:rsidR="00602887">
        <w:rPr>
          <w:rFonts w:ascii="Franklin Gothic Book" w:hAnsi="Franklin Gothic Book"/>
          <w:iCs/>
        </w:rPr>
        <w:t xml:space="preserve">currently </w:t>
      </w:r>
      <w:r w:rsidR="004A7BA2" w:rsidRPr="00100061">
        <w:rPr>
          <w:rFonts w:ascii="Franklin Gothic Book" w:hAnsi="Franklin Gothic Book"/>
          <w:iCs/>
        </w:rPr>
        <w:t>funded in the adult population</w:t>
      </w:r>
      <w:r w:rsidR="004A7BA2">
        <w:rPr>
          <w:rFonts w:ascii="Franklin Gothic Book" w:hAnsi="Franklin Gothic Book"/>
          <w:iCs/>
        </w:rPr>
        <w:t xml:space="preserve">. </w:t>
      </w:r>
      <w:r w:rsidRPr="00594927">
        <w:rPr>
          <w:rFonts w:ascii="Franklin Gothic Book" w:hAnsi="Franklin Gothic Book"/>
          <w:iCs/>
        </w:rPr>
        <w:t>The use of the appropriate economic evaluation tool is recommended, noting that a cost-utility analysis is the preferred method for MSAC decision making.</w:t>
      </w:r>
    </w:p>
    <w:p w14:paraId="7E0575E3" w14:textId="02CC61AA" w:rsidR="003C31E0" w:rsidRPr="003C31E0" w:rsidRDefault="00594927" w:rsidP="003C31E0">
      <w:pPr>
        <w:rPr>
          <w:rFonts w:ascii="Franklin Gothic Book" w:hAnsi="Franklin Gothic Book"/>
          <w:iCs/>
        </w:rPr>
      </w:pPr>
      <w:r w:rsidRPr="00594927">
        <w:rPr>
          <w:rFonts w:ascii="Franklin Gothic Book" w:hAnsi="Franklin Gothic Book"/>
          <w:iCs/>
        </w:rPr>
        <w:t>MSAC considered that Level 2 PSG studies have non-inferior test accuracy, non-inferior effectiveness and non-inferior safety compared to Level 1 studies. The use of Level 2 PSG studies result</w:t>
      </w:r>
      <w:r w:rsidR="00A6391D">
        <w:rPr>
          <w:rFonts w:ascii="Franklin Gothic Book" w:hAnsi="Franklin Gothic Book"/>
          <w:iCs/>
        </w:rPr>
        <w:t>ed</w:t>
      </w:r>
      <w:r w:rsidRPr="00594927">
        <w:rPr>
          <w:rFonts w:ascii="Franklin Gothic Book" w:hAnsi="Franklin Gothic Book"/>
          <w:iCs/>
        </w:rPr>
        <w:t xml:space="preserve"> in inferior testing success (failure rates of 9–19%), but this may be offset by the convenience of home-based testing. MSAC agreed with ESC that the evidence for these studies is uncertain because of small sample sizes, but it is unlikely that larger studies will be available for a paediatric indication. It is noted that additional sources of supporting evidence were used to address gaps in evidence in this application. MSAC noted that there is no evidence for change in management for population 1, but considered it reasonable to assume that a diagnosis of OSA (or otherwise) will lead to the same treatment decisions regardless of </w:t>
      </w:r>
      <w:r w:rsidR="00C427A2">
        <w:rPr>
          <w:rFonts w:ascii="Franklin Gothic Book" w:hAnsi="Franklin Gothic Book"/>
          <w:iCs/>
        </w:rPr>
        <w:t>whether the diagnosis was made by a Level 1 or 2 PSG</w:t>
      </w:r>
      <w:r w:rsidRPr="00594927">
        <w:rPr>
          <w:rFonts w:ascii="Franklin Gothic Book" w:hAnsi="Franklin Gothic Book"/>
          <w:iCs/>
        </w:rPr>
        <w:t xml:space="preserve">. </w:t>
      </w:r>
    </w:p>
    <w:p w14:paraId="58A3691A" w14:textId="15BD683C" w:rsidR="00594927" w:rsidRPr="00594927" w:rsidRDefault="00594927" w:rsidP="00594927">
      <w:pPr>
        <w:rPr>
          <w:rFonts w:ascii="Franklin Gothic Book" w:hAnsi="Franklin Gothic Book"/>
          <w:iCs/>
        </w:rPr>
      </w:pPr>
      <w:r w:rsidRPr="00594927">
        <w:rPr>
          <w:rFonts w:ascii="Franklin Gothic Book" w:hAnsi="Franklin Gothic Book"/>
          <w:iCs/>
        </w:rPr>
        <w:t xml:space="preserve">MSAC acknowledged that Level 2 </w:t>
      </w:r>
      <w:r w:rsidR="00C427A2">
        <w:rPr>
          <w:rFonts w:ascii="Franklin Gothic Book" w:hAnsi="Franklin Gothic Book"/>
          <w:iCs/>
        </w:rPr>
        <w:t>PSG</w:t>
      </w:r>
      <w:r w:rsidRPr="00594927">
        <w:rPr>
          <w:rFonts w:ascii="Franklin Gothic Book" w:hAnsi="Franklin Gothic Book"/>
          <w:iCs/>
        </w:rPr>
        <w:t xml:space="preserve"> are available on the MBS for adults.</w:t>
      </w:r>
    </w:p>
    <w:p w14:paraId="1003FC7D" w14:textId="1E548C4F" w:rsidR="00594927" w:rsidRPr="00594927" w:rsidRDefault="00594927" w:rsidP="00594927">
      <w:pPr>
        <w:rPr>
          <w:rFonts w:ascii="Franklin Gothic Book" w:hAnsi="Franklin Gothic Book"/>
          <w:iCs/>
        </w:rPr>
      </w:pPr>
      <w:r w:rsidRPr="00594927">
        <w:rPr>
          <w:rFonts w:ascii="Franklin Gothic Book" w:hAnsi="Franklin Gothic Book"/>
          <w:iCs/>
        </w:rPr>
        <w:t>MSAC considered that, for a resubmission for Level 2 PSG, the applicant would need to demonstrate:</w:t>
      </w:r>
    </w:p>
    <w:p w14:paraId="03FA0C6C" w14:textId="6EFBDD78" w:rsidR="00594927" w:rsidRPr="00594927" w:rsidRDefault="00594927" w:rsidP="00594927">
      <w:pPr>
        <w:numPr>
          <w:ilvl w:val="0"/>
          <w:numId w:val="47"/>
        </w:numPr>
        <w:tabs>
          <w:tab w:val="num" w:pos="360"/>
        </w:tabs>
        <w:rPr>
          <w:rFonts w:ascii="Franklin Gothic Book" w:hAnsi="Franklin Gothic Book"/>
          <w:iCs/>
        </w:rPr>
      </w:pPr>
      <w:r w:rsidRPr="00594927">
        <w:rPr>
          <w:rFonts w:ascii="Franklin Gothic Book" w:hAnsi="Franklin Gothic Book"/>
          <w:iCs/>
        </w:rPr>
        <w:t xml:space="preserve">a clear clinical need, and provide a clear description of how the service will meet this need. The main clinical need appears to be addressing the long wait times for a Level 1 PSG. The applicant estimates 30% of wait-list patients can be assessed with a Level 2 PSG in place of in-laboratory PSG, </w:t>
      </w:r>
      <w:r w:rsidR="00F04CD6">
        <w:rPr>
          <w:rFonts w:ascii="Franklin Gothic Book" w:hAnsi="Franklin Gothic Book"/>
          <w:iCs/>
        </w:rPr>
        <w:t>however</w:t>
      </w:r>
      <w:r w:rsidR="00F04CD6" w:rsidRPr="00594927">
        <w:rPr>
          <w:rFonts w:ascii="Franklin Gothic Book" w:hAnsi="Franklin Gothic Book"/>
          <w:iCs/>
        </w:rPr>
        <w:t xml:space="preserve"> </w:t>
      </w:r>
      <w:r w:rsidRPr="00594927">
        <w:rPr>
          <w:rFonts w:ascii="Franklin Gothic Book" w:hAnsi="Franklin Gothic Book"/>
          <w:iCs/>
        </w:rPr>
        <w:t>this estimation</w:t>
      </w:r>
      <w:r w:rsidR="00D63B5A">
        <w:rPr>
          <w:rFonts w:ascii="Franklin Gothic Book" w:hAnsi="Franklin Gothic Book"/>
          <w:iCs/>
        </w:rPr>
        <w:t xml:space="preserve"> requires justification</w:t>
      </w:r>
      <w:r w:rsidR="00846458">
        <w:rPr>
          <w:rFonts w:ascii="Franklin Gothic Book" w:hAnsi="Franklin Gothic Book"/>
          <w:iCs/>
        </w:rPr>
        <w:t xml:space="preserve">. </w:t>
      </w:r>
    </w:p>
    <w:p w14:paraId="2ABB49E0" w14:textId="1A4C6A4D" w:rsidR="00594927" w:rsidRPr="00594927" w:rsidRDefault="00594927" w:rsidP="00594927">
      <w:pPr>
        <w:numPr>
          <w:ilvl w:val="0"/>
          <w:numId w:val="47"/>
        </w:numPr>
        <w:tabs>
          <w:tab w:val="num" w:pos="360"/>
        </w:tabs>
        <w:rPr>
          <w:rFonts w:ascii="Franklin Gothic Book" w:hAnsi="Franklin Gothic Book"/>
          <w:iCs/>
        </w:rPr>
      </w:pPr>
      <w:r w:rsidRPr="00594927">
        <w:rPr>
          <w:rFonts w:ascii="Franklin Gothic Book" w:hAnsi="Franklin Gothic Book"/>
          <w:iCs/>
        </w:rPr>
        <w:t xml:space="preserve">how the requirement for a patient to be referred to a paediatric sleep physician will address waiting times, noting the relatively low number and distribution of paediatric sleep physicians. This requirement may inadvertently reduce access as there will </w:t>
      </w:r>
      <w:r w:rsidR="00D06439">
        <w:rPr>
          <w:rFonts w:ascii="Franklin Gothic Book" w:hAnsi="Franklin Gothic Book"/>
          <w:iCs/>
        </w:rPr>
        <w:t xml:space="preserve">likely </w:t>
      </w:r>
      <w:r w:rsidRPr="00594927">
        <w:rPr>
          <w:rFonts w:ascii="Franklin Gothic Book" w:hAnsi="Franklin Gothic Book"/>
          <w:iCs/>
        </w:rPr>
        <w:t xml:space="preserve">be </w:t>
      </w:r>
      <w:r w:rsidR="00C67526">
        <w:rPr>
          <w:rFonts w:ascii="Franklin Gothic Book" w:hAnsi="Franklin Gothic Book"/>
          <w:iCs/>
        </w:rPr>
        <w:t>increased demand for</w:t>
      </w:r>
      <w:r w:rsidR="00C67526" w:rsidRPr="00594927">
        <w:rPr>
          <w:rFonts w:ascii="Franklin Gothic Book" w:hAnsi="Franklin Gothic Book"/>
          <w:iCs/>
        </w:rPr>
        <w:t xml:space="preserve"> </w:t>
      </w:r>
      <w:r w:rsidRPr="00594927">
        <w:rPr>
          <w:rFonts w:ascii="Franklin Gothic Book" w:hAnsi="Franklin Gothic Book"/>
          <w:iCs/>
        </w:rPr>
        <w:t>consultations with paediatric sleep physicians</w:t>
      </w:r>
      <w:r w:rsidR="00131374">
        <w:rPr>
          <w:rFonts w:ascii="Franklin Gothic Book" w:hAnsi="Franklin Gothic Book"/>
          <w:iCs/>
        </w:rPr>
        <w:t>,</w:t>
      </w:r>
      <w:r w:rsidRPr="00594927">
        <w:rPr>
          <w:rFonts w:ascii="Franklin Gothic Book" w:hAnsi="Franklin Gothic Book"/>
          <w:iCs/>
        </w:rPr>
        <w:t xml:space="preserve"> </w:t>
      </w:r>
      <w:r w:rsidR="007B056B">
        <w:rPr>
          <w:rFonts w:ascii="Franklin Gothic Book" w:hAnsi="Franklin Gothic Book"/>
          <w:iCs/>
        </w:rPr>
        <w:t>particularly</w:t>
      </w:r>
      <w:r w:rsidRPr="00594927">
        <w:rPr>
          <w:rFonts w:ascii="Franklin Gothic Book" w:hAnsi="Franklin Gothic Book"/>
          <w:iCs/>
        </w:rPr>
        <w:t xml:space="preserve"> if additional testing </w:t>
      </w:r>
      <w:r w:rsidR="001452D2">
        <w:rPr>
          <w:rFonts w:ascii="Franklin Gothic Book" w:hAnsi="Franklin Gothic Book"/>
          <w:iCs/>
        </w:rPr>
        <w:t>is required</w:t>
      </w:r>
      <w:r w:rsidR="00D52405">
        <w:rPr>
          <w:rFonts w:ascii="Franklin Gothic Book" w:hAnsi="Franklin Gothic Book"/>
          <w:iCs/>
        </w:rPr>
        <w:t xml:space="preserve"> </w:t>
      </w:r>
      <w:r w:rsidR="00131374">
        <w:rPr>
          <w:rFonts w:ascii="Franklin Gothic Book" w:hAnsi="Franklin Gothic Book"/>
          <w:iCs/>
        </w:rPr>
        <w:t>which may lead to</w:t>
      </w:r>
      <w:r w:rsidRPr="00594927">
        <w:rPr>
          <w:rFonts w:ascii="Franklin Gothic Book" w:hAnsi="Franklin Gothic Book"/>
          <w:iCs/>
        </w:rPr>
        <w:t xml:space="preserve"> subsequent consultations occur</w:t>
      </w:r>
      <w:r w:rsidR="00520BA0">
        <w:rPr>
          <w:rFonts w:ascii="Franklin Gothic Book" w:hAnsi="Franklin Gothic Book"/>
          <w:iCs/>
        </w:rPr>
        <w:t>ring</w:t>
      </w:r>
      <w:r w:rsidRPr="00594927">
        <w:rPr>
          <w:rFonts w:ascii="Franklin Gothic Book" w:hAnsi="Franklin Gothic Book"/>
          <w:iCs/>
        </w:rPr>
        <w:t xml:space="preserve"> in a larger cohort of patients</w:t>
      </w:r>
      <w:r w:rsidR="00BC5B20">
        <w:rPr>
          <w:rFonts w:ascii="Franklin Gothic Book" w:hAnsi="Franklin Gothic Book"/>
          <w:iCs/>
        </w:rPr>
        <w:t xml:space="preserve"> than expected</w:t>
      </w:r>
      <w:r w:rsidRPr="00594927">
        <w:rPr>
          <w:rFonts w:ascii="Franklin Gothic Book" w:hAnsi="Franklin Gothic Book"/>
          <w:iCs/>
        </w:rPr>
        <w:t xml:space="preserve">. </w:t>
      </w:r>
    </w:p>
    <w:p w14:paraId="6E0DEA84" w14:textId="663176DE" w:rsidR="00594927" w:rsidRPr="00594927" w:rsidRDefault="0BE7D111" w:rsidP="43E75038">
      <w:pPr>
        <w:numPr>
          <w:ilvl w:val="0"/>
          <w:numId w:val="47"/>
        </w:numPr>
        <w:tabs>
          <w:tab w:val="num" w:pos="360"/>
        </w:tabs>
        <w:rPr>
          <w:rFonts w:ascii="Franklin Gothic Book" w:hAnsi="Franklin Gothic Book"/>
        </w:rPr>
      </w:pPr>
      <w:r w:rsidRPr="1652562D">
        <w:rPr>
          <w:rFonts w:ascii="Franklin Gothic Book" w:hAnsi="Franklin Gothic Book"/>
        </w:rPr>
        <w:lastRenderedPageBreak/>
        <w:t>h</w:t>
      </w:r>
      <w:r w:rsidR="76904383" w:rsidRPr="1652562D">
        <w:rPr>
          <w:rFonts w:ascii="Franklin Gothic Book" w:hAnsi="Franklin Gothic Book"/>
        </w:rPr>
        <w:t xml:space="preserve">ow the entire </w:t>
      </w:r>
      <w:r w:rsidR="1B56ABA6" w:rsidRPr="1652562D">
        <w:rPr>
          <w:rFonts w:ascii="Franklin Gothic Book" w:hAnsi="Franklin Gothic Book"/>
        </w:rPr>
        <w:t xml:space="preserve">Level 2 PSG </w:t>
      </w:r>
      <w:r w:rsidR="76904383" w:rsidRPr="1652562D">
        <w:rPr>
          <w:rFonts w:ascii="Franklin Gothic Book" w:hAnsi="Franklin Gothic Book"/>
        </w:rPr>
        <w:t>service will be funded</w:t>
      </w:r>
      <w:r w:rsidR="53D921EE" w:rsidRPr="1652562D">
        <w:rPr>
          <w:rFonts w:ascii="Franklin Gothic Book" w:hAnsi="Franklin Gothic Book"/>
        </w:rPr>
        <w:t xml:space="preserve">, </w:t>
      </w:r>
      <w:r w:rsidR="15551027" w:rsidRPr="1652562D">
        <w:rPr>
          <w:rFonts w:ascii="Franklin Gothic Book" w:hAnsi="Franklin Gothic Book"/>
        </w:rPr>
        <w:t>including all sources such as MBS and non-MBS funding</w:t>
      </w:r>
      <w:r w:rsidR="7077E65E" w:rsidRPr="1652562D">
        <w:rPr>
          <w:rFonts w:ascii="Franklin Gothic Book" w:hAnsi="Franklin Gothic Book"/>
        </w:rPr>
        <w:t>.</w:t>
      </w:r>
      <w:r w:rsidR="18AA6AF3" w:rsidRPr="1652562D">
        <w:rPr>
          <w:rFonts w:ascii="Franklin Gothic Book" w:hAnsi="Franklin Gothic Book"/>
        </w:rPr>
        <w:t xml:space="preserve"> This may require</w:t>
      </w:r>
    </w:p>
    <w:p w14:paraId="26EAC97C" w14:textId="0D94F477" w:rsidR="00594927" w:rsidRPr="00594927" w:rsidRDefault="18AA6AF3" w:rsidP="43E75038">
      <w:pPr>
        <w:numPr>
          <w:ilvl w:val="1"/>
          <w:numId w:val="26"/>
        </w:numPr>
        <w:rPr>
          <w:rFonts w:ascii="Franklin Gothic Book" w:hAnsi="Franklin Gothic Book"/>
        </w:rPr>
      </w:pPr>
      <w:r w:rsidRPr="1652562D">
        <w:rPr>
          <w:rFonts w:ascii="Franklin Gothic Book" w:hAnsi="Franklin Gothic Book"/>
        </w:rPr>
        <w:t xml:space="preserve">an examination of out-of-pocket costs and how these can be </w:t>
      </w:r>
      <w:r w:rsidR="000C3DD1" w:rsidRPr="1652562D">
        <w:rPr>
          <w:rFonts w:ascii="Franklin Gothic Book" w:hAnsi="Franklin Gothic Book"/>
        </w:rPr>
        <w:t>mitigate</w:t>
      </w:r>
      <w:r w:rsidR="00466B4A" w:rsidRPr="1652562D">
        <w:rPr>
          <w:rFonts w:ascii="Franklin Gothic Book" w:hAnsi="Franklin Gothic Book"/>
        </w:rPr>
        <w:t>d</w:t>
      </w:r>
      <w:r w:rsidRPr="1652562D">
        <w:rPr>
          <w:rFonts w:ascii="Franklin Gothic Book" w:hAnsi="Franklin Gothic Book"/>
        </w:rPr>
        <w:t xml:space="preserve"> – for example, if cost of equipment delivery, setup and return of the equipment is </w:t>
      </w:r>
      <w:r w:rsidR="652F76C5" w:rsidRPr="1652562D">
        <w:rPr>
          <w:rFonts w:ascii="Franklin Gothic Book" w:hAnsi="Franklin Gothic Book"/>
        </w:rPr>
        <w:t>borne by</w:t>
      </w:r>
      <w:r w:rsidRPr="1652562D">
        <w:rPr>
          <w:rFonts w:ascii="Franklin Gothic Book" w:hAnsi="Franklin Gothic Book"/>
        </w:rPr>
        <w:t xml:space="preserve"> the patient, </w:t>
      </w:r>
      <w:r w:rsidR="788C7EDF" w:rsidRPr="1652562D">
        <w:rPr>
          <w:rFonts w:ascii="Franklin Gothic Book" w:hAnsi="Franklin Gothic Book"/>
        </w:rPr>
        <w:t>which</w:t>
      </w:r>
      <w:r w:rsidRPr="1652562D">
        <w:rPr>
          <w:rFonts w:ascii="Franklin Gothic Book" w:hAnsi="Franklin Gothic Book"/>
        </w:rPr>
        <w:t xml:space="preserve"> may result in cost inequities depending on the patient’s geographical location</w:t>
      </w:r>
      <w:r w:rsidR="7724A676" w:rsidRPr="1652562D">
        <w:rPr>
          <w:rFonts w:ascii="Franklin Gothic Book" w:hAnsi="Franklin Gothic Book"/>
        </w:rPr>
        <w:t>.</w:t>
      </w:r>
    </w:p>
    <w:p w14:paraId="18405385" w14:textId="0096D3FC" w:rsidR="00594927" w:rsidRPr="00594927" w:rsidRDefault="00594927" w:rsidP="00594927">
      <w:pPr>
        <w:numPr>
          <w:ilvl w:val="1"/>
          <w:numId w:val="26"/>
        </w:numPr>
        <w:rPr>
          <w:rFonts w:ascii="Franklin Gothic Book" w:hAnsi="Franklin Gothic Book"/>
          <w:iCs/>
        </w:rPr>
      </w:pPr>
      <w:r w:rsidRPr="00594927">
        <w:rPr>
          <w:rFonts w:ascii="Franklin Gothic Book" w:hAnsi="Franklin Gothic Book"/>
          <w:iCs/>
        </w:rPr>
        <w:t xml:space="preserve">an examination of equity and access barriers and how these can be overcome, and include any costs associated with this – this may include additional consumer consultation </w:t>
      </w:r>
      <w:r w:rsidR="00F72F19">
        <w:rPr>
          <w:rFonts w:ascii="Franklin Gothic Book" w:hAnsi="Franklin Gothic Book"/>
          <w:iCs/>
        </w:rPr>
        <w:t>with</w:t>
      </w:r>
      <w:r w:rsidRPr="00594927">
        <w:rPr>
          <w:rFonts w:ascii="Franklin Gothic Book" w:hAnsi="Franklin Gothic Book"/>
          <w:iCs/>
        </w:rPr>
        <w:t xml:space="preserve"> families in remote locations, patients with disability, families with low English proficiency, and Aboriginal and Torres Strait Islander families</w:t>
      </w:r>
      <w:r w:rsidR="00AC424C">
        <w:rPr>
          <w:rFonts w:ascii="Franklin Gothic Book" w:hAnsi="Franklin Gothic Book"/>
          <w:iCs/>
        </w:rPr>
        <w:t>.</w:t>
      </w:r>
    </w:p>
    <w:p w14:paraId="01A2C125" w14:textId="35220538" w:rsidR="00AD2F7B" w:rsidRPr="00594927" w:rsidRDefault="00AD2F7B" w:rsidP="00594927">
      <w:pPr>
        <w:numPr>
          <w:ilvl w:val="1"/>
          <w:numId w:val="26"/>
        </w:numPr>
        <w:rPr>
          <w:rFonts w:ascii="Franklin Gothic Book" w:hAnsi="Franklin Gothic Book"/>
          <w:iCs/>
        </w:rPr>
      </w:pPr>
      <w:r>
        <w:rPr>
          <w:rFonts w:ascii="Franklin Gothic Book" w:hAnsi="Franklin Gothic Book"/>
          <w:iCs/>
        </w:rPr>
        <w:t xml:space="preserve">as noted previously, MSAC considered that to be </w:t>
      </w:r>
      <w:r w:rsidRPr="00AD2F7B">
        <w:rPr>
          <w:rFonts w:ascii="Franklin Gothic Book" w:hAnsi="Franklin Gothic Book"/>
          <w:iCs/>
        </w:rPr>
        <w:t>consistent with the principle of a complete medical service</w:t>
      </w:r>
      <w:r w:rsidR="00411443">
        <w:rPr>
          <w:rFonts w:ascii="Franklin Gothic Book" w:hAnsi="Franklin Gothic Book"/>
          <w:iCs/>
        </w:rPr>
        <w:t>,</w:t>
      </w:r>
      <w:r>
        <w:rPr>
          <w:rFonts w:ascii="Franklin Gothic Book" w:hAnsi="Franklin Gothic Book"/>
          <w:iCs/>
        </w:rPr>
        <w:t xml:space="preserve"> </w:t>
      </w:r>
      <w:r w:rsidR="00411443">
        <w:rPr>
          <w:rFonts w:ascii="Franklin Gothic Book" w:hAnsi="Franklin Gothic Book"/>
          <w:iCs/>
        </w:rPr>
        <w:t>t</w:t>
      </w:r>
      <w:r w:rsidRPr="00AD2F7B">
        <w:rPr>
          <w:rFonts w:ascii="Franklin Gothic Book" w:hAnsi="Franklin Gothic Book"/>
          <w:iCs/>
        </w:rPr>
        <w:t xml:space="preserve">he fee should be sufficient to include technician time for the application of equipment regardless of whether it is done in person or via telehealth.  </w:t>
      </w:r>
      <w:r w:rsidR="001C24FC" w:rsidRPr="001C24FC">
        <w:rPr>
          <w:rFonts w:ascii="Franklin Gothic Book" w:hAnsi="Franklin Gothic Book"/>
          <w:iCs/>
        </w:rPr>
        <w:t>The fee structure should</w:t>
      </w:r>
      <w:r w:rsidR="001C24FC">
        <w:rPr>
          <w:rFonts w:ascii="Franklin Gothic Book" w:hAnsi="Franklin Gothic Book"/>
          <w:iCs/>
        </w:rPr>
        <w:t xml:space="preserve"> also</w:t>
      </w:r>
      <w:r w:rsidR="001C24FC" w:rsidRPr="001C24FC">
        <w:rPr>
          <w:rFonts w:ascii="Franklin Gothic Book" w:hAnsi="Franklin Gothic Book"/>
          <w:iCs/>
        </w:rPr>
        <w:t xml:space="preserve"> align with current MBS sleep study items using the adult attended v</w:t>
      </w:r>
      <w:r w:rsidR="00F66826">
        <w:rPr>
          <w:rFonts w:ascii="Franklin Gothic Book" w:hAnsi="Franklin Gothic Book"/>
          <w:iCs/>
        </w:rPr>
        <w:t>ersu</w:t>
      </w:r>
      <w:r w:rsidR="001C24FC" w:rsidRPr="001C24FC">
        <w:rPr>
          <w:rFonts w:ascii="Franklin Gothic Book" w:hAnsi="Franklin Gothic Book"/>
          <w:iCs/>
        </w:rPr>
        <w:t xml:space="preserve">s unattended fee differential as the guide.  </w:t>
      </w:r>
    </w:p>
    <w:p w14:paraId="1D5FFB57" w14:textId="2E3BAE42" w:rsidR="00D20736" w:rsidRDefault="362BC396" w:rsidP="43E75038">
      <w:pPr>
        <w:rPr>
          <w:rFonts w:ascii="Franklin Gothic Book" w:hAnsi="Franklin Gothic Book"/>
        </w:rPr>
      </w:pPr>
      <w:r w:rsidRPr="1652562D">
        <w:rPr>
          <w:rFonts w:ascii="Franklin Gothic Book" w:hAnsi="Franklin Gothic Book"/>
        </w:rPr>
        <w:t xml:space="preserve">MSAC advised that given that NATA accreditation is not recommended, the resubmission will need to demonstrate a mechanism by which service providers </w:t>
      </w:r>
      <w:r w:rsidR="7724A676" w:rsidRPr="1652562D">
        <w:rPr>
          <w:rFonts w:ascii="Franklin Gothic Book" w:hAnsi="Franklin Gothic Book"/>
        </w:rPr>
        <w:t xml:space="preserve">can </w:t>
      </w:r>
      <w:r w:rsidRPr="1652562D">
        <w:rPr>
          <w:rFonts w:ascii="Franklin Gothic Book" w:hAnsi="Franklin Gothic Book"/>
        </w:rPr>
        <w:t xml:space="preserve">provide robust oversight to Level 2 PSG testing.  It is vital that service providers ensure that parents are properly briefed on how to use the equipment and the supervision that is required for home-based testing or offer an alternative option where the leads can be attached by a trained health </w:t>
      </w:r>
      <w:r w:rsidR="0CD0C8DD" w:rsidRPr="1652562D">
        <w:rPr>
          <w:rFonts w:ascii="Franklin Gothic Book" w:hAnsi="Franklin Gothic Book"/>
        </w:rPr>
        <w:t>profession</w:t>
      </w:r>
      <w:r w:rsidRPr="1652562D">
        <w:rPr>
          <w:rFonts w:ascii="Franklin Gothic Book" w:hAnsi="Franklin Gothic Book"/>
        </w:rPr>
        <w:t>al located in the community e</w:t>
      </w:r>
      <w:r w:rsidR="0CD0C8DD" w:rsidRPr="1652562D">
        <w:rPr>
          <w:rFonts w:ascii="Franklin Gothic Book" w:hAnsi="Franklin Gothic Book"/>
        </w:rPr>
        <w:t>.</w:t>
      </w:r>
      <w:r w:rsidRPr="1652562D">
        <w:rPr>
          <w:rFonts w:ascii="Franklin Gothic Book" w:hAnsi="Franklin Gothic Book"/>
        </w:rPr>
        <w:t>g</w:t>
      </w:r>
      <w:r w:rsidR="0CD0C8DD" w:rsidRPr="1652562D">
        <w:rPr>
          <w:rFonts w:ascii="Franklin Gothic Book" w:hAnsi="Franklin Gothic Book"/>
        </w:rPr>
        <w:t>.</w:t>
      </w:r>
      <w:r w:rsidRPr="1652562D">
        <w:rPr>
          <w:rFonts w:ascii="Franklin Gothic Book" w:hAnsi="Franklin Gothic Book"/>
        </w:rPr>
        <w:t xml:space="preserve"> pharmacy.</w:t>
      </w:r>
      <w:r w:rsidR="639AD583" w:rsidRPr="1652562D">
        <w:rPr>
          <w:rFonts w:ascii="Franklin Gothic Book" w:hAnsi="Franklin Gothic Book"/>
        </w:rPr>
        <w:t xml:space="preserve"> </w:t>
      </w:r>
      <w:r w:rsidR="0CD0C8DD" w:rsidRPr="1652562D">
        <w:rPr>
          <w:rFonts w:ascii="Franklin Gothic Book" w:hAnsi="Franklin Gothic Book"/>
        </w:rPr>
        <w:t xml:space="preserve">MSAC advised that the </w:t>
      </w:r>
      <w:r w:rsidR="076067A8" w:rsidRPr="1652562D">
        <w:rPr>
          <w:rFonts w:ascii="Franklin Gothic Book" w:hAnsi="Franklin Gothic Book"/>
        </w:rPr>
        <w:t xml:space="preserve">intent behind the </w:t>
      </w:r>
      <w:r w:rsidR="0CD0C8DD" w:rsidRPr="1652562D">
        <w:rPr>
          <w:rFonts w:ascii="Franklin Gothic Book" w:hAnsi="Franklin Gothic Book"/>
        </w:rPr>
        <w:t>requirement for a sleep physician should remain so that patients are appropriately allocated to either Level 1 or 2 studies</w:t>
      </w:r>
      <w:r w:rsidR="2B7D41C2" w:rsidRPr="1652562D">
        <w:rPr>
          <w:rFonts w:ascii="Franklin Gothic Book" w:hAnsi="Franklin Gothic Book"/>
        </w:rPr>
        <w:t xml:space="preserve">. </w:t>
      </w:r>
      <w:r w:rsidR="595CB6B5" w:rsidRPr="1652562D">
        <w:rPr>
          <w:rFonts w:ascii="Franklin Gothic Book" w:hAnsi="Franklin Gothic Book"/>
        </w:rPr>
        <w:t>T</w:t>
      </w:r>
      <w:r w:rsidR="0CD0C8DD" w:rsidRPr="1652562D">
        <w:rPr>
          <w:rFonts w:ascii="Franklin Gothic Book" w:hAnsi="Franklin Gothic Book"/>
        </w:rPr>
        <w:t>here should be further evaluation on whether th</w:t>
      </w:r>
      <w:r w:rsidR="63F0922E" w:rsidRPr="1652562D">
        <w:rPr>
          <w:rFonts w:ascii="Franklin Gothic Book" w:hAnsi="Franklin Gothic Book"/>
        </w:rPr>
        <w:t xml:space="preserve">e item descriptor </w:t>
      </w:r>
      <w:r w:rsidR="0DABBD63" w:rsidRPr="1652562D">
        <w:rPr>
          <w:rFonts w:ascii="Franklin Gothic Book" w:hAnsi="Franklin Gothic Book"/>
        </w:rPr>
        <w:t xml:space="preserve">includes this requirement and </w:t>
      </w:r>
      <w:r w:rsidR="63045AF4" w:rsidRPr="1652562D">
        <w:rPr>
          <w:rFonts w:ascii="Franklin Gothic Book" w:hAnsi="Franklin Gothic Book"/>
        </w:rPr>
        <w:t>it</w:t>
      </w:r>
      <w:r w:rsidR="0CD0C8DD" w:rsidRPr="1652562D">
        <w:rPr>
          <w:rFonts w:ascii="Franklin Gothic Book" w:hAnsi="Franklin Gothic Book"/>
        </w:rPr>
        <w:t>s impacts on access</w:t>
      </w:r>
      <w:r w:rsidR="62AF22F0" w:rsidRPr="1652562D">
        <w:rPr>
          <w:rFonts w:ascii="Franklin Gothic Book" w:hAnsi="Franklin Gothic Book"/>
        </w:rPr>
        <w:t xml:space="preserve"> to paediatric sleep physicians and sleep studies</w:t>
      </w:r>
      <w:r w:rsidR="0CD0C8DD" w:rsidRPr="1652562D">
        <w:rPr>
          <w:rFonts w:ascii="Franklin Gothic Book" w:hAnsi="Franklin Gothic Book"/>
        </w:rPr>
        <w:t xml:space="preserve">. </w:t>
      </w:r>
      <w:r w:rsidR="76CB5DCA" w:rsidRPr="1652562D">
        <w:rPr>
          <w:rFonts w:ascii="Franklin Gothic Book" w:hAnsi="Franklin Gothic Book"/>
        </w:rPr>
        <w:t>The economic evaluation and financial impacts will need to be revised to incorporate the above</w:t>
      </w:r>
      <w:r w:rsidR="4FC55EF0" w:rsidRPr="1652562D">
        <w:rPr>
          <w:rFonts w:ascii="Franklin Gothic Book" w:hAnsi="Franklin Gothic Book"/>
        </w:rPr>
        <w:t xml:space="preserve"> considerations. </w:t>
      </w:r>
      <w:r w:rsidR="76CB5DCA" w:rsidRPr="1652562D">
        <w:rPr>
          <w:rFonts w:ascii="Franklin Gothic Book" w:hAnsi="Franklin Gothic Book"/>
        </w:rPr>
        <w:t xml:space="preserve"> </w:t>
      </w:r>
    </w:p>
    <w:p w14:paraId="4EE03854" w14:textId="46884818" w:rsidR="005E1CA4" w:rsidRDefault="00642CDC" w:rsidP="00642CDC">
      <w:pPr>
        <w:pStyle w:val="Heading2"/>
        <w:numPr>
          <w:ilvl w:val="1"/>
          <w:numId w:val="0"/>
        </w:numPr>
      </w:pPr>
      <w:bookmarkStart w:id="4" w:name="_Toc150172395"/>
      <w:bookmarkStart w:id="5" w:name="_Toc153462773"/>
      <w:bookmarkEnd w:id="3"/>
      <w:r>
        <w:t>4.</w:t>
      </w:r>
      <w:r>
        <w:tab/>
      </w:r>
      <w:r w:rsidR="005E1CA4" w:rsidRPr="00CE28E3">
        <w:t>Backgroun</w:t>
      </w:r>
      <w:r w:rsidR="005E1CA4">
        <w:t>d</w:t>
      </w:r>
      <w:bookmarkEnd w:id="4"/>
      <w:bookmarkEnd w:id="5"/>
    </w:p>
    <w:p w14:paraId="0ADDC895" w14:textId="77777777" w:rsidR="005E1CA4" w:rsidRPr="00395DB7" w:rsidRDefault="005E1CA4" w:rsidP="005E1CA4">
      <w:pPr>
        <w:rPr>
          <w:rFonts w:ascii="Franklin Gothic Book" w:hAnsi="Franklin Gothic Book"/>
        </w:rPr>
      </w:pPr>
      <w:r w:rsidRPr="00395DB7">
        <w:rPr>
          <w:rFonts w:ascii="Franklin Gothic Book" w:hAnsi="Franklin Gothic Book"/>
        </w:rPr>
        <w:t>MSAC has previously considered out-of-laboratory sleep studies in the diagnosis and management of obstructive sleep apnoea (OSA) (</w:t>
      </w:r>
      <w:hyperlink r:id="rId10" w:tooltip="Link to Application Page for MSAC Application 1130 on MSAC website" w:history="1">
        <w:r w:rsidRPr="00395DB7">
          <w:rPr>
            <w:rStyle w:val="Hyperlink"/>
            <w:rFonts w:ascii="Franklin Gothic Book" w:hAnsi="Franklin Gothic Book"/>
          </w:rPr>
          <w:t>MSAC application 1130</w:t>
        </w:r>
      </w:hyperlink>
      <w:r w:rsidRPr="00395DB7">
        <w:rPr>
          <w:rFonts w:ascii="Franklin Gothic Book" w:hAnsi="Franklin Gothic Book"/>
        </w:rPr>
        <w:t>). MSAC application 1130 considered four clinical pathways for out-of-laboratory (referred to as ‘unattended’) sleep studies in OSA:</w:t>
      </w:r>
    </w:p>
    <w:p w14:paraId="7964BC57" w14:textId="77777777" w:rsidR="005E1CA4" w:rsidRPr="00395DB7" w:rsidRDefault="005E1CA4" w:rsidP="005E1CA4">
      <w:pPr>
        <w:pStyle w:val="ListParagraph"/>
        <w:numPr>
          <w:ilvl w:val="0"/>
          <w:numId w:val="9"/>
        </w:numPr>
        <w:ind w:left="426"/>
      </w:pPr>
      <w:r w:rsidRPr="00395DB7">
        <w:t>diagnosis in a non-specialised unit</w:t>
      </w:r>
    </w:p>
    <w:p w14:paraId="289A48FF" w14:textId="77777777" w:rsidR="005E1CA4" w:rsidRPr="00395DB7" w:rsidRDefault="005E1CA4" w:rsidP="005E1CA4">
      <w:pPr>
        <w:pStyle w:val="ListParagraph"/>
        <w:numPr>
          <w:ilvl w:val="0"/>
          <w:numId w:val="9"/>
        </w:numPr>
        <w:ind w:left="426"/>
      </w:pPr>
      <w:r w:rsidRPr="00395DB7">
        <w:t>diagnosis in a referral setting</w:t>
      </w:r>
    </w:p>
    <w:p w14:paraId="41EF2DFC" w14:textId="77777777" w:rsidR="005E1CA4" w:rsidRPr="00395DB7" w:rsidRDefault="005E1CA4" w:rsidP="005E1CA4">
      <w:pPr>
        <w:pStyle w:val="ListParagraph"/>
        <w:numPr>
          <w:ilvl w:val="0"/>
          <w:numId w:val="9"/>
        </w:numPr>
        <w:ind w:left="709" w:hanging="283"/>
      </w:pPr>
      <w:r w:rsidRPr="00395DB7">
        <w:t>diagnosis and reassessment (if symptoms recur despite ongoing treatment) in a paediatric setting</w:t>
      </w:r>
    </w:p>
    <w:p w14:paraId="0FC4041A" w14:textId="77777777" w:rsidR="005E1CA4" w:rsidRPr="00395DB7" w:rsidRDefault="005E1CA4" w:rsidP="005E1CA4">
      <w:pPr>
        <w:pStyle w:val="ListParagraph"/>
        <w:numPr>
          <w:ilvl w:val="0"/>
          <w:numId w:val="9"/>
        </w:numPr>
        <w:ind w:left="426"/>
      </w:pPr>
      <w:r w:rsidRPr="00395DB7">
        <w:t>reassessment in an adult setting.</w:t>
      </w:r>
    </w:p>
    <w:p w14:paraId="6DDE0DF8" w14:textId="77777777" w:rsidR="005E1CA4" w:rsidRPr="00395DB7" w:rsidRDefault="005E1CA4" w:rsidP="005E1CA4">
      <w:pPr>
        <w:rPr>
          <w:rFonts w:ascii="Franklin Gothic Book" w:hAnsi="Franklin Gothic Book"/>
        </w:rPr>
      </w:pPr>
      <w:r w:rsidRPr="00395DB7">
        <w:rPr>
          <w:rFonts w:ascii="Franklin Gothic Book" w:hAnsi="Franklin Gothic Book"/>
        </w:rPr>
        <w:t xml:space="preserve">MSAC supported Level 2 unattended sleep studies for the investigation of OSA in adults on a referred basis. MSAC did not support public funding for Level 3 or Level 4 unattended sleep studies or for any unattended sleep studies for diagnosis in a paediatric setting or for reassessment of treatment efficacy. MBS item 12250 for unattended (home-based) sleep studies in adults was first listed on </w:t>
      </w:r>
      <w:r w:rsidRPr="00395DB7" w:rsidDel="00492F33">
        <w:rPr>
          <w:rFonts w:ascii="Franklin Gothic Book" w:hAnsi="Franklin Gothic Book"/>
        </w:rPr>
        <w:t>1</w:t>
      </w:r>
      <w:r w:rsidRPr="00395DB7">
        <w:rPr>
          <w:rFonts w:ascii="Franklin Gothic Book" w:hAnsi="Franklin Gothic Book"/>
        </w:rPr>
        <w:t> October 2008 as an interim listing and was retained following MSAC’s recommendations in 2010 in response to application 1130.</w:t>
      </w:r>
    </w:p>
    <w:p w14:paraId="7ACAC998" w14:textId="60650A1C" w:rsidR="005E1CA4" w:rsidRPr="00395DB7" w:rsidRDefault="005E1CA4" w:rsidP="005E1CA4">
      <w:pPr>
        <w:rPr>
          <w:rFonts w:ascii="Franklin Gothic Book" w:hAnsi="Franklin Gothic Book"/>
        </w:rPr>
      </w:pPr>
      <w:r w:rsidRPr="00395DB7">
        <w:rPr>
          <w:rFonts w:ascii="Franklin Gothic Book" w:hAnsi="Franklin Gothic Book"/>
        </w:rPr>
        <w:lastRenderedPageBreak/>
        <w:fldChar w:fldCharType="begin"/>
      </w:r>
      <w:r w:rsidRPr="00395DB7">
        <w:rPr>
          <w:rFonts w:ascii="Franklin Gothic Book" w:hAnsi="Franklin Gothic Book"/>
        </w:rPr>
        <w:instrText xml:space="preserve"> REF _Ref150359704 \h </w:instrText>
      </w:r>
      <w:r w:rsidR="00395DB7" w:rsidRP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Table </w:t>
      </w:r>
      <w:r w:rsidRPr="00395DB7">
        <w:rPr>
          <w:rFonts w:ascii="Franklin Gothic Book" w:hAnsi="Franklin Gothic Book"/>
          <w:noProof/>
        </w:rPr>
        <w:t>1</w:t>
      </w:r>
      <w:r w:rsidRPr="00395DB7">
        <w:rPr>
          <w:rFonts w:ascii="Franklin Gothic Book" w:hAnsi="Franklin Gothic Book"/>
        </w:rPr>
        <w:fldChar w:fldCharType="end"/>
      </w:r>
      <w:r w:rsidRPr="00395DB7">
        <w:rPr>
          <w:rFonts w:ascii="Franklin Gothic Book" w:hAnsi="Franklin Gothic Book"/>
        </w:rPr>
        <w:t xml:space="preserve"> </w:t>
      </w:r>
      <w:r w:rsidRPr="00395DB7" w:rsidDel="00BF16DB">
        <w:rPr>
          <w:rFonts w:ascii="Franklin Gothic Book" w:hAnsi="Franklin Gothic Book"/>
        </w:rPr>
        <w:t xml:space="preserve">lists </w:t>
      </w:r>
      <w:r w:rsidRPr="00395DB7">
        <w:rPr>
          <w:rFonts w:ascii="Franklin Gothic Book" w:hAnsi="Franklin Gothic Book"/>
        </w:rPr>
        <w:t xml:space="preserve">the matters of concern raised in the </w:t>
      </w:r>
      <w:hyperlink r:id="rId11" w:tooltip="Weblink to PSD for MSAC application 1130 on the MSAC website" w:history="1">
        <w:r w:rsidRPr="00395DB7">
          <w:rPr>
            <w:rStyle w:val="Hyperlink"/>
            <w:rFonts w:ascii="Franklin Gothic Book" w:hAnsi="Franklin Gothic Book"/>
          </w:rPr>
          <w:t>Public Summary Document (PSD)</w:t>
        </w:r>
      </w:hyperlink>
      <w:r w:rsidRPr="00395DB7">
        <w:rPr>
          <w:rStyle w:val="Hyperlink"/>
          <w:rFonts w:ascii="Franklin Gothic Book" w:hAnsi="Franklin Gothic Book"/>
        </w:rPr>
        <w:t xml:space="preserve"> </w:t>
      </w:r>
      <w:r w:rsidRPr="00395DB7">
        <w:rPr>
          <w:rFonts w:ascii="Franklin Gothic Book" w:hAnsi="Franklin Gothic Book"/>
        </w:rPr>
        <w:t>by MSAC in relation to the assessment of the paediatric population in MSAC application 1130 and the areas in the current DCAR that address these concerns.</w:t>
      </w:r>
    </w:p>
    <w:p w14:paraId="50A4B8A4" w14:textId="04415223" w:rsidR="005E1CA4" w:rsidRDefault="005E1CA4" w:rsidP="005E1CA4">
      <w:pPr>
        <w:pStyle w:val="Caption"/>
      </w:pPr>
      <w:bookmarkStart w:id="6" w:name="_Ref150359704"/>
      <w:r>
        <w:t>Table </w:t>
      </w:r>
      <w:fldSimple w:instr=" SEQ Table \* ARABIC ">
        <w:r>
          <w:rPr>
            <w:noProof/>
          </w:rPr>
          <w:t>1</w:t>
        </w:r>
      </w:fldSimple>
      <w:bookmarkEnd w:id="6"/>
      <w:r>
        <w:tab/>
        <w:t>Summary of key matters of concern for MSAC application 1130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key matters of concern for MSAC application 1130"/>
        <w:tblDescription w:val="This table summarises the key matters of concern for MSAC application 1130 including how the current assessment report addresses the concern."/>
      </w:tblPr>
      <w:tblGrid>
        <w:gridCol w:w="1175"/>
        <w:gridCol w:w="3499"/>
        <w:gridCol w:w="4342"/>
      </w:tblGrid>
      <w:tr w:rsidR="005E1CA4" w14:paraId="560CDDA8" w14:textId="77777777" w:rsidTr="000A427B">
        <w:trPr>
          <w:tblHeader/>
        </w:trPr>
        <w:tc>
          <w:tcPr>
            <w:tcW w:w="651" w:type="pct"/>
            <w:tcBorders>
              <w:top w:val="single" w:sz="4" w:space="0" w:color="auto"/>
              <w:left w:val="single" w:sz="4" w:space="0" w:color="auto"/>
              <w:bottom w:val="single" w:sz="4" w:space="0" w:color="auto"/>
              <w:right w:val="single" w:sz="4" w:space="0" w:color="auto"/>
            </w:tcBorders>
            <w:vAlign w:val="center"/>
            <w:hideMark/>
          </w:tcPr>
          <w:p w14:paraId="5A4C3F1F" w14:textId="77777777" w:rsidR="005E1CA4" w:rsidRDefault="005E1CA4" w:rsidP="000A427B">
            <w:pPr>
              <w:pStyle w:val="TableHeading"/>
              <w:spacing w:before="110" w:after="55"/>
            </w:pPr>
            <w:r>
              <w:t>Component</w:t>
            </w:r>
          </w:p>
        </w:tc>
        <w:tc>
          <w:tcPr>
            <w:tcW w:w="1940" w:type="pct"/>
            <w:tcBorders>
              <w:top w:val="single" w:sz="4" w:space="0" w:color="auto"/>
              <w:left w:val="single" w:sz="4" w:space="0" w:color="auto"/>
              <w:bottom w:val="single" w:sz="4" w:space="0" w:color="auto"/>
              <w:right w:val="single" w:sz="4" w:space="0" w:color="auto"/>
            </w:tcBorders>
            <w:vAlign w:val="center"/>
            <w:hideMark/>
          </w:tcPr>
          <w:p w14:paraId="3A1E7668" w14:textId="77777777" w:rsidR="005E1CA4" w:rsidRDefault="005E1CA4" w:rsidP="000A427B">
            <w:pPr>
              <w:pStyle w:val="TableHeading"/>
              <w:spacing w:before="110" w:after="55"/>
            </w:pPr>
            <w:r>
              <w:t>Matter of concern</w:t>
            </w:r>
          </w:p>
        </w:tc>
        <w:tc>
          <w:tcPr>
            <w:tcW w:w="2408" w:type="pct"/>
            <w:tcBorders>
              <w:top w:val="single" w:sz="4" w:space="0" w:color="auto"/>
              <w:left w:val="single" w:sz="4" w:space="0" w:color="auto"/>
              <w:bottom w:val="single" w:sz="4" w:space="0" w:color="auto"/>
              <w:right w:val="single" w:sz="4" w:space="0" w:color="auto"/>
            </w:tcBorders>
            <w:vAlign w:val="center"/>
            <w:hideMark/>
          </w:tcPr>
          <w:p w14:paraId="3DB14E12" w14:textId="77777777" w:rsidR="005E1CA4" w:rsidRDefault="005E1CA4" w:rsidP="000A427B">
            <w:pPr>
              <w:pStyle w:val="TableHeading"/>
              <w:spacing w:before="110" w:after="55"/>
            </w:pPr>
            <w:r>
              <w:t>How the current assessment report addresses it</w:t>
            </w:r>
          </w:p>
        </w:tc>
      </w:tr>
      <w:tr w:rsidR="005E1CA4" w14:paraId="2B4C4DB4" w14:textId="77777777" w:rsidTr="000A427B">
        <w:tc>
          <w:tcPr>
            <w:tcW w:w="651" w:type="pct"/>
            <w:tcBorders>
              <w:top w:val="single" w:sz="4" w:space="0" w:color="auto"/>
              <w:left w:val="single" w:sz="4" w:space="0" w:color="auto"/>
              <w:bottom w:val="single" w:sz="4" w:space="0" w:color="auto"/>
              <w:right w:val="single" w:sz="4" w:space="0" w:color="auto"/>
            </w:tcBorders>
          </w:tcPr>
          <w:p w14:paraId="46A05D0F" w14:textId="77777777" w:rsidR="005E1CA4" w:rsidRDefault="005E1CA4" w:rsidP="000A427B">
            <w:pPr>
              <w:pStyle w:val="TableText"/>
            </w:pPr>
            <w:r>
              <w:t>Clinical effectiveness</w:t>
            </w:r>
          </w:p>
        </w:tc>
        <w:tc>
          <w:tcPr>
            <w:tcW w:w="1940" w:type="pct"/>
            <w:tcBorders>
              <w:top w:val="single" w:sz="4" w:space="0" w:color="auto"/>
              <w:left w:val="single" w:sz="4" w:space="0" w:color="auto"/>
              <w:bottom w:val="single" w:sz="4" w:space="0" w:color="auto"/>
              <w:right w:val="single" w:sz="4" w:space="0" w:color="auto"/>
            </w:tcBorders>
          </w:tcPr>
          <w:p w14:paraId="111ED8ED" w14:textId="77777777" w:rsidR="005E1CA4" w:rsidRDefault="005E1CA4" w:rsidP="000A427B">
            <w:pPr>
              <w:pStyle w:val="TableText"/>
            </w:pPr>
            <w:r>
              <w:t>MSAC acknowledged there was a lack of comparative evidence and sparse linked evidence to indicate the effectiveness of unattended sleep studies for a paediatric population, relative to Level 1 sleep studies (PSD, p.4).</w:t>
            </w:r>
          </w:p>
        </w:tc>
        <w:tc>
          <w:tcPr>
            <w:tcW w:w="2408" w:type="pct"/>
            <w:tcBorders>
              <w:top w:val="single" w:sz="4" w:space="0" w:color="auto"/>
              <w:left w:val="single" w:sz="4" w:space="0" w:color="auto"/>
              <w:bottom w:val="single" w:sz="4" w:space="0" w:color="auto"/>
              <w:right w:val="single" w:sz="4" w:space="0" w:color="auto"/>
            </w:tcBorders>
          </w:tcPr>
          <w:p w14:paraId="6774B2B8" w14:textId="77777777" w:rsidR="005E1CA4" w:rsidRDefault="005E1CA4" w:rsidP="000A427B">
            <w:pPr>
              <w:pStyle w:val="TableText"/>
              <w:rPr>
                <w:rFonts w:eastAsia="Times New Roman" w:cs="Arial"/>
                <w:bCs/>
                <w:snapToGrid w:val="0"/>
                <w:szCs w:val="20"/>
              </w:rPr>
            </w:pPr>
            <w:r>
              <w:rPr>
                <w:rFonts w:eastAsia="Times New Roman" w:cs="Arial"/>
                <w:bCs/>
                <w:snapToGrid w:val="0"/>
                <w:szCs w:val="20"/>
              </w:rPr>
              <w:t>MSAC application 1130 included no studies of Level 2 PSG and two diagnostic accuracy studies of Level 3 CRP (Jacob et al. 1995; Zucconi et al. 2003). Neither of the Level 3 studies met inclusion criteria for the current DCAR.</w:t>
            </w:r>
          </w:p>
          <w:p w14:paraId="02F926A6" w14:textId="77777777" w:rsidR="005E1CA4" w:rsidRDefault="005E1CA4" w:rsidP="000A427B">
            <w:pPr>
              <w:pStyle w:val="TableText"/>
              <w:rPr>
                <w:rFonts w:eastAsia="Times New Roman" w:cs="Arial"/>
                <w:bCs/>
                <w:snapToGrid w:val="0"/>
                <w:szCs w:val="20"/>
              </w:rPr>
            </w:pPr>
            <w:r>
              <w:rPr>
                <w:rFonts w:eastAsia="Times New Roman" w:cs="Arial"/>
                <w:bCs/>
                <w:snapToGrid w:val="0"/>
                <w:szCs w:val="20"/>
              </w:rPr>
              <w:t xml:space="preserve">The evidence remains sparse, however diagnostic accuracy studies were identified for both Level 2 PSG and Level 3 CRP. The studies are small and this is unlikely to change for a paediatric indication. Additional sources of supporting evidence were used to address gaps in evidence. </w:t>
            </w:r>
          </w:p>
        </w:tc>
      </w:tr>
    </w:tbl>
    <w:p w14:paraId="294DA9FE" w14:textId="77777777" w:rsidR="005E1CA4" w:rsidRDefault="005E1CA4" w:rsidP="005E1CA4">
      <w:pPr>
        <w:pStyle w:val="TableFigNoteLast"/>
      </w:pPr>
      <w:r>
        <w:t>MSAC = Medical Services Advisory Committee; PSD = Public Summary Document.</w:t>
      </w:r>
    </w:p>
    <w:p w14:paraId="237F3736" w14:textId="77777777" w:rsidR="005E1CA4" w:rsidRPr="00395DB7" w:rsidRDefault="005E1CA4" w:rsidP="005E1CA4">
      <w:pPr>
        <w:rPr>
          <w:rFonts w:ascii="Franklin Gothic Book" w:hAnsi="Franklin Gothic Book"/>
        </w:rPr>
      </w:pPr>
      <w:r w:rsidRPr="00395DB7">
        <w:rPr>
          <w:rFonts w:ascii="Franklin Gothic Book" w:hAnsi="Franklin Gothic Book"/>
        </w:rPr>
        <w:t>MSAC has previously considered a home sleep apnoea test that used peripheral arterial tone for the diagnosis of OSA in adult patients (</w:t>
      </w:r>
      <w:proofErr w:type="spellStart"/>
      <w:r w:rsidRPr="00395DB7">
        <w:rPr>
          <w:rFonts w:ascii="Franklin Gothic Book" w:hAnsi="Franklin Gothic Book"/>
        </w:rPr>
        <w:t>WatchPAT</w:t>
      </w:r>
      <w:proofErr w:type="spellEnd"/>
      <w:r w:rsidRPr="00395DB7">
        <w:rPr>
          <w:rFonts w:ascii="Franklin Gothic Book" w:hAnsi="Franklin Gothic Book"/>
        </w:rPr>
        <w:t xml:space="preserve">, MSAC application 1631, considered 29-30 July 2021). The intervention in application 1631 was not within scope of the current DCAR because the absence of airflow measurement makes the </w:t>
      </w:r>
      <w:proofErr w:type="spellStart"/>
      <w:r w:rsidRPr="00395DB7">
        <w:rPr>
          <w:rFonts w:ascii="Franklin Gothic Book" w:hAnsi="Franklin Gothic Book"/>
        </w:rPr>
        <w:t>WatchPAT</w:t>
      </w:r>
      <w:proofErr w:type="spellEnd"/>
      <w:r w:rsidRPr="00395DB7">
        <w:rPr>
          <w:rFonts w:ascii="Franklin Gothic Book" w:hAnsi="Franklin Gothic Book"/>
        </w:rPr>
        <w:t xml:space="preserve"> device inappropriate for Level 3 cardiorespiratory studies under the definition of the current assessment.</w:t>
      </w:r>
    </w:p>
    <w:p w14:paraId="6275E676" w14:textId="37239C04" w:rsidR="005E1CA4" w:rsidRPr="00CE28E3" w:rsidRDefault="00642CDC" w:rsidP="00642CDC">
      <w:pPr>
        <w:pStyle w:val="ESHeading2"/>
        <w:numPr>
          <w:ilvl w:val="0"/>
          <w:numId w:val="0"/>
        </w:numPr>
      </w:pPr>
      <w:bookmarkStart w:id="7" w:name="_Toc145678754"/>
      <w:bookmarkStart w:id="8" w:name="_Toc150172396"/>
      <w:bookmarkStart w:id="9" w:name="_Toc153462774"/>
      <w:r>
        <w:t>5.</w:t>
      </w:r>
      <w:r>
        <w:tab/>
      </w:r>
      <w:r w:rsidR="005E1CA4" w:rsidRPr="00CE28E3">
        <w:t>Prerequisites to implementation of any funding advice</w:t>
      </w:r>
      <w:bookmarkEnd w:id="7"/>
      <w:bookmarkEnd w:id="8"/>
      <w:bookmarkEnd w:id="9"/>
    </w:p>
    <w:p w14:paraId="60172085" w14:textId="77777777" w:rsidR="005E1CA4" w:rsidRPr="00395DB7" w:rsidRDefault="005E1CA4" w:rsidP="005E1CA4">
      <w:pPr>
        <w:rPr>
          <w:rFonts w:ascii="Franklin Gothic Book" w:hAnsi="Franklin Gothic Book"/>
        </w:rPr>
      </w:pPr>
      <w:r w:rsidRPr="00395DB7">
        <w:rPr>
          <w:rFonts w:ascii="Franklin Gothic Book" w:hAnsi="Franklin Gothic Book"/>
        </w:rPr>
        <w:t>The proposed services are performed using sleep monitoring devices that have been validated for use in paediatrics. Several medical devices that are used in out-of-laboratory sleep studies are currently included on the Australian Register of Therapeutic Goods (ARTG).</w:t>
      </w:r>
    </w:p>
    <w:p w14:paraId="72477E7B" w14:textId="77777777" w:rsidR="005E1CA4" w:rsidRPr="00395DB7" w:rsidRDefault="005E1CA4" w:rsidP="005E1CA4">
      <w:pPr>
        <w:rPr>
          <w:rFonts w:ascii="Franklin Gothic Book" w:hAnsi="Franklin Gothic Book"/>
        </w:rPr>
      </w:pPr>
      <w:r w:rsidRPr="00395DB7">
        <w:rPr>
          <w:rFonts w:ascii="Franklin Gothic Book" w:hAnsi="Franklin Gothic Book"/>
        </w:rPr>
        <w:t>The applicant proposed that only National Association of Testing Authorities (NATA) accredited paediatric sleep laboratories should be eligible as service providers in order to manage quality requirements specific to paediatric studies. It is not known how many paediatric sleep laboratories are currently operating without NATA accreditation. At least one public hospital sleep laboratory (Canberra Hospital) is not NATA accredited. It is not known if this example is an exception to the norm. If it is not, a requirement for accreditation of providers may inadvertently restrict access to subsidised care.</w:t>
      </w:r>
    </w:p>
    <w:p w14:paraId="3BCC31AA" w14:textId="04B7119B" w:rsidR="005E1CA4" w:rsidRDefault="00642CDC" w:rsidP="00642CDC">
      <w:pPr>
        <w:pStyle w:val="ESHeading2"/>
        <w:numPr>
          <w:ilvl w:val="0"/>
          <w:numId w:val="0"/>
        </w:numPr>
      </w:pPr>
      <w:bookmarkStart w:id="10" w:name="_Toc145678755"/>
      <w:bookmarkStart w:id="11" w:name="_Toc150172397"/>
      <w:bookmarkStart w:id="12" w:name="_Toc153462775"/>
      <w:r>
        <w:t>6.</w:t>
      </w:r>
      <w:r>
        <w:tab/>
      </w:r>
      <w:r w:rsidR="005E1CA4" w:rsidRPr="00CE28E3">
        <w:t>Proposal for public funding</w:t>
      </w:r>
      <w:bookmarkEnd w:id="10"/>
      <w:bookmarkEnd w:id="11"/>
      <w:bookmarkEnd w:id="12"/>
    </w:p>
    <w:p w14:paraId="239A1FB3" w14:textId="77777777" w:rsidR="005E1CA4" w:rsidRPr="00395DB7" w:rsidRDefault="005E1CA4" w:rsidP="005E1CA4">
      <w:pPr>
        <w:rPr>
          <w:rFonts w:ascii="Franklin Gothic Book" w:hAnsi="Franklin Gothic Book"/>
          <w:iCs/>
        </w:rPr>
      </w:pPr>
      <w:r w:rsidRPr="00395DB7">
        <w:rPr>
          <w:rFonts w:ascii="Franklin Gothic Book" w:hAnsi="Franklin Gothic Book"/>
        </w:rPr>
        <w:t>Currently, diagnosis of SDB in children and adolescents is undertaken by polysomnography (PSG) in a sleep laboratory (Level 1 PSG) and this service is MBS listed. The proposed medical services are out-of-laboratory sleep studies, usually in the patients’ homes (Level 2 PSG or Level 3 cardiorespiratory polygraphy (CRP)). The provision of out-of-laboratory sleep studies were claimed by the applicant to offer improved access to sleep monitoring services, improved consumer satisfaction, reduced wait times for Level 1 PSG and reduced time to diagnosis and treatment of SDB.</w:t>
      </w:r>
    </w:p>
    <w:p w14:paraId="6ABEE0CE" w14:textId="5873A3DD" w:rsidR="005E1CA4" w:rsidRPr="00395DB7" w:rsidRDefault="005E1CA4" w:rsidP="005E1CA4">
      <w:pPr>
        <w:rPr>
          <w:rFonts w:ascii="Franklin Gothic Book" w:hAnsi="Franklin Gothic Book"/>
        </w:rPr>
      </w:pPr>
      <w:r w:rsidRPr="00395DB7">
        <w:rPr>
          <w:rFonts w:ascii="Franklin Gothic Book" w:hAnsi="Franklin Gothic Book"/>
        </w:rPr>
        <w:t xml:space="preserve">The proposed items for MBS listing, including fees and frequency, are summarised in </w:t>
      </w:r>
      <w:r w:rsidRPr="00395DB7">
        <w:rPr>
          <w:rFonts w:ascii="Franklin Gothic Book" w:hAnsi="Franklin Gothic Book"/>
        </w:rPr>
        <w:fldChar w:fldCharType="begin"/>
      </w:r>
      <w:r w:rsidRPr="00395DB7">
        <w:rPr>
          <w:rFonts w:ascii="Franklin Gothic Book" w:hAnsi="Franklin Gothic Book"/>
        </w:rPr>
        <w:instrText xml:space="preserve"> REF _Ref150266336 \h </w:instrText>
      </w:r>
      <w:r w:rsidR="00395DB7" w:rsidRP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Table </w:t>
      </w:r>
      <w:r w:rsidRPr="00395DB7">
        <w:rPr>
          <w:rFonts w:ascii="Franklin Gothic Book" w:hAnsi="Franklin Gothic Book"/>
          <w:noProof/>
        </w:rPr>
        <w:t>2</w:t>
      </w:r>
      <w:r w:rsidRPr="00395DB7">
        <w:rPr>
          <w:rFonts w:ascii="Franklin Gothic Book" w:hAnsi="Franklin Gothic Book"/>
        </w:rPr>
        <w:fldChar w:fldCharType="end"/>
      </w:r>
      <w:r w:rsidRPr="00395DB7">
        <w:rPr>
          <w:rFonts w:ascii="Franklin Gothic Book" w:hAnsi="Franklin Gothic Book"/>
        </w:rPr>
        <w:t>.</w:t>
      </w:r>
    </w:p>
    <w:p w14:paraId="37C32351" w14:textId="4E46F7E5" w:rsidR="005E1CA4" w:rsidRPr="00A56052" w:rsidRDefault="005E1CA4" w:rsidP="00934B9E">
      <w:pPr>
        <w:pStyle w:val="Caption"/>
        <w:keepLines/>
      </w:pPr>
      <w:bookmarkStart w:id="13" w:name="_Ref150266336"/>
      <w:r w:rsidRPr="00A56052">
        <w:lastRenderedPageBreak/>
        <w:t>Table </w:t>
      </w:r>
      <w:fldSimple w:instr=" SEQ Table \* ARABIC ">
        <w:r>
          <w:rPr>
            <w:noProof/>
          </w:rPr>
          <w:t>2</w:t>
        </w:r>
      </w:fldSimple>
      <w:bookmarkEnd w:id="13"/>
      <w:r w:rsidRPr="00A56052">
        <w:tab/>
      </w:r>
      <w:r>
        <w:t>Summary of p</w:t>
      </w:r>
      <w:r w:rsidRPr="00A56052">
        <w:t xml:space="preserve">roposed MBS </w:t>
      </w:r>
      <w:r>
        <w:t xml:space="preserve">out-of-laboratory </w:t>
      </w:r>
      <w:r w:rsidRPr="00A56052">
        <w:t>sleep study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Summary of proposed MBS out-of-laboratory sleep study items"/>
        <w:tblDescription w:val="The table summarises the proposed MBS out-of-laboratory sleep study items including age range, study type, proposed fee, purpose, and maximum frequency in 12 months."/>
      </w:tblPr>
      <w:tblGrid>
        <w:gridCol w:w="1129"/>
        <w:gridCol w:w="851"/>
        <w:gridCol w:w="992"/>
        <w:gridCol w:w="3828"/>
        <w:gridCol w:w="2216"/>
      </w:tblGrid>
      <w:tr w:rsidR="005E1CA4" w:rsidRPr="00C75829" w14:paraId="15509713" w14:textId="77777777" w:rsidTr="000A427B">
        <w:trPr>
          <w:cantSplit/>
          <w:tblHeader/>
        </w:trPr>
        <w:tc>
          <w:tcPr>
            <w:tcW w:w="626" w:type="pct"/>
          </w:tcPr>
          <w:p w14:paraId="542EA428" w14:textId="77777777" w:rsidR="005E1CA4" w:rsidRPr="00246A95" w:rsidRDefault="005E1CA4" w:rsidP="00934B9E">
            <w:pPr>
              <w:pStyle w:val="TableHeading"/>
              <w:keepLines/>
              <w:spacing w:before="0" w:afterLines="40" w:after="96"/>
              <w:ind w:left="-52" w:right="-52"/>
              <w:rPr>
                <w:szCs w:val="20"/>
              </w:rPr>
            </w:pPr>
            <w:r w:rsidRPr="00246A95">
              <w:rPr>
                <w:szCs w:val="20"/>
              </w:rPr>
              <w:t>Age (years)</w:t>
            </w:r>
          </w:p>
        </w:tc>
        <w:tc>
          <w:tcPr>
            <w:tcW w:w="472" w:type="pct"/>
          </w:tcPr>
          <w:p w14:paraId="1C5C622F" w14:textId="77777777" w:rsidR="005E1CA4" w:rsidRPr="00246A95" w:rsidRDefault="005E1CA4" w:rsidP="00934B9E">
            <w:pPr>
              <w:pStyle w:val="TableHeading"/>
              <w:keepLines/>
              <w:spacing w:before="0" w:afterLines="40" w:after="96"/>
              <w:ind w:left="-52" w:right="-52"/>
              <w:rPr>
                <w:szCs w:val="20"/>
              </w:rPr>
            </w:pPr>
            <w:r w:rsidRPr="00246A95">
              <w:rPr>
                <w:szCs w:val="20"/>
              </w:rPr>
              <w:t>Study Type</w:t>
            </w:r>
          </w:p>
        </w:tc>
        <w:tc>
          <w:tcPr>
            <w:tcW w:w="550" w:type="pct"/>
          </w:tcPr>
          <w:p w14:paraId="1F2F5BC6" w14:textId="77777777" w:rsidR="005E1CA4" w:rsidRPr="0023402A" w:rsidRDefault="005E1CA4" w:rsidP="00934B9E">
            <w:pPr>
              <w:pStyle w:val="TableHeading"/>
              <w:keepLines/>
              <w:spacing w:before="0" w:afterLines="40" w:after="96"/>
              <w:ind w:left="-52" w:right="-52"/>
              <w:rPr>
                <w:szCs w:val="20"/>
                <w:vertAlign w:val="superscript"/>
              </w:rPr>
            </w:pPr>
            <w:r w:rsidRPr="00246A95">
              <w:rPr>
                <w:szCs w:val="20"/>
              </w:rPr>
              <w:t xml:space="preserve">Proposed </w:t>
            </w:r>
            <w:proofErr w:type="spellStart"/>
            <w:r w:rsidRPr="00246A95">
              <w:rPr>
                <w:szCs w:val="20"/>
              </w:rPr>
              <w:t>Fee</w:t>
            </w:r>
            <w:r>
              <w:rPr>
                <w:szCs w:val="20"/>
                <w:vertAlign w:val="superscript"/>
              </w:rPr>
              <w:t>a</w:t>
            </w:r>
            <w:proofErr w:type="spellEnd"/>
          </w:p>
        </w:tc>
        <w:tc>
          <w:tcPr>
            <w:tcW w:w="2123" w:type="pct"/>
          </w:tcPr>
          <w:p w14:paraId="76E08555" w14:textId="77777777" w:rsidR="005E1CA4" w:rsidRPr="00246A95" w:rsidRDefault="005E1CA4" w:rsidP="00934B9E">
            <w:pPr>
              <w:pStyle w:val="TableHeading"/>
              <w:keepLines/>
              <w:spacing w:before="0" w:afterLines="40" w:after="96"/>
              <w:ind w:left="-52" w:right="-52"/>
              <w:rPr>
                <w:szCs w:val="20"/>
              </w:rPr>
            </w:pPr>
            <w:r w:rsidRPr="00246A95">
              <w:rPr>
                <w:szCs w:val="20"/>
              </w:rPr>
              <w:t>Purpose</w:t>
            </w:r>
          </w:p>
        </w:tc>
        <w:tc>
          <w:tcPr>
            <w:tcW w:w="1229" w:type="pct"/>
          </w:tcPr>
          <w:p w14:paraId="1E67F5E2" w14:textId="77777777" w:rsidR="005E1CA4" w:rsidRPr="00246A95" w:rsidRDefault="005E1CA4" w:rsidP="00934B9E">
            <w:pPr>
              <w:pStyle w:val="TableHeading"/>
              <w:keepLines/>
              <w:spacing w:before="0" w:afterLines="40" w:after="96"/>
              <w:ind w:left="-52" w:right="-52"/>
              <w:rPr>
                <w:szCs w:val="20"/>
              </w:rPr>
            </w:pPr>
            <w:r w:rsidRPr="00246A95">
              <w:rPr>
                <w:szCs w:val="20"/>
              </w:rPr>
              <w:t xml:space="preserve">Max. </w:t>
            </w:r>
            <w:r>
              <w:rPr>
                <w:szCs w:val="20"/>
              </w:rPr>
              <w:t>f</w:t>
            </w:r>
            <w:r w:rsidRPr="00246A95">
              <w:rPr>
                <w:szCs w:val="20"/>
              </w:rPr>
              <w:t xml:space="preserve">requency </w:t>
            </w:r>
            <w:r>
              <w:rPr>
                <w:szCs w:val="20"/>
              </w:rPr>
              <w:br/>
            </w:r>
            <w:r w:rsidRPr="00246A95">
              <w:rPr>
                <w:szCs w:val="20"/>
              </w:rPr>
              <w:t>(</w:t>
            </w:r>
            <w:r>
              <w:rPr>
                <w:szCs w:val="20"/>
              </w:rPr>
              <w:t>in</w:t>
            </w:r>
            <w:r w:rsidRPr="00246A95">
              <w:rPr>
                <w:szCs w:val="20"/>
              </w:rPr>
              <w:t xml:space="preserve"> 12 months)</w:t>
            </w:r>
            <w:r>
              <w:rPr>
                <w:szCs w:val="20"/>
                <w:vertAlign w:val="superscript"/>
              </w:rPr>
              <w:t>d</w:t>
            </w:r>
          </w:p>
        </w:tc>
      </w:tr>
      <w:tr w:rsidR="005E1CA4" w:rsidRPr="00C75829" w14:paraId="278AA21E" w14:textId="77777777" w:rsidTr="000A427B">
        <w:tc>
          <w:tcPr>
            <w:tcW w:w="626" w:type="pct"/>
            <w:vAlign w:val="center"/>
          </w:tcPr>
          <w:p w14:paraId="4FC081AD" w14:textId="77777777" w:rsidR="005E1CA4" w:rsidRPr="00246A95" w:rsidRDefault="005E1CA4" w:rsidP="00934B9E">
            <w:pPr>
              <w:pStyle w:val="TableText"/>
              <w:keepNext/>
              <w:keepLines/>
              <w:spacing w:before="0" w:afterLines="40" w:after="96"/>
              <w:ind w:left="-52" w:right="-52"/>
              <w:rPr>
                <w:szCs w:val="20"/>
              </w:rPr>
            </w:pPr>
            <w:r w:rsidRPr="00246A95">
              <w:rPr>
                <w:szCs w:val="20"/>
              </w:rPr>
              <w:t xml:space="preserve">3 to </w:t>
            </w:r>
            <w:r>
              <w:rPr>
                <w:szCs w:val="20"/>
              </w:rPr>
              <w:t>&lt; </w:t>
            </w:r>
            <w:r w:rsidRPr="00246A95">
              <w:rPr>
                <w:szCs w:val="20"/>
              </w:rPr>
              <w:t>12</w:t>
            </w:r>
            <w:r>
              <w:rPr>
                <w:szCs w:val="20"/>
                <w:vertAlign w:val="superscript"/>
              </w:rPr>
              <w:t>b</w:t>
            </w:r>
          </w:p>
        </w:tc>
        <w:tc>
          <w:tcPr>
            <w:tcW w:w="472" w:type="pct"/>
            <w:vAlign w:val="center"/>
          </w:tcPr>
          <w:p w14:paraId="273BB885" w14:textId="77777777" w:rsidR="005E1CA4" w:rsidRPr="00246A95" w:rsidRDefault="005E1CA4" w:rsidP="00934B9E">
            <w:pPr>
              <w:pStyle w:val="TableText"/>
              <w:keepNext/>
              <w:keepLines/>
              <w:spacing w:before="0" w:afterLines="40" w:after="96"/>
              <w:ind w:left="-52" w:right="-52"/>
              <w:rPr>
                <w:szCs w:val="20"/>
              </w:rPr>
            </w:pPr>
            <w:r w:rsidRPr="00246A95">
              <w:rPr>
                <w:szCs w:val="20"/>
              </w:rPr>
              <w:t>Level 2</w:t>
            </w:r>
          </w:p>
        </w:tc>
        <w:tc>
          <w:tcPr>
            <w:tcW w:w="550" w:type="pct"/>
            <w:vAlign w:val="center"/>
          </w:tcPr>
          <w:p w14:paraId="392284A8" w14:textId="77777777" w:rsidR="005E1CA4" w:rsidRPr="002974E9" w:rsidRDefault="005E1CA4" w:rsidP="00934B9E">
            <w:pPr>
              <w:pStyle w:val="TableText"/>
              <w:keepNext/>
              <w:keepLines/>
              <w:spacing w:before="0" w:afterLines="40" w:after="96"/>
              <w:ind w:left="-52" w:right="-52"/>
              <w:rPr>
                <w:szCs w:val="20"/>
              </w:rPr>
            </w:pPr>
            <w:r w:rsidRPr="002974E9">
              <w:rPr>
                <w:szCs w:val="20"/>
              </w:rPr>
              <w:t>$415.65</w:t>
            </w:r>
          </w:p>
        </w:tc>
        <w:tc>
          <w:tcPr>
            <w:tcW w:w="2123" w:type="pct"/>
            <w:vAlign w:val="center"/>
          </w:tcPr>
          <w:p w14:paraId="7C47FFAA" w14:textId="77777777" w:rsidR="005E1CA4" w:rsidRPr="00246A95" w:rsidRDefault="005E1CA4" w:rsidP="00934B9E">
            <w:pPr>
              <w:pStyle w:val="TableText"/>
              <w:keepNext/>
              <w:keepLines/>
              <w:spacing w:before="0" w:afterLines="40" w:after="96"/>
              <w:ind w:left="-52" w:right="-52"/>
              <w:rPr>
                <w:szCs w:val="20"/>
              </w:rPr>
            </w:pPr>
            <w:r w:rsidRPr="00246A95">
              <w:rPr>
                <w:szCs w:val="20"/>
              </w:rPr>
              <w:t>Investigation of suspected OSA in children</w:t>
            </w:r>
          </w:p>
        </w:tc>
        <w:tc>
          <w:tcPr>
            <w:tcW w:w="1229" w:type="pct"/>
            <w:vAlign w:val="center"/>
          </w:tcPr>
          <w:p w14:paraId="71280667" w14:textId="77777777" w:rsidR="005E1CA4" w:rsidRPr="00246A95" w:rsidRDefault="005E1CA4" w:rsidP="00934B9E">
            <w:pPr>
              <w:pStyle w:val="TableText"/>
              <w:keepNext/>
              <w:keepLines/>
              <w:spacing w:before="0" w:afterLines="40" w:after="96"/>
              <w:ind w:left="-52" w:right="-52"/>
              <w:rPr>
                <w:szCs w:val="20"/>
              </w:rPr>
            </w:pPr>
            <w:r w:rsidRPr="00246A95">
              <w:rPr>
                <w:szCs w:val="20"/>
              </w:rPr>
              <w:t xml:space="preserve">3 </w:t>
            </w:r>
            <w:r>
              <w:rPr>
                <w:szCs w:val="20"/>
              </w:rPr>
              <w:t>of any out-of-laboratory sleep studies</w:t>
            </w:r>
          </w:p>
        </w:tc>
      </w:tr>
      <w:tr w:rsidR="005E1CA4" w:rsidRPr="00C75829" w14:paraId="614BE8F2" w14:textId="77777777" w:rsidTr="000A427B">
        <w:tc>
          <w:tcPr>
            <w:tcW w:w="626" w:type="pct"/>
            <w:vAlign w:val="center"/>
          </w:tcPr>
          <w:p w14:paraId="0C7A26C1" w14:textId="77777777" w:rsidR="005E1CA4" w:rsidRPr="00246A95" w:rsidRDefault="005E1CA4" w:rsidP="00934B9E">
            <w:pPr>
              <w:pStyle w:val="TableText"/>
              <w:keepNext/>
              <w:keepLines/>
              <w:spacing w:before="0" w:afterLines="40" w:after="96"/>
              <w:ind w:left="-52" w:right="-52"/>
              <w:rPr>
                <w:szCs w:val="20"/>
              </w:rPr>
            </w:pPr>
            <w:r w:rsidRPr="00246A95">
              <w:rPr>
                <w:szCs w:val="20"/>
              </w:rPr>
              <w:t xml:space="preserve">12 to </w:t>
            </w:r>
            <w:r>
              <w:rPr>
                <w:szCs w:val="20"/>
              </w:rPr>
              <w:t>&lt; </w:t>
            </w:r>
            <w:r w:rsidRPr="00246A95">
              <w:rPr>
                <w:szCs w:val="20"/>
              </w:rPr>
              <w:t>18</w:t>
            </w:r>
            <w:r>
              <w:rPr>
                <w:szCs w:val="20"/>
                <w:vertAlign w:val="superscript"/>
              </w:rPr>
              <w:t>c</w:t>
            </w:r>
          </w:p>
        </w:tc>
        <w:tc>
          <w:tcPr>
            <w:tcW w:w="472" w:type="pct"/>
            <w:vAlign w:val="center"/>
          </w:tcPr>
          <w:p w14:paraId="452D6306" w14:textId="77777777" w:rsidR="005E1CA4" w:rsidRPr="00246A95" w:rsidRDefault="005E1CA4" w:rsidP="00934B9E">
            <w:pPr>
              <w:pStyle w:val="TableText"/>
              <w:keepNext/>
              <w:keepLines/>
              <w:spacing w:before="0" w:afterLines="40" w:after="96"/>
              <w:ind w:left="-52" w:right="-52"/>
              <w:rPr>
                <w:szCs w:val="20"/>
              </w:rPr>
            </w:pPr>
            <w:r w:rsidRPr="00246A95">
              <w:rPr>
                <w:szCs w:val="20"/>
              </w:rPr>
              <w:t>Level 2</w:t>
            </w:r>
          </w:p>
        </w:tc>
        <w:tc>
          <w:tcPr>
            <w:tcW w:w="550" w:type="pct"/>
            <w:vAlign w:val="center"/>
          </w:tcPr>
          <w:p w14:paraId="793CBDC2" w14:textId="77777777" w:rsidR="005E1CA4" w:rsidRPr="002974E9" w:rsidRDefault="005E1CA4" w:rsidP="00934B9E">
            <w:pPr>
              <w:pStyle w:val="TableText"/>
              <w:keepNext/>
              <w:keepLines/>
              <w:spacing w:before="0" w:afterLines="40" w:after="96"/>
              <w:ind w:left="-52" w:right="-52"/>
              <w:rPr>
                <w:szCs w:val="20"/>
              </w:rPr>
            </w:pPr>
            <w:r w:rsidRPr="002974E9">
              <w:rPr>
                <w:szCs w:val="20"/>
              </w:rPr>
              <w:t>$364.32</w:t>
            </w:r>
          </w:p>
        </w:tc>
        <w:tc>
          <w:tcPr>
            <w:tcW w:w="2123" w:type="pct"/>
            <w:vAlign w:val="center"/>
          </w:tcPr>
          <w:p w14:paraId="2A48C0DA" w14:textId="77777777" w:rsidR="005E1CA4" w:rsidRPr="00246A95" w:rsidRDefault="005E1CA4" w:rsidP="00934B9E">
            <w:pPr>
              <w:pStyle w:val="TableText"/>
              <w:keepNext/>
              <w:keepLines/>
              <w:spacing w:before="0" w:afterLines="40" w:after="96"/>
              <w:ind w:left="-52" w:right="-52"/>
              <w:rPr>
                <w:szCs w:val="20"/>
              </w:rPr>
            </w:pPr>
            <w:r w:rsidRPr="00246A95">
              <w:rPr>
                <w:szCs w:val="20"/>
              </w:rPr>
              <w:t>Investigation of suspected OSA in adolescents</w:t>
            </w:r>
          </w:p>
        </w:tc>
        <w:tc>
          <w:tcPr>
            <w:tcW w:w="1229" w:type="pct"/>
            <w:vAlign w:val="center"/>
          </w:tcPr>
          <w:p w14:paraId="441B2AF6" w14:textId="77777777" w:rsidR="005E1CA4" w:rsidRPr="00246A95" w:rsidRDefault="005E1CA4" w:rsidP="00934B9E">
            <w:pPr>
              <w:pStyle w:val="TableText"/>
              <w:keepNext/>
              <w:keepLines/>
              <w:spacing w:before="0" w:afterLines="40" w:after="96"/>
              <w:ind w:left="-52" w:right="-52"/>
              <w:rPr>
                <w:szCs w:val="20"/>
              </w:rPr>
            </w:pPr>
            <w:r w:rsidRPr="00246A95">
              <w:rPr>
                <w:szCs w:val="20"/>
              </w:rPr>
              <w:t xml:space="preserve">3 </w:t>
            </w:r>
            <w:r>
              <w:rPr>
                <w:szCs w:val="20"/>
              </w:rPr>
              <w:t>of any out-of-laboratory sleep studies</w:t>
            </w:r>
          </w:p>
        </w:tc>
      </w:tr>
      <w:tr w:rsidR="005E1CA4" w:rsidRPr="00C75829" w14:paraId="46AB8CE7" w14:textId="77777777" w:rsidTr="000A427B">
        <w:tc>
          <w:tcPr>
            <w:tcW w:w="626" w:type="pct"/>
            <w:vAlign w:val="center"/>
          </w:tcPr>
          <w:p w14:paraId="383473FE" w14:textId="77777777" w:rsidR="005E1CA4" w:rsidRPr="00246A95" w:rsidRDefault="005E1CA4" w:rsidP="00934B9E">
            <w:pPr>
              <w:pStyle w:val="TableText"/>
              <w:keepNext/>
              <w:keepLines/>
              <w:spacing w:before="0" w:afterLines="40" w:after="96"/>
              <w:ind w:left="-52" w:right="-52"/>
              <w:rPr>
                <w:szCs w:val="20"/>
              </w:rPr>
            </w:pPr>
            <w:r w:rsidRPr="00246A95">
              <w:rPr>
                <w:szCs w:val="20"/>
              </w:rPr>
              <w:t xml:space="preserve">3 to </w:t>
            </w:r>
            <w:r>
              <w:rPr>
                <w:szCs w:val="20"/>
              </w:rPr>
              <w:t>&lt; </w:t>
            </w:r>
            <w:r w:rsidRPr="00246A95">
              <w:rPr>
                <w:szCs w:val="20"/>
              </w:rPr>
              <w:t>12</w:t>
            </w:r>
            <w:r>
              <w:rPr>
                <w:szCs w:val="20"/>
                <w:vertAlign w:val="superscript"/>
              </w:rPr>
              <w:t>b</w:t>
            </w:r>
          </w:p>
        </w:tc>
        <w:tc>
          <w:tcPr>
            <w:tcW w:w="472" w:type="pct"/>
            <w:vAlign w:val="center"/>
          </w:tcPr>
          <w:p w14:paraId="4F529636" w14:textId="77777777" w:rsidR="005E1CA4" w:rsidRPr="00246A95" w:rsidRDefault="005E1CA4" w:rsidP="00934B9E">
            <w:pPr>
              <w:pStyle w:val="TableText"/>
              <w:keepNext/>
              <w:keepLines/>
              <w:spacing w:before="0" w:afterLines="40" w:after="96"/>
              <w:ind w:left="-52" w:right="-52"/>
              <w:rPr>
                <w:szCs w:val="20"/>
              </w:rPr>
            </w:pPr>
            <w:r w:rsidRPr="00246A95">
              <w:rPr>
                <w:szCs w:val="20"/>
              </w:rPr>
              <w:t>Level 3</w:t>
            </w:r>
          </w:p>
        </w:tc>
        <w:tc>
          <w:tcPr>
            <w:tcW w:w="550" w:type="pct"/>
            <w:vAlign w:val="center"/>
          </w:tcPr>
          <w:p w14:paraId="2E5985A3" w14:textId="77777777" w:rsidR="005E1CA4" w:rsidRPr="002974E9" w:rsidRDefault="005E1CA4" w:rsidP="00934B9E">
            <w:pPr>
              <w:pStyle w:val="TableText"/>
              <w:keepNext/>
              <w:keepLines/>
              <w:spacing w:before="0" w:afterLines="40" w:after="96"/>
              <w:ind w:left="-52" w:right="-52"/>
              <w:rPr>
                <w:szCs w:val="20"/>
              </w:rPr>
            </w:pPr>
            <w:r w:rsidRPr="002974E9">
              <w:rPr>
                <w:szCs w:val="20"/>
              </w:rPr>
              <w:t>$284.19</w:t>
            </w:r>
          </w:p>
        </w:tc>
        <w:tc>
          <w:tcPr>
            <w:tcW w:w="2123" w:type="pct"/>
            <w:shd w:val="clear" w:color="auto" w:fill="auto"/>
            <w:vAlign w:val="center"/>
          </w:tcPr>
          <w:p w14:paraId="3B6886E5" w14:textId="77777777" w:rsidR="005E1CA4" w:rsidRPr="00246A95" w:rsidRDefault="005E1CA4" w:rsidP="00934B9E">
            <w:pPr>
              <w:pStyle w:val="TableText"/>
              <w:keepNext/>
              <w:keepLines/>
              <w:spacing w:before="0" w:afterLines="40" w:after="96"/>
              <w:ind w:left="-52" w:right="-52"/>
              <w:rPr>
                <w:szCs w:val="20"/>
              </w:rPr>
            </w:pPr>
            <w:r w:rsidRPr="00246A95">
              <w:rPr>
                <w:szCs w:val="20"/>
              </w:rPr>
              <w:t>Investigation of suspected OSA in children unlikely to tolerate head leads</w:t>
            </w:r>
          </w:p>
        </w:tc>
        <w:tc>
          <w:tcPr>
            <w:tcW w:w="1229" w:type="pct"/>
            <w:vAlign w:val="center"/>
          </w:tcPr>
          <w:p w14:paraId="340BE060" w14:textId="77777777" w:rsidR="005E1CA4" w:rsidRPr="00246A95" w:rsidRDefault="005E1CA4" w:rsidP="00934B9E">
            <w:pPr>
              <w:pStyle w:val="TableText"/>
              <w:keepNext/>
              <w:keepLines/>
              <w:spacing w:before="0" w:afterLines="40" w:after="96"/>
              <w:ind w:left="-52" w:right="-52"/>
              <w:rPr>
                <w:szCs w:val="20"/>
              </w:rPr>
            </w:pPr>
            <w:r w:rsidRPr="00246A95">
              <w:rPr>
                <w:szCs w:val="20"/>
              </w:rPr>
              <w:t xml:space="preserve">3 </w:t>
            </w:r>
            <w:r>
              <w:rPr>
                <w:szCs w:val="20"/>
              </w:rPr>
              <w:t>of any out-of-laboratory sleep studies</w:t>
            </w:r>
          </w:p>
        </w:tc>
      </w:tr>
      <w:tr w:rsidR="005E1CA4" w:rsidRPr="00C75829" w14:paraId="4EE2A587" w14:textId="77777777" w:rsidTr="000A427B">
        <w:tc>
          <w:tcPr>
            <w:tcW w:w="626" w:type="pct"/>
            <w:vAlign w:val="center"/>
          </w:tcPr>
          <w:p w14:paraId="3E496571" w14:textId="77777777" w:rsidR="005E1CA4" w:rsidRPr="00246A95" w:rsidRDefault="005E1CA4" w:rsidP="00934B9E">
            <w:pPr>
              <w:pStyle w:val="TableText"/>
              <w:keepNext/>
              <w:keepLines/>
              <w:spacing w:before="0" w:afterLines="40" w:after="96"/>
              <w:ind w:left="-52" w:right="-52"/>
              <w:rPr>
                <w:szCs w:val="20"/>
              </w:rPr>
            </w:pPr>
            <w:r w:rsidRPr="00246A95">
              <w:rPr>
                <w:szCs w:val="20"/>
              </w:rPr>
              <w:t xml:space="preserve">12 to </w:t>
            </w:r>
            <w:r>
              <w:rPr>
                <w:szCs w:val="20"/>
              </w:rPr>
              <w:t>&lt; </w:t>
            </w:r>
            <w:r w:rsidRPr="00246A95">
              <w:rPr>
                <w:szCs w:val="20"/>
              </w:rPr>
              <w:t>18</w:t>
            </w:r>
            <w:r>
              <w:rPr>
                <w:szCs w:val="20"/>
                <w:vertAlign w:val="superscript"/>
              </w:rPr>
              <w:t>c</w:t>
            </w:r>
          </w:p>
        </w:tc>
        <w:tc>
          <w:tcPr>
            <w:tcW w:w="472" w:type="pct"/>
            <w:vAlign w:val="center"/>
          </w:tcPr>
          <w:p w14:paraId="20C56CA1" w14:textId="77777777" w:rsidR="005E1CA4" w:rsidRPr="00246A95" w:rsidRDefault="005E1CA4" w:rsidP="00934B9E">
            <w:pPr>
              <w:pStyle w:val="TableText"/>
              <w:keepNext/>
              <w:keepLines/>
              <w:spacing w:before="0" w:afterLines="40" w:after="96"/>
              <w:ind w:left="-52" w:right="-52"/>
              <w:rPr>
                <w:szCs w:val="20"/>
              </w:rPr>
            </w:pPr>
            <w:r w:rsidRPr="00246A95">
              <w:rPr>
                <w:szCs w:val="20"/>
              </w:rPr>
              <w:t>Level 3</w:t>
            </w:r>
          </w:p>
        </w:tc>
        <w:tc>
          <w:tcPr>
            <w:tcW w:w="550" w:type="pct"/>
            <w:vAlign w:val="center"/>
          </w:tcPr>
          <w:p w14:paraId="50E52864" w14:textId="77777777" w:rsidR="005E1CA4" w:rsidRPr="002974E9" w:rsidRDefault="005E1CA4" w:rsidP="00934B9E">
            <w:pPr>
              <w:pStyle w:val="TableText"/>
              <w:keepNext/>
              <w:keepLines/>
              <w:spacing w:before="0" w:afterLines="40" w:after="96"/>
              <w:ind w:left="-52" w:right="-52"/>
              <w:rPr>
                <w:szCs w:val="20"/>
              </w:rPr>
            </w:pPr>
            <w:r w:rsidRPr="002974E9">
              <w:rPr>
                <w:szCs w:val="20"/>
              </w:rPr>
              <w:t>$284.19</w:t>
            </w:r>
          </w:p>
        </w:tc>
        <w:tc>
          <w:tcPr>
            <w:tcW w:w="2123" w:type="pct"/>
            <w:shd w:val="clear" w:color="auto" w:fill="auto"/>
            <w:vAlign w:val="center"/>
          </w:tcPr>
          <w:p w14:paraId="024B5E3F" w14:textId="77777777" w:rsidR="005E1CA4" w:rsidRPr="00246A95" w:rsidRDefault="005E1CA4" w:rsidP="00934B9E">
            <w:pPr>
              <w:pStyle w:val="TableText"/>
              <w:keepNext/>
              <w:keepLines/>
              <w:spacing w:before="0" w:afterLines="40" w:after="96"/>
              <w:ind w:left="-52" w:right="-52"/>
              <w:rPr>
                <w:szCs w:val="20"/>
              </w:rPr>
            </w:pPr>
            <w:r w:rsidRPr="00246A95">
              <w:rPr>
                <w:szCs w:val="20"/>
              </w:rPr>
              <w:t>Investigation of suspected OSA in adolescents unlikely to tolerate head leads</w:t>
            </w:r>
          </w:p>
        </w:tc>
        <w:tc>
          <w:tcPr>
            <w:tcW w:w="1229" w:type="pct"/>
            <w:vAlign w:val="center"/>
          </w:tcPr>
          <w:p w14:paraId="206B492A" w14:textId="77777777" w:rsidR="005E1CA4" w:rsidRPr="00246A95" w:rsidRDefault="005E1CA4" w:rsidP="00934B9E">
            <w:pPr>
              <w:pStyle w:val="TableText"/>
              <w:keepNext/>
              <w:keepLines/>
              <w:spacing w:before="0" w:afterLines="40" w:after="96"/>
              <w:ind w:left="-52" w:right="-52"/>
              <w:rPr>
                <w:szCs w:val="20"/>
              </w:rPr>
            </w:pPr>
            <w:r w:rsidRPr="00246A95">
              <w:rPr>
                <w:szCs w:val="20"/>
              </w:rPr>
              <w:t xml:space="preserve">3 </w:t>
            </w:r>
            <w:r>
              <w:rPr>
                <w:szCs w:val="20"/>
              </w:rPr>
              <w:t>of any out-of-laboratory sleep studies</w:t>
            </w:r>
          </w:p>
        </w:tc>
      </w:tr>
      <w:tr w:rsidR="005E1CA4" w:rsidRPr="00C75829" w14:paraId="53D7678B" w14:textId="77777777" w:rsidTr="000A427B">
        <w:tc>
          <w:tcPr>
            <w:tcW w:w="626" w:type="pct"/>
            <w:vAlign w:val="center"/>
          </w:tcPr>
          <w:p w14:paraId="67F511A5" w14:textId="77777777" w:rsidR="005E1CA4" w:rsidRPr="00246A95" w:rsidRDefault="005E1CA4" w:rsidP="00934B9E">
            <w:pPr>
              <w:pStyle w:val="TableText"/>
              <w:keepNext/>
              <w:keepLines/>
              <w:spacing w:before="0" w:afterLines="40" w:after="96"/>
              <w:ind w:left="-52" w:right="-52"/>
              <w:rPr>
                <w:szCs w:val="20"/>
              </w:rPr>
            </w:pPr>
            <w:r w:rsidRPr="00246A95">
              <w:rPr>
                <w:szCs w:val="20"/>
              </w:rPr>
              <w:t xml:space="preserve">3 to </w:t>
            </w:r>
            <w:r>
              <w:rPr>
                <w:szCs w:val="20"/>
              </w:rPr>
              <w:t>&lt; </w:t>
            </w:r>
            <w:r w:rsidRPr="00246A95">
              <w:rPr>
                <w:szCs w:val="20"/>
              </w:rPr>
              <w:t>12</w:t>
            </w:r>
            <w:r>
              <w:rPr>
                <w:szCs w:val="20"/>
                <w:vertAlign w:val="superscript"/>
              </w:rPr>
              <w:t>b</w:t>
            </w:r>
          </w:p>
        </w:tc>
        <w:tc>
          <w:tcPr>
            <w:tcW w:w="472" w:type="pct"/>
            <w:vAlign w:val="center"/>
          </w:tcPr>
          <w:p w14:paraId="3FB2CC78" w14:textId="77777777" w:rsidR="005E1CA4" w:rsidRPr="00246A95" w:rsidRDefault="005E1CA4" w:rsidP="00934B9E">
            <w:pPr>
              <w:pStyle w:val="TableText"/>
              <w:keepNext/>
              <w:keepLines/>
              <w:spacing w:before="0" w:afterLines="40" w:after="96"/>
              <w:ind w:left="-52" w:right="-52"/>
              <w:rPr>
                <w:szCs w:val="20"/>
              </w:rPr>
            </w:pPr>
            <w:r w:rsidRPr="00246A95">
              <w:rPr>
                <w:szCs w:val="20"/>
              </w:rPr>
              <w:t>Level 3</w:t>
            </w:r>
          </w:p>
        </w:tc>
        <w:tc>
          <w:tcPr>
            <w:tcW w:w="550" w:type="pct"/>
            <w:vAlign w:val="center"/>
          </w:tcPr>
          <w:p w14:paraId="495AF627" w14:textId="77777777" w:rsidR="005E1CA4" w:rsidRPr="002974E9" w:rsidRDefault="005E1CA4" w:rsidP="00934B9E">
            <w:pPr>
              <w:pStyle w:val="TableText"/>
              <w:keepNext/>
              <w:keepLines/>
              <w:spacing w:before="0" w:afterLines="40" w:after="96"/>
              <w:ind w:left="-52" w:right="-52"/>
              <w:rPr>
                <w:szCs w:val="20"/>
              </w:rPr>
            </w:pPr>
            <w:r w:rsidRPr="002974E9">
              <w:rPr>
                <w:szCs w:val="20"/>
              </w:rPr>
              <w:t>$284.19</w:t>
            </w:r>
          </w:p>
        </w:tc>
        <w:tc>
          <w:tcPr>
            <w:tcW w:w="2123" w:type="pct"/>
            <w:shd w:val="clear" w:color="auto" w:fill="auto"/>
            <w:vAlign w:val="center"/>
          </w:tcPr>
          <w:p w14:paraId="41A218D9" w14:textId="77777777" w:rsidR="005E1CA4" w:rsidRPr="00246A95" w:rsidRDefault="005E1CA4" w:rsidP="00934B9E">
            <w:pPr>
              <w:pStyle w:val="TableText"/>
              <w:keepNext/>
              <w:keepLines/>
              <w:spacing w:before="0" w:afterLines="40" w:after="96"/>
              <w:ind w:left="-52" w:right="-52"/>
              <w:rPr>
                <w:szCs w:val="20"/>
              </w:rPr>
            </w:pPr>
            <w:r w:rsidRPr="00246A95">
              <w:rPr>
                <w:szCs w:val="20"/>
              </w:rPr>
              <w:t>Follow-up (monitoring) in a child with diagnosed OSA</w:t>
            </w:r>
          </w:p>
        </w:tc>
        <w:tc>
          <w:tcPr>
            <w:tcW w:w="1229" w:type="pct"/>
            <w:vAlign w:val="center"/>
          </w:tcPr>
          <w:p w14:paraId="02A01F24" w14:textId="77777777" w:rsidR="005E1CA4" w:rsidRPr="00246A95" w:rsidRDefault="005E1CA4" w:rsidP="00934B9E">
            <w:pPr>
              <w:pStyle w:val="TableText"/>
              <w:keepNext/>
              <w:keepLines/>
              <w:spacing w:before="0" w:afterLines="40" w:after="96"/>
              <w:ind w:left="-52" w:right="-52"/>
              <w:rPr>
                <w:szCs w:val="20"/>
              </w:rPr>
            </w:pPr>
            <w:r w:rsidRPr="00246A95">
              <w:rPr>
                <w:szCs w:val="20"/>
              </w:rPr>
              <w:t xml:space="preserve">3 </w:t>
            </w:r>
            <w:r>
              <w:rPr>
                <w:szCs w:val="20"/>
              </w:rPr>
              <w:t>of any out-of-laboratory sleep studies</w:t>
            </w:r>
          </w:p>
        </w:tc>
      </w:tr>
      <w:tr w:rsidR="005E1CA4" w:rsidRPr="00C75829" w14:paraId="6EDEB81B" w14:textId="77777777" w:rsidTr="000A427B">
        <w:tc>
          <w:tcPr>
            <w:tcW w:w="626" w:type="pct"/>
            <w:vAlign w:val="center"/>
          </w:tcPr>
          <w:p w14:paraId="09AC1392" w14:textId="77777777" w:rsidR="005E1CA4" w:rsidRPr="00246A95" w:rsidRDefault="005E1CA4" w:rsidP="00934B9E">
            <w:pPr>
              <w:pStyle w:val="TableText"/>
              <w:keepNext/>
              <w:keepLines/>
              <w:spacing w:before="0" w:afterLines="40" w:after="96"/>
              <w:ind w:left="-52" w:right="-52"/>
              <w:rPr>
                <w:szCs w:val="20"/>
              </w:rPr>
            </w:pPr>
            <w:r w:rsidRPr="00246A95">
              <w:rPr>
                <w:szCs w:val="20"/>
              </w:rPr>
              <w:t xml:space="preserve">12 to </w:t>
            </w:r>
            <w:r>
              <w:rPr>
                <w:szCs w:val="20"/>
              </w:rPr>
              <w:t>&lt; </w:t>
            </w:r>
            <w:r w:rsidRPr="00246A95">
              <w:rPr>
                <w:szCs w:val="20"/>
              </w:rPr>
              <w:t>18</w:t>
            </w:r>
            <w:r>
              <w:rPr>
                <w:szCs w:val="20"/>
                <w:vertAlign w:val="superscript"/>
              </w:rPr>
              <w:t>c</w:t>
            </w:r>
          </w:p>
        </w:tc>
        <w:tc>
          <w:tcPr>
            <w:tcW w:w="472" w:type="pct"/>
            <w:vAlign w:val="center"/>
          </w:tcPr>
          <w:p w14:paraId="29778AE0" w14:textId="77777777" w:rsidR="005E1CA4" w:rsidRPr="00246A95" w:rsidRDefault="005E1CA4" w:rsidP="00934B9E">
            <w:pPr>
              <w:pStyle w:val="TableText"/>
              <w:keepNext/>
              <w:keepLines/>
              <w:spacing w:before="0" w:afterLines="40" w:after="96"/>
              <w:ind w:left="-52" w:right="-52"/>
              <w:rPr>
                <w:szCs w:val="20"/>
              </w:rPr>
            </w:pPr>
            <w:r w:rsidRPr="00246A95">
              <w:rPr>
                <w:szCs w:val="20"/>
              </w:rPr>
              <w:t>Level 3</w:t>
            </w:r>
          </w:p>
        </w:tc>
        <w:tc>
          <w:tcPr>
            <w:tcW w:w="550" w:type="pct"/>
            <w:vAlign w:val="center"/>
          </w:tcPr>
          <w:p w14:paraId="6A178E1C" w14:textId="77777777" w:rsidR="005E1CA4" w:rsidRPr="002974E9" w:rsidRDefault="005E1CA4" w:rsidP="00934B9E">
            <w:pPr>
              <w:pStyle w:val="TableText"/>
              <w:keepNext/>
              <w:keepLines/>
              <w:spacing w:before="0" w:afterLines="40" w:after="96"/>
              <w:ind w:left="-52" w:right="-52"/>
              <w:rPr>
                <w:szCs w:val="20"/>
              </w:rPr>
            </w:pPr>
            <w:r w:rsidRPr="002974E9">
              <w:rPr>
                <w:szCs w:val="20"/>
              </w:rPr>
              <w:t>$284.19</w:t>
            </w:r>
          </w:p>
        </w:tc>
        <w:tc>
          <w:tcPr>
            <w:tcW w:w="2123" w:type="pct"/>
            <w:shd w:val="clear" w:color="auto" w:fill="auto"/>
            <w:vAlign w:val="center"/>
          </w:tcPr>
          <w:p w14:paraId="24B3C71A" w14:textId="77777777" w:rsidR="005E1CA4" w:rsidRPr="00246A95" w:rsidRDefault="005E1CA4" w:rsidP="00934B9E">
            <w:pPr>
              <w:pStyle w:val="TableText"/>
              <w:keepNext/>
              <w:keepLines/>
              <w:spacing w:before="0" w:afterLines="40" w:after="96"/>
              <w:ind w:left="-52" w:right="-52"/>
              <w:rPr>
                <w:szCs w:val="20"/>
              </w:rPr>
            </w:pPr>
            <w:r w:rsidRPr="00246A95">
              <w:rPr>
                <w:szCs w:val="20"/>
              </w:rPr>
              <w:t>Follow-up (monitoring) in an adolescent with diagnosed OSA</w:t>
            </w:r>
          </w:p>
        </w:tc>
        <w:tc>
          <w:tcPr>
            <w:tcW w:w="1229" w:type="pct"/>
            <w:vAlign w:val="center"/>
          </w:tcPr>
          <w:p w14:paraId="1FE9FEBF" w14:textId="77777777" w:rsidR="005E1CA4" w:rsidRPr="00246A95" w:rsidRDefault="005E1CA4" w:rsidP="00934B9E">
            <w:pPr>
              <w:pStyle w:val="TableText"/>
              <w:keepNext/>
              <w:keepLines/>
              <w:spacing w:before="0" w:afterLines="40" w:after="96"/>
              <w:ind w:left="-52" w:right="-52"/>
              <w:rPr>
                <w:szCs w:val="20"/>
              </w:rPr>
            </w:pPr>
            <w:r w:rsidRPr="00246A95">
              <w:rPr>
                <w:szCs w:val="20"/>
              </w:rPr>
              <w:t xml:space="preserve">3 </w:t>
            </w:r>
            <w:r>
              <w:rPr>
                <w:szCs w:val="20"/>
              </w:rPr>
              <w:t>of any out-of-laboratory sleep studies</w:t>
            </w:r>
          </w:p>
        </w:tc>
      </w:tr>
    </w:tbl>
    <w:p w14:paraId="7149D207" w14:textId="77777777" w:rsidR="005E1CA4" w:rsidRPr="0023402A" w:rsidRDefault="005E1CA4" w:rsidP="00934B9E">
      <w:pPr>
        <w:pStyle w:val="TableFigNoteLast"/>
        <w:keepNext/>
        <w:keepLines/>
        <w:rPr>
          <w:szCs w:val="24"/>
        </w:rPr>
      </w:pPr>
      <w:r>
        <w:t xml:space="preserve">ASA = Australasian Sleep Association; Max = maximum; </w:t>
      </w:r>
      <w:r w:rsidRPr="00AC4B1E">
        <w:t>MBS</w:t>
      </w:r>
      <w:r>
        <w:t xml:space="preserve"> </w:t>
      </w:r>
      <w:r w:rsidRPr="00AC4B1E">
        <w:t>=</w:t>
      </w:r>
      <w:r>
        <w:t xml:space="preserve"> </w:t>
      </w:r>
      <w:r w:rsidRPr="00AC4B1E">
        <w:t xml:space="preserve">Medicare Benefits Schedule; </w:t>
      </w:r>
      <w:r>
        <w:t xml:space="preserve">NATA = </w:t>
      </w:r>
      <w:r w:rsidRPr="007017B1">
        <w:t>National Association of Testing Authorities</w:t>
      </w:r>
      <w:r>
        <w:t xml:space="preserve">; </w:t>
      </w:r>
      <w:r w:rsidRPr="00AC4B1E">
        <w:t>OSA</w:t>
      </w:r>
      <w:r>
        <w:t xml:space="preserve"> </w:t>
      </w:r>
      <w:r w:rsidRPr="00AC4B1E">
        <w:t>=</w:t>
      </w:r>
      <w:r>
        <w:t xml:space="preserve"> </w:t>
      </w:r>
      <w:r w:rsidRPr="00AC4B1E">
        <w:t>obstructive sleep apnoea</w:t>
      </w:r>
      <w:r>
        <w:rPr>
          <w:szCs w:val="24"/>
        </w:rPr>
        <w:t>; RACP = Royal Australasian College of Physicians.</w:t>
      </w:r>
      <w:r>
        <w:rPr>
          <w:szCs w:val="24"/>
        </w:rPr>
        <w:tab/>
      </w:r>
      <w:r>
        <w:rPr>
          <w:szCs w:val="24"/>
        </w:rPr>
        <w:br/>
      </w:r>
      <w:r>
        <w:rPr>
          <w:szCs w:val="24"/>
          <w:vertAlign w:val="superscript"/>
        </w:rPr>
        <w:t xml:space="preserve">a </w:t>
      </w:r>
      <w:r>
        <w:rPr>
          <w:szCs w:val="24"/>
        </w:rPr>
        <w:t>The proposed fees have been revised from those presented in the PICO confirmation. The travel costs originally included by the applicant have been removed.</w:t>
      </w:r>
    </w:p>
    <w:p w14:paraId="380B37E0" w14:textId="77777777" w:rsidR="005E1CA4" w:rsidRPr="00AC4B1E" w:rsidRDefault="005E1CA4" w:rsidP="005E1CA4">
      <w:pPr>
        <w:pStyle w:val="TableFigNoteLast"/>
        <w:rPr>
          <w:szCs w:val="24"/>
        </w:rPr>
      </w:pPr>
      <w:r>
        <w:rPr>
          <w:szCs w:val="24"/>
          <w:vertAlign w:val="superscript"/>
        </w:rPr>
        <w:t>b</w:t>
      </w:r>
      <w:r>
        <w:rPr>
          <w:szCs w:val="24"/>
        </w:rPr>
        <w:t xml:space="preserve"> items for children (3 to &lt;12 y) are for ordering by clinicians qualified in paediatric sleep medicine by the RACP and listed as a clinician with </w:t>
      </w:r>
      <w:r w:rsidRPr="00B524F8">
        <w:rPr>
          <w:szCs w:val="24"/>
        </w:rPr>
        <w:t xml:space="preserve">a </w:t>
      </w:r>
      <w:r>
        <w:rPr>
          <w:szCs w:val="24"/>
        </w:rPr>
        <w:t xml:space="preserve">paediatric sleep laboratory accredited with the ASA/NATA Sleep Disorders Service Accreditation Program. </w:t>
      </w:r>
      <w:r>
        <w:rPr>
          <w:szCs w:val="24"/>
        </w:rPr>
        <w:br/>
      </w:r>
      <w:r>
        <w:rPr>
          <w:szCs w:val="24"/>
          <w:vertAlign w:val="superscript"/>
        </w:rPr>
        <w:t>c</w:t>
      </w:r>
      <w:r>
        <w:rPr>
          <w:szCs w:val="24"/>
        </w:rPr>
        <w:t xml:space="preserve"> A</w:t>
      </w:r>
      <w:r w:rsidRPr="00C96B53">
        <w:rPr>
          <w:szCs w:val="24"/>
        </w:rPr>
        <w:t>dolescent items</w:t>
      </w:r>
      <w:r>
        <w:rPr>
          <w:szCs w:val="24"/>
        </w:rPr>
        <w:t xml:space="preserve"> (age 12 to </w:t>
      </w:r>
      <w:r>
        <w:rPr>
          <w:szCs w:val="20"/>
        </w:rPr>
        <w:t>&lt;</w:t>
      </w:r>
      <w:r>
        <w:rPr>
          <w:szCs w:val="24"/>
        </w:rPr>
        <w:t> 18 y)</w:t>
      </w:r>
      <w:r w:rsidRPr="00C96B53">
        <w:rPr>
          <w:szCs w:val="24"/>
        </w:rPr>
        <w:t xml:space="preserve"> are for ordering by clinicians qualified in adult or paediatric sleep medicine by RACP and listed as a clinician </w:t>
      </w:r>
      <w:r>
        <w:rPr>
          <w:szCs w:val="24"/>
        </w:rPr>
        <w:t xml:space="preserve">on staff </w:t>
      </w:r>
      <w:r w:rsidRPr="00C96B53">
        <w:rPr>
          <w:szCs w:val="24"/>
        </w:rPr>
        <w:t xml:space="preserve">with an adult or paediatric sleep laboratory accredited under the ASA/NATA Sleep Disorders Service Accreditation Program. </w:t>
      </w:r>
      <w:r>
        <w:rPr>
          <w:szCs w:val="24"/>
        </w:rPr>
        <w:br/>
      </w:r>
      <w:r w:rsidRPr="00F71366">
        <w:rPr>
          <w:szCs w:val="24"/>
          <w:vertAlign w:val="superscript"/>
        </w:rPr>
        <w:t>d</w:t>
      </w:r>
      <w:r>
        <w:rPr>
          <w:szCs w:val="24"/>
        </w:rPr>
        <w:t xml:space="preserve"> The frequency proposed in this assessment is a maximum of three of any of the proposed paediatric out-of-laboratory sleep study items.</w:t>
      </w:r>
    </w:p>
    <w:p w14:paraId="216B646B" w14:textId="27CE0818" w:rsidR="005E1CA4" w:rsidRPr="00395DB7" w:rsidRDefault="005E1CA4" w:rsidP="005E1CA4">
      <w:pPr>
        <w:rPr>
          <w:rFonts w:ascii="Franklin Gothic Book" w:hAnsi="Franklin Gothic Book"/>
        </w:rPr>
      </w:pPr>
      <w:r w:rsidRPr="00395DB7">
        <w:rPr>
          <w:rFonts w:ascii="Franklin Gothic Book" w:hAnsi="Franklin Gothic Book"/>
        </w:rPr>
        <w:t xml:space="preserve">Separate MBS items are proposed for children and adolescents as recommended by PASC. All items for children </w:t>
      </w:r>
      <w:r w:rsidR="003A44C6">
        <w:rPr>
          <w:rFonts w:ascii="Franklin Gothic Book" w:hAnsi="Franklin Gothic Book"/>
        </w:rPr>
        <w:t xml:space="preserve">aged 12 and under </w:t>
      </w:r>
      <w:r w:rsidRPr="00395DB7">
        <w:rPr>
          <w:rFonts w:ascii="Franklin Gothic Book" w:hAnsi="Franklin Gothic Book"/>
        </w:rPr>
        <w:t>require referral to a paediatric sleep medicine practitioner. The paediatric sleep medicine practitioner will then order a sleep study for eligible patients suited to an out-of-laboratory setting. Adolescent sleep studies may be ordered by either a paediatric or adult sleep medicine practitioner.</w:t>
      </w:r>
    </w:p>
    <w:p w14:paraId="2FF820C2" w14:textId="1548925D" w:rsidR="005E1CA4" w:rsidRPr="00395DB7" w:rsidRDefault="005E1CA4" w:rsidP="005E1CA4">
      <w:pPr>
        <w:rPr>
          <w:rFonts w:ascii="Franklin Gothic Book" w:hAnsi="Franklin Gothic Book"/>
        </w:rPr>
      </w:pPr>
      <w:r w:rsidRPr="00395DB7">
        <w:rPr>
          <w:rFonts w:ascii="Franklin Gothic Book" w:hAnsi="Franklin Gothic Book"/>
        </w:rPr>
        <w:t xml:space="preserve">The fees proposed by the applicant have been revised to remove fuel and travel costs, as these costs are business expenses and not within the definition of the professional service provided. It was considered that approximately 38% of paediatric OSA patients were likely to be in rural, regional or remote areas. Furthermore, all these patients were considered likely to require significant telehealth involvement as part of the proposed sleep study items, especially if parents needed remote instruction for setting up the sleep study equipment. The applicant has included costing for half an hour of telehealth as part of the proposed fee, but this may not be adequate for patients in these areas requiring remote instruction (see Section </w:t>
      </w:r>
      <w:r w:rsidRPr="00395DB7">
        <w:rPr>
          <w:rFonts w:ascii="Franklin Gothic Book" w:hAnsi="Franklin Gothic Book"/>
        </w:rPr>
        <w:fldChar w:fldCharType="begin"/>
      </w:r>
      <w:r w:rsidRPr="00395DB7">
        <w:rPr>
          <w:rFonts w:ascii="Franklin Gothic Book" w:hAnsi="Franklin Gothic Book"/>
        </w:rPr>
        <w:instrText xml:space="preserve"> REF _Ref152061459 \r \h </w:instrText>
      </w:r>
      <w:r w:rsidR="00395DB7" w:rsidRP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5.4</w:t>
      </w:r>
      <w:r w:rsidRPr="00395DB7">
        <w:rPr>
          <w:rFonts w:ascii="Franklin Gothic Book" w:hAnsi="Franklin Gothic Book"/>
        </w:rPr>
        <w:fldChar w:fldCharType="end"/>
      </w:r>
      <w:r w:rsidRPr="00395DB7">
        <w:rPr>
          <w:rFonts w:ascii="Franklin Gothic Book" w:hAnsi="Franklin Gothic Book"/>
        </w:rPr>
        <w:t xml:space="preserve"> </w:t>
      </w:r>
      <w:r w:rsidRPr="00395DB7">
        <w:rPr>
          <w:rFonts w:ascii="Franklin Gothic Book" w:hAnsi="Franklin Gothic Book"/>
        </w:rPr>
        <w:fldChar w:fldCharType="begin"/>
      </w:r>
      <w:r w:rsidRPr="00395DB7">
        <w:rPr>
          <w:rFonts w:ascii="Franklin Gothic Book" w:hAnsi="Franklin Gothic Book"/>
        </w:rPr>
        <w:instrText xml:space="preserve"> REF _Ref152061464 \h </w:instrText>
      </w:r>
      <w:r w:rsidR="00395DB7" w:rsidRP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Telehealth assistance for at home sleep studies</w:t>
      </w:r>
      <w:r w:rsidRPr="00395DB7">
        <w:rPr>
          <w:rFonts w:ascii="Franklin Gothic Book" w:hAnsi="Franklin Gothic Book"/>
        </w:rPr>
        <w:fldChar w:fldCharType="end"/>
      </w:r>
      <w:r w:rsidRPr="00395DB7">
        <w:rPr>
          <w:rFonts w:ascii="Franklin Gothic Book" w:hAnsi="Franklin Gothic Book"/>
        </w:rPr>
        <w:t>).</w:t>
      </w:r>
    </w:p>
    <w:p w14:paraId="5D0D7BAE" w14:textId="77777777" w:rsidR="005E1CA4" w:rsidRPr="00395DB7" w:rsidRDefault="005E1CA4" w:rsidP="005E1CA4">
      <w:pPr>
        <w:rPr>
          <w:rFonts w:ascii="Franklin Gothic Book" w:hAnsi="Franklin Gothic Book"/>
        </w:rPr>
      </w:pPr>
      <w:r w:rsidRPr="00395DB7">
        <w:rPr>
          <w:rFonts w:ascii="Franklin Gothic Book" w:hAnsi="Franklin Gothic Book"/>
        </w:rPr>
        <w:t>The applicant has requested all items to have a frequency restriction of twice in any 12-month period. Based on data provided by the Department, individual paediatric patients typically use a maximum of three sleep study services in a 12-month period (although the number of visits may reflect restricted access to paediatric sleep study facilities). Hence, it is proposed that the frequency criterion be a maximum of any three out-of-laboratory sleep study items in a 12-month period.</w:t>
      </w:r>
    </w:p>
    <w:p w14:paraId="694EADCE" w14:textId="77777777" w:rsidR="005E1CA4" w:rsidRPr="00395DB7" w:rsidRDefault="005E1CA4" w:rsidP="005E1CA4">
      <w:pPr>
        <w:rPr>
          <w:rFonts w:ascii="Franklin Gothic Book" w:hAnsi="Franklin Gothic Book"/>
        </w:rPr>
      </w:pPr>
      <w:r w:rsidRPr="00395DB7">
        <w:rPr>
          <w:rFonts w:ascii="Franklin Gothic Book" w:hAnsi="Franklin Gothic Book"/>
        </w:rPr>
        <w:t xml:space="preserve">The applicant requested a distance criterion whereby patients living greater than 50 km from a sleep laboratory could have their parent or caregiver apply the sleep study equipment under telehealth instruction from a qualified sleep laboratory staff member (patients living closer would not have this option). PASC acknowledged that a distance criterion could not be incorporated in an MBS item and as such it has been removed. Instead, the possibility for the equipment to be </w:t>
      </w:r>
      <w:r w:rsidRPr="00395DB7">
        <w:rPr>
          <w:rFonts w:ascii="Franklin Gothic Book" w:hAnsi="Franklin Gothic Book"/>
        </w:rPr>
        <w:lastRenderedPageBreak/>
        <w:t>applied either by a qualified sleep laboratory staff member or by a parent under instruction have been presented as alternatives with no restriction on the distance of the patient’s residence from a sleep laboratory. While a distance criterion provides a rule of thumb for service providers, it was considered unlikely that the item required wording to limit who may apply the equipment if the providers will be subject to NATA accreditation (whereby the sleep laboratory quality systems would manage these issues, and be subject to audit).</w:t>
      </w:r>
    </w:p>
    <w:p w14:paraId="0A6EB1BF" w14:textId="77777777" w:rsidR="005E1CA4" w:rsidRPr="00395DB7" w:rsidRDefault="005E1CA4" w:rsidP="005E1CA4">
      <w:pPr>
        <w:rPr>
          <w:rFonts w:ascii="Franklin Gothic Book" w:hAnsi="Franklin Gothic Book"/>
        </w:rPr>
      </w:pPr>
      <w:r w:rsidRPr="00395DB7">
        <w:rPr>
          <w:rFonts w:ascii="Franklin Gothic Book" w:hAnsi="Franklin Gothic Book"/>
        </w:rPr>
        <w:t>For patients requiring a parent to set up the equipment under remote instruction, telehealth assistance is likely to be a key component to ensure a successful sleep study can be obtained. The proposed fees may need to be adjusted to incorporate a larger telehealth cost component for rural, regional or remote patients, who (as noted above) are likely to comprise around 38% of the target population.</w:t>
      </w:r>
    </w:p>
    <w:p w14:paraId="53A5B42B" w14:textId="77777777" w:rsidR="005E1CA4" w:rsidRPr="00395DB7" w:rsidRDefault="005E1CA4" w:rsidP="005E1CA4">
      <w:pPr>
        <w:rPr>
          <w:rFonts w:ascii="Franklin Gothic Book" w:hAnsi="Franklin Gothic Book"/>
        </w:rPr>
      </w:pPr>
      <w:r w:rsidRPr="00395DB7">
        <w:rPr>
          <w:rFonts w:ascii="Franklin Gothic Book" w:hAnsi="Franklin Gothic Book"/>
        </w:rPr>
        <w:t>The applicant requested that the proposed sleep study services should be restricted to providers with NATA accreditation along similar lines to current accreditation requirements for pathology and diagnostic imaging services on the MBS.</w:t>
      </w:r>
    </w:p>
    <w:p w14:paraId="38CB30F3" w14:textId="44A06A9D" w:rsidR="00934B9E" w:rsidRDefault="005E1CA4" w:rsidP="00934B9E">
      <w:pPr>
        <w:rPr>
          <w:rFonts w:ascii="Franklin Gothic Book" w:hAnsi="Franklin Gothic Book"/>
        </w:rPr>
      </w:pPr>
      <w:r w:rsidRPr="00395DB7">
        <w:rPr>
          <w:rFonts w:ascii="Franklin Gothic Book" w:hAnsi="Franklin Gothic Book"/>
        </w:rPr>
        <w:t xml:space="preserve">The proposed item descriptors in </w:t>
      </w:r>
      <w:r w:rsidRPr="00395DB7">
        <w:rPr>
          <w:rFonts w:ascii="Franklin Gothic Book" w:hAnsi="Franklin Gothic Book"/>
        </w:rPr>
        <w:fldChar w:fldCharType="begin"/>
      </w:r>
      <w:r w:rsidRPr="00395DB7">
        <w:rPr>
          <w:rFonts w:ascii="Franklin Gothic Book" w:hAnsi="Franklin Gothic Book"/>
        </w:rPr>
        <w:instrText xml:space="preserve"> REF _Ref150163211 \h </w:instrText>
      </w:r>
      <w:r w:rsidR="00395DB7" w:rsidRP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 xml:space="preserve">Table </w:t>
      </w:r>
      <w:r w:rsidRPr="00395DB7">
        <w:rPr>
          <w:rFonts w:ascii="Franklin Gothic Book" w:hAnsi="Franklin Gothic Book"/>
          <w:noProof/>
        </w:rPr>
        <w:t>3</w:t>
      </w:r>
      <w:r w:rsidRPr="00395DB7">
        <w:rPr>
          <w:rFonts w:ascii="Franklin Gothic Book" w:hAnsi="Franklin Gothic Book"/>
        </w:rPr>
        <w:fldChar w:fldCharType="end"/>
      </w:r>
      <w:r w:rsidRPr="00395DB7">
        <w:rPr>
          <w:rFonts w:ascii="Franklin Gothic Book" w:hAnsi="Franklin Gothic Book"/>
        </w:rPr>
        <w:t xml:space="preserve">, </w:t>
      </w:r>
      <w:r w:rsidRPr="00395DB7">
        <w:rPr>
          <w:rFonts w:ascii="Franklin Gothic Book" w:hAnsi="Franklin Gothic Book"/>
        </w:rPr>
        <w:fldChar w:fldCharType="begin"/>
      </w:r>
      <w:r w:rsidRPr="00395DB7">
        <w:rPr>
          <w:rFonts w:ascii="Franklin Gothic Book" w:hAnsi="Franklin Gothic Book"/>
        </w:rPr>
        <w:instrText xml:space="preserve"> REF _Ref150163213 \h </w:instrText>
      </w:r>
      <w:r w:rsidR="00395DB7" w:rsidRP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 xml:space="preserve">Table </w:t>
      </w:r>
      <w:r w:rsidRPr="00395DB7">
        <w:rPr>
          <w:rFonts w:ascii="Franklin Gothic Book" w:hAnsi="Franklin Gothic Book"/>
          <w:noProof/>
        </w:rPr>
        <w:t>4</w:t>
      </w:r>
      <w:r w:rsidRPr="00395DB7">
        <w:rPr>
          <w:rFonts w:ascii="Franklin Gothic Book" w:hAnsi="Franklin Gothic Book"/>
        </w:rPr>
        <w:fldChar w:fldCharType="end"/>
      </w:r>
      <w:r w:rsidRPr="00395DB7">
        <w:rPr>
          <w:rFonts w:ascii="Franklin Gothic Book" w:hAnsi="Franklin Gothic Book"/>
        </w:rPr>
        <w:t xml:space="preserve"> and </w:t>
      </w:r>
      <w:r w:rsidRPr="00395DB7">
        <w:rPr>
          <w:rFonts w:ascii="Franklin Gothic Book" w:hAnsi="Franklin Gothic Book"/>
        </w:rPr>
        <w:fldChar w:fldCharType="begin"/>
      </w:r>
      <w:r w:rsidRPr="00395DB7">
        <w:rPr>
          <w:rFonts w:ascii="Franklin Gothic Book" w:hAnsi="Franklin Gothic Book"/>
        </w:rPr>
        <w:instrText xml:space="preserve"> REF _Ref150163215 \h </w:instrText>
      </w:r>
      <w:r w:rsidR="00395DB7" w:rsidRP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 xml:space="preserve">Table </w:t>
      </w:r>
      <w:r w:rsidRPr="00395DB7">
        <w:rPr>
          <w:rFonts w:ascii="Franklin Gothic Book" w:hAnsi="Franklin Gothic Book"/>
          <w:noProof/>
        </w:rPr>
        <w:t>5</w:t>
      </w:r>
      <w:r w:rsidRPr="00395DB7">
        <w:rPr>
          <w:rFonts w:ascii="Franklin Gothic Book" w:hAnsi="Franklin Gothic Book"/>
        </w:rPr>
        <w:fldChar w:fldCharType="end"/>
      </w:r>
      <w:r w:rsidRPr="00395DB7">
        <w:rPr>
          <w:rFonts w:ascii="Franklin Gothic Book" w:hAnsi="Franklin Gothic Book"/>
        </w:rPr>
        <w:t xml:space="preserve"> have been adapted from the existing MBS items for paediatric Level 1 PSG (in-laboratory sleep studies). Suggested amendments to the proposed item descriptors are indicated. In particular, the clinical criterion “symptomatic, moderate-to-severe” has been removed as it is limited to the use of the questionnaires for referral of adults for out-of-laboratory studies (MBS item 12250). If this criterion is replaced or revised, it should be considered that clinical assessment alone may not provide a good measure of OSA severity in children. Ordering of a sleep study will still require assessment by a specialist sleep physician (unlike for MBS item 12250 where patients may be referred directly from primary care).</w:t>
      </w:r>
      <w:r w:rsidR="00934B9E">
        <w:rPr>
          <w:rFonts w:ascii="Franklin Gothic Book" w:hAnsi="Franklin Gothic Book"/>
        </w:rPr>
        <w:br w:type="page"/>
      </w:r>
    </w:p>
    <w:p w14:paraId="1D5252C4" w14:textId="3BCBC782" w:rsidR="005E1CA4" w:rsidRDefault="005E1CA4" w:rsidP="005E1CA4">
      <w:pPr>
        <w:pStyle w:val="Caption"/>
      </w:pPr>
      <w:bookmarkStart w:id="14" w:name="_Ref150163211"/>
      <w:r>
        <w:t xml:space="preserve">Table </w:t>
      </w:r>
      <w:fldSimple w:instr=" SEQ Table \* ARABIC ">
        <w:r>
          <w:rPr>
            <w:noProof/>
          </w:rPr>
          <w:t>3</w:t>
        </w:r>
      </w:fldSimple>
      <w:bookmarkEnd w:id="14"/>
      <w:r>
        <w:tab/>
      </w:r>
      <w:r w:rsidRPr="00CE28E3">
        <w:t>Proposed item descriptor</w:t>
      </w:r>
      <w:r>
        <w:t>s for paediatric Level 2 PSG studies (PICO Set 1)</w:t>
      </w:r>
    </w:p>
    <w:tbl>
      <w:tblPr>
        <w:tblStyle w:val="TableGrid"/>
        <w:tblW w:w="0" w:type="auto"/>
        <w:tblLook w:val="04A0" w:firstRow="1" w:lastRow="0" w:firstColumn="1" w:lastColumn="0" w:noHBand="0" w:noVBand="1"/>
        <w:tblCaption w:val="Proposed item descriptors for paediatric Level 2 PSG studies (PICO Set 1)"/>
        <w:tblDescription w:val="This table presents the proposed MBS item descriptors for the items relating to PICO Set 1."/>
      </w:tblPr>
      <w:tblGrid>
        <w:gridCol w:w="9016"/>
      </w:tblGrid>
      <w:tr w:rsidR="005E1CA4" w:rsidRPr="00E962AB" w14:paraId="3441BA1F" w14:textId="77777777" w:rsidTr="000A427B">
        <w:tc>
          <w:tcPr>
            <w:tcW w:w="9016" w:type="dxa"/>
            <w:tcBorders>
              <w:bottom w:val="nil"/>
            </w:tcBorders>
          </w:tcPr>
          <w:p w14:paraId="7A3DE9DD" w14:textId="77777777" w:rsidR="005E1CA4" w:rsidRPr="00E962AB" w:rsidRDefault="005E1CA4" w:rsidP="000A427B">
            <w:pPr>
              <w:pStyle w:val="TableText"/>
              <w:spacing w:before="36" w:after="36"/>
              <w:jc w:val="right"/>
              <w:rPr>
                <w:b/>
                <w:bCs/>
                <w:sz w:val="18"/>
                <w:szCs w:val="18"/>
              </w:rPr>
            </w:pPr>
            <w:r w:rsidRPr="00E962AB">
              <w:rPr>
                <w:b/>
                <w:bCs/>
                <w:sz w:val="18"/>
                <w:szCs w:val="18"/>
              </w:rPr>
              <w:t>Category 2: Diagnostic Procedures and Investigations</w:t>
            </w:r>
          </w:p>
        </w:tc>
      </w:tr>
      <w:tr w:rsidR="005E1CA4" w:rsidRPr="00E962AB" w14:paraId="5DB15E6D" w14:textId="77777777" w:rsidTr="000A427B">
        <w:tc>
          <w:tcPr>
            <w:tcW w:w="9016" w:type="dxa"/>
            <w:tcBorders>
              <w:top w:val="nil"/>
              <w:bottom w:val="nil"/>
            </w:tcBorders>
          </w:tcPr>
          <w:p w14:paraId="588E1465" w14:textId="77777777" w:rsidR="005E1CA4" w:rsidRPr="00E962AB" w:rsidRDefault="005E1CA4" w:rsidP="000A427B">
            <w:pPr>
              <w:pStyle w:val="TableText"/>
              <w:spacing w:before="36" w:after="36"/>
              <w:jc w:val="right"/>
              <w:rPr>
                <w:b/>
                <w:sz w:val="18"/>
                <w:szCs w:val="18"/>
              </w:rPr>
            </w:pPr>
            <w:r w:rsidRPr="00E962AB">
              <w:rPr>
                <w:b/>
                <w:sz w:val="18"/>
                <w:szCs w:val="18"/>
              </w:rPr>
              <w:t>Group D1. Miscellaneous Diagnostic Procedures And Investigation</w:t>
            </w:r>
          </w:p>
        </w:tc>
      </w:tr>
      <w:tr w:rsidR="005E1CA4" w:rsidRPr="00E962AB" w14:paraId="6FDBAA07" w14:textId="77777777" w:rsidTr="000A427B">
        <w:tc>
          <w:tcPr>
            <w:tcW w:w="9016" w:type="dxa"/>
            <w:tcBorders>
              <w:top w:val="nil"/>
              <w:bottom w:val="single" w:sz="4" w:space="0" w:color="auto"/>
            </w:tcBorders>
          </w:tcPr>
          <w:p w14:paraId="78805F79" w14:textId="77777777" w:rsidR="005E1CA4" w:rsidRPr="00E962AB" w:rsidRDefault="005E1CA4" w:rsidP="000A427B">
            <w:pPr>
              <w:pStyle w:val="TableText"/>
              <w:spacing w:before="36" w:after="36"/>
              <w:jc w:val="right"/>
              <w:rPr>
                <w:b/>
                <w:bCs/>
                <w:sz w:val="18"/>
                <w:szCs w:val="18"/>
              </w:rPr>
            </w:pPr>
            <w:r w:rsidRPr="00E962AB">
              <w:rPr>
                <w:b/>
                <w:bCs/>
                <w:sz w:val="18"/>
                <w:szCs w:val="18"/>
              </w:rPr>
              <w:t>Subgroup 10. Other Diagnostic Procedures And Investigations</w:t>
            </w:r>
          </w:p>
        </w:tc>
      </w:tr>
      <w:tr w:rsidR="005E1CA4" w:rsidRPr="00E962AB" w14:paraId="58B06208" w14:textId="77777777" w:rsidTr="000A427B">
        <w:tc>
          <w:tcPr>
            <w:tcW w:w="9016" w:type="dxa"/>
            <w:tcBorders>
              <w:bottom w:val="nil"/>
            </w:tcBorders>
          </w:tcPr>
          <w:p w14:paraId="5916BF29" w14:textId="77777777" w:rsidR="005E1CA4" w:rsidRPr="00E962AB" w:rsidRDefault="005E1CA4" w:rsidP="000A427B">
            <w:pPr>
              <w:pStyle w:val="TableText"/>
              <w:spacing w:before="36" w:after="36"/>
              <w:rPr>
                <w:b/>
                <w:sz w:val="18"/>
                <w:szCs w:val="18"/>
              </w:rPr>
            </w:pPr>
            <w:r w:rsidRPr="00E962AB">
              <w:rPr>
                <w:b/>
                <w:sz w:val="18"/>
                <w:szCs w:val="18"/>
              </w:rPr>
              <w:t>MBS item XXXXX-1</w:t>
            </w:r>
          </w:p>
        </w:tc>
      </w:tr>
      <w:tr w:rsidR="005E1CA4" w:rsidRPr="00E962AB" w14:paraId="7A946C8F" w14:textId="77777777" w:rsidTr="000A427B">
        <w:tc>
          <w:tcPr>
            <w:tcW w:w="9016" w:type="dxa"/>
            <w:tcBorders>
              <w:top w:val="nil"/>
              <w:bottom w:val="nil"/>
            </w:tcBorders>
          </w:tcPr>
          <w:p w14:paraId="01ADBA75" w14:textId="77777777" w:rsidR="005E1CA4" w:rsidRPr="00E962AB" w:rsidRDefault="005E1CA4" w:rsidP="000A427B">
            <w:pPr>
              <w:pStyle w:val="TableText"/>
              <w:spacing w:before="36" w:after="240"/>
              <w:rPr>
                <w:sz w:val="18"/>
                <w:szCs w:val="18"/>
              </w:rPr>
            </w:pPr>
            <w:r w:rsidRPr="00E962AB">
              <w:rPr>
                <w:sz w:val="18"/>
                <w:szCs w:val="18"/>
              </w:rPr>
              <w:t>Overnight investigation of sleep for at least 8 hours, for a patient aged at least 3 years but less than 12 years to confirm diagnosis of obstructive sleep apnoea, if:</w:t>
            </w:r>
          </w:p>
          <w:p w14:paraId="00D6BD0D" w14:textId="77777777" w:rsidR="005E1CA4" w:rsidRPr="00E962AB" w:rsidRDefault="005E1CA4" w:rsidP="000A427B">
            <w:pPr>
              <w:pStyle w:val="TableText"/>
              <w:spacing w:before="36" w:after="36"/>
              <w:ind w:left="316" w:hanging="316"/>
              <w:rPr>
                <w:sz w:val="18"/>
                <w:szCs w:val="18"/>
              </w:rPr>
            </w:pPr>
            <w:r w:rsidRPr="00E962AB">
              <w:rPr>
                <w:sz w:val="18"/>
                <w:szCs w:val="18"/>
              </w:rPr>
              <w:t xml:space="preserve">(a)  (i) the patient has been referred by a </w:t>
            </w:r>
            <w:r w:rsidRPr="00E962AB">
              <w:rPr>
                <w:strike/>
                <w:sz w:val="18"/>
                <w:szCs w:val="18"/>
              </w:rPr>
              <w:t>general</w:t>
            </w:r>
            <w:r w:rsidRPr="00E962AB">
              <w:rPr>
                <w:sz w:val="18"/>
                <w:szCs w:val="18"/>
              </w:rPr>
              <w:t xml:space="preserve"> </w:t>
            </w:r>
            <w:r w:rsidRPr="00E962AB">
              <w:rPr>
                <w:color w:val="0070C0"/>
                <w:sz w:val="18"/>
                <w:szCs w:val="18"/>
                <w:u w:val="single"/>
              </w:rPr>
              <w:t>medical</w:t>
            </w:r>
            <w:r w:rsidRPr="00E962AB">
              <w:rPr>
                <w:color w:val="0070C0"/>
                <w:sz w:val="18"/>
                <w:szCs w:val="18"/>
              </w:rPr>
              <w:t xml:space="preserve"> </w:t>
            </w:r>
            <w:r w:rsidRPr="00E962AB">
              <w:rPr>
                <w:sz w:val="18"/>
                <w:szCs w:val="18"/>
              </w:rPr>
              <w:t xml:space="preserve">practitioner to a qualified paediatric sleep medicine practitioner, </w:t>
            </w:r>
            <w:r w:rsidRPr="00E962AB">
              <w:rPr>
                <w:strike/>
                <w:sz w:val="18"/>
                <w:szCs w:val="18"/>
              </w:rPr>
              <w:t>who</w:t>
            </w:r>
            <w:r w:rsidRPr="00E962AB">
              <w:rPr>
                <w:sz w:val="18"/>
                <w:szCs w:val="18"/>
              </w:rPr>
              <w:t xml:space="preserve"> </w:t>
            </w:r>
            <w:r w:rsidRPr="00E962AB">
              <w:rPr>
                <w:color w:val="0070C0"/>
                <w:sz w:val="18"/>
                <w:szCs w:val="18"/>
                <w:u w:val="single"/>
              </w:rPr>
              <w:t xml:space="preserve">after the medical practitioner </w:t>
            </w:r>
            <w:r w:rsidRPr="00E962AB">
              <w:rPr>
                <w:sz w:val="18"/>
                <w:szCs w:val="18"/>
              </w:rPr>
              <w:t xml:space="preserve">has determined that the patient has a high probability of </w:t>
            </w:r>
            <w:r w:rsidRPr="00E962AB">
              <w:rPr>
                <w:strike/>
                <w:sz w:val="18"/>
                <w:szCs w:val="18"/>
              </w:rPr>
              <w:t>symptomatic, moderate to severe obstructive</w:t>
            </w:r>
            <w:r w:rsidRPr="00E962AB">
              <w:rPr>
                <w:sz w:val="18"/>
                <w:szCs w:val="18"/>
              </w:rPr>
              <w:t xml:space="preserve"> sleep apnoea; and</w:t>
            </w:r>
          </w:p>
          <w:p w14:paraId="491F4516" w14:textId="77777777" w:rsidR="005E1CA4" w:rsidRPr="00E962AB" w:rsidRDefault="005E1CA4" w:rsidP="000A427B">
            <w:pPr>
              <w:pStyle w:val="TableText"/>
              <w:spacing w:before="36" w:after="240"/>
              <w:ind w:left="318"/>
              <w:rPr>
                <w:sz w:val="18"/>
                <w:szCs w:val="18"/>
              </w:rPr>
            </w:pPr>
            <w:r w:rsidRPr="00E962AB">
              <w:rPr>
                <w:sz w:val="18"/>
                <w:szCs w:val="18"/>
              </w:rPr>
              <w:t xml:space="preserve">(ii) following professional attendance </w:t>
            </w:r>
            <w:r w:rsidRPr="00E962AB">
              <w:rPr>
                <w:strike/>
                <w:sz w:val="18"/>
                <w:szCs w:val="18"/>
              </w:rPr>
              <w:t>of</w:t>
            </w:r>
            <w:r w:rsidRPr="00E962AB">
              <w:rPr>
                <w:sz w:val="18"/>
                <w:szCs w:val="18"/>
              </w:rPr>
              <w:t xml:space="preserve"> </w:t>
            </w:r>
            <w:r w:rsidRPr="00E962AB">
              <w:rPr>
                <w:color w:val="0070C0"/>
                <w:sz w:val="18"/>
                <w:szCs w:val="18"/>
                <w:u w:val="single"/>
              </w:rPr>
              <w:t>on</w:t>
            </w:r>
            <w:r w:rsidRPr="00E962AB">
              <w:rPr>
                <w:color w:val="0070C0"/>
                <w:sz w:val="18"/>
                <w:szCs w:val="18"/>
              </w:rPr>
              <w:t xml:space="preserve"> </w:t>
            </w:r>
            <w:r w:rsidRPr="00E962AB">
              <w:rPr>
                <w:sz w:val="18"/>
                <w:szCs w:val="18"/>
              </w:rPr>
              <w:t>the patient (either face to face or by video conference) by a qualified paediatric sleep medicine specialist who determines that investigation is necessary to confirm the diagnosis of obstructive sleep apnoea and that an out-of-laboratory setting is appropriate for the sleep study; and</w:t>
            </w:r>
          </w:p>
          <w:p w14:paraId="4FAA31A8" w14:textId="77777777" w:rsidR="005E1CA4" w:rsidRPr="00E962AB" w:rsidRDefault="005E1CA4" w:rsidP="000A427B">
            <w:pPr>
              <w:pStyle w:val="TableText"/>
              <w:spacing w:before="36" w:after="36"/>
              <w:rPr>
                <w:sz w:val="18"/>
                <w:szCs w:val="18"/>
              </w:rPr>
            </w:pPr>
            <w:r w:rsidRPr="00E962AB">
              <w:rPr>
                <w:sz w:val="18"/>
                <w:szCs w:val="18"/>
              </w:rPr>
              <w:t xml:space="preserve">(b) during a period of sleep, there is continuous monitoring and recording performed in accordance with current professional guidelines, </w:t>
            </w:r>
            <w:r w:rsidRPr="00E962AB">
              <w:rPr>
                <w:color w:val="0070C0"/>
                <w:sz w:val="18"/>
                <w:szCs w:val="18"/>
                <w:u w:val="single"/>
              </w:rPr>
              <w:t>of</w:t>
            </w:r>
            <w:r w:rsidRPr="00E962AB">
              <w:rPr>
                <w:sz w:val="18"/>
                <w:szCs w:val="18"/>
              </w:rPr>
              <w:t xml:space="preserve"> a minimum of 7 channels that include (i) to (vii) of the following measures:</w:t>
            </w:r>
          </w:p>
          <w:p w14:paraId="4F3FCA81" w14:textId="77777777" w:rsidR="005E1CA4" w:rsidRPr="00E962AB" w:rsidRDefault="005E1CA4" w:rsidP="000A427B">
            <w:pPr>
              <w:pStyle w:val="TableText"/>
              <w:spacing w:before="36" w:after="36"/>
              <w:ind w:left="316"/>
              <w:rPr>
                <w:sz w:val="18"/>
                <w:szCs w:val="18"/>
              </w:rPr>
            </w:pPr>
            <w:r w:rsidRPr="00E962AB">
              <w:rPr>
                <w:sz w:val="18"/>
                <w:szCs w:val="18"/>
              </w:rPr>
              <w:t>(i) airflow;</w:t>
            </w:r>
          </w:p>
          <w:p w14:paraId="5D4893D9" w14:textId="77777777" w:rsidR="005E1CA4" w:rsidRPr="00E962AB" w:rsidRDefault="005E1CA4" w:rsidP="000A427B">
            <w:pPr>
              <w:pStyle w:val="TableText"/>
              <w:spacing w:before="36" w:after="36"/>
              <w:ind w:left="316"/>
              <w:rPr>
                <w:sz w:val="18"/>
                <w:szCs w:val="18"/>
              </w:rPr>
            </w:pPr>
            <w:r w:rsidRPr="00E962AB">
              <w:rPr>
                <w:sz w:val="18"/>
                <w:szCs w:val="18"/>
              </w:rPr>
              <w:t xml:space="preserve">(ii) </w:t>
            </w:r>
            <w:r w:rsidRPr="00E962AB">
              <w:rPr>
                <w:strike/>
                <w:sz w:val="18"/>
                <w:szCs w:val="18"/>
              </w:rPr>
              <w:t xml:space="preserve">continuous </w:t>
            </w:r>
            <w:r w:rsidRPr="00E962AB">
              <w:rPr>
                <w:sz w:val="18"/>
                <w:szCs w:val="18"/>
              </w:rPr>
              <w:t>EEG;</w:t>
            </w:r>
          </w:p>
          <w:p w14:paraId="445CD5A1" w14:textId="77777777" w:rsidR="005E1CA4" w:rsidRPr="00E962AB" w:rsidRDefault="005E1CA4" w:rsidP="000A427B">
            <w:pPr>
              <w:pStyle w:val="TableText"/>
              <w:spacing w:before="36" w:after="36"/>
              <w:ind w:left="316"/>
              <w:rPr>
                <w:sz w:val="18"/>
                <w:szCs w:val="18"/>
              </w:rPr>
            </w:pPr>
            <w:r w:rsidRPr="00E962AB">
              <w:rPr>
                <w:sz w:val="18"/>
                <w:szCs w:val="18"/>
              </w:rPr>
              <w:t xml:space="preserve">(iii) </w:t>
            </w:r>
            <w:r w:rsidRPr="00E962AB">
              <w:rPr>
                <w:strike/>
                <w:sz w:val="18"/>
                <w:szCs w:val="18"/>
              </w:rPr>
              <w:t xml:space="preserve">continuous </w:t>
            </w:r>
            <w:r w:rsidRPr="00E962AB">
              <w:rPr>
                <w:sz w:val="18"/>
                <w:szCs w:val="18"/>
              </w:rPr>
              <w:t>EMG;</w:t>
            </w:r>
          </w:p>
          <w:p w14:paraId="387C6D9C" w14:textId="77777777" w:rsidR="005E1CA4" w:rsidRPr="00E962AB" w:rsidRDefault="005E1CA4" w:rsidP="000A427B">
            <w:pPr>
              <w:pStyle w:val="TableText"/>
              <w:spacing w:before="36" w:after="36"/>
              <w:ind w:left="316"/>
              <w:rPr>
                <w:sz w:val="18"/>
                <w:szCs w:val="18"/>
              </w:rPr>
            </w:pPr>
            <w:r w:rsidRPr="00E962AB">
              <w:rPr>
                <w:sz w:val="18"/>
                <w:szCs w:val="18"/>
              </w:rPr>
              <w:t>(iv) EOG;</w:t>
            </w:r>
          </w:p>
          <w:p w14:paraId="1885D7A2" w14:textId="77777777" w:rsidR="005E1CA4" w:rsidRPr="00E962AB" w:rsidRDefault="005E1CA4" w:rsidP="000A427B">
            <w:pPr>
              <w:pStyle w:val="TableText"/>
              <w:spacing w:before="36" w:after="36"/>
              <w:ind w:left="316"/>
              <w:rPr>
                <w:sz w:val="18"/>
                <w:szCs w:val="18"/>
              </w:rPr>
            </w:pPr>
            <w:r w:rsidRPr="00E962AB">
              <w:rPr>
                <w:sz w:val="18"/>
                <w:szCs w:val="18"/>
              </w:rPr>
              <w:t xml:space="preserve">(v) </w:t>
            </w:r>
            <w:r w:rsidRPr="00E962AB">
              <w:rPr>
                <w:strike/>
                <w:sz w:val="18"/>
                <w:szCs w:val="18"/>
              </w:rPr>
              <w:t xml:space="preserve">continuous </w:t>
            </w:r>
            <w:r w:rsidRPr="00E962AB">
              <w:rPr>
                <w:sz w:val="18"/>
                <w:szCs w:val="18"/>
              </w:rPr>
              <w:t>ECG</w:t>
            </w:r>
            <w:r w:rsidRPr="00E962AB">
              <w:rPr>
                <w:color w:val="0070C0"/>
                <w:sz w:val="18"/>
                <w:szCs w:val="18"/>
                <w:u w:val="single"/>
              </w:rPr>
              <w:t xml:space="preserve"> or heart rate</w:t>
            </w:r>
            <w:r w:rsidRPr="00E962AB">
              <w:rPr>
                <w:sz w:val="18"/>
                <w:szCs w:val="18"/>
              </w:rPr>
              <w:t>;</w:t>
            </w:r>
          </w:p>
          <w:p w14:paraId="61AE3326" w14:textId="77777777" w:rsidR="005E1CA4" w:rsidRPr="00E962AB" w:rsidRDefault="005E1CA4" w:rsidP="000A427B">
            <w:pPr>
              <w:pStyle w:val="TableText"/>
              <w:spacing w:before="36" w:after="36"/>
              <w:ind w:left="316"/>
              <w:rPr>
                <w:sz w:val="18"/>
                <w:szCs w:val="18"/>
              </w:rPr>
            </w:pPr>
            <w:r w:rsidRPr="00E962AB">
              <w:rPr>
                <w:sz w:val="18"/>
                <w:szCs w:val="18"/>
              </w:rPr>
              <w:t>(vi) oxygen saturation;</w:t>
            </w:r>
          </w:p>
          <w:p w14:paraId="72ED15B7" w14:textId="77777777" w:rsidR="005E1CA4" w:rsidRPr="00E962AB" w:rsidRDefault="005E1CA4" w:rsidP="000A427B">
            <w:pPr>
              <w:pStyle w:val="TableText"/>
              <w:spacing w:before="36" w:after="36"/>
              <w:ind w:left="316"/>
              <w:rPr>
                <w:sz w:val="18"/>
                <w:szCs w:val="18"/>
              </w:rPr>
            </w:pPr>
            <w:r w:rsidRPr="00E962AB">
              <w:rPr>
                <w:sz w:val="18"/>
                <w:szCs w:val="18"/>
              </w:rPr>
              <w:t>(vii) respiratory effort;</w:t>
            </w:r>
          </w:p>
          <w:p w14:paraId="0C66F050" w14:textId="77777777" w:rsidR="005E1CA4" w:rsidRPr="00E962AB" w:rsidRDefault="005E1CA4" w:rsidP="000A427B">
            <w:pPr>
              <w:pStyle w:val="TableText"/>
              <w:spacing w:before="36" w:after="240"/>
              <w:ind w:left="318"/>
              <w:rPr>
                <w:sz w:val="18"/>
                <w:szCs w:val="18"/>
              </w:rPr>
            </w:pPr>
            <w:r w:rsidRPr="00E962AB">
              <w:rPr>
                <w:sz w:val="18"/>
                <w:szCs w:val="18"/>
              </w:rPr>
              <w:t>(viii) (optional) measurement of carbon dioxide (either end tidal or transcutaneous);</w:t>
            </w:r>
            <w:r w:rsidRPr="00E962AB">
              <w:rPr>
                <w:strike/>
                <w:sz w:val="18"/>
                <w:szCs w:val="18"/>
              </w:rPr>
              <w:t xml:space="preserve"> </w:t>
            </w:r>
          </w:p>
          <w:p w14:paraId="641DF704" w14:textId="77777777" w:rsidR="005E1CA4" w:rsidRPr="00E962AB" w:rsidRDefault="005E1CA4" w:rsidP="000A427B">
            <w:pPr>
              <w:pStyle w:val="TableText"/>
              <w:spacing w:before="36" w:after="240"/>
              <w:rPr>
                <w:sz w:val="18"/>
                <w:szCs w:val="18"/>
              </w:rPr>
            </w:pPr>
            <w:r w:rsidRPr="00E962AB">
              <w:rPr>
                <w:sz w:val="18"/>
                <w:szCs w:val="18"/>
              </w:rPr>
              <w:t xml:space="preserve">(c) the investigation is performed under the supervision of a qualified paediatric sleep medicine practitioner who is on the staff list of a paediatric sleep laboratory accredited under the NATA/ASA Sleep Disorders Service Accreditation Program; and </w:t>
            </w:r>
          </w:p>
          <w:p w14:paraId="6C9A3901" w14:textId="77777777" w:rsidR="005E1CA4" w:rsidRPr="00E962AB" w:rsidRDefault="005E1CA4" w:rsidP="000A427B">
            <w:pPr>
              <w:pStyle w:val="TableText"/>
              <w:spacing w:before="36" w:after="36"/>
              <w:rPr>
                <w:sz w:val="18"/>
                <w:szCs w:val="18"/>
              </w:rPr>
            </w:pPr>
            <w:r w:rsidRPr="00E962AB">
              <w:rPr>
                <w:sz w:val="18"/>
                <w:szCs w:val="18"/>
              </w:rPr>
              <w:lastRenderedPageBreak/>
              <w:t>(d) either:</w:t>
            </w:r>
          </w:p>
          <w:p w14:paraId="7389D26C" w14:textId="77777777" w:rsidR="005E1CA4" w:rsidRPr="00E962AB" w:rsidRDefault="005E1CA4" w:rsidP="000A427B">
            <w:pPr>
              <w:pStyle w:val="TableText"/>
              <w:spacing w:before="36" w:after="36"/>
              <w:ind w:left="317"/>
              <w:rPr>
                <w:iCs/>
                <w:sz w:val="18"/>
                <w:szCs w:val="18"/>
              </w:rPr>
            </w:pPr>
            <w:r w:rsidRPr="00E962AB">
              <w:rPr>
                <w:sz w:val="18"/>
                <w:szCs w:val="18"/>
              </w:rPr>
              <w:t xml:space="preserve">(i) </w:t>
            </w:r>
            <w:r w:rsidRPr="00E962AB">
              <w:rPr>
                <w:iCs/>
                <w:sz w:val="18"/>
                <w:szCs w:val="18"/>
              </w:rPr>
              <w:t>the equipment is applied to the patient by a sleep technician; or</w:t>
            </w:r>
          </w:p>
          <w:p w14:paraId="095A6B34" w14:textId="77777777" w:rsidR="005E1CA4" w:rsidRPr="00E962AB" w:rsidRDefault="005E1CA4" w:rsidP="000A427B">
            <w:pPr>
              <w:pStyle w:val="TableText"/>
              <w:spacing w:before="36" w:after="240"/>
              <w:ind w:left="318"/>
              <w:rPr>
                <w:sz w:val="18"/>
                <w:szCs w:val="18"/>
              </w:rPr>
            </w:pPr>
            <w:r w:rsidRPr="00E962AB">
              <w:rPr>
                <w:sz w:val="18"/>
                <w:szCs w:val="18"/>
              </w:rPr>
              <w:t xml:space="preserve">(ii) if this is not possible – the reason it is not possible for the accredited paediatric sleep laboratory professional to apply the equipment to the patient is documented and a </w:t>
            </w:r>
            <w:r w:rsidRPr="00E962AB">
              <w:rPr>
                <w:strike/>
                <w:sz w:val="18"/>
                <w:szCs w:val="18"/>
              </w:rPr>
              <w:t xml:space="preserve">health professional </w:t>
            </w:r>
            <w:r w:rsidRPr="00E962AB">
              <w:rPr>
                <w:color w:val="0070C0"/>
                <w:sz w:val="18"/>
                <w:szCs w:val="18"/>
                <w:u w:val="single"/>
              </w:rPr>
              <w:t>parent or caregiver</w:t>
            </w:r>
            <w:r w:rsidRPr="00E962AB">
              <w:rPr>
                <w:sz w:val="18"/>
                <w:szCs w:val="18"/>
              </w:rPr>
              <w:t xml:space="preserve"> is given instructions on how to apply the equipment by an </w:t>
            </w:r>
            <w:r w:rsidRPr="00E962AB">
              <w:rPr>
                <w:strike/>
                <w:sz w:val="18"/>
                <w:szCs w:val="18"/>
              </w:rPr>
              <w:t xml:space="preserve">affiliated </w:t>
            </w:r>
            <w:r w:rsidRPr="00E962AB">
              <w:rPr>
                <w:sz w:val="18"/>
                <w:szCs w:val="18"/>
              </w:rPr>
              <w:t>accredited sleep laboratory.</w:t>
            </w:r>
          </w:p>
          <w:p w14:paraId="6CCF6801" w14:textId="77777777" w:rsidR="005E1CA4" w:rsidRPr="00E962AB" w:rsidRDefault="005E1CA4" w:rsidP="000A427B">
            <w:pPr>
              <w:pStyle w:val="TableText"/>
              <w:spacing w:before="36" w:after="240"/>
              <w:rPr>
                <w:sz w:val="18"/>
                <w:szCs w:val="18"/>
              </w:rPr>
            </w:pPr>
            <w:r w:rsidRPr="00E962AB">
              <w:rPr>
                <w:sz w:val="18"/>
                <w:szCs w:val="18"/>
              </w:rPr>
              <w:t xml:space="preserve">(e) written instructions are given to parent/caregiver to monitor the </w:t>
            </w:r>
            <w:r w:rsidRPr="00E962AB">
              <w:rPr>
                <w:strike/>
                <w:sz w:val="18"/>
                <w:szCs w:val="18"/>
              </w:rPr>
              <w:t>child</w:t>
            </w:r>
            <w:r w:rsidRPr="00E962AB">
              <w:rPr>
                <w:sz w:val="18"/>
                <w:szCs w:val="18"/>
              </w:rPr>
              <w:t xml:space="preserve"> </w:t>
            </w:r>
            <w:r w:rsidRPr="00E962AB">
              <w:rPr>
                <w:color w:val="0070C0"/>
                <w:sz w:val="18"/>
                <w:szCs w:val="18"/>
                <w:u w:val="single"/>
              </w:rPr>
              <w:t>patient</w:t>
            </w:r>
            <w:r w:rsidRPr="00E962AB">
              <w:rPr>
                <w:color w:val="0070C0"/>
                <w:sz w:val="18"/>
                <w:szCs w:val="18"/>
              </w:rPr>
              <w:t xml:space="preserve"> </w:t>
            </w:r>
            <w:r w:rsidRPr="00E962AB">
              <w:rPr>
                <w:sz w:val="18"/>
                <w:szCs w:val="18"/>
              </w:rPr>
              <w:t>overnight and a phone contact or data link to the accredited paediatric sleep laboratory to enable trouble shooting overnight if required; and</w:t>
            </w:r>
          </w:p>
          <w:p w14:paraId="6BD5DE74" w14:textId="77777777" w:rsidR="005E1CA4" w:rsidRPr="00E962AB" w:rsidRDefault="005E1CA4" w:rsidP="000A427B">
            <w:pPr>
              <w:pStyle w:val="TableText"/>
              <w:spacing w:before="36" w:after="36"/>
              <w:rPr>
                <w:sz w:val="18"/>
                <w:szCs w:val="18"/>
              </w:rPr>
            </w:pPr>
            <w:r w:rsidRPr="00E962AB">
              <w:rPr>
                <w:sz w:val="18"/>
                <w:szCs w:val="18"/>
              </w:rPr>
              <w:t xml:space="preserve">(f) </w:t>
            </w:r>
            <w:proofErr w:type="spellStart"/>
            <w:r w:rsidRPr="00E962AB">
              <w:rPr>
                <w:sz w:val="18"/>
                <w:szCs w:val="18"/>
              </w:rPr>
              <w:t>polygraphic</w:t>
            </w:r>
            <w:proofErr w:type="spellEnd"/>
            <w:r w:rsidRPr="00E962AB">
              <w:rPr>
                <w:sz w:val="18"/>
                <w:szCs w:val="18"/>
              </w:rPr>
              <w:t xml:space="preserve"> records are:</w:t>
            </w:r>
          </w:p>
          <w:p w14:paraId="06C3FE28" w14:textId="77777777" w:rsidR="005E1CA4" w:rsidRPr="00E962AB" w:rsidRDefault="005E1CA4" w:rsidP="000A427B">
            <w:pPr>
              <w:pStyle w:val="TableText"/>
              <w:spacing w:before="36" w:after="36"/>
              <w:ind w:left="317"/>
              <w:rPr>
                <w:sz w:val="18"/>
                <w:szCs w:val="18"/>
              </w:rPr>
            </w:pPr>
            <w:r w:rsidRPr="00E962AB">
              <w:rPr>
                <w:sz w:val="18"/>
                <w:szCs w:val="18"/>
              </w:rPr>
              <w:t>(i) analysed for assessment of sleep stage, arousals, respiratory events, and cardiac abnormalities using manual scoring, or manual correction of computerised scoring in epochs of not more than 1 minute; and</w:t>
            </w:r>
          </w:p>
          <w:p w14:paraId="27F9FB4E" w14:textId="77777777" w:rsidR="005E1CA4" w:rsidRPr="00E962AB" w:rsidRDefault="005E1CA4" w:rsidP="000A427B">
            <w:pPr>
              <w:pStyle w:val="TableText"/>
              <w:spacing w:before="36" w:after="240"/>
              <w:ind w:left="318"/>
              <w:rPr>
                <w:sz w:val="18"/>
                <w:szCs w:val="18"/>
              </w:rPr>
            </w:pPr>
            <w:r w:rsidRPr="00E962AB">
              <w:rPr>
                <w:sz w:val="18"/>
                <w:szCs w:val="18"/>
              </w:rPr>
              <w:t>(ii) stored for interpretation and preparation of a report; and</w:t>
            </w:r>
          </w:p>
          <w:p w14:paraId="3C2AB0B5" w14:textId="77777777" w:rsidR="005E1CA4" w:rsidRPr="00E962AB" w:rsidRDefault="005E1CA4" w:rsidP="000A427B">
            <w:pPr>
              <w:pStyle w:val="TableText"/>
              <w:spacing w:before="36" w:after="240"/>
              <w:rPr>
                <w:sz w:val="18"/>
                <w:szCs w:val="18"/>
              </w:rPr>
            </w:pPr>
            <w:r w:rsidRPr="00E962AB">
              <w:rPr>
                <w:sz w:val="18"/>
                <w:szCs w:val="18"/>
              </w:rPr>
              <w:t xml:space="preserve">(g) interpretation and preparation of a permanent report is provided by a qualified paediatric sleep medicine specialist who is listed on staff of a paediatric sleep laboratory accredited under the NATA/ASA Sleep Disorders Service Accreditation Program with personal direct review of raw data from the original recording of </w:t>
            </w:r>
            <w:proofErr w:type="spellStart"/>
            <w:r w:rsidRPr="00E962AB">
              <w:rPr>
                <w:sz w:val="18"/>
                <w:szCs w:val="18"/>
              </w:rPr>
              <w:t>polygraphic</w:t>
            </w:r>
            <w:proofErr w:type="spellEnd"/>
            <w:r w:rsidRPr="00E962AB">
              <w:rPr>
                <w:sz w:val="18"/>
                <w:szCs w:val="18"/>
              </w:rPr>
              <w:t xml:space="preserve"> data from the patient; and</w:t>
            </w:r>
          </w:p>
          <w:p w14:paraId="4CC9F3A2" w14:textId="77777777" w:rsidR="005E1CA4" w:rsidRPr="00E962AB" w:rsidRDefault="005E1CA4" w:rsidP="000A427B">
            <w:pPr>
              <w:pStyle w:val="TableText"/>
              <w:spacing w:after="240"/>
              <w:rPr>
                <w:sz w:val="18"/>
                <w:szCs w:val="18"/>
              </w:rPr>
            </w:pPr>
            <w:r w:rsidRPr="00E962AB">
              <w:rPr>
                <w:sz w:val="18"/>
                <w:szCs w:val="18"/>
              </w:rPr>
              <w:t xml:space="preserve">(h) the investigation is not provided to the patient on the same occasion that a service mentioned in any of items 11000, 11003, 11004, 11005, 11503, 11704, 11705, 11707, 11714, 11716, 11717, 11723, 11735 and 12203 </w:t>
            </w:r>
          </w:p>
        </w:tc>
      </w:tr>
      <w:tr w:rsidR="005E1CA4" w:rsidRPr="00E962AB" w14:paraId="76D786D0" w14:textId="77777777" w:rsidTr="000A427B">
        <w:tc>
          <w:tcPr>
            <w:tcW w:w="9016" w:type="dxa"/>
            <w:tcBorders>
              <w:top w:val="nil"/>
              <w:bottom w:val="nil"/>
            </w:tcBorders>
          </w:tcPr>
          <w:p w14:paraId="2B159A91" w14:textId="77777777" w:rsidR="005E1CA4" w:rsidRPr="00E962AB" w:rsidRDefault="005E1CA4" w:rsidP="000A427B">
            <w:pPr>
              <w:pStyle w:val="TableText"/>
              <w:spacing w:before="36" w:after="36"/>
              <w:rPr>
                <w:sz w:val="18"/>
                <w:szCs w:val="18"/>
              </w:rPr>
            </w:pPr>
            <w:r w:rsidRPr="00E962AB">
              <w:rPr>
                <w:sz w:val="18"/>
                <w:szCs w:val="18"/>
              </w:rPr>
              <w:lastRenderedPageBreak/>
              <w:t>Up to a maximum of 3 sleep study items per patient in any 12-month period from this item and items XXXXX-2, XXXXX</w:t>
            </w:r>
            <w:r w:rsidRPr="00E962AB">
              <w:rPr>
                <w:sz w:val="18"/>
                <w:szCs w:val="18"/>
              </w:rPr>
              <w:noBreakHyphen/>
              <w:t>3, XXXXX-4, XXXXX-5 and XXXXX-6.</w:t>
            </w:r>
          </w:p>
        </w:tc>
      </w:tr>
      <w:tr w:rsidR="005E1CA4" w:rsidRPr="00E962AB" w14:paraId="6CF24639" w14:textId="77777777" w:rsidTr="000A427B">
        <w:tc>
          <w:tcPr>
            <w:tcW w:w="9016" w:type="dxa"/>
            <w:tcBorders>
              <w:top w:val="nil"/>
              <w:bottom w:val="nil"/>
            </w:tcBorders>
          </w:tcPr>
          <w:p w14:paraId="455BC71C" w14:textId="77777777" w:rsidR="005E1CA4" w:rsidRPr="00E962AB" w:rsidRDefault="005E1CA4" w:rsidP="000A427B">
            <w:pPr>
              <w:pStyle w:val="TableText"/>
              <w:spacing w:before="36" w:after="36"/>
              <w:rPr>
                <w:sz w:val="18"/>
                <w:szCs w:val="18"/>
              </w:rPr>
            </w:pPr>
            <w:r w:rsidRPr="00E962AB">
              <w:rPr>
                <w:sz w:val="18"/>
                <w:szCs w:val="18"/>
              </w:rPr>
              <w:t>(See para DN.1.17 of explanatory notes to this Category)</w:t>
            </w:r>
          </w:p>
        </w:tc>
      </w:tr>
      <w:tr w:rsidR="005E1CA4" w:rsidRPr="00E962AB" w14:paraId="46F86DDF" w14:textId="77777777" w:rsidTr="000A427B">
        <w:tc>
          <w:tcPr>
            <w:tcW w:w="9016" w:type="dxa"/>
            <w:tcBorders>
              <w:top w:val="nil"/>
              <w:bottom w:val="single" w:sz="4" w:space="0" w:color="auto"/>
            </w:tcBorders>
          </w:tcPr>
          <w:p w14:paraId="257CFCBC" w14:textId="77777777" w:rsidR="005E1CA4" w:rsidRPr="00E962AB" w:rsidRDefault="005E1CA4" w:rsidP="000A427B">
            <w:pPr>
              <w:pStyle w:val="TableText"/>
              <w:spacing w:before="36" w:after="36"/>
              <w:rPr>
                <w:b/>
                <w:bCs/>
                <w:sz w:val="18"/>
                <w:szCs w:val="18"/>
              </w:rPr>
            </w:pPr>
            <w:r w:rsidRPr="00E962AB">
              <w:rPr>
                <w:b/>
                <w:bCs/>
                <w:sz w:val="18"/>
                <w:szCs w:val="18"/>
              </w:rPr>
              <w:t>Fee: $415.65</w:t>
            </w:r>
            <w:r w:rsidRPr="00E962AB">
              <w:rPr>
                <w:b/>
                <w:bCs/>
                <w:sz w:val="18"/>
                <w:szCs w:val="18"/>
              </w:rPr>
              <w:tab/>
              <w:t xml:space="preserve">Benefit: 75% = $311.74 </w:t>
            </w:r>
            <w:r w:rsidRPr="00E962AB">
              <w:rPr>
                <w:b/>
                <w:bCs/>
                <w:sz w:val="18"/>
                <w:szCs w:val="18"/>
              </w:rPr>
              <w:tab/>
              <w:t>85% = $353.30</w:t>
            </w:r>
          </w:p>
        </w:tc>
      </w:tr>
      <w:tr w:rsidR="005E1CA4" w:rsidRPr="00E962AB" w14:paraId="4CDFEE46" w14:textId="77777777" w:rsidTr="000A427B">
        <w:tc>
          <w:tcPr>
            <w:tcW w:w="9016" w:type="dxa"/>
            <w:tcBorders>
              <w:bottom w:val="nil"/>
            </w:tcBorders>
          </w:tcPr>
          <w:p w14:paraId="439BD8FB" w14:textId="77777777" w:rsidR="005E1CA4" w:rsidRPr="00E962AB" w:rsidRDefault="005E1CA4" w:rsidP="000A427B">
            <w:pPr>
              <w:pStyle w:val="TableText"/>
              <w:keepNext/>
              <w:spacing w:before="36" w:after="36"/>
              <w:rPr>
                <w:b/>
                <w:bCs/>
                <w:sz w:val="18"/>
                <w:szCs w:val="18"/>
              </w:rPr>
            </w:pPr>
            <w:r w:rsidRPr="00E962AB">
              <w:rPr>
                <w:b/>
                <w:bCs/>
                <w:sz w:val="18"/>
                <w:szCs w:val="18"/>
              </w:rPr>
              <w:lastRenderedPageBreak/>
              <w:t>MBS item XXXXX-2</w:t>
            </w:r>
          </w:p>
        </w:tc>
      </w:tr>
      <w:tr w:rsidR="005E1CA4" w:rsidRPr="00E962AB" w14:paraId="10D592EF" w14:textId="77777777" w:rsidTr="000A427B">
        <w:tc>
          <w:tcPr>
            <w:tcW w:w="9016" w:type="dxa"/>
            <w:tcBorders>
              <w:top w:val="nil"/>
              <w:bottom w:val="nil"/>
            </w:tcBorders>
          </w:tcPr>
          <w:p w14:paraId="45C4CC25" w14:textId="77777777" w:rsidR="005E1CA4" w:rsidRPr="00E962AB" w:rsidRDefault="005E1CA4" w:rsidP="000A427B">
            <w:pPr>
              <w:pStyle w:val="TableText"/>
              <w:keepNext/>
              <w:spacing w:after="240"/>
              <w:rPr>
                <w:sz w:val="18"/>
                <w:szCs w:val="18"/>
              </w:rPr>
            </w:pPr>
            <w:r w:rsidRPr="00E962AB">
              <w:rPr>
                <w:sz w:val="18"/>
                <w:szCs w:val="18"/>
              </w:rPr>
              <w:t>Overnight investigation of sleep for at least 8 hours, for a patient aged at least 12 years but less than 18 years to confirm diagnosis of obstructive sleep apnoea, if:</w:t>
            </w:r>
          </w:p>
          <w:p w14:paraId="29D883AE" w14:textId="77777777" w:rsidR="005E1CA4" w:rsidRPr="00E962AB" w:rsidRDefault="005E1CA4" w:rsidP="000A427B">
            <w:pPr>
              <w:pStyle w:val="TableText"/>
              <w:keepNext/>
              <w:spacing w:before="36" w:after="36"/>
              <w:ind w:left="316" w:hanging="316"/>
              <w:rPr>
                <w:sz w:val="18"/>
                <w:szCs w:val="18"/>
              </w:rPr>
            </w:pPr>
            <w:r w:rsidRPr="00E962AB">
              <w:rPr>
                <w:sz w:val="18"/>
                <w:szCs w:val="18"/>
              </w:rPr>
              <w:t xml:space="preserve">(a)  (i) the patient has been referred by a </w:t>
            </w:r>
            <w:r w:rsidRPr="00E962AB">
              <w:rPr>
                <w:strike/>
                <w:sz w:val="18"/>
                <w:szCs w:val="18"/>
              </w:rPr>
              <w:t>general</w:t>
            </w:r>
            <w:r w:rsidRPr="00E962AB">
              <w:rPr>
                <w:sz w:val="18"/>
                <w:szCs w:val="18"/>
              </w:rPr>
              <w:t xml:space="preserve"> </w:t>
            </w:r>
            <w:r w:rsidRPr="00E962AB">
              <w:rPr>
                <w:color w:val="0070C0"/>
                <w:sz w:val="18"/>
                <w:szCs w:val="18"/>
                <w:u w:val="single"/>
              </w:rPr>
              <w:t>medical</w:t>
            </w:r>
            <w:r w:rsidRPr="00E962AB">
              <w:rPr>
                <w:color w:val="0070C0"/>
                <w:sz w:val="18"/>
                <w:szCs w:val="18"/>
              </w:rPr>
              <w:t xml:space="preserve"> </w:t>
            </w:r>
            <w:r w:rsidRPr="00E962AB">
              <w:rPr>
                <w:sz w:val="18"/>
                <w:szCs w:val="18"/>
              </w:rPr>
              <w:t xml:space="preserve">practitioner to a qualified paediatric or adult sleep medicine practitioner, </w:t>
            </w:r>
            <w:r w:rsidRPr="00E962AB">
              <w:rPr>
                <w:strike/>
                <w:sz w:val="18"/>
                <w:szCs w:val="18"/>
              </w:rPr>
              <w:t>who</w:t>
            </w:r>
            <w:r w:rsidRPr="00E962AB">
              <w:rPr>
                <w:sz w:val="18"/>
                <w:szCs w:val="18"/>
              </w:rPr>
              <w:t xml:space="preserve"> </w:t>
            </w:r>
            <w:r w:rsidRPr="00E962AB">
              <w:rPr>
                <w:color w:val="0070C0"/>
                <w:sz w:val="18"/>
                <w:szCs w:val="18"/>
                <w:u w:val="single"/>
              </w:rPr>
              <w:t xml:space="preserve">after the medical practitioner </w:t>
            </w:r>
            <w:r w:rsidRPr="00E962AB">
              <w:rPr>
                <w:sz w:val="18"/>
                <w:szCs w:val="18"/>
              </w:rPr>
              <w:t xml:space="preserve">has determined that the patient has a high probability of </w:t>
            </w:r>
            <w:r w:rsidRPr="00E962AB">
              <w:rPr>
                <w:strike/>
                <w:sz w:val="18"/>
                <w:szCs w:val="18"/>
              </w:rPr>
              <w:t xml:space="preserve">symptomatic, moderate to severe </w:t>
            </w:r>
            <w:r w:rsidRPr="00E962AB">
              <w:rPr>
                <w:sz w:val="18"/>
                <w:szCs w:val="18"/>
              </w:rPr>
              <w:t>obstructive sleep apnoea; and</w:t>
            </w:r>
          </w:p>
          <w:p w14:paraId="724074B0" w14:textId="77777777" w:rsidR="005E1CA4" w:rsidRPr="00E962AB" w:rsidRDefault="005E1CA4" w:rsidP="000A427B">
            <w:pPr>
              <w:pStyle w:val="TableText"/>
              <w:keepNext/>
              <w:spacing w:after="240"/>
              <w:ind w:left="318"/>
              <w:rPr>
                <w:sz w:val="18"/>
                <w:szCs w:val="18"/>
              </w:rPr>
            </w:pPr>
            <w:r w:rsidRPr="00E962AB">
              <w:rPr>
                <w:sz w:val="18"/>
                <w:szCs w:val="18"/>
              </w:rPr>
              <w:t xml:space="preserve">(ii) following professional attendance </w:t>
            </w:r>
            <w:r w:rsidRPr="00E962AB">
              <w:rPr>
                <w:strike/>
                <w:sz w:val="18"/>
                <w:szCs w:val="18"/>
              </w:rPr>
              <w:t>of</w:t>
            </w:r>
            <w:r w:rsidRPr="00E962AB">
              <w:rPr>
                <w:sz w:val="18"/>
                <w:szCs w:val="18"/>
              </w:rPr>
              <w:t xml:space="preserve"> </w:t>
            </w:r>
            <w:r w:rsidRPr="00E962AB">
              <w:rPr>
                <w:color w:val="0070C0"/>
                <w:sz w:val="18"/>
                <w:szCs w:val="18"/>
                <w:u w:val="single"/>
              </w:rPr>
              <w:t>on</w:t>
            </w:r>
            <w:r w:rsidRPr="00E962AB">
              <w:rPr>
                <w:color w:val="0070C0"/>
                <w:sz w:val="18"/>
                <w:szCs w:val="18"/>
              </w:rPr>
              <w:t xml:space="preserve"> </w:t>
            </w:r>
            <w:r w:rsidRPr="00E962AB">
              <w:rPr>
                <w:sz w:val="18"/>
                <w:szCs w:val="18"/>
              </w:rPr>
              <w:t>the patient (either face to face or by video conference) by a qualified paediatric or adult sleep medicine specialist who determines that investigation is necessary to confirm the diagnosis of obstructive sleep apnoea and that an out-of-laboratory setting is appropriate for the sleep study; and</w:t>
            </w:r>
          </w:p>
          <w:p w14:paraId="2DC972E8" w14:textId="77777777" w:rsidR="005E1CA4" w:rsidRPr="00E962AB" w:rsidRDefault="005E1CA4" w:rsidP="000A427B">
            <w:pPr>
              <w:pStyle w:val="TableText"/>
              <w:keepNext/>
              <w:spacing w:before="36" w:after="36"/>
              <w:rPr>
                <w:sz w:val="18"/>
                <w:szCs w:val="18"/>
              </w:rPr>
            </w:pPr>
            <w:r w:rsidRPr="00E962AB">
              <w:rPr>
                <w:sz w:val="18"/>
                <w:szCs w:val="18"/>
              </w:rPr>
              <w:t xml:space="preserve">(b) during a period of sleep, there is continuous monitoring and recording performed in accordance with current professional guidelines, </w:t>
            </w:r>
            <w:r w:rsidRPr="00E962AB">
              <w:rPr>
                <w:color w:val="0070C0"/>
                <w:sz w:val="18"/>
                <w:szCs w:val="18"/>
                <w:u w:val="single"/>
              </w:rPr>
              <w:t>of</w:t>
            </w:r>
            <w:r w:rsidRPr="00E962AB">
              <w:rPr>
                <w:sz w:val="18"/>
                <w:szCs w:val="18"/>
              </w:rPr>
              <w:t xml:space="preserve"> a minimum of 7 channels that include (i) to (vii) of the following measures:</w:t>
            </w:r>
          </w:p>
          <w:p w14:paraId="244A0892" w14:textId="77777777" w:rsidR="005E1CA4" w:rsidRPr="00E962AB" w:rsidRDefault="005E1CA4" w:rsidP="000A427B">
            <w:pPr>
              <w:pStyle w:val="TableText"/>
              <w:keepNext/>
              <w:spacing w:before="36" w:after="36"/>
              <w:ind w:left="316"/>
              <w:rPr>
                <w:sz w:val="18"/>
                <w:szCs w:val="18"/>
              </w:rPr>
            </w:pPr>
            <w:r w:rsidRPr="00E962AB">
              <w:rPr>
                <w:sz w:val="18"/>
                <w:szCs w:val="18"/>
              </w:rPr>
              <w:t>(i) airflow;</w:t>
            </w:r>
          </w:p>
          <w:p w14:paraId="47379E28" w14:textId="77777777" w:rsidR="005E1CA4" w:rsidRPr="00E962AB" w:rsidRDefault="005E1CA4" w:rsidP="000A427B">
            <w:pPr>
              <w:pStyle w:val="TableText"/>
              <w:keepNext/>
              <w:spacing w:before="36" w:after="36"/>
              <w:ind w:left="316"/>
              <w:rPr>
                <w:sz w:val="18"/>
                <w:szCs w:val="18"/>
              </w:rPr>
            </w:pPr>
            <w:r w:rsidRPr="00E962AB">
              <w:rPr>
                <w:sz w:val="18"/>
                <w:szCs w:val="18"/>
              </w:rPr>
              <w:t xml:space="preserve">(ii) </w:t>
            </w:r>
            <w:r w:rsidRPr="00E962AB">
              <w:rPr>
                <w:strike/>
                <w:sz w:val="18"/>
                <w:szCs w:val="18"/>
              </w:rPr>
              <w:t xml:space="preserve">continuous </w:t>
            </w:r>
            <w:r w:rsidRPr="00E962AB">
              <w:rPr>
                <w:sz w:val="18"/>
                <w:szCs w:val="18"/>
              </w:rPr>
              <w:t>EEG;</w:t>
            </w:r>
          </w:p>
          <w:p w14:paraId="3BBB4B8F" w14:textId="77777777" w:rsidR="005E1CA4" w:rsidRPr="00E962AB" w:rsidRDefault="005E1CA4" w:rsidP="000A427B">
            <w:pPr>
              <w:pStyle w:val="TableText"/>
              <w:keepNext/>
              <w:spacing w:before="36" w:after="36"/>
              <w:ind w:left="316"/>
              <w:rPr>
                <w:sz w:val="18"/>
                <w:szCs w:val="18"/>
              </w:rPr>
            </w:pPr>
            <w:r w:rsidRPr="00E962AB">
              <w:rPr>
                <w:sz w:val="18"/>
                <w:szCs w:val="18"/>
              </w:rPr>
              <w:t xml:space="preserve">(iii) </w:t>
            </w:r>
            <w:r w:rsidRPr="00E962AB">
              <w:rPr>
                <w:strike/>
                <w:sz w:val="18"/>
                <w:szCs w:val="18"/>
              </w:rPr>
              <w:t xml:space="preserve">continuous </w:t>
            </w:r>
            <w:r w:rsidRPr="00E962AB">
              <w:rPr>
                <w:sz w:val="18"/>
                <w:szCs w:val="18"/>
              </w:rPr>
              <w:t>EMG;</w:t>
            </w:r>
          </w:p>
          <w:p w14:paraId="1B4E7D6D" w14:textId="77777777" w:rsidR="005E1CA4" w:rsidRPr="00E962AB" w:rsidRDefault="005E1CA4" w:rsidP="000A427B">
            <w:pPr>
              <w:pStyle w:val="TableText"/>
              <w:keepNext/>
              <w:spacing w:before="36" w:after="36"/>
              <w:ind w:left="316"/>
              <w:rPr>
                <w:sz w:val="18"/>
                <w:szCs w:val="18"/>
              </w:rPr>
            </w:pPr>
            <w:r w:rsidRPr="00E962AB">
              <w:rPr>
                <w:sz w:val="18"/>
                <w:szCs w:val="18"/>
              </w:rPr>
              <w:t>(iv) EOG;</w:t>
            </w:r>
          </w:p>
          <w:p w14:paraId="2D2E7539" w14:textId="77777777" w:rsidR="005E1CA4" w:rsidRPr="00E962AB" w:rsidRDefault="005E1CA4" w:rsidP="000A427B">
            <w:pPr>
              <w:pStyle w:val="TableText"/>
              <w:keepNext/>
              <w:spacing w:before="36" w:after="36"/>
              <w:ind w:left="316"/>
              <w:rPr>
                <w:sz w:val="18"/>
                <w:szCs w:val="18"/>
              </w:rPr>
            </w:pPr>
            <w:r w:rsidRPr="00E962AB">
              <w:rPr>
                <w:sz w:val="18"/>
                <w:szCs w:val="18"/>
              </w:rPr>
              <w:t xml:space="preserve">(v) </w:t>
            </w:r>
            <w:r w:rsidRPr="00E962AB">
              <w:rPr>
                <w:strike/>
                <w:sz w:val="18"/>
                <w:szCs w:val="18"/>
              </w:rPr>
              <w:t xml:space="preserve">continuous </w:t>
            </w:r>
            <w:r w:rsidRPr="00E962AB">
              <w:rPr>
                <w:sz w:val="18"/>
                <w:szCs w:val="18"/>
              </w:rPr>
              <w:t>ECG</w:t>
            </w:r>
            <w:r w:rsidRPr="00E962AB">
              <w:rPr>
                <w:color w:val="0070C0"/>
                <w:sz w:val="18"/>
                <w:szCs w:val="18"/>
                <w:u w:val="single"/>
              </w:rPr>
              <w:t xml:space="preserve"> or heart rate</w:t>
            </w:r>
            <w:r w:rsidRPr="00E962AB">
              <w:rPr>
                <w:sz w:val="18"/>
                <w:szCs w:val="18"/>
              </w:rPr>
              <w:t>;</w:t>
            </w:r>
          </w:p>
          <w:p w14:paraId="6A53CF24" w14:textId="77777777" w:rsidR="005E1CA4" w:rsidRPr="00E962AB" w:rsidRDefault="005E1CA4" w:rsidP="000A427B">
            <w:pPr>
              <w:pStyle w:val="TableText"/>
              <w:keepNext/>
              <w:spacing w:before="36" w:after="36"/>
              <w:ind w:left="316"/>
              <w:rPr>
                <w:sz w:val="18"/>
                <w:szCs w:val="18"/>
              </w:rPr>
            </w:pPr>
            <w:r w:rsidRPr="00E962AB">
              <w:rPr>
                <w:sz w:val="18"/>
                <w:szCs w:val="18"/>
              </w:rPr>
              <w:t>(vi) oxygen saturation;</w:t>
            </w:r>
          </w:p>
          <w:p w14:paraId="2C3E8434" w14:textId="77777777" w:rsidR="005E1CA4" w:rsidRPr="00E962AB" w:rsidRDefault="005E1CA4" w:rsidP="000A427B">
            <w:pPr>
              <w:pStyle w:val="TableText"/>
              <w:keepNext/>
              <w:spacing w:before="36" w:after="36"/>
              <w:ind w:left="316"/>
              <w:rPr>
                <w:sz w:val="18"/>
                <w:szCs w:val="18"/>
              </w:rPr>
            </w:pPr>
            <w:r w:rsidRPr="00E962AB">
              <w:rPr>
                <w:sz w:val="18"/>
                <w:szCs w:val="18"/>
              </w:rPr>
              <w:t>(vii) respiratory effort;</w:t>
            </w:r>
          </w:p>
          <w:p w14:paraId="7562767C" w14:textId="77777777" w:rsidR="005E1CA4" w:rsidRPr="00E962AB" w:rsidRDefault="005E1CA4" w:rsidP="000A427B">
            <w:pPr>
              <w:pStyle w:val="TableText"/>
              <w:keepNext/>
              <w:spacing w:after="240"/>
              <w:ind w:left="318"/>
              <w:rPr>
                <w:sz w:val="18"/>
                <w:szCs w:val="18"/>
              </w:rPr>
            </w:pPr>
            <w:r w:rsidRPr="00E962AB">
              <w:rPr>
                <w:sz w:val="18"/>
                <w:szCs w:val="18"/>
              </w:rPr>
              <w:t>(viii) (optional) measurement of carbon dioxide (either end tidal or transcutaneous);</w:t>
            </w:r>
            <w:r w:rsidRPr="00E962AB">
              <w:rPr>
                <w:strike/>
                <w:sz w:val="18"/>
                <w:szCs w:val="18"/>
              </w:rPr>
              <w:t xml:space="preserve"> </w:t>
            </w:r>
          </w:p>
          <w:p w14:paraId="5D686AB5" w14:textId="77777777" w:rsidR="005E1CA4" w:rsidRPr="00E962AB" w:rsidRDefault="005E1CA4" w:rsidP="000A427B">
            <w:pPr>
              <w:pStyle w:val="TableText"/>
              <w:keepNext/>
              <w:spacing w:after="240"/>
              <w:rPr>
                <w:sz w:val="18"/>
                <w:szCs w:val="18"/>
              </w:rPr>
            </w:pPr>
            <w:r w:rsidRPr="00E962AB">
              <w:rPr>
                <w:sz w:val="18"/>
                <w:szCs w:val="18"/>
              </w:rPr>
              <w:t xml:space="preserve">(c) the investigation is performed under the supervision of a qualified paediatric or adult sleep medicine practitioner who is on the staff list of a sleep laboratory accredited under the NATA/ASA Sleep Disorders Service Accreditation Program; and </w:t>
            </w:r>
          </w:p>
          <w:p w14:paraId="09D27EBE" w14:textId="77777777" w:rsidR="005E1CA4" w:rsidRPr="00E962AB" w:rsidRDefault="005E1CA4" w:rsidP="000A427B">
            <w:pPr>
              <w:pStyle w:val="TableText"/>
              <w:keepNext/>
              <w:spacing w:before="36" w:after="36"/>
              <w:rPr>
                <w:sz w:val="18"/>
                <w:szCs w:val="18"/>
              </w:rPr>
            </w:pPr>
            <w:r w:rsidRPr="00E962AB">
              <w:rPr>
                <w:sz w:val="18"/>
                <w:szCs w:val="18"/>
              </w:rPr>
              <w:t>(d) either:</w:t>
            </w:r>
          </w:p>
          <w:p w14:paraId="6B550275" w14:textId="77777777" w:rsidR="005E1CA4" w:rsidRPr="00E962AB" w:rsidRDefault="005E1CA4" w:rsidP="000A427B">
            <w:pPr>
              <w:pStyle w:val="TableText"/>
              <w:keepNext/>
              <w:spacing w:before="36" w:after="36"/>
              <w:ind w:left="317"/>
              <w:rPr>
                <w:iCs/>
                <w:sz w:val="18"/>
                <w:szCs w:val="18"/>
              </w:rPr>
            </w:pPr>
            <w:r w:rsidRPr="00E962AB">
              <w:rPr>
                <w:sz w:val="18"/>
                <w:szCs w:val="18"/>
              </w:rPr>
              <w:t xml:space="preserve">(i) </w:t>
            </w:r>
            <w:r w:rsidRPr="00E962AB">
              <w:rPr>
                <w:iCs/>
                <w:sz w:val="18"/>
                <w:szCs w:val="18"/>
              </w:rPr>
              <w:t>the equipment is applied to the patient by a sleep technician; or</w:t>
            </w:r>
          </w:p>
          <w:p w14:paraId="374C2EA0" w14:textId="77777777" w:rsidR="005E1CA4" w:rsidRPr="00E962AB" w:rsidRDefault="005E1CA4" w:rsidP="000A427B">
            <w:pPr>
              <w:pStyle w:val="TableText"/>
              <w:keepNext/>
              <w:spacing w:after="240"/>
              <w:ind w:left="318"/>
              <w:rPr>
                <w:sz w:val="18"/>
                <w:szCs w:val="18"/>
              </w:rPr>
            </w:pPr>
            <w:r w:rsidRPr="00E962AB">
              <w:rPr>
                <w:sz w:val="18"/>
                <w:szCs w:val="18"/>
              </w:rPr>
              <w:t xml:space="preserve">(ii) if this is not possible – the reason it is not possible for the accredited paediatric or adult sleep laboratory professional to apply the equipment to the patient is documented and a </w:t>
            </w:r>
            <w:r w:rsidRPr="00E962AB">
              <w:rPr>
                <w:strike/>
                <w:sz w:val="18"/>
                <w:szCs w:val="18"/>
              </w:rPr>
              <w:t xml:space="preserve">health professional </w:t>
            </w:r>
            <w:r w:rsidRPr="00E962AB">
              <w:rPr>
                <w:color w:val="0070C0"/>
                <w:sz w:val="18"/>
                <w:szCs w:val="18"/>
                <w:u w:val="single"/>
              </w:rPr>
              <w:t>parent or caregiver</w:t>
            </w:r>
            <w:r w:rsidRPr="00E962AB">
              <w:rPr>
                <w:sz w:val="18"/>
                <w:szCs w:val="18"/>
              </w:rPr>
              <w:t xml:space="preserve"> is given instructions on how to apply the equipment by an </w:t>
            </w:r>
            <w:r w:rsidRPr="00E962AB">
              <w:rPr>
                <w:strike/>
                <w:sz w:val="18"/>
                <w:szCs w:val="18"/>
              </w:rPr>
              <w:t xml:space="preserve">affiliated </w:t>
            </w:r>
            <w:r w:rsidRPr="00E962AB">
              <w:rPr>
                <w:sz w:val="18"/>
                <w:szCs w:val="18"/>
              </w:rPr>
              <w:t>accredited sleep laboratory.</w:t>
            </w:r>
          </w:p>
          <w:p w14:paraId="00A58E2A" w14:textId="77777777" w:rsidR="005E1CA4" w:rsidRPr="00E962AB" w:rsidRDefault="005E1CA4" w:rsidP="000A427B">
            <w:pPr>
              <w:pStyle w:val="TableText"/>
              <w:keepNext/>
              <w:spacing w:after="240"/>
              <w:rPr>
                <w:sz w:val="18"/>
                <w:szCs w:val="18"/>
              </w:rPr>
            </w:pPr>
            <w:r w:rsidRPr="00E962AB">
              <w:rPr>
                <w:sz w:val="18"/>
                <w:szCs w:val="18"/>
              </w:rPr>
              <w:t xml:space="preserve">(e) written instructions are given to parent/caregiver to monitor the </w:t>
            </w:r>
            <w:r w:rsidRPr="00E962AB">
              <w:rPr>
                <w:strike/>
                <w:sz w:val="18"/>
                <w:szCs w:val="18"/>
              </w:rPr>
              <w:t>child</w:t>
            </w:r>
            <w:r w:rsidRPr="00E962AB">
              <w:rPr>
                <w:sz w:val="18"/>
                <w:szCs w:val="18"/>
              </w:rPr>
              <w:t xml:space="preserve"> </w:t>
            </w:r>
            <w:r w:rsidRPr="00E962AB">
              <w:rPr>
                <w:color w:val="0070C0"/>
                <w:sz w:val="18"/>
                <w:szCs w:val="18"/>
                <w:u w:val="single"/>
              </w:rPr>
              <w:t>patient</w:t>
            </w:r>
            <w:r w:rsidRPr="00E962AB">
              <w:rPr>
                <w:color w:val="0070C0"/>
                <w:sz w:val="18"/>
                <w:szCs w:val="18"/>
              </w:rPr>
              <w:t xml:space="preserve"> </w:t>
            </w:r>
            <w:r w:rsidRPr="00E962AB">
              <w:rPr>
                <w:sz w:val="18"/>
                <w:szCs w:val="18"/>
              </w:rPr>
              <w:t>overnight and a phone contact or data link to the accredited paediatric or adult sleep laboratory to enable trouble shooting overnight if required; and</w:t>
            </w:r>
          </w:p>
          <w:p w14:paraId="6A4B9328" w14:textId="77777777" w:rsidR="005E1CA4" w:rsidRPr="00E962AB" w:rsidRDefault="005E1CA4" w:rsidP="000A427B">
            <w:pPr>
              <w:pStyle w:val="TableText"/>
              <w:keepNext/>
              <w:spacing w:before="36" w:after="36"/>
              <w:rPr>
                <w:sz w:val="18"/>
                <w:szCs w:val="18"/>
              </w:rPr>
            </w:pPr>
            <w:r w:rsidRPr="00E962AB">
              <w:rPr>
                <w:sz w:val="18"/>
                <w:szCs w:val="18"/>
              </w:rPr>
              <w:t xml:space="preserve">(f) </w:t>
            </w:r>
            <w:proofErr w:type="spellStart"/>
            <w:r w:rsidRPr="00E962AB">
              <w:rPr>
                <w:sz w:val="18"/>
                <w:szCs w:val="18"/>
              </w:rPr>
              <w:t>polygraphic</w:t>
            </w:r>
            <w:proofErr w:type="spellEnd"/>
            <w:r w:rsidRPr="00E962AB">
              <w:rPr>
                <w:sz w:val="18"/>
                <w:szCs w:val="18"/>
              </w:rPr>
              <w:t xml:space="preserve"> records are:</w:t>
            </w:r>
          </w:p>
          <w:p w14:paraId="705964AF" w14:textId="77777777" w:rsidR="005E1CA4" w:rsidRPr="00E962AB" w:rsidRDefault="005E1CA4" w:rsidP="000A427B">
            <w:pPr>
              <w:pStyle w:val="TableText"/>
              <w:keepNext/>
              <w:spacing w:before="36" w:after="36"/>
              <w:ind w:left="317"/>
              <w:rPr>
                <w:sz w:val="18"/>
                <w:szCs w:val="18"/>
              </w:rPr>
            </w:pPr>
            <w:r w:rsidRPr="00E962AB">
              <w:rPr>
                <w:sz w:val="18"/>
                <w:szCs w:val="18"/>
              </w:rPr>
              <w:t>(i) analysed for assessment of sleep stage, arousals, respiratory events, and cardiac abnormalities using manual scoring, or manual correction of computerised scoring in epochs of not more than 1 minute; and</w:t>
            </w:r>
          </w:p>
          <w:p w14:paraId="30787C3F" w14:textId="77777777" w:rsidR="005E1CA4" w:rsidRPr="00E962AB" w:rsidRDefault="005E1CA4" w:rsidP="000A427B">
            <w:pPr>
              <w:pStyle w:val="TableText"/>
              <w:keepNext/>
              <w:spacing w:after="240"/>
              <w:ind w:left="318"/>
              <w:rPr>
                <w:sz w:val="18"/>
                <w:szCs w:val="18"/>
              </w:rPr>
            </w:pPr>
            <w:r w:rsidRPr="00E962AB">
              <w:rPr>
                <w:sz w:val="18"/>
                <w:szCs w:val="18"/>
              </w:rPr>
              <w:t>(ii) stored for interpretation and preparation of a report; and</w:t>
            </w:r>
          </w:p>
          <w:p w14:paraId="19433B4E" w14:textId="77777777" w:rsidR="005E1CA4" w:rsidRPr="00E962AB" w:rsidRDefault="005E1CA4" w:rsidP="000A427B">
            <w:pPr>
              <w:pStyle w:val="TableText"/>
              <w:keepNext/>
              <w:spacing w:after="240"/>
              <w:rPr>
                <w:sz w:val="18"/>
                <w:szCs w:val="18"/>
              </w:rPr>
            </w:pPr>
            <w:r w:rsidRPr="00E962AB">
              <w:rPr>
                <w:sz w:val="18"/>
                <w:szCs w:val="18"/>
              </w:rPr>
              <w:t xml:space="preserve">(g) interpretation and preparation of a permanent report is provided by a qualified paediatric or adult sleep medicine specialist who is listed on staff of a sleep laboratory accredited under the NATA/ASA Sleep Disorders Service Accreditation Program with personal direct review of raw data from the original recording of </w:t>
            </w:r>
            <w:proofErr w:type="spellStart"/>
            <w:r w:rsidRPr="00E962AB">
              <w:rPr>
                <w:sz w:val="18"/>
                <w:szCs w:val="18"/>
              </w:rPr>
              <w:t>polygraphic</w:t>
            </w:r>
            <w:proofErr w:type="spellEnd"/>
            <w:r w:rsidRPr="00E962AB">
              <w:rPr>
                <w:sz w:val="18"/>
                <w:szCs w:val="18"/>
              </w:rPr>
              <w:t xml:space="preserve"> data from the patient; and</w:t>
            </w:r>
          </w:p>
          <w:p w14:paraId="4346DE93" w14:textId="77777777" w:rsidR="005E1CA4" w:rsidRPr="00E962AB" w:rsidRDefault="005E1CA4" w:rsidP="000A427B">
            <w:pPr>
              <w:pStyle w:val="TableText"/>
              <w:keepNext/>
              <w:spacing w:after="240"/>
              <w:rPr>
                <w:sz w:val="18"/>
                <w:szCs w:val="18"/>
                <w:u w:val="single"/>
              </w:rPr>
            </w:pPr>
            <w:r w:rsidRPr="00E962AB">
              <w:rPr>
                <w:sz w:val="18"/>
                <w:szCs w:val="18"/>
              </w:rPr>
              <w:t xml:space="preserve">(h) the investigation is not provided to the patient on the same occasion that a service mentioned in any of items 11000, 11003, 11004, 11005, 11503, 11704, 11705, 11707, 11714, 11716, 11717, 11723, 11735 and 12203 </w:t>
            </w:r>
          </w:p>
        </w:tc>
      </w:tr>
      <w:tr w:rsidR="005E1CA4" w:rsidRPr="00E962AB" w14:paraId="027F0980" w14:textId="77777777" w:rsidTr="000A427B">
        <w:tc>
          <w:tcPr>
            <w:tcW w:w="9016" w:type="dxa"/>
            <w:tcBorders>
              <w:top w:val="nil"/>
              <w:bottom w:val="nil"/>
            </w:tcBorders>
          </w:tcPr>
          <w:p w14:paraId="6C729305" w14:textId="77777777" w:rsidR="005E1CA4" w:rsidRPr="00E962AB" w:rsidRDefault="005E1CA4" w:rsidP="000A427B">
            <w:pPr>
              <w:pStyle w:val="TableText"/>
              <w:spacing w:before="36" w:after="36"/>
              <w:rPr>
                <w:sz w:val="18"/>
                <w:szCs w:val="18"/>
              </w:rPr>
            </w:pPr>
            <w:r w:rsidRPr="00E962AB">
              <w:rPr>
                <w:sz w:val="18"/>
                <w:szCs w:val="18"/>
              </w:rPr>
              <w:t>Up to a maximum of 3 sleep study items per patient in any 12-month period from this item and items XXXXX-1, XXXXX</w:t>
            </w:r>
            <w:r w:rsidRPr="00E962AB">
              <w:rPr>
                <w:sz w:val="18"/>
                <w:szCs w:val="18"/>
              </w:rPr>
              <w:noBreakHyphen/>
              <w:t>3, XXXXX-4, XXXXX-5 and XXXXX-6.</w:t>
            </w:r>
          </w:p>
        </w:tc>
      </w:tr>
      <w:tr w:rsidR="005E1CA4" w:rsidRPr="00E962AB" w14:paraId="28D7C7C1" w14:textId="77777777" w:rsidTr="000A427B">
        <w:tc>
          <w:tcPr>
            <w:tcW w:w="9016" w:type="dxa"/>
            <w:tcBorders>
              <w:top w:val="nil"/>
              <w:bottom w:val="nil"/>
            </w:tcBorders>
          </w:tcPr>
          <w:p w14:paraId="5E9C2F84" w14:textId="77777777" w:rsidR="005E1CA4" w:rsidRPr="00E962AB" w:rsidRDefault="005E1CA4" w:rsidP="000A427B">
            <w:pPr>
              <w:pStyle w:val="TableText"/>
              <w:spacing w:before="36" w:after="36"/>
              <w:rPr>
                <w:sz w:val="18"/>
                <w:szCs w:val="18"/>
              </w:rPr>
            </w:pPr>
            <w:r w:rsidRPr="00E962AB">
              <w:rPr>
                <w:sz w:val="18"/>
                <w:szCs w:val="18"/>
              </w:rPr>
              <w:t>(See para DN.1.17 of explanatory notes to this Category)</w:t>
            </w:r>
          </w:p>
        </w:tc>
      </w:tr>
      <w:tr w:rsidR="005E1CA4" w:rsidRPr="00E962AB" w14:paraId="01297DE6" w14:textId="77777777" w:rsidTr="000A427B">
        <w:tc>
          <w:tcPr>
            <w:tcW w:w="9016" w:type="dxa"/>
            <w:tcBorders>
              <w:top w:val="nil"/>
            </w:tcBorders>
          </w:tcPr>
          <w:p w14:paraId="7916F7B3" w14:textId="77777777" w:rsidR="005E1CA4" w:rsidRPr="00E962AB" w:rsidRDefault="005E1CA4" w:rsidP="000A427B">
            <w:pPr>
              <w:pStyle w:val="TableText"/>
              <w:spacing w:before="36" w:after="36"/>
              <w:rPr>
                <w:b/>
                <w:bCs/>
                <w:sz w:val="18"/>
                <w:szCs w:val="18"/>
              </w:rPr>
            </w:pPr>
            <w:r w:rsidRPr="00E962AB">
              <w:rPr>
                <w:b/>
                <w:bCs/>
                <w:sz w:val="18"/>
                <w:szCs w:val="18"/>
              </w:rPr>
              <w:t xml:space="preserve">Fee: $364.32 </w:t>
            </w:r>
            <w:r w:rsidRPr="00E962AB">
              <w:rPr>
                <w:b/>
                <w:bCs/>
                <w:sz w:val="18"/>
                <w:szCs w:val="18"/>
              </w:rPr>
              <w:tab/>
              <w:t xml:space="preserve">Benefit: 75% = $273.23 </w:t>
            </w:r>
            <w:r w:rsidRPr="00E962AB">
              <w:rPr>
                <w:b/>
                <w:bCs/>
                <w:sz w:val="18"/>
                <w:szCs w:val="18"/>
              </w:rPr>
              <w:tab/>
              <w:t>85% = $309.67</w:t>
            </w:r>
          </w:p>
        </w:tc>
      </w:tr>
    </w:tbl>
    <w:p w14:paraId="2FCF9B60" w14:textId="77777777" w:rsidR="005E1CA4" w:rsidRDefault="005E1CA4" w:rsidP="005E1CA4">
      <w:pPr>
        <w:pStyle w:val="TableFigNoteLast"/>
      </w:pPr>
      <w:r>
        <w:t>ASA =</w:t>
      </w:r>
      <w:r w:rsidRPr="007017B1">
        <w:t xml:space="preserve"> Australasian Sleep Association</w:t>
      </w:r>
      <w:r>
        <w:t>; CO</w:t>
      </w:r>
      <w:r w:rsidRPr="00660759">
        <w:rPr>
          <w:vertAlign w:val="subscript"/>
        </w:rPr>
        <w:t>2</w:t>
      </w:r>
      <w:r>
        <w:t xml:space="preserve"> = carbon dioxide; ECG = electrocardiogram; EEG = electroencephalogram; EMG = electromyogram; EOG = electrooculogram; MBS = Medical Benefits Schedule; NATA = </w:t>
      </w:r>
      <w:r w:rsidRPr="007017B1">
        <w:t>National Association of Testing Authorities</w:t>
      </w:r>
      <w:r w:rsidRPr="00B20DD0">
        <w:t xml:space="preserve"> </w:t>
      </w:r>
    </w:p>
    <w:p w14:paraId="4A887BE8" w14:textId="77777777" w:rsidR="005E1CA4" w:rsidRPr="00FA6183" w:rsidRDefault="005E1CA4" w:rsidP="005E1CA4">
      <w:pPr>
        <w:pStyle w:val="TableFigNoteLast"/>
      </w:pPr>
      <w:r w:rsidRPr="00FA6183">
        <w:t xml:space="preserve">Suggested additions are underlined </w:t>
      </w:r>
      <w:r>
        <w:t xml:space="preserve">in blue text </w:t>
      </w:r>
      <w:r w:rsidRPr="00FA6183">
        <w:t>and deletions are in strikethrough.</w:t>
      </w:r>
    </w:p>
    <w:p w14:paraId="710643F0" w14:textId="77777777" w:rsidR="005E1CA4" w:rsidRDefault="005E1CA4" w:rsidP="005E1CA4">
      <w:pPr>
        <w:pStyle w:val="TableFigNoteLast"/>
      </w:pPr>
      <w:r w:rsidRPr="00FA6183">
        <w:t>Source: compiled for this assessment report</w:t>
      </w:r>
      <w:r>
        <w:t>,</w:t>
      </w:r>
      <w:r w:rsidRPr="00FA6183">
        <w:t xml:space="preserve"> adapted from the Ratified </w:t>
      </w:r>
      <w:r>
        <w:t>PICO confirmation</w:t>
      </w:r>
      <w:r w:rsidRPr="00FA6183">
        <w:t xml:space="preserve"> Table 20, Appendix D</w:t>
      </w:r>
    </w:p>
    <w:p w14:paraId="18694FD1" w14:textId="059CB8FD" w:rsidR="005E1CA4" w:rsidRDefault="005E1CA4" w:rsidP="005E1CA4">
      <w:pPr>
        <w:pStyle w:val="Caption"/>
      </w:pPr>
      <w:bookmarkStart w:id="15" w:name="_Ref150163213"/>
      <w:r>
        <w:lastRenderedPageBreak/>
        <w:t xml:space="preserve">Table </w:t>
      </w:r>
      <w:fldSimple w:instr=" SEQ Table \* ARABIC ">
        <w:r>
          <w:rPr>
            <w:noProof/>
          </w:rPr>
          <w:t>4</w:t>
        </w:r>
      </w:fldSimple>
      <w:bookmarkEnd w:id="15"/>
      <w:r>
        <w:tab/>
      </w:r>
      <w:r w:rsidRPr="00CE28E3">
        <w:t>Proposed item descriptor</w:t>
      </w:r>
      <w:r>
        <w:t>s for paediatric Level 3 CRP (PICO Set 2)</w:t>
      </w:r>
    </w:p>
    <w:tbl>
      <w:tblPr>
        <w:tblStyle w:val="TableGrid"/>
        <w:tblW w:w="0" w:type="auto"/>
        <w:tblLook w:val="04A0" w:firstRow="1" w:lastRow="0" w:firstColumn="1" w:lastColumn="0" w:noHBand="0" w:noVBand="1"/>
        <w:tblCaption w:val="Proposed item descriptors for paediatric Level 3 CRP (PICO Set 2)"/>
        <w:tblDescription w:val="This table presents the proposed MBS item descriptors for the items relevant to PICO Set 2."/>
      </w:tblPr>
      <w:tblGrid>
        <w:gridCol w:w="9016"/>
      </w:tblGrid>
      <w:tr w:rsidR="005E1CA4" w:rsidRPr="00934342" w14:paraId="5F3E890D" w14:textId="77777777" w:rsidTr="000A427B">
        <w:tc>
          <w:tcPr>
            <w:tcW w:w="9016" w:type="dxa"/>
            <w:tcBorders>
              <w:bottom w:val="nil"/>
            </w:tcBorders>
          </w:tcPr>
          <w:p w14:paraId="1B27C1B2" w14:textId="77777777" w:rsidR="005E1CA4" w:rsidRPr="00934342" w:rsidRDefault="005E1CA4" w:rsidP="000A427B">
            <w:pPr>
              <w:pStyle w:val="TableText"/>
              <w:keepNext/>
              <w:spacing w:before="36" w:after="36"/>
              <w:jc w:val="right"/>
              <w:rPr>
                <w:b/>
                <w:bCs/>
                <w:sz w:val="18"/>
                <w:szCs w:val="18"/>
              </w:rPr>
            </w:pPr>
            <w:r w:rsidRPr="00934342">
              <w:rPr>
                <w:b/>
                <w:bCs/>
                <w:sz w:val="18"/>
                <w:szCs w:val="18"/>
              </w:rPr>
              <w:t>Category 2: Diagnostic Procedures and Investigations</w:t>
            </w:r>
          </w:p>
        </w:tc>
      </w:tr>
      <w:tr w:rsidR="005E1CA4" w:rsidRPr="00934342" w14:paraId="4FE026C1" w14:textId="77777777" w:rsidTr="000A427B">
        <w:tc>
          <w:tcPr>
            <w:tcW w:w="9016" w:type="dxa"/>
            <w:tcBorders>
              <w:top w:val="nil"/>
              <w:bottom w:val="nil"/>
            </w:tcBorders>
          </w:tcPr>
          <w:p w14:paraId="7D1CAB2F" w14:textId="77777777" w:rsidR="005E1CA4" w:rsidRPr="00934342" w:rsidRDefault="005E1CA4" w:rsidP="000A427B">
            <w:pPr>
              <w:pStyle w:val="TableText"/>
              <w:keepNext/>
              <w:spacing w:before="36" w:after="36"/>
              <w:jc w:val="right"/>
              <w:rPr>
                <w:b/>
                <w:sz w:val="18"/>
                <w:szCs w:val="18"/>
              </w:rPr>
            </w:pPr>
            <w:r w:rsidRPr="00934342">
              <w:rPr>
                <w:b/>
                <w:sz w:val="18"/>
                <w:szCs w:val="18"/>
              </w:rPr>
              <w:t>Group D1. Miscellaneous Diagnostic Procedures And Investigation</w:t>
            </w:r>
          </w:p>
        </w:tc>
      </w:tr>
      <w:tr w:rsidR="005E1CA4" w:rsidRPr="00934342" w14:paraId="3B17B8C2" w14:textId="77777777" w:rsidTr="000A427B">
        <w:tc>
          <w:tcPr>
            <w:tcW w:w="9016" w:type="dxa"/>
            <w:tcBorders>
              <w:top w:val="nil"/>
              <w:bottom w:val="single" w:sz="4" w:space="0" w:color="auto"/>
            </w:tcBorders>
          </w:tcPr>
          <w:p w14:paraId="653B9D8B" w14:textId="77777777" w:rsidR="005E1CA4" w:rsidRPr="00934342" w:rsidRDefault="005E1CA4" w:rsidP="000A427B">
            <w:pPr>
              <w:pStyle w:val="TableText"/>
              <w:keepNext/>
              <w:spacing w:before="36" w:after="36"/>
              <w:jc w:val="right"/>
              <w:rPr>
                <w:b/>
                <w:bCs/>
                <w:sz w:val="18"/>
                <w:szCs w:val="18"/>
              </w:rPr>
            </w:pPr>
            <w:r w:rsidRPr="00934342">
              <w:rPr>
                <w:b/>
                <w:bCs/>
                <w:sz w:val="18"/>
                <w:szCs w:val="18"/>
              </w:rPr>
              <w:t>Subgroup 10. Other Diagnostic Procedures And Investigations</w:t>
            </w:r>
          </w:p>
        </w:tc>
      </w:tr>
      <w:tr w:rsidR="005E1CA4" w:rsidRPr="00934342" w14:paraId="6431D951" w14:textId="77777777" w:rsidTr="000A427B">
        <w:tc>
          <w:tcPr>
            <w:tcW w:w="9016" w:type="dxa"/>
            <w:tcBorders>
              <w:bottom w:val="nil"/>
            </w:tcBorders>
          </w:tcPr>
          <w:p w14:paraId="1817CD76" w14:textId="77777777" w:rsidR="005E1CA4" w:rsidRPr="00934342" w:rsidRDefault="005E1CA4" w:rsidP="000A427B">
            <w:pPr>
              <w:pStyle w:val="TableText"/>
              <w:spacing w:before="36" w:after="36"/>
              <w:rPr>
                <w:b/>
                <w:bCs/>
                <w:sz w:val="18"/>
                <w:szCs w:val="18"/>
              </w:rPr>
            </w:pPr>
            <w:r w:rsidRPr="00934342">
              <w:rPr>
                <w:b/>
                <w:bCs/>
                <w:sz w:val="18"/>
                <w:szCs w:val="18"/>
              </w:rPr>
              <w:t>MBS item XXXXX-3</w:t>
            </w:r>
          </w:p>
        </w:tc>
      </w:tr>
      <w:tr w:rsidR="005E1CA4" w:rsidRPr="00934342" w14:paraId="30B7476D" w14:textId="77777777" w:rsidTr="000A427B">
        <w:tc>
          <w:tcPr>
            <w:tcW w:w="9016" w:type="dxa"/>
            <w:tcBorders>
              <w:top w:val="nil"/>
              <w:bottom w:val="nil"/>
            </w:tcBorders>
          </w:tcPr>
          <w:p w14:paraId="676AF421" w14:textId="77777777" w:rsidR="005E1CA4" w:rsidRPr="00934342" w:rsidRDefault="005E1CA4" w:rsidP="000A427B">
            <w:pPr>
              <w:pStyle w:val="TableText"/>
              <w:spacing w:after="240"/>
              <w:rPr>
                <w:sz w:val="18"/>
                <w:szCs w:val="18"/>
              </w:rPr>
            </w:pPr>
            <w:r w:rsidRPr="00934342">
              <w:rPr>
                <w:sz w:val="18"/>
                <w:szCs w:val="18"/>
              </w:rPr>
              <w:t>Overnight investigation of sleep for at least 8 hours, for a patient aged at least 3 years but less than 12 years to confirm diagnosis of obstructive sleep apnoea, if:</w:t>
            </w:r>
          </w:p>
          <w:p w14:paraId="0D2491EC" w14:textId="77777777" w:rsidR="005E1CA4" w:rsidRPr="00934342" w:rsidRDefault="005E1CA4" w:rsidP="000A427B">
            <w:pPr>
              <w:pStyle w:val="TableText"/>
              <w:spacing w:before="36" w:after="36"/>
              <w:ind w:left="316" w:hanging="316"/>
              <w:rPr>
                <w:color w:val="0070C0"/>
                <w:sz w:val="18"/>
                <w:szCs w:val="18"/>
                <w:u w:val="single"/>
              </w:rPr>
            </w:pPr>
            <w:r w:rsidRPr="00934342">
              <w:rPr>
                <w:sz w:val="18"/>
                <w:szCs w:val="18"/>
              </w:rPr>
              <w:t xml:space="preserve">(a)  (i) the patient has been referred by a </w:t>
            </w:r>
            <w:r w:rsidRPr="00934342">
              <w:rPr>
                <w:strike/>
                <w:sz w:val="18"/>
                <w:szCs w:val="18"/>
              </w:rPr>
              <w:t>general</w:t>
            </w:r>
            <w:r w:rsidRPr="00934342">
              <w:rPr>
                <w:sz w:val="18"/>
                <w:szCs w:val="18"/>
              </w:rPr>
              <w:t xml:space="preserve"> </w:t>
            </w:r>
            <w:r w:rsidRPr="00934342">
              <w:rPr>
                <w:color w:val="0070C0"/>
                <w:sz w:val="18"/>
                <w:szCs w:val="18"/>
                <w:u w:val="single"/>
              </w:rPr>
              <w:t>medical</w:t>
            </w:r>
            <w:r w:rsidRPr="00934342">
              <w:rPr>
                <w:color w:val="0070C0"/>
                <w:sz w:val="18"/>
                <w:szCs w:val="18"/>
              </w:rPr>
              <w:t xml:space="preserve"> </w:t>
            </w:r>
            <w:r w:rsidRPr="00934342">
              <w:rPr>
                <w:sz w:val="18"/>
                <w:szCs w:val="18"/>
              </w:rPr>
              <w:t xml:space="preserve">practitioner to a qualified paediatric sleep medicine practitioner, </w:t>
            </w:r>
            <w:r w:rsidRPr="00934342">
              <w:rPr>
                <w:strike/>
                <w:sz w:val="18"/>
                <w:szCs w:val="18"/>
              </w:rPr>
              <w:t>who</w:t>
            </w:r>
            <w:r w:rsidRPr="00934342">
              <w:rPr>
                <w:sz w:val="18"/>
                <w:szCs w:val="18"/>
              </w:rPr>
              <w:t xml:space="preserve"> </w:t>
            </w:r>
            <w:r w:rsidRPr="00934342">
              <w:rPr>
                <w:color w:val="0070C0"/>
                <w:sz w:val="18"/>
                <w:szCs w:val="18"/>
                <w:u w:val="single"/>
              </w:rPr>
              <w:t xml:space="preserve">after the medical practitioner </w:t>
            </w:r>
            <w:r w:rsidRPr="00934342">
              <w:rPr>
                <w:sz w:val="18"/>
                <w:szCs w:val="18"/>
              </w:rPr>
              <w:t xml:space="preserve">has determined that the patient has a high probability of </w:t>
            </w:r>
            <w:r w:rsidRPr="00934342">
              <w:rPr>
                <w:strike/>
                <w:sz w:val="18"/>
                <w:szCs w:val="18"/>
              </w:rPr>
              <w:t>symptomatic, moderate to severe obstructive</w:t>
            </w:r>
            <w:r w:rsidRPr="00934342">
              <w:rPr>
                <w:sz w:val="18"/>
                <w:szCs w:val="18"/>
              </w:rPr>
              <w:t xml:space="preserve"> sleep apnoea; and</w:t>
            </w:r>
            <w:r w:rsidRPr="00934342">
              <w:rPr>
                <w:color w:val="0070C0"/>
                <w:sz w:val="18"/>
                <w:szCs w:val="18"/>
                <w:u w:val="single"/>
              </w:rPr>
              <w:t xml:space="preserve"> </w:t>
            </w:r>
          </w:p>
          <w:p w14:paraId="4EFECED8" w14:textId="77777777" w:rsidR="005E1CA4" w:rsidRPr="00934342" w:rsidRDefault="005E1CA4" w:rsidP="000A427B">
            <w:pPr>
              <w:pStyle w:val="TableText"/>
              <w:spacing w:before="36" w:after="36"/>
              <w:ind w:left="316" w:firstLine="1"/>
              <w:rPr>
                <w:sz w:val="18"/>
                <w:szCs w:val="18"/>
              </w:rPr>
            </w:pPr>
            <w:r w:rsidRPr="00934342">
              <w:rPr>
                <w:color w:val="0070C0"/>
                <w:sz w:val="18"/>
                <w:szCs w:val="18"/>
                <w:u w:val="single"/>
              </w:rPr>
              <w:t>(ii) the patient</w:t>
            </w:r>
            <w:r w:rsidRPr="00934342">
              <w:rPr>
                <w:sz w:val="18"/>
                <w:szCs w:val="18"/>
              </w:rPr>
              <w:t xml:space="preserve"> is </w:t>
            </w:r>
            <w:r w:rsidRPr="00934342">
              <w:rPr>
                <w:strike/>
                <w:sz w:val="18"/>
                <w:szCs w:val="18"/>
              </w:rPr>
              <w:t xml:space="preserve">non </w:t>
            </w:r>
            <w:r w:rsidRPr="00934342">
              <w:rPr>
                <w:color w:val="0070C0"/>
                <w:sz w:val="18"/>
                <w:szCs w:val="18"/>
                <w:u w:val="single"/>
              </w:rPr>
              <w:t>in</w:t>
            </w:r>
            <w:r w:rsidRPr="00934342">
              <w:rPr>
                <w:sz w:val="18"/>
                <w:szCs w:val="18"/>
              </w:rPr>
              <w:t xml:space="preserve">tolerant of head leads when full </w:t>
            </w:r>
            <w:r w:rsidRPr="00934342">
              <w:rPr>
                <w:strike/>
                <w:sz w:val="18"/>
                <w:szCs w:val="18"/>
              </w:rPr>
              <w:t xml:space="preserve">PSG </w:t>
            </w:r>
            <w:r w:rsidRPr="00934342">
              <w:rPr>
                <w:color w:val="0070C0"/>
                <w:sz w:val="18"/>
                <w:szCs w:val="18"/>
                <w:u w:val="single"/>
              </w:rPr>
              <w:t xml:space="preserve">polysomnography is </w:t>
            </w:r>
            <w:r w:rsidRPr="00934342">
              <w:rPr>
                <w:sz w:val="18"/>
                <w:szCs w:val="18"/>
              </w:rPr>
              <w:t>attempted; and</w:t>
            </w:r>
          </w:p>
          <w:p w14:paraId="20521295" w14:textId="77777777" w:rsidR="005E1CA4" w:rsidRPr="00934342" w:rsidRDefault="005E1CA4" w:rsidP="000A427B">
            <w:pPr>
              <w:pStyle w:val="TableText"/>
              <w:spacing w:after="240"/>
              <w:ind w:left="318"/>
              <w:rPr>
                <w:sz w:val="18"/>
                <w:szCs w:val="18"/>
              </w:rPr>
            </w:pPr>
            <w:r w:rsidRPr="00934342">
              <w:rPr>
                <w:sz w:val="18"/>
                <w:szCs w:val="18"/>
              </w:rPr>
              <w:t xml:space="preserve">(ii) following professional attendance </w:t>
            </w:r>
            <w:r w:rsidRPr="00934342">
              <w:rPr>
                <w:strike/>
                <w:sz w:val="18"/>
                <w:szCs w:val="18"/>
              </w:rPr>
              <w:t>of</w:t>
            </w:r>
            <w:r w:rsidRPr="00934342">
              <w:rPr>
                <w:sz w:val="18"/>
                <w:szCs w:val="18"/>
              </w:rPr>
              <w:t xml:space="preserve"> </w:t>
            </w:r>
            <w:r w:rsidRPr="00934342">
              <w:rPr>
                <w:color w:val="0070C0"/>
                <w:sz w:val="18"/>
                <w:szCs w:val="18"/>
                <w:u w:val="single"/>
              </w:rPr>
              <w:t>on</w:t>
            </w:r>
            <w:r w:rsidRPr="00934342">
              <w:rPr>
                <w:color w:val="0070C0"/>
                <w:sz w:val="18"/>
                <w:szCs w:val="18"/>
              </w:rPr>
              <w:t xml:space="preserve"> </w:t>
            </w:r>
            <w:r w:rsidRPr="00934342">
              <w:rPr>
                <w:sz w:val="18"/>
                <w:szCs w:val="18"/>
              </w:rPr>
              <w:t>the patient (either face to face or by video conference) by a qualified paediatric sleep medicine specialist who determines that investigation is necessary to confirm the diagnosis of obstructive sleep apnoea and that an out-of-laboratory setting is appropriate for the sleep study; and</w:t>
            </w:r>
          </w:p>
          <w:p w14:paraId="079F9701" w14:textId="77777777" w:rsidR="005E1CA4" w:rsidRPr="00934342" w:rsidRDefault="005E1CA4" w:rsidP="000A427B">
            <w:pPr>
              <w:pStyle w:val="TableText"/>
              <w:spacing w:before="36" w:after="36"/>
              <w:rPr>
                <w:sz w:val="18"/>
                <w:szCs w:val="18"/>
              </w:rPr>
            </w:pPr>
            <w:r w:rsidRPr="00934342">
              <w:rPr>
                <w:sz w:val="18"/>
                <w:szCs w:val="18"/>
              </w:rPr>
              <w:t xml:space="preserve">(b) during a period of sleep, there is continuous monitoring and recording performed in accordance with current professional guidelines, </w:t>
            </w:r>
            <w:r w:rsidRPr="00934342">
              <w:rPr>
                <w:color w:val="0070C0"/>
                <w:sz w:val="18"/>
                <w:szCs w:val="18"/>
                <w:u w:val="single"/>
              </w:rPr>
              <w:t>of</w:t>
            </w:r>
            <w:r w:rsidRPr="00934342">
              <w:rPr>
                <w:sz w:val="18"/>
                <w:szCs w:val="18"/>
              </w:rPr>
              <w:t xml:space="preserve"> a minimum of 4 channels that include the following measures:</w:t>
            </w:r>
          </w:p>
          <w:p w14:paraId="1070AFAC" w14:textId="77777777" w:rsidR="005E1CA4" w:rsidRPr="00934342" w:rsidRDefault="005E1CA4" w:rsidP="000A427B">
            <w:pPr>
              <w:pStyle w:val="TableText"/>
              <w:spacing w:before="36" w:after="36"/>
              <w:ind w:left="316"/>
              <w:rPr>
                <w:sz w:val="18"/>
                <w:szCs w:val="18"/>
              </w:rPr>
            </w:pPr>
            <w:r w:rsidRPr="00934342">
              <w:rPr>
                <w:sz w:val="18"/>
                <w:szCs w:val="18"/>
              </w:rPr>
              <w:t>(i) airflow;</w:t>
            </w:r>
          </w:p>
          <w:p w14:paraId="4E1016B3" w14:textId="77777777" w:rsidR="005E1CA4" w:rsidRPr="00934342" w:rsidRDefault="005E1CA4" w:rsidP="000A427B">
            <w:pPr>
              <w:pStyle w:val="TableText"/>
              <w:spacing w:before="36" w:after="36"/>
              <w:ind w:left="316"/>
              <w:rPr>
                <w:sz w:val="18"/>
                <w:szCs w:val="18"/>
              </w:rPr>
            </w:pPr>
            <w:r w:rsidRPr="00934342">
              <w:rPr>
                <w:sz w:val="18"/>
                <w:szCs w:val="18"/>
              </w:rPr>
              <w:t xml:space="preserve">(v) </w:t>
            </w:r>
            <w:r w:rsidRPr="00934342">
              <w:rPr>
                <w:strike/>
                <w:sz w:val="18"/>
                <w:szCs w:val="18"/>
              </w:rPr>
              <w:t xml:space="preserve">continuous </w:t>
            </w:r>
            <w:r w:rsidRPr="00934342">
              <w:rPr>
                <w:sz w:val="18"/>
                <w:szCs w:val="18"/>
              </w:rPr>
              <w:t>ECG</w:t>
            </w:r>
            <w:r w:rsidRPr="00934342">
              <w:rPr>
                <w:color w:val="0070C0"/>
                <w:sz w:val="18"/>
                <w:szCs w:val="18"/>
                <w:u w:val="single"/>
              </w:rPr>
              <w:t xml:space="preserve"> or heart rate</w:t>
            </w:r>
            <w:r w:rsidRPr="00934342">
              <w:rPr>
                <w:sz w:val="18"/>
                <w:szCs w:val="18"/>
              </w:rPr>
              <w:t>;</w:t>
            </w:r>
          </w:p>
          <w:p w14:paraId="5A43BA3A" w14:textId="77777777" w:rsidR="005E1CA4" w:rsidRPr="00934342" w:rsidRDefault="005E1CA4" w:rsidP="000A427B">
            <w:pPr>
              <w:pStyle w:val="TableText"/>
              <w:spacing w:before="36" w:after="36"/>
              <w:ind w:left="316"/>
              <w:rPr>
                <w:sz w:val="18"/>
                <w:szCs w:val="18"/>
              </w:rPr>
            </w:pPr>
            <w:r w:rsidRPr="00934342">
              <w:rPr>
                <w:sz w:val="18"/>
                <w:szCs w:val="18"/>
              </w:rPr>
              <w:t>(vi) oxygen saturation;</w:t>
            </w:r>
          </w:p>
          <w:p w14:paraId="734C1DCE" w14:textId="77777777" w:rsidR="005E1CA4" w:rsidRPr="00934342" w:rsidRDefault="005E1CA4" w:rsidP="000A427B">
            <w:pPr>
              <w:pStyle w:val="TableText"/>
              <w:spacing w:before="36" w:after="36"/>
              <w:ind w:left="316"/>
              <w:rPr>
                <w:sz w:val="18"/>
                <w:szCs w:val="18"/>
              </w:rPr>
            </w:pPr>
            <w:r w:rsidRPr="00934342">
              <w:rPr>
                <w:sz w:val="18"/>
                <w:szCs w:val="18"/>
              </w:rPr>
              <w:t>(vii) respiratory effort;</w:t>
            </w:r>
          </w:p>
          <w:p w14:paraId="4A2066C4" w14:textId="77777777" w:rsidR="005E1CA4" w:rsidRPr="00934342" w:rsidRDefault="005E1CA4" w:rsidP="000A427B">
            <w:pPr>
              <w:pStyle w:val="TableText"/>
              <w:spacing w:after="240"/>
              <w:ind w:left="318"/>
              <w:rPr>
                <w:sz w:val="18"/>
                <w:szCs w:val="18"/>
              </w:rPr>
            </w:pPr>
            <w:r w:rsidRPr="00934342">
              <w:rPr>
                <w:sz w:val="18"/>
                <w:szCs w:val="18"/>
              </w:rPr>
              <w:t>(viii) (optional) measurement of carbon dioxide (either end tidal or transcutaneous);</w:t>
            </w:r>
            <w:r w:rsidRPr="00934342">
              <w:rPr>
                <w:strike/>
                <w:sz w:val="18"/>
                <w:szCs w:val="18"/>
              </w:rPr>
              <w:t xml:space="preserve"> </w:t>
            </w:r>
          </w:p>
          <w:p w14:paraId="58133BA7" w14:textId="77777777" w:rsidR="005E1CA4" w:rsidRPr="00934342" w:rsidRDefault="005E1CA4" w:rsidP="000A427B">
            <w:pPr>
              <w:pStyle w:val="TableText"/>
              <w:spacing w:after="240"/>
              <w:rPr>
                <w:sz w:val="18"/>
                <w:szCs w:val="18"/>
              </w:rPr>
            </w:pPr>
            <w:r w:rsidRPr="00934342">
              <w:rPr>
                <w:sz w:val="18"/>
                <w:szCs w:val="18"/>
              </w:rPr>
              <w:t xml:space="preserve">(c) the investigation is performed under the supervision of a qualified paediatric sleep medicine practitioner who is on the staff list of a paediatric sleep laboratory accredited under the NATA/ASA Sleep Disorders Service Accreditation Program; and </w:t>
            </w:r>
          </w:p>
          <w:p w14:paraId="74E45653" w14:textId="77777777" w:rsidR="005E1CA4" w:rsidRPr="00934342" w:rsidRDefault="005E1CA4" w:rsidP="000A427B">
            <w:pPr>
              <w:pStyle w:val="TableText"/>
              <w:keepNext/>
              <w:spacing w:before="36" w:after="36"/>
              <w:rPr>
                <w:sz w:val="18"/>
                <w:szCs w:val="18"/>
              </w:rPr>
            </w:pPr>
            <w:r w:rsidRPr="00934342">
              <w:rPr>
                <w:sz w:val="18"/>
                <w:szCs w:val="18"/>
              </w:rPr>
              <w:t>(d) either:</w:t>
            </w:r>
          </w:p>
          <w:p w14:paraId="76D09420" w14:textId="77777777" w:rsidR="005E1CA4" w:rsidRPr="00934342" w:rsidRDefault="005E1CA4" w:rsidP="000A427B">
            <w:pPr>
              <w:pStyle w:val="TableText"/>
              <w:spacing w:before="36" w:after="36"/>
              <w:ind w:left="317"/>
              <w:rPr>
                <w:iCs/>
                <w:sz w:val="18"/>
                <w:szCs w:val="18"/>
              </w:rPr>
            </w:pPr>
            <w:r w:rsidRPr="00934342">
              <w:rPr>
                <w:sz w:val="18"/>
                <w:szCs w:val="18"/>
              </w:rPr>
              <w:t xml:space="preserve">(i) </w:t>
            </w:r>
            <w:r w:rsidRPr="00934342">
              <w:rPr>
                <w:iCs/>
                <w:sz w:val="18"/>
                <w:szCs w:val="18"/>
              </w:rPr>
              <w:t>the equipment is applied to the patient by a sleep technician; or</w:t>
            </w:r>
          </w:p>
          <w:p w14:paraId="3ACF9812" w14:textId="77777777" w:rsidR="005E1CA4" w:rsidRPr="00934342" w:rsidRDefault="005E1CA4" w:rsidP="000A427B">
            <w:pPr>
              <w:pStyle w:val="TableText"/>
              <w:spacing w:after="240"/>
              <w:ind w:left="318"/>
              <w:rPr>
                <w:sz w:val="18"/>
                <w:szCs w:val="18"/>
              </w:rPr>
            </w:pPr>
            <w:r w:rsidRPr="00934342">
              <w:rPr>
                <w:sz w:val="18"/>
                <w:szCs w:val="18"/>
              </w:rPr>
              <w:t xml:space="preserve">(ii) if this is not possible – the reason it is not possible for the accredited paediatric sleep laboratory professional to apply the equipment to the patient is documented and a </w:t>
            </w:r>
            <w:r w:rsidRPr="00934342">
              <w:rPr>
                <w:strike/>
                <w:sz w:val="18"/>
                <w:szCs w:val="18"/>
              </w:rPr>
              <w:t xml:space="preserve">health professional </w:t>
            </w:r>
            <w:r w:rsidRPr="00934342">
              <w:rPr>
                <w:color w:val="0070C0"/>
                <w:sz w:val="18"/>
                <w:szCs w:val="18"/>
                <w:u w:val="single"/>
              </w:rPr>
              <w:t>parent or caregiver</w:t>
            </w:r>
            <w:r w:rsidRPr="00934342">
              <w:rPr>
                <w:sz w:val="18"/>
                <w:szCs w:val="18"/>
              </w:rPr>
              <w:t xml:space="preserve"> is given instructions on how to apply the equipment by an </w:t>
            </w:r>
            <w:r w:rsidRPr="00934342">
              <w:rPr>
                <w:strike/>
                <w:sz w:val="18"/>
                <w:szCs w:val="18"/>
              </w:rPr>
              <w:t xml:space="preserve">affiliated </w:t>
            </w:r>
            <w:r w:rsidRPr="00934342">
              <w:rPr>
                <w:sz w:val="18"/>
                <w:szCs w:val="18"/>
              </w:rPr>
              <w:t>accredited sleep laboratory.</w:t>
            </w:r>
          </w:p>
          <w:p w14:paraId="4909BB89" w14:textId="77777777" w:rsidR="005E1CA4" w:rsidRPr="00934342" w:rsidRDefault="005E1CA4" w:rsidP="000A427B">
            <w:pPr>
              <w:pStyle w:val="TableText"/>
              <w:spacing w:after="240"/>
              <w:rPr>
                <w:sz w:val="18"/>
                <w:szCs w:val="18"/>
              </w:rPr>
            </w:pPr>
            <w:r w:rsidRPr="00934342">
              <w:rPr>
                <w:sz w:val="18"/>
                <w:szCs w:val="18"/>
              </w:rPr>
              <w:t xml:space="preserve">(e) written instructions are given to parent/caregiver to monitor the </w:t>
            </w:r>
            <w:r w:rsidRPr="00934342">
              <w:rPr>
                <w:strike/>
                <w:sz w:val="18"/>
                <w:szCs w:val="18"/>
              </w:rPr>
              <w:t>child</w:t>
            </w:r>
            <w:r w:rsidRPr="00934342">
              <w:rPr>
                <w:sz w:val="18"/>
                <w:szCs w:val="18"/>
              </w:rPr>
              <w:t xml:space="preserve"> </w:t>
            </w:r>
            <w:r w:rsidRPr="00934342">
              <w:rPr>
                <w:color w:val="0070C0"/>
                <w:sz w:val="18"/>
                <w:szCs w:val="18"/>
                <w:u w:val="single"/>
              </w:rPr>
              <w:t>patient</w:t>
            </w:r>
            <w:r w:rsidRPr="00934342">
              <w:rPr>
                <w:color w:val="0070C0"/>
                <w:sz w:val="18"/>
                <w:szCs w:val="18"/>
              </w:rPr>
              <w:t xml:space="preserve"> </w:t>
            </w:r>
            <w:r w:rsidRPr="00934342">
              <w:rPr>
                <w:sz w:val="18"/>
                <w:szCs w:val="18"/>
              </w:rPr>
              <w:t>overnight and a phone contact or data link to the accredited paediatric sleep laboratory to enable trouble shooting overnight if required; and</w:t>
            </w:r>
          </w:p>
          <w:p w14:paraId="156C5E2C" w14:textId="77777777" w:rsidR="005E1CA4" w:rsidRPr="00934342" w:rsidRDefault="005E1CA4" w:rsidP="000A427B">
            <w:pPr>
              <w:pStyle w:val="TableText"/>
              <w:spacing w:before="36" w:after="36"/>
              <w:rPr>
                <w:sz w:val="18"/>
                <w:szCs w:val="18"/>
              </w:rPr>
            </w:pPr>
            <w:r w:rsidRPr="00934342">
              <w:rPr>
                <w:sz w:val="18"/>
                <w:szCs w:val="18"/>
              </w:rPr>
              <w:t xml:space="preserve">(f) </w:t>
            </w:r>
            <w:proofErr w:type="spellStart"/>
            <w:r w:rsidRPr="00934342">
              <w:rPr>
                <w:sz w:val="18"/>
                <w:szCs w:val="18"/>
              </w:rPr>
              <w:t>polygraphic</w:t>
            </w:r>
            <w:proofErr w:type="spellEnd"/>
            <w:r w:rsidRPr="00934342">
              <w:rPr>
                <w:sz w:val="18"/>
                <w:szCs w:val="18"/>
              </w:rPr>
              <w:t xml:space="preserve"> records are:</w:t>
            </w:r>
          </w:p>
          <w:p w14:paraId="79658AEF" w14:textId="77777777" w:rsidR="005E1CA4" w:rsidRPr="00934342" w:rsidRDefault="005E1CA4" w:rsidP="000A427B">
            <w:pPr>
              <w:pStyle w:val="TableText"/>
              <w:spacing w:before="36" w:after="36"/>
              <w:ind w:left="317"/>
              <w:rPr>
                <w:sz w:val="18"/>
                <w:szCs w:val="18"/>
              </w:rPr>
            </w:pPr>
            <w:r w:rsidRPr="00934342">
              <w:rPr>
                <w:sz w:val="18"/>
                <w:szCs w:val="18"/>
              </w:rPr>
              <w:t>(i) analysed for assessment of sleep stage, arousals, respiratory events, and cardiac abnormalities using manual scoring, or manual correction of computerised scoring in epochs of not more than 1 minute; and</w:t>
            </w:r>
          </w:p>
          <w:p w14:paraId="478FE191" w14:textId="77777777" w:rsidR="005E1CA4" w:rsidRPr="00934342" w:rsidRDefault="005E1CA4" w:rsidP="000A427B">
            <w:pPr>
              <w:pStyle w:val="TableText"/>
              <w:spacing w:after="240"/>
              <w:ind w:left="318"/>
              <w:rPr>
                <w:sz w:val="18"/>
                <w:szCs w:val="18"/>
              </w:rPr>
            </w:pPr>
            <w:r w:rsidRPr="00934342">
              <w:rPr>
                <w:sz w:val="18"/>
                <w:szCs w:val="18"/>
              </w:rPr>
              <w:t>(ii) stored for interpretation and preparation of a report; and</w:t>
            </w:r>
          </w:p>
          <w:p w14:paraId="75CD637F" w14:textId="77777777" w:rsidR="005E1CA4" w:rsidRPr="00934342" w:rsidRDefault="005E1CA4" w:rsidP="000A427B">
            <w:pPr>
              <w:pStyle w:val="TableText"/>
              <w:spacing w:after="240"/>
              <w:rPr>
                <w:sz w:val="18"/>
                <w:szCs w:val="18"/>
              </w:rPr>
            </w:pPr>
            <w:r w:rsidRPr="00934342">
              <w:rPr>
                <w:sz w:val="18"/>
                <w:szCs w:val="18"/>
              </w:rPr>
              <w:t xml:space="preserve">(g) interpretation and preparation of a permanent report is provided by a qualified paediatric sleep medicine specialist who is listed on staff of a paediatric sleep laboratory accredited under the NATA/ASA Sleep Disorders Service Accreditation Program with personal direct review of raw data from the original recording of </w:t>
            </w:r>
            <w:proofErr w:type="spellStart"/>
            <w:r w:rsidRPr="00934342">
              <w:rPr>
                <w:sz w:val="18"/>
                <w:szCs w:val="18"/>
              </w:rPr>
              <w:t>polygraphic</w:t>
            </w:r>
            <w:proofErr w:type="spellEnd"/>
            <w:r w:rsidRPr="00934342">
              <w:rPr>
                <w:sz w:val="18"/>
                <w:szCs w:val="18"/>
              </w:rPr>
              <w:t xml:space="preserve"> data from the patient; and</w:t>
            </w:r>
          </w:p>
          <w:p w14:paraId="636EE796" w14:textId="77777777" w:rsidR="005E1CA4" w:rsidRPr="00934342" w:rsidRDefault="005E1CA4" w:rsidP="000A427B">
            <w:pPr>
              <w:pStyle w:val="TableText"/>
              <w:spacing w:after="240"/>
              <w:rPr>
                <w:sz w:val="18"/>
                <w:szCs w:val="18"/>
              </w:rPr>
            </w:pPr>
            <w:r w:rsidRPr="00934342">
              <w:rPr>
                <w:sz w:val="18"/>
                <w:szCs w:val="18"/>
              </w:rPr>
              <w:t xml:space="preserve">(h) the investigation is not provided to the patient on the same occasion that a service mentioned in any of items 11000, 11003, 11004, 11005, 11503, 11704, 11705, 11707, 11714, 11716, 11717, 11723, 11735 and 12203 </w:t>
            </w:r>
          </w:p>
        </w:tc>
      </w:tr>
      <w:tr w:rsidR="005E1CA4" w:rsidRPr="00934342" w14:paraId="4E96B3CE" w14:textId="77777777" w:rsidTr="000A427B">
        <w:tc>
          <w:tcPr>
            <w:tcW w:w="9016" w:type="dxa"/>
            <w:tcBorders>
              <w:top w:val="nil"/>
              <w:bottom w:val="nil"/>
            </w:tcBorders>
          </w:tcPr>
          <w:p w14:paraId="023BE396" w14:textId="77777777" w:rsidR="005E1CA4" w:rsidRPr="00934342" w:rsidRDefault="005E1CA4" w:rsidP="000A427B">
            <w:pPr>
              <w:pStyle w:val="TableText"/>
              <w:spacing w:before="36" w:after="36"/>
              <w:rPr>
                <w:sz w:val="18"/>
                <w:szCs w:val="18"/>
              </w:rPr>
            </w:pPr>
            <w:r w:rsidRPr="00934342">
              <w:rPr>
                <w:sz w:val="18"/>
                <w:szCs w:val="18"/>
              </w:rPr>
              <w:t>Up to a maximum of 3 sleep study items per patient in any 12-month period from this item and items XXXXX-1, XXXXX</w:t>
            </w:r>
            <w:r w:rsidRPr="00934342">
              <w:rPr>
                <w:sz w:val="18"/>
                <w:szCs w:val="18"/>
              </w:rPr>
              <w:noBreakHyphen/>
              <w:t>2, XXXXX-4, XXXXX-5 and XXXXX-6.</w:t>
            </w:r>
          </w:p>
        </w:tc>
      </w:tr>
      <w:tr w:rsidR="005E1CA4" w:rsidRPr="00934342" w14:paraId="796528F2" w14:textId="77777777" w:rsidTr="000A427B">
        <w:tc>
          <w:tcPr>
            <w:tcW w:w="9016" w:type="dxa"/>
            <w:tcBorders>
              <w:top w:val="nil"/>
              <w:bottom w:val="nil"/>
            </w:tcBorders>
          </w:tcPr>
          <w:p w14:paraId="067CB62A" w14:textId="77777777" w:rsidR="005E1CA4" w:rsidRPr="00934342" w:rsidRDefault="005E1CA4" w:rsidP="000A427B">
            <w:pPr>
              <w:pStyle w:val="TableText"/>
              <w:spacing w:before="36" w:after="36"/>
              <w:rPr>
                <w:sz w:val="18"/>
                <w:szCs w:val="18"/>
              </w:rPr>
            </w:pPr>
            <w:r w:rsidRPr="00934342">
              <w:rPr>
                <w:sz w:val="18"/>
                <w:szCs w:val="18"/>
              </w:rPr>
              <w:t>(See para DN.1.17 of explanatory notes to this Category)</w:t>
            </w:r>
          </w:p>
        </w:tc>
      </w:tr>
      <w:tr w:rsidR="005E1CA4" w:rsidRPr="00934342" w14:paraId="1F8854BD" w14:textId="77777777" w:rsidTr="000A427B">
        <w:tc>
          <w:tcPr>
            <w:tcW w:w="9016" w:type="dxa"/>
            <w:tcBorders>
              <w:top w:val="nil"/>
            </w:tcBorders>
          </w:tcPr>
          <w:p w14:paraId="38E0B4E4" w14:textId="77777777" w:rsidR="005E1CA4" w:rsidRPr="00934342" w:rsidRDefault="005E1CA4" w:rsidP="000A427B">
            <w:pPr>
              <w:pStyle w:val="TableText"/>
              <w:spacing w:before="36" w:after="36"/>
              <w:rPr>
                <w:b/>
                <w:bCs/>
                <w:sz w:val="18"/>
                <w:szCs w:val="18"/>
              </w:rPr>
            </w:pPr>
            <w:r w:rsidRPr="00934342">
              <w:rPr>
                <w:b/>
                <w:bCs/>
                <w:sz w:val="18"/>
                <w:szCs w:val="18"/>
              </w:rPr>
              <w:t>Fee: $284.19</w:t>
            </w:r>
            <w:r w:rsidRPr="00934342">
              <w:rPr>
                <w:b/>
                <w:bCs/>
                <w:sz w:val="18"/>
                <w:szCs w:val="18"/>
              </w:rPr>
              <w:tab/>
              <w:t>Benefit: 75% = $213.14</w:t>
            </w:r>
            <w:r w:rsidRPr="00934342">
              <w:rPr>
                <w:b/>
                <w:bCs/>
                <w:sz w:val="18"/>
                <w:szCs w:val="18"/>
              </w:rPr>
              <w:tab/>
              <w:t>85% = $241.56</w:t>
            </w:r>
          </w:p>
        </w:tc>
      </w:tr>
      <w:tr w:rsidR="005E1CA4" w:rsidRPr="00934342" w14:paraId="269FF339" w14:textId="77777777" w:rsidTr="000A427B">
        <w:tc>
          <w:tcPr>
            <w:tcW w:w="9016" w:type="dxa"/>
            <w:tcBorders>
              <w:bottom w:val="nil"/>
            </w:tcBorders>
          </w:tcPr>
          <w:p w14:paraId="4C279C31" w14:textId="77777777" w:rsidR="005E1CA4" w:rsidRPr="00934342" w:rsidRDefault="005E1CA4" w:rsidP="000A427B">
            <w:pPr>
              <w:pStyle w:val="TableText"/>
              <w:keepNext/>
              <w:spacing w:before="36" w:after="36"/>
              <w:rPr>
                <w:b/>
                <w:bCs/>
                <w:sz w:val="18"/>
                <w:szCs w:val="18"/>
              </w:rPr>
            </w:pPr>
            <w:r w:rsidRPr="00934342">
              <w:rPr>
                <w:b/>
                <w:bCs/>
                <w:sz w:val="18"/>
                <w:szCs w:val="18"/>
              </w:rPr>
              <w:lastRenderedPageBreak/>
              <w:t>MBS item XXXXX-4</w:t>
            </w:r>
          </w:p>
        </w:tc>
      </w:tr>
      <w:tr w:rsidR="005E1CA4" w:rsidRPr="00934342" w14:paraId="7620D522" w14:textId="77777777" w:rsidTr="000A427B">
        <w:tc>
          <w:tcPr>
            <w:tcW w:w="9016" w:type="dxa"/>
            <w:tcBorders>
              <w:top w:val="nil"/>
              <w:bottom w:val="nil"/>
            </w:tcBorders>
          </w:tcPr>
          <w:p w14:paraId="61428901" w14:textId="77777777" w:rsidR="005E1CA4" w:rsidRPr="00934342" w:rsidRDefault="005E1CA4" w:rsidP="000A427B">
            <w:pPr>
              <w:pStyle w:val="TableText"/>
              <w:keepNext/>
              <w:spacing w:after="240"/>
              <w:rPr>
                <w:sz w:val="18"/>
                <w:szCs w:val="18"/>
              </w:rPr>
            </w:pPr>
            <w:r w:rsidRPr="00934342">
              <w:rPr>
                <w:sz w:val="18"/>
                <w:szCs w:val="18"/>
              </w:rPr>
              <w:t>Overnight investigation of sleep for at least 8 hours, for a patient aged at least 12 years but less than 18 years to confirm diagnosis of obstructive sleep apnoea, if:</w:t>
            </w:r>
          </w:p>
          <w:p w14:paraId="508EC726" w14:textId="77777777" w:rsidR="005E1CA4" w:rsidRPr="00934342" w:rsidRDefault="005E1CA4" w:rsidP="000A427B">
            <w:pPr>
              <w:pStyle w:val="TableText"/>
              <w:keepNext/>
              <w:spacing w:before="36" w:after="36"/>
              <w:ind w:left="316" w:hanging="316"/>
              <w:rPr>
                <w:color w:val="0070C0"/>
                <w:sz w:val="18"/>
                <w:szCs w:val="18"/>
                <w:u w:val="single"/>
              </w:rPr>
            </w:pPr>
            <w:r w:rsidRPr="00934342">
              <w:rPr>
                <w:sz w:val="18"/>
                <w:szCs w:val="18"/>
              </w:rPr>
              <w:t xml:space="preserve">(a)  (i) the patient has been referred by a </w:t>
            </w:r>
            <w:r w:rsidRPr="00934342">
              <w:rPr>
                <w:strike/>
                <w:sz w:val="18"/>
                <w:szCs w:val="18"/>
              </w:rPr>
              <w:t>general</w:t>
            </w:r>
            <w:r w:rsidRPr="00934342">
              <w:rPr>
                <w:sz w:val="18"/>
                <w:szCs w:val="18"/>
              </w:rPr>
              <w:t xml:space="preserve"> </w:t>
            </w:r>
            <w:r w:rsidRPr="00934342">
              <w:rPr>
                <w:color w:val="0070C0"/>
                <w:sz w:val="18"/>
                <w:szCs w:val="18"/>
                <w:u w:val="single"/>
              </w:rPr>
              <w:t>medical</w:t>
            </w:r>
            <w:r w:rsidRPr="00934342">
              <w:rPr>
                <w:color w:val="0070C0"/>
                <w:sz w:val="18"/>
                <w:szCs w:val="18"/>
              </w:rPr>
              <w:t xml:space="preserve"> </w:t>
            </w:r>
            <w:r w:rsidRPr="00934342">
              <w:rPr>
                <w:sz w:val="18"/>
                <w:szCs w:val="18"/>
              </w:rPr>
              <w:t xml:space="preserve">practitioner to a qualified paediatric or adult sleep medicine practitioner, </w:t>
            </w:r>
            <w:r w:rsidRPr="00934342">
              <w:rPr>
                <w:strike/>
                <w:sz w:val="18"/>
                <w:szCs w:val="18"/>
              </w:rPr>
              <w:t>who</w:t>
            </w:r>
            <w:r w:rsidRPr="00934342">
              <w:rPr>
                <w:sz w:val="18"/>
                <w:szCs w:val="18"/>
              </w:rPr>
              <w:t xml:space="preserve"> </w:t>
            </w:r>
            <w:r w:rsidRPr="00934342">
              <w:rPr>
                <w:color w:val="0070C0"/>
                <w:sz w:val="18"/>
                <w:szCs w:val="18"/>
                <w:u w:val="single"/>
              </w:rPr>
              <w:t xml:space="preserve">after the medical practitioner </w:t>
            </w:r>
            <w:r w:rsidRPr="00934342">
              <w:rPr>
                <w:sz w:val="18"/>
                <w:szCs w:val="18"/>
              </w:rPr>
              <w:t xml:space="preserve">has determined that the patient has a high probability of </w:t>
            </w:r>
            <w:r w:rsidRPr="00934342">
              <w:rPr>
                <w:strike/>
                <w:sz w:val="18"/>
                <w:szCs w:val="18"/>
              </w:rPr>
              <w:t>symptomatic, moderate to severe obstructive</w:t>
            </w:r>
            <w:r w:rsidRPr="00934342">
              <w:rPr>
                <w:sz w:val="18"/>
                <w:szCs w:val="18"/>
              </w:rPr>
              <w:t xml:space="preserve"> sleep apnoea; and</w:t>
            </w:r>
            <w:r w:rsidRPr="00934342">
              <w:rPr>
                <w:color w:val="0070C0"/>
                <w:sz w:val="18"/>
                <w:szCs w:val="18"/>
                <w:u w:val="single"/>
              </w:rPr>
              <w:t xml:space="preserve"> </w:t>
            </w:r>
          </w:p>
          <w:p w14:paraId="107AEA34" w14:textId="77777777" w:rsidR="005E1CA4" w:rsidRPr="00934342" w:rsidRDefault="005E1CA4" w:rsidP="000A427B">
            <w:pPr>
              <w:pStyle w:val="TableText"/>
              <w:keepNext/>
              <w:spacing w:before="36" w:after="36"/>
              <w:ind w:left="316" w:firstLine="1"/>
              <w:rPr>
                <w:sz w:val="18"/>
                <w:szCs w:val="18"/>
              </w:rPr>
            </w:pPr>
            <w:r w:rsidRPr="00934342">
              <w:rPr>
                <w:color w:val="0070C0"/>
                <w:sz w:val="18"/>
                <w:szCs w:val="18"/>
                <w:u w:val="single"/>
              </w:rPr>
              <w:t>(ii) the patient</w:t>
            </w:r>
            <w:r w:rsidRPr="00934342">
              <w:rPr>
                <w:sz w:val="18"/>
                <w:szCs w:val="18"/>
              </w:rPr>
              <w:t xml:space="preserve"> is </w:t>
            </w:r>
            <w:r w:rsidRPr="00934342">
              <w:rPr>
                <w:strike/>
                <w:sz w:val="18"/>
                <w:szCs w:val="18"/>
              </w:rPr>
              <w:t xml:space="preserve">non </w:t>
            </w:r>
            <w:r w:rsidRPr="00934342">
              <w:rPr>
                <w:color w:val="0070C0"/>
                <w:sz w:val="18"/>
                <w:szCs w:val="18"/>
                <w:u w:val="single"/>
              </w:rPr>
              <w:t>in</w:t>
            </w:r>
            <w:r w:rsidRPr="00934342">
              <w:rPr>
                <w:sz w:val="18"/>
                <w:szCs w:val="18"/>
              </w:rPr>
              <w:t xml:space="preserve">tolerant of head leads when full </w:t>
            </w:r>
            <w:r w:rsidRPr="00934342">
              <w:rPr>
                <w:strike/>
                <w:sz w:val="18"/>
                <w:szCs w:val="18"/>
              </w:rPr>
              <w:t xml:space="preserve">PSG </w:t>
            </w:r>
            <w:r w:rsidRPr="00934342">
              <w:rPr>
                <w:color w:val="0070C0"/>
                <w:sz w:val="18"/>
                <w:szCs w:val="18"/>
                <w:u w:val="single"/>
              </w:rPr>
              <w:t xml:space="preserve">polysomnography is </w:t>
            </w:r>
            <w:r w:rsidRPr="00934342">
              <w:rPr>
                <w:sz w:val="18"/>
                <w:szCs w:val="18"/>
              </w:rPr>
              <w:t>attempted; and</w:t>
            </w:r>
          </w:p>
          <w:p w14:paraId="567787DC" w14:textId="77777777" w:rsidR="005E1CA4" w:rsidRPr="00934342" w:rsidRDefault="005E1CA4" w:rsidP="000A427B">
            <w:pPr>
              <w:pStyle w:val="TableText"/>
              <w:keepNext/>
              <w:spacing w:after="240"/>
              <w:ind w:left="318"/>
              <w:rPr>
                <w:sz w:val="18"/>
                <w:szCs w:val="18"/>
              </w:rPr>
            </w:pPr>
            <w:r w:rsidRPr="00934342">
              <w:rPr>
                <w:sz w:val="18"/>
                <w:szCs w:val="18"/>
              </w:rPr>
              <w:t xml:space="preserve">(ii) following professional attendance </w:t>
            </w:r>
            <w:r w:rsidRPr="00934342">
              <w:rPr>
                <w:strike/>
                <w:sz w:val="18"/>
                <w:szCs w:val="18"/>
              </w:rPr>
              <w:t>of</w:t>
            </w:r>
            <w:r w:rsidRPr="00934342">
              <w:rPr>
                <w:sz w:val="18"/>
                <w:szCs w:val="18"/>
              </w:rPr>
              <w:t xml:space="preserve"> </w:t>
            </w:r>
            <w:r w:rsidRPr="00934342">
              <w:rPr>
                <w:color w:val="0070C0"/>
                <w:sz w:val="18"/>
                <w:szCs w:val="18"/>
                <w:u w:val="single"/>
              </w:rPr>
              <w:t>on</w:t>
            </w:r>
            <w:r w:rsidRPr="00934342">
              <w:rPr>
                <w:color w:val="0070C0"/>
                <w:sz w:val="18"/>
                <w:szCs w:val="18"/>
              </w:rPr>
              <w:t xml:space="preserve"> </w:t>
            </w:r>
            <w:r w:rsidRPr="00934342">
              <w:rPr>
                <w:sz w:val="18"/>
                <w:szCs w:val="18"/>
              </w:rPr>
              <w:t>the patient (either face to face or by video conference) by a qualified paediatric or adult sleep medicine specialist who determines that investigation is necessary to confirm the diagnosis of obstructive sleep apnoea and that an out-of-laboratory setting is appropriate for the sleep study; and</w:t>
            </w:r>
          </w:p>
          <w:p w14:paraId="42A3DAE3" w14:textId="77777777" w:rsidR="005E1CA4" w:rsidRPr="00934342" w:rsidRDefault="005E1CA4" w:rsidP="000A427B">
            <w:pPr>
              <w:pStyle w:val="TableText"/>
              <w:keepNext/>
              <w:spacing w:before="36" w:after="36"/>
              <w:rPr>
                <w:sz w:val="18"/>
                <w:szCs w:val="18"/>
              </w:rPr>
            </w:pPr>
            <w:r w:rsidRPr="00934342">
              <w:rPr>
                <w:sz w:val="18"/>
                <w:szCs w:val="18"/>
              </w:rPr>
              <w:t xml:space="preserve">(b) during a period of sleep, there is continuous monitoring and recording performed in accordance with current professional guidelines, </w:t>
            </w:r>
            <w:r w:rsidRPr="00934342">
              <w:rPr>
                <w:color w:val="0070C0"/>
                <w:sz w:val="18"/>
                <w:szCs w:val="18"/>
                <w:u w:val="single"/>
              </w:rPr>
              <w:t>of</w:t>
            </w:r>
            <w:r w:rsidRPr="00934342">
              <w:rPr>
                <w:sz w:val="18"/>
                <w:szCs w:val="18"/>
              </w:rPr>
              <w:t xml:space="preserve"> a minimum of 4 channels that include the following measures:</w:t>
            </w:r>
          </w:p>
          <w:p w14:paraId="231119BF" w14:textId="77777777" w:rsidR="005E1CA4" w:rsidRPr="00934342" w:rsidRDefault="005E1CA4" w:rsidP="000A427B">
            <w:pPr>
              <w:pStyle w:val="TableText"/>
              <w:keepNext/>
              <w:spacing w:before="36" w:after="36"/>
              <w:ind w:left="316"/>
              <w:rPr>
                <w:sz w:val="18"/>
                <w:szCs w:val="18"/>
              </w:rPr>
            </w:pPr>
            <w:r w:rsidRPr="00934342">
              <w:rPr>
                <w:sz w:val="18"/>
                <w:szCs w:val="18"/>
              </w:rPr>
              <w:t>(i) airflow;</w:t>
            </w:r>
          </w:p>
          <w:p w14:paraId="621581B6" w14:textId="77777777" w:rsidR="005E1CA4" w:rsidRPr="00934342" w:rsidRDefault="005E1CA4" w:rsidP="000A427B">
            <w:pPr>
              <w:pStyle w:val="TableText"/>
              <w:keepNext/>
              <w:spacing w:before="36" w:after="36"/>
              <w:ind w:left="316"/>
              <w:rPr>
                <w:sz w:val="18"/>
                <w:szCs w:val="18"/>
              </w:rPr>
            </w:pPr>
            <w:r w:rsidRPr="00934342">
              <w:rPr>
                <w:sz w:val="18"/>
                <w:szCs w:val="18"/>
              </w:rPr>
              <w:t xml:space="preserve">(v) </w:t>
            </w:r>
            <w:r w:rsidRPr="00934342">
              <w:rPr>
                <w:strike/>
                <w:sz w:val="18"/>
                <w:szCs w:val="18"/>
              </w:rPr>
              <w:t xml:space="preserve">continuous </w:t>
            </w:r>
            <w:r w:rsidRPr="00934342">
              <w:rPr>
                <w:sz w:val="18"/>
                <w:szCs w:val="18"/>
              </w:rPr>
              <w:t>ECG</w:t>
            </w:r>
            <w:r w:rsidRPr="00934342">
              <w:rPr>
                <w:color w:val="0070C0"/>
                <w:sz w:val="18"/>
                <w:szCs w:val="18"/>
                <w:u w:val="single"/>
              </w:rPr>
              <w:t xml:space="preserve"> or heart rate</w:t>
            </w:r>
            <w:r w:rsidRPr="00934342">
              <w:rPr>
                <w:sz w:val="18"/>
                <w:szCs w:val="18"/>
              </w:rPr>
              <w:t>;</w:t>
            </w:r>
          </w:p>
          <w:p w14:paraId="6E1E0E56" w14:textId="77777777" w:rsidR="005E1CA4" w:rsidRPr="00934342" w:rsidRDefault="005E1CA4" w:rsidP="000A427B">
            <w:pPr>
              <w:pStyle w:val="TableText"/>
              <w:keepNext/>
              <w:spacing w:before="36" w:after="36"/>
              <w:ind w:left="316"/>
              <w:rPr>
                <w:sz w:val="18"/>
                <w:szCs w:val="18"/>
              </w:rPr>
            </w:pPr>
            <w:r w:rsidRPr="00934342">
              <w:rPr>
                <w:sz w:val="18"/>
                <w:szCs w:val="18"/>
              </w:rPr>
              <w:t>(vi) oxygen saturation;</w:t>
            </w:r>
          </w:p>
          <w:p w14:paraId="1218F6AD" w14:textId="77777777" w:rsidR="005E1CA4" w:rsidRPr="00934342" w:rsidRDefault="005E1CA4" w:rsidP="000A427B">
            <w:pPr>
              <w:pStyle w:val="TableText"/>
              <w:keepNext/>
              <w:spacing w:before="36" w:after="36"/>
              <w:ind w:left="316"/>
              <w:rPr>
                <w:sz w:val="18"/>
                <w:szCs w:val="18"/>
              </w:rPr>
            </w:pPr>
            <w:r w:rsidRPr="00934342">
              <w:rPr>
                <w:sz w:val="18"/>
                <w:szCs w:val="18"/>
              </w:rPr>
              <w:t>(vii) respiratory effort;</w:t>
            </w:r>
          </w:p>
          <w:p w14:paraId="62BC0105" w14:textId="77777777" w:rsidR="005E1CA4" w:rsidRPr="00934342" w:rsidRDefault="005E1CA4" w:rsidP="000A427B">
            <w:pPr>
              <w:pStyle w:val="TableText"/>
              <w:keepNext/>
              <w:spacing w:after="240"/>
              <w:ind w:left="318"/>
              <w:rPr>
                <w:sz w:val="18"/>
                <w:szCs w:val="18"/>
              </w:rPr>
            </w:pPr>
            <w:r w:rsidRPr="00934342">
              <w:rPr>
                <w:sz w:val="18"/>
                <w:szCs w:val="18"/>
              </w:rPr>
              <w:t>(viii) (optional) measurement of carbon dioxide (either end tidal or transcutaneous);</w:t>
            </w:r>
            <w:r w:rsidRPr="00934342">
              <w:rPr>
                <w:strike/>
                <w:sz w:val="18"/>
                <w:szCs w:val="18"/>
              </w:rPr>
              <w:t xml:space="preserve"> </w:t>
            </w:r>
          </w:p>
          <w:p w14:paraId="6180032B" w14:textId="77777777" w:rsidR="005E1CA4" w:rsidRPr="00934342" w:rsidRDefault="005E1CA4" w:rsidP="000A427B">
            <w:pPr>
              <w:pStyle w:val="TableText"/>
              <w:keepNext/>
              <w:spacing w:after="240"/>
              <w:rPr>
                <w:sz w:val="18"/>
                <w:szCs w:val="18"/>
              </w:rPr>
            </w:pPr>
            <w:r w:rsidRPr="00934342">
              <w:rPr>
                <w:sz w:val="18"/>
                <w:szCs w:val="18"/>
              </w:rPr>
              <w:t xml:space="preserve">(c) the investigation is performed under the supervision of a qualified paediatric or adult sleep medicine practitioner who is on the staff list of a sleep laboratory accredited under the NATA/ASA Sleep Disorders Service Accreditation Program; and </w:t>
            </w:r>
          </w:p>
          <w:p w14:paraId="0706671C" w14:textId="77777777" w:rsidR="005E1CA4" w:rsidRPr="00934342" w:rsidRDefault="005E1CA4" w:rsidP="000A427B">
            <w:pPr>
              <w:pStyle w:val="TableText"/>
              <w:keepNext/>
              <w:spacing w:before="36" w:after="36"/>
              <w:rPr>
                <w:sz w:val="18"/>
                <w:szCs w:val="18"/>
              </w:rPr>
            </w:pPr>
            <w:r w:rsidRPr="00934342">
              <w:rPr>
                <w:sz w:val="18"/>
                <w:szCs w:val="18"/>
              </w:rPr>
              <w:t>(d) either:</w:t>
            </w:r>
          </w:p>
          <w:p w14:paraId="1BAE5286" w14:textId="77777777" w:rsidR="005E1CA4" w:rsidRPr="00934342" w:rsidRDefault="005E1CA4" w:rsidP="000A427B">
            <w:pPr>
              <w:pStyle w:val="TableText"/>
              <w:keepNext/>
              <w:spacing w:before="36" w:after="36"/>
              <w:ind w:left="317"/>
              <w:rPr>
                <w:iCs/>
                <w:sz w:val="18"/>
                <w:szCs w:val="18"/>
              </w:rPr>
            </w:pPr>
            <w:r w:rsidRPr="00934342">
              <w:rPr>
                <w:sz w:val="18"/>
                <w:szCs w:val="18"/>
              </w:rPr>
              <w:t xml:space="preserve">(i) </w:t>
            </w:r>
            <w:r w:rsidRPr="00934342">
              <w:rPr>
                <w:iCs/>
                <w:sz w:val="18"/>
                <w:szCs w:val="18"/>
              </w:rPr>
              <w:t>the equipment is applied to the patient by a sleep technician; or</w:t>
            </w:r>
          </w:p>
          <w:p w14:paraId="09A09EBF" w14:textId="77777777" w:rsidR="005E1CA4" w:rsidRPr="00934342" w:rsidRDefault="005E1CA4" w:rsidP="000A427B">
            <w:pPr>
              <w:pStyle w:val="TableText"/>
              <w:keepNext/>
              <w:spacing w:after="240"/>
              <w:ind w:left="318"/>
              <w:rPr>
                <w:sz w:val="18"/>
                <w:szCs w:val="18"/>
              </w:rPr>
            </w:pPr>
            <w:r w:rsidRPr="00934342">
              <w:rPr>
                <w:sz w:val="18"/>
                <w:szCs w:val="18"/>
              </w:rPr>
              <w:t xml:space="preserve">(ii) if this is not possible – the reason it is not possible for the accredited paediatric or adult sleep laboratory professional to apply the equipment to the patient is documented and a </w:t>
            </w:r>
            <w:r w:rsidRPr="00934342">
              <w:rPr>
                <w:strike/>
                <w:sz w:val="18"/>
                <w:szCs w:val="18"/>
              </w:rPr>
              <w:t xml:space="preserve">health professional </w:t>
            </w:r>
            <w:r w:rsidRPr="00934342">
              <w:rPr>
                <w:color w:val="0070C0"/>
                <w:sz w:val="18"/>
                <w:szCs w:val="18"/>
                <w:u w:val="single"/>
              </w:rPr>
              <w:t>parent or caregiver</w:t>
            </w:r>
            <w:r w:rsidRPr="00934342">
              <w:rPr>
                <w:sz w:val="18"/>
                <w:szCs w:val="18"/>
              </w:rPr>
              <w:t xml:space="preserve"> is given instructions on how to apply the equipment by an </w:t>
            </w:r>
            <w:r w:rsidRPr="00934342">
              <w:rPr>
                <w:strike/>
                <w:sz w:val="18"/>
                <w:szCs w:val="18"/>
              </w:rPr>
              <w:t xml:space="preserve">affiliated </w:t>
            </w:r>
            <w:r w:rsidRPr="00934342">
              <w:rPr>
                <w:sz w:val="18"/>
                <w:szCs w:val="18"/>
              </w:rPr>
              <w:t>accredited sleep laboratory.</w:t>
            </w:r>
          </w:p>
          <w:p w14:paraId="71F6C479" w14:textId="77777777" w:rsidR="005E1CA4" w:rsidRPr="00934342" w:rsidRDefault="005E1CA4" w:rsidP="000A427B">
            <w:pPr>
              <w:pStyle w:val="TableText"/>
              <w:keepNext/>
              <w:spacing w:after="240"/>
              <w:rPr>
                <w:sz w:val="18"/>
                <w:szCs w:val="18"/>
              </w:rPr>
            </w:pPr>
            <w:r w:rsidRPr="00934342">
              <w:rPr>
                <w:sz w:val="18"/>
                <w:szCs w:val="18"/>
              </w:rPr>
              <w:t xml:space="preserve">(e) written instructions are given to parent/caregiver to monitor the </w:t>
            </w:r>
            <w:r w:rsidRPr="00934342">
              <w:rPr>
                <w:strike/>
                <w:sz w:val="18"/>
                <w:szCs w:val="18"/>
              </w:rPr>
              <w:t>child</w:t>
            </w:r>
            <w:r w:rsidRPr="00934342">
              <w:rPr>
                <w:sz w:val="18"/>
                <w:szCs w:val="18"/>
              </w:rPr>
              <w:t xml:space="preserve"> </w:t>
            </w:r>
            <w:r w:rsidRPr="00934342">
              <w:rPr>
                <w:color w:val="0070C0"/>
                <w:sz w:val="18"/>
                <w:szCs w:val="18"/>
                <w:u w:val="single"/>
              </w:rPr>
              <w:t>patient</w:t>
            </w:r>
            <w:r w:rsidRPr="00934342">
              <w:rPr>
                <w:color w:val="0070C0"/>
                <w:sz w:val="18"/>
                <w:szCs w:val="18"/>
              </w:rPr>
              <w:t xml:space="preserve"> </w:t>
            </w:r>
            <w:r w:rsidRPr="00934342">
              <w:rPr>
                <w:sz w:val="18"/>
                <w:szCs w:val="18"/>
              </w:rPr>
              <w:t>overnight and a phone contact or data link to the accredited paediatric or adult sleep laboratory to enable trouble shooting overnight if required; and</w:t>
            </w:r>
          </w:p>
          <w:p w14:paraId="22DC53EA" w14:textId="77777777" w:rsidR="005E1CA4" w:rsidRPr="00934342" w:rsidRDefault="005E1CA4" w:rsidP="000A427B">
            <w:pPr>
              <w:pStyle w:val="TableText"/>
              <w:keepNext/>
              <w:spacing w:before="36" w:after="36"/>
              <w:rPr>
                <w:sz w:val="18"/>
                <w:szCs w:val="18"/>
              </w:rPr>
            </w:pPr>
            <w:r w:rsidRPr="00934342">
              <w:rPr>
                <w:sz w:val="18"/>
                <w:szCs w:val="18"/>
              </w:rPr>
              <w:t xml:space="preserve">(f) </w:t>
            </w:r>
            <w:proofErr w:type="spellStart"/>
            <w:r w:rsidRPr="00934342">
              <w:rPr>
                <w:sz w:val="18"/>
                <w:szCs w:val="18"/>
              </w:rPr>
              <w:t>polygraphic</w:t>
            </w:r>
            <w:proofErr w:type="spellEnd"/>
            <w:r w:rsidRPr="00934342">
              <w:rPr>
                <w:sz w:val="18"/>
                <w:szCs w:val="18"/>
              </w:rPr>
              <w:t xml:space="preserve"> records are:</w:t>
            </w:r>
          </w:p>
          <w:p w14:paraId="798BF885" w14:textId="77777777" w:rsidR="005E1CA4" w:rsidRPr="00934342" w:rsidRDefault="005E1CA4" w:rsidP="000A427B">
            <w:pPr>
              <w:pStyle w:val="TableText"/>
              <w:keepNext/>
              <w:spacing w:before="36" w:after="36"/>
              <w:ind w:left="317"/>
              <w:rPr>
                <w:sz w:val="18"/>
                <w:szCs w:val="18"/>
              </w:rPr>
            </w:pPr>
            <w:r w:rsidRPr="00934342">
              <w:rPr>
                <w:sz w:val="18"/>
                <w:szCs w:val="18"/>
              </w:rPr>
              <w:t>(i) analysed for assessment of sleep stage, arousals, respiratory events, and cardiac abnormalities using manual scoring, or manual correction of computerised scoring in epochs of not more than 1 minute; and</w:t>
            </w:r>
          </w:p>
          <w:p w14:paraId="09C9EF38" w14:textId="77777777" w:rsidR="005E1CA4" w:rsidRPr="00934342" w:rsidRDefault="005E1CA4" w:rsidP="000A427B">
            <w:pPr>
              <w:pStyle w:val="TableText"/>
              <w:keepNext/>
              <w:spacing w:after="240"/>
              <w:ind w:left="318"/>
              <w:rPr>
                <w:sz w:val="18"/>
                <w:szCs w:val="18"/>
              </w:rPr>
            </w:pPr>
            <w:r w:rsidRPr="00934342">
              <w:rPr>
                <w:sz w:val="18"/>
                <w:szCs w:val="18"/>
              </w:rPr>
              <w:t>(ii) stored for interpretation and preparation of a report; and</w:t>
            </w:r>
          </w:p>
          <w:p w14:paraId="22EAF636" w14:textId="77777777" w:rsidR="005E1CA4" w:rsidRPr="00934342" w:rsidRDefault="005E1CA4" w:rsidP="000A427B">
            <w:pPr>
              <w:pStyle w:val="TableText"/>
              <w:keepNext/>
              <w:spacing w:after="240"/>
              <w:rPr>
                <w:sz w:val="18"/>
                <w:szCs w:val="18"/>
              </w:rPr>
            </w:pPr>
            <w:r w:rsidRPr="00934342">
              <w:rPr>
                <w:sz w:val="18"/>
                <w:szCs w:val="18"/>
              </w:rPr>
              <w:t xml:space="preserve">(g) interpretation and preparation of a permanent report is provided by a qualified paediatric or adult sleep medicine specialist who is listed on staff of a sleep laboratory accredited under the NATA/ASA Sleep Disorders Service Accreditation Program with personal direct review of raw data from the original recording of </w:t>
            </w:r>
            <w:proofErr w:type="spellStart"/>
            <w:r w:rsidRPr="00934342">
              <w:rPr>
                <w:sz w:val="18"/>
                <w:szCs w:val="18"/>
              </w:rPr>
              <w:t>polygraphic</w:t>
            </w:r>
            <w:proofErr w:type="spellEnd"/>
            <w:r w:rsidRPr="00934342">
              <w:rPr>
                <w:sz w:val="18"/>
                <w:szCs w:val="18"/>
              </w:rPr>
              <w:t xml:space="preserve"> data from the patient; and</w:t>
            </w:r>
          </w:p>
          <w:p w14:paraId="2AF4384E" w14:textId="77777777" w:rsidR="005E1CA4" w:rsidRPr="00934342" w:rsidRDefault="005E1CA4" w:rsidP="000A427B">
            <w:pPr>
              <w:pStyle w:val="TableText"/>
              <w:keepNext/>
              <w:spacing w:after="240"/>
              <w:rPr>
                <w:sz w:val="18"/>
                <w:szCs w:val="18"/>
              </w:rPr>
            </w:pPr>
            <w:r w:rsidRPr="00934342">
              <w:rPr>
                <w:sz w:val="18"/>
                <w:szCs w:val="18"/>
              </w:rPr>
              <w:t xml:space="preserve">(h) the investigation is not provided to the patient on the same occasion that a service mentioned in any of items 11000, 11003, 11004, 11005, 11503, 11704, 11705, 11707, 11714, 11716, 11717, 11723, 11735 and 12203 </w:t>
            </w:r>
          </w:p>
        </w:tc>
      </w:tr>
      <w:tr w:rsidR="005E1CA4" w:rsidRPr="00934342" w14:paraId="0958623C" w14:textId="77777777" w:rsidTr="000A427B">
        <w:tc>
          <w:tcPr>
            <w:tcW w:w="9016" w:type="dxa"/>
            <w:tcBorders>
              <w:top w:val="nil"/>
              <w:bottom w:val="nil"/>
            </w:tcBorders>
          </w:tcPr>
          <w:p w14:paraId="649D8085" w14:textId="77777777" w:rsidR="005E1CA4" w:rsidRPr="00934342" w:rsidRDefault="005E1CA4" w:rsidP="000A427B">
            <w:pPr>
              <w:pStyle w:val="TableText"/>
              <w:spacing w:before="36" w:after="36"/>
              <w:rPr>
                <w:sz w:val="18"/>
                <w:szCs w:val="18"/>
              </w:rPr>
            </w:pPr>
            <w:r w:rsidRPr="00934342">
              <w:rPr>
                <w:sz w:val="18"/>
                <w:szCs w:val="18"/>
              </w:rPr>
              <w:t>Up to a maximum of 3 sleep study items per patient in any 12-month period from this item and items XXXXX-1, XXXXX</w:t>
            </w:r>
            <w:r w:rsidRPr="00934342">
              <w:rPr>
                <w:sz w:val="18"/>
                <w:szCs w:val="18"/>
              </w:rPr>
              <w:noBreakHyphen/>
              <w:t>2, XXXXX-3, XXXXX-5 and XXXXX-6.</w:t>
            </w:r>
          </w:p>
        </w:tc>
      </w:tr>
      <w:tr w:rsidR="005E1CA4" w:rsidRPr="00934342" w14:paraId="5EFAAE3B" w14:textId="77777777" w:rsidTr="000A427B">
        <w:tc>
          <w:tcPr>
            <w:tcW w:w="9016" w:type="dxa"/>
            <w:tcBorders>
              <w:top w:val="nil"/>
              <w:bottom w:val="nil"/>
            </w:tcBorders>
          </w:tcPr>
          <w:p w14:paraId="1EBD4B33" w14:textId="77777777" w:rsidR="005E1CA4" w:rsidRPr="00934342" w:rsidRDefault="005E1CA4" w:rsidP="000A427B">
            <w:pPr>
              <w:pStyle w:val="TableText"/>
              <w:spacing w:before="36" w:after="36"/>
              <w:rPr>
                <w:sz w:val="18"/>
                <w:szCs w:val="18"/>
              </w:rPr>
            </w:pPr>
            <w:r w:rsidRPr="00934342">
              <w:rPr>
                <w:sz w:val="18"/>
                <w:szCs w:val="18"/>
              </w:rPr>
              <w:t>(See para DN.1.17 of explanatory notes to this Category)</w:t>
            </w:r>
          </w:p>
        </w:tc>
      </w:tr>
      <w:tr w:rsidR="005E1CA4" w:rsidRPr="00934342" w14:paraId="221413C4" w14:textId="77777777" w:rsidTr="000A427B">
        <w:tc>
          <w:tcPr>
            <w:tcW w:w="9016" w:type="dxa"/>
            <w:tcBorders>
              <w:top w:val="nil"/>
            </w:tcBorders>
          </w:tcPr>
          <w:p w14:paraId="51FAEAF1" w14:textId="77777777" w:rsidR="005E1CA4" w:rsidRPr="00934342" w:rsidRDefault="005E1CA4" w:rsidP="000A427B">
            <w:pPr>
              <w:pStyle w:val="TableText"/>
              <w:spacing w:before="36" w:after="36"/>
              <w:rPr>
                <w:b/>
                <w:bCs/>
                <w:sz w:val="18"/>
                <w:szCs w:val="18"/>
              </w:rPr>
            </w:pPr>
            <w:r w:rsidRPr="00934342">
              <w:rPr>
                <w:b/>
                <w:bCs/>
                <w:sz w:val="18"/>
                <w:szCs w:val="18"/>
              </w:rPr>
              <w:t>Fee: $284.19</w:t>
            </w:r>
            <w:r w:rsidRPr="00934342">
              <w:rPr>
                <w:b/>
                <w:bCs/>
                <w:sz w:val="18"/>
                <w:szCs w:val="18"/>
              </w:rPr>
              <w:tab/>
              <w:t>Benefit: 75% = $213.14</w:t>
            </w:r>
            <w:r w:rsidRPr="00934342">
              <w:rPr>
                <w:b/>
                <w:bCs/>
                <w:sz w:val="18"/>
                <w:szCs w:val="18"/>
              </w:rPr>
              <w:tab/>
              <w:t>85% = $241.56</w:t>
            </w:r>
          </w:p>
        </w:tc>
      </w:tr>
    </w:tbl>
    <w:p w14:paraId="77471579" w14:textId="77777777" w:rsidR="005E1CA4" w:rsidRPr="00D30A9B" w:rsidRDefault="005E1CA4" w:rsidP="005E1CA4">
      <w:pPr>
        <w:pStyle w:val="TableFigNoteLast"/>
      </w:pPr>
      <w:r w:rsidRPr="00D30A9B">
        <w:t>ASA = Australasian Sleep Association; CO</w:t>
      </w:r>
      <w:r w:rsidRPr="00266FE6">
        <w:rPr>
          <w:vertAlign w:val="subscript"/>
        </w:rPr>
        <w:t>2</w:t>
      </w:r>
      <w:r w:rsidRPr="00D30A9B">
        <w:t xml:space="preserve"> = carbon dioxide; ECG = electrocardiogram; </w:t>
      </w:r>
      <w:r>
        <w:t xml:space="preserve">MBS = Medical Benefits Schedule; </w:t>
      </w:r>
      <w:r w:rsidRPr="00D30A9B">
        <w:t>NATA = National Association of Testing Authorities</w:t>
      </w:r>
    </w:p>
    <w:p w14:paraId="7D0FC9E6" w14:textId="77777777" w:rsidR="005E1CA4" w:rsidRPr="00FA6183" w:rsidRDefault="005E1CA4" w:rsidP="005E1CA4">
      <w:pPr>
        <w:pStyle w:val="TableFigNoteLast"/>
      </w:pPr>
      <w:r w:rsidRPr="00FA6183">
        <w:t xml:space="preserve">Suggested additions are underlined </w:t>
      </w:r>
      <w:r>
        <w:t xml:space="preserve">in blue text </w:t>
      </w:r>
      <w:r w:rsidRPr="00FA6183">
        <w:t>and deletions are in strikethrough.</w:t>
      </w:r>
    </w:p>
    <w:p w14:paraId="61C18200" w14:textId="77777777" w:rsidR="005E1CA4" w:rsidRPr="0088783A" w:rsidRDefault="005E1CA4" w:rsidP="005E1CA4">
      <w:pPr>
        <w:pStyle w:val="TableFigNoteLast"/>
      </w:pPr>
      <w:r w:rsidRPr="00FA6183">
        <w:t>Source: compiled for this assessment report</w:t>
      </w:r>
      <w:r>
        <w:t>,</w:t>
      </w:r>
      <w:r w:rsidRPr="00FA6183">
        <w:t xml:space="preserve"> adapted from the Ratified </w:t>
      </w:r>
      <w:r>
        <w:t>PICO confirmation</w:t>
      </w:r>
      <w:r w:rsidRPr="00FA6183">
        <w:t xml:space="preserve"> Table 2</w:t>
      </w:r>
      <w:r>
        <w:t>1</w:t>
      </w:r>
      <w:r w:rsidRPr="00FA6183">
        <w:t xml:space="preserve">, Appendix </w:t>
      </w:r>
      <w:r>
        <w:t>E</w:t>
      </w:r>
    </w:p>
    <w:p w14:paraId="57A5272B" w14:textId="3AB1B45C" w:rsidR="005E1CA4" w:rsidRDefault="005E1CA4" w:rsidP="005E1CA4">
      <w:pPr>
        <w:pStyle w:val="Caption"/>
      </w:pPr>
      <w:bookmarkStart w:id="16" w:name="_Ref150163215"/>
      <w:r>
        <w:lastRenderedPageBreak/>
        <w:t xml:space="preserve">Table </w:t>
      </w:r>
      <w:fldSimple w:instr=" SEQ Table \* ARABIC ">
        <w:r>
          <w:rPr>
            <w:noProof/>
          </w:rPr>
          <w:t>5</w:t>
        </w:r>
      </w:fldSimple>
      <w:bookmarkEnd w:id="16"/>
      <w:r>
        <w:tab/>
      </w:r>
      <w:r w:rsidRPr="00CE28E3">
        <w:t>Proposed item descriptor</w:t>
      </w:r>
      <w:r>
        <w:t>s for</w:t>
      </w:r>
      <w:r w:rsidRPr="00CE28E3">
        <w:t xml:space="preserve"> </w:t>
      </w:r>
      <w:r w:rsidRPr="00187898">
        <w:t xml:space="preserve">Level 3 </w:t>
      </w:r>
      <w:r>
        <w:t>CRP for patients on non-invasive ventilation (PICO Set 3</w:t>
      </w:r>
      <w:r w:rsidRPr="00187898">
        <w:t>)</w:t>
      </w:r>
    </w:p>
    <w:tbl>
      <w:tblPr>
        <w:tblStyle w:val="TableGrid"/>
        <w:tblW w:w="0" w:type="auto"/>
        <w:tblLook w:val="04A0" w:firstRow="1" w:lastRow="0" w:firstColumn="1" w:lastColumn="0" w:noHBand="0" w:noVBand="1"/>
        <w:tblCaption w:val="Proposed item descriptors for Level 3 CRP for patients on non-invasive ventilation (PICO Set 3)"/>
        <w:tblDescription w:val="This table presents the proposed MBS item descriptors for the items relevant to PICO Set 3. "/>
      </w:tblPr>
      <w:tblGrid>
        <w:gridCol w:w="9016"/>
      </w:tblGrid>
      <w:tr w:rsidR="005E1CA4" w:rsidRPr="00B600B1" w14:paraId="2976937A" w14:textId="77777777" w:rsidTr="000A427B">
        <w:tc>
          <w:tcPr>
            <w:tcW w:w="9016" w:type="dxa"/>
            <w:tcBorders>
              <w:bottom w:val="nil"/>
            </w:tcBorders>
          </w:tcPr>
          <w:p w14:paraId="75DC8F69" w14:textId="77777777" w:rsidR="005E1CA4" w:rsidRPr="00E962AB" w:rsidRDefault="005E1CA4" w:rsidP="000A427B">
            <w:pPr>
              <w:pStyle w:val="TableText"/>
              <w:keepNext/>
              <w:spacing w:before="36" w:after="36"/>
              <w:jc w:val="right"/>
              <w:rPr>
                <w:b/>
                <w:bCs/>
                <w:sz w:val="18"/>
                <w:szCs w:val="18"/>
              </w:rPr>
            </w:pPr>
            <w:r w:rsidRPr="00E962AB">
              <w:rPr>
                <w:b/>
                <w:bCs/>
                <w:sz w:val="18"/>
                <w:szCs w:val="18"/>
              </w:rPr>
              <w:t>Category 2: Diagnostic Procedures and Investigations</w:t>
            </w:r>
          </w:p>
        </w:tc>
      </w:tr>
      <w:tr w:rsidR="005E1CA4" w:rsidRPr="000534B4" w14:paraId="5590EF4C" w14:textId="77777777" w:rsidTr="000A427B">
        <w:tc>
          <w:tcPr>
            <w:tcW w:w="9016" w:type="dxa"/>
            <w:tcBorders>
              <w:top w:val="nil"/>
              <w:bottom w:val="nil"/>
            </w:tcBorders>
          </w:tcPr>
          <w:p w14:paraId="45046B30" w14:textId="77777777" w:rsidR="005E1CA4" w:rsidRPr="00E962AB" w:rsidRDefault="005E1CA4" w:rsidP="000A427B">
            <w:pPr>
              <w:pStyle w:val="TableText"/>
              <w:keepNext/>
              <w:spacing w:before="36" w:after="36"/>
              <w:jc w:val="right"/>
              <w:rPr>
                <w:b/>
                <w:sz w:val="18"/>
                <w:szCs w:val="18"/>
              </w:rPr>
            </w:pPr>
            <w:r w:rsidRPr="00E962AB">
              <w:rPr>
                <w:b/>
                <w:sz w:val="18"/>
                <w:szCs w:val="18"/>
              </w:rPr>
              <w:t>Group D1. Miscellaneous Diagnostic Procedures And Investigation</w:t>
            </w:r>
          </w:p>
        </w:tc>
      </w:tr>
      <w:tr w:rsidR="005E1CA4" w:rsidRPr="000534B4" w14:paraId="0BF9A04C" w14:textId="77777777" w:rsidTr="000A427B">
        <w:tc>
          <w:tcPr>
            <w:tcW w:w="9016" w:type="dxa"/>
            <w:tcBorders>
              <w:top w:val="nil"/>
              <w:bottom w:val="single" w:sz="4" w:space="0" w:color="auto"/>
            </w:tcBorders>
          </w:tcPr>
          <w:p w14:paraId="34390ECD" w14:textId="77777777" w:rsidR="005E1CA4" w:rsidRPr="00E962AB" w:rsidRDefault="005E1CA4" w:rsidP="000A427B">
            <w:pPr>
              <w:pStyle w:val="TableText"/>
              <w:keepNext/>
              <w:spacing w:before="36" w:after="36"/>
              <w:jc w:val="right"/>
              <w:rPr>
                <w:b/>
                <w:bCs/>
                <w:sz w:val="18"/>
                <w:szCs w:val="18"/>
              </w:rPr>
            </w:pPr>
            <w:r w:rsidRPr="00E962AB">
              <w:rPr>
                <w:b/>
                <w:bCs/>
                <w:sz w:val="18"/>
                <w:szCs w:val="18"/>
              </w:rPr>
              <w:t>Subgroup 10. Other Diagnostic Procedures And Investigations</w:t>
            </w:r>
          </w:p>
        </w:tc>
      </w:tr>
      <w:tr w:rsidR="005E1CA4" w:rsidRPr="000534B4" w14:paraId="1A5E8163" w14:textId="77777777" w:rsidTr="000A427B">
        <w:tc>
          <w:tcPr>
            <w:tcW w:w="9016" w:type="dxa"/>
            <w:tcBorders>
              <w:bottom w:val="nil"/>
            </w:tcBorders>
          </w:tcPr>
          <w:p w14:paraId="02874494" w14:textId="77777777" w:rsidR="005E1CA4" w:rsidRPr="00E962AB" w:rsidRDefault="005E1CA4" w:rsidP="000A427B">
            <w:pPr>
              <w:pStyle w:val="TableText"/>
              <w:keepNext/>
              <w:spacing w:before="36" w:after="36"/>
              <w:rPr>
                <w:b/>
                <w:bCs/>
                <w:sz w:val="18"/>
                <w:szCs w:val="18"/>
              </w:rPr>
            </w:pPr>
            <w:r w:rsidRPr="00E962AB">
              <w:rPr>
                <w:b/>
                <w:bCs/>
                <w:sz w:val="18"/>
                <w:szCs w:val="18"/>
              </w:rPr>
              <w:t>MBS item XXXXX-5</w:t>
            </w:r>
          </w:p>
        </w:tc>
      </w:tr>
      <w:tr w:rsidR="005E1CA4" w14:paraId="35BD2BC9" w14:textId="77777777" w:rsidTr="000A427B">
        <w:tc>
          <w:tcPr>
            <w:tcW w:w="9016" w:type="dxa"/>
            <w:tcBorders>
              <w:top w:val="nil"/>
              <w:bottom w:val="nil"/>
            </w:tcBorders>
          </w:tcPr>
          <w:p w14:paraId="36967F78" w14:textId="77777777" w:rsidR="005E1CA4" w:rsidRPr="00E962AB" w:rsidRDefault="005E1CA4" w:rsidP="000A427B">
            <w:pPr>
              <w:pStyle w:val="TableText"/>
              <w:spacing w:after="240"/>
              <w:rPr>
                <w:sz w:val="18"/>
                <w:szCs w:val="18"/>
              </w:rPr>
            </w:pPr>
            <w:r w:rsidRPr="00E962AB">
              <w:rPr>
                <w:sz w:val="18"/>
                <w:szCs w:val="18"/>
              </w:rPr>
              <w:t>Overnight investigation of sleep for at least 8 hours, for a patient aged at least 3 years but less than 12 years, to</w:t>
            </w:r>
            <w:r w:rsidRPr="00E962AB">
              <w:rPr>
                <w:strike/>
                <w:sz w:val="18"/>
                <w:szCs w:val="18"/>
              </w:rPr>
              <w:t xml:space="preserve"> confirm</w:t>
            </w:r>
            <w:r w:rsidRPr="00E962AB">
              <w:rPr>
                <w:sz w:val="18"/>
                <w:szCs w:val="18"/>
              </w:rPr>
              <w:t xml:space="preserve"> </w:t>
            </w:r>
            <w:r w:rsidRPr="00E962AB">
              <w:rPr>
                <w:color w:val="0070C0"/>
                <w:sz w:val="18"/>
                <w:szCs w:val="18"/>
                <w:u w:val="single"/>
              </w:rPr>
              <w:t>assess</w:t>
            </w:r>
            <w:r w:rsidRPr="00E962AB">
              <w:rPr>
                <w:color w:val="0070C0"/>
                <w:sz w:val="18"/>
                <w:szCs w:val="18"/>
              </w:rPr>
              <w:t xml:space="preserve"> </w:t>
            </w:r>
            <w:r w:rsidRPr="00E962AB">
              <w:rPr>
                <w:sz w:val="18"/>
                <w:szCs w:val="18"/>
              </w:rPr>
              <w:t>adequacy of</w:t>
            </w:r>
            <w:r w:rsidRPr="00E962AB">
              <w:rPr>
                <w:strike/>
                <w:sz w:val="18"/>
                <w:szCs w:val="18"/>
              </w:rPr>
              <w:t xml:space="preserve"> present </w:t>
            </w:r>
            <w:r w:rsidRPr="00E962AB">
              <w:rPr>
                <w:sz w:val="18"/>
                <w:szCs w:val="18"/>
              </w:rPr>
              <w:t>respiratory support for obstructive sleep apnoea, if:</w:t>
            </w:r>
          </w:p>
          <w:p w14:paraId="46A4FA88" w14:textId="77777777" w:rsidR="005E1CA4" w:rsidRPr="00E962AB" w:rsidRDefault="005E1CA4" w:rsidP="000A427B">
            <w:pPr>
              <w:pStyle w:val="TableText"/>
              <w:tabs>
                <w:tab w:val="left" w:pos="310"/>
              </w:tabs>
              <w:spacing w:before="36" w:after="36"/>
              <w:rPr>
                <w:sz w:val="18"/>
                <w:szCs w:val="18"/>
              </w:rPr>
            </w:pPr>
            <w:r w:rsidRPr="00E962AB">
              <w:rPr>
                <w:sz w:val="18"/>
                <w:szCs w:val="18"/>
              </w:rPr>
              <w:t>(a)</w:t>
            </w:r>
            <w:r w:rsidRPr="00E962AB">
              <w:rPr>
                <w:sz w:val="18"/>
                <w:szCs w:val="18"/>
              </w:rPr>
              <w:tab/>
              <w:t>(i)the patient is using Continuous Positive Airway Pressure (CPAP) or other non-invasive ventilation</w:t>
            </w:r>
          </w:p>
          <w:p w14:paraId="422C0860" w14:textId="77777777" w:rsidR="005E1CA4" w:rsidRPr="00E962AB" w:rsidRDefault="005E1CA4" w:rsidP="000A427B">
            <w:pPr>
              <w:pStyle w:val="TableText"/>
              <w:tabs>
                <w:tab w:val="left" w:pos="300"/>
              </w:tabs>
              <w:spacing w:before="36" w:after="36"/>
              <w:ind w:left="310"/>
              <w:rPr>
                <w:sz w:val="18"/>
                <w:szCs w:val="18"/>
              </w:rPr>
            </w:pPr>
            <w:r w:rsidRPr="00E962AB">
              <w:rPr>
                <w:sz w:val="18"/>
                <w:szCs w:val="18"/>
              </w:rPr>
              <w:t xml:space="preserve">(ii) </w:t>
            </w:r>
            <w:r w:rsidRPr="00E962AB">
              <w:rPr>
                <w:strike/>
                <w:sz w:val="18"/>
                <w:szCs w:val="18"/>
              </w:rPr>
              <w:t>the patient has been referred by a medical practitioner to</w:t>
            </w:r>
            <w:r w:rsidRPr="00E962AB">
              <w:rPr>
                <w:sz w:val="18"/>
                <w:szCs w:val="18"/>
              </w:rPr>
              <w:t xml:space="preserve"> a qualified paediatric sleep medicine practitioner has determined that the patient is stable on </w:t>
            </w:r>
            <w:r w:rsidRPr="00E962AB">
              <w:rPr>
                <w:strike/>
                <w:sz w:val="18"/>
                <w:szCs w:val="18"/>
              </w:rPr>
              <w:t>current</w:t>
            </w:r>
            <w:r w:rsidRPr="00E962AB">
              <w:rPr>
                <w:sz w:val="18"/>
                <w:szCs w:val="18"/>
              </w:rPr>
              <w:t xml:space="preserve"> respiratory support for sleep disordered breathing; and </w:t>
            </w:r>
          </w:p>
          <w:p w14:paraId="2E4A23F7" w14:textId="77777777" w:rsidR="005E1CA4" w:rsidRPr="00E962AB" w:rsidRDefault="005E1CA4" w:rsidP="000A427B">
            <w:pPr>
              <w:pStyle w:val="TableText"/>
              <w:tabs>
                <w:tab w:val="left" w:pos="300"/>
              </w:tabs>
              <w:spacing w:after="240"/>
              <w:ind w:left="318"/>
              <w:rPr>
                <w:sz w:val="18"/>
                <w:szCs w:val="18"/>
              </w:rPr>
            </w:pPr>
            <w:r w:rsidRPr="00E962AB">
              <w:rPr>
                <w:sz w:val="18"/>
                <w:szCs w:val="18"/>
              </w:rPr>
              <w:t>(iii) following professional attendance</w:t>
            </w:r>
            <w:r w:rsidRPr="00E962AB">
              <w:rPr>
                <w:strike/>
                <w:sz w:val="18"/>
                <w:szCs w:val="18"/>
              </w:rPr>
              <w:t xml:space="preserve"> of</w:t>
            </w:r>
            <w:r w:rsidRPr="00E962AB">
              <w:rPr>
                <w:sz w:val="18"/>
                <w:szCs w:val="18"/>
              </w:rPr>
              <w:t xml:space="preserve"> </w:t>
            </w:r>
            <w:r w:rsidRPr="00E962AB">
              <w:rPr>
                <w:color w:val="0070C0"/>
                <w:sz w:val="18"/>
                <w:szCs w:val="18"/>
                <w:u w:val="single"/>
              </w:rPr>
              <w:t>on</w:t>
            </w:r>
            <w:r w:rsidRPr="00E962AB">
              <w:rPr>
                <w:sz w:val="18"/>
                <w:szCs w:val="18"/>
              </w:rPr>
              <w:t xml:space="preserve"> the patient (either face to face or by video conference) by a qualified paediatric sleep medicine specialist who determines that investigation is necessary to assess respiratory support </w:t>
            </w:r>
            <w:r w:rsidRPr="00E962AB">
              <w:rPr>
                <w:strike/>
                <w:sz w:val="18"/>
                <w:szCs w:val="18"/>
              </w:rPr>
              <w:t>therapy [CPAP or bilevel]</w:t>
            </w:r>
            <w:r w:rsidRPr="00E962AB">
              <w:rPr>
                <w:sz w:val="18"/>
                <w:szCs w:val="18"/>
              </w:rPr>
              <w:t>; and</w:t>
            </w:r>
          </w:p>
          <w:p w14:paraId="6D529371" w14:textId="77777777" w:rsidR="005E1CA4" w:rsidRPr="00E962AB" w:rsidRDefault="005E1CA4" w:rsidP="000A427B">
            <w:pPr>
              <w:pStyle w:val="TableText"/>
              <w:spacing w:before="36" w:after="36"/>
              <w:rPr>
                <w:sz w:val="18"/>
                <w:szCs w:val="18"/>
              </w:rPr>
            </w:pPr>
            <w:r w:rsidRPr="00E962AB">
              <w:rPr>
                <w:sz w:val="18"/>
                <w:szCs w:val="18"/>
              </w:rPr>
              <w:t>(b) During a period of sleep, there is continuous monitoring and recording, performed in accordance with current professional guidelines, of the following measures:</w:t>
            </w:r>
          </w:p>
          <w:p w14:paraId="13EF58A7" w14:textId="77777777" w:rsidR="005E1CA4" w:rsidRPr="00E962AB" w:rsidRDefault="005E1CA4" w:rsidP="000A427B">
            <w:pPr>
              <w:pStyle w:val="TableText"/>
              <w:spacing w:before="36" w:after="36"/>
              <w:ind w:left="310"/>
              <w:rPr>
                <w:sz w:val="18"/>
                <w:szCs w:val="18"/>
              </w:rPr>
            </w:pPr>
            <w:r w:rsidRPr="00E962AB">
              <w:rPr>
                <w:sz w:val="18"/>
                <w:szCs w:val="18"/>
              </w:rPr>
              <w:t>(i) airflow;</w:t>
            </w:r>
          </w:p>
          <w:p w14:paraId="6028C938" w14:textId="77777777" w:rsidR="005E1CA4" w:rsidRPr="00E962AB" w:rsidRDefault="005E1CA4" w:rsidP="000A427B">
            <w:pPr>
              <w:pStyle w:val="TableText"/>
              <w:spacing w:before="36" w:after="36"/>
              <w:ind w:left="310"/>
              <w:rPr>
                <w:sz w:val="18"/>
                <w:szCs w:val="18"/>
              </w:rPr>
            </w:pPr>
            <w:r w:rsidRPr="00E962AB">
              <w:rPr>
                <w:sz w:val="18"/>
                <w:szCs w:val="18"/>
              </w:rPr>
              <w:t>(ii) oxygen saturation;</w:t>
            </w:r>
          </w:p>
          <w:p w14:paraId="17BC5F49" w14:textId="77777777" w:rsidR="005E1CA4" w:rsidRPr="00E962AB" w:rsidRDefault="005E1CA4" w:rsidP="000A427B">
            <w:pPr>
              <w:pStyle w:val="TableText"/>
              <w:spacing w:before="36" w:after="36"/>
              <w:ind w:left="310"/>
              <w:rPr>
                <w:sz w:val="18"/>
                <w:szCs w:val="18"/>
              </w:rPr>
            </w:pPr>
            <w:r w:rsidRPr="00E962AB">
              <w:rPr>
                <w:sz w:val="18"/>
                <w:szCs w:val="18"/>
              </w:rPr>
              <w:t>(iii) respiratory effort;</w:t>
            </w:r>
          </w:p>
          <w:p w14:paraId="30A02340" w14:textId="77777777" w:rsidR="005E1CA4" w:rsidRPr="00E962AB" w:rsidRDefault="005E1CA4" w:rsidP="000A427B">
            <w:pPr>
              <w:pStyle w:val="TableText"/>
              <w:spacing w:before="36" w:after="36"/>
              <w:ind w:left="310"/>
              <w:rPr>
                <w:sz w:val="18"/>
                <w:szCs w:val="18"/>
              </w:rPr>
            </w:pPr>
            <w:r w:rsidRPr="00E962AB">
              <w:rPr>
                <w:sz w:val="18"/>
                <w:szCs w:val="18"/>
              </w:rPr>
              <w:t>(iv) ECG or heart rate</w:t>
            </w:r>
          </w:p>
          <w:p w14:paraId="0A751CC7" w14:textId="77777777" w:rsidR="005E1CA4" w:rsidRPr="00E962AB" w:rsidRDefault="005E1CA4" w:rsidP="000A427B">
            <w:pPr>
              <w:pStyle w:val="TableText"/>
              <w:spacing w:after="240"/>
              <w:ind w:left="318"/>
              <w:rPr>
                <w:sz w:val="18"/>
                <w:szCs w:val="18"/>
              </w:rPr>
            </w:pPr>
            <w:r w:rsidRPr="00E962AB">
              <w:rPr>
                <w:sz w:val="18"/>
                <w:szCs w:val="18"/>
              </w:rPr>
              <w:t>(v) (optional) measurement of carbon dioxide (either end tidal or transcutaneous);</w:t>
            </w:r>
            <w:r w:rsidRPr="00E962AB">
              <w:rPr>
                <w:strike/>
                <w:sz w:val="18"/>
                <w:szCs w:val="18"/>
              </w:rPr>
              <w:t xml:space="preserve"> </w:t>
            </w:r>
          </w:p>
          <w:p w14:paraId="49DDBF8E" w14:textId="77777777" w:rsidR="005E1CA4" w:rsidRPr="00E962AB" w:rsidRDefault="005E1CA4" w:rsidP="000A427B">
            <w:pPr>
              <w:pStyle w:val="TableText"/>
              <w:spacing w:after="240"/>
              <w:rPr>
                <w:sz w:val="18"/>
                <w:szCs w:val="18"/>
              </w:rPr>
            </w:pPr>
            <w:r w:rsidRPr="00E962AB">
              <w:rPr>
                <w:sz w:val="18"/>
                <w:szCs w:val="18"/>
              </w:rPr>
              <w:t xml:space="preserve">(c) the investigation is performed under the supervision of a qualified paediatric sleep medicine practitioner who is on the staff list of a paediatric sleep laboratory accredited under the NATA/ASA Sleep Disorders Service Accreditation Program; and </w:t>
            </w:r>
          </w:p>
          <w:p w14:paraId="5B0A8C71" w14:textId="77777777" w:rsidR="005E1CA4" w:rsidRPr="00E962AB" w:rsidRDefault="005E1CA4" w:rsidP="000A427B">
            <w:pPr>
              <w:pStyle w:val="TableText"/>
              <w:spacing w:before="36" w:after="36"/>
              <w:rPr>
                <w:sz w:val="18"/>
                <w:szCs w:val="18"/>
              </w:rPr>
            </w:pPr>
            <w:r w:rsidRPr="00E962AB">
              <w:rPr>
                <w:sz w:val="18"/>
                <w:szCs w:val="18"/>
              </w:rPr>
              <w:t>(d) either:</w:t>
            </w:r>
          </w:p>
          <w:p w14:paraId="3EBAAD6F" w14:textId="77777777" w:rsidR="005E1CA4" w:rsidRPr="00E962AB" w:rsidRDefault="005E1CA4" w:rsidP="000A427B">
            <w:pPr>
              <w:pStyle w:val="TableText"/>
              <w:spacing w:before="36" w:after="36"/>
              <w:ind w:left="317"/>
              <w:rPr>
                <w:iCs/>
                <w:sz w:val="18"/>
                <w:szCs w:val="18"/>
              </w:rPr>
            </w:pPr>
            <w:r w:rsidRPr="00E962AB">
              <w:rPr>
                <w:sz w:val="18"/>
                <w:szCs w:val="18"/>
              </w:rPr>
              <w:t xml:space="preserve">(i) </w:t>
            </w:r>
            <w:r w:rsidRPr="00E962AB">
              <w:rPr>
                <w:iCs/>
                <w:sz w:val="18"/>
                <w:szCs w:val="18"/>
              </w:rPr>
              <w:t>the equipment is applied to the patient by a sleep technician; or</w:t>
            </w:r>
          </w:p>
          <w:p w14:paraId="1A9C41C2" w14:textId="77777777" w:rsidR="005E1CA4" w:rsidRPr="00E962AB" w:rsidRDefault="005E1CA4" w:rsidP="000A427B">
            <w:pPr>
              <w:pStyle w:val="TableText"/>
              <w:spacing w:after="240"/>
              <w:ind w:left="318"/>
              <w:rPr>
                <w:sz w:val="18"/>
                <w:szCs w:val="18"/>
              </w:rPr>
            </w:pPr>
            <w:r w:rsidRPr="00E962AB">
              <w:rPr>
                <w:sz w:val="18"/>
                <w:szCs w:val="18"/>
              </w:rPr>
              <w:t xml:space="preserve">(ii) if this is not possible – the reason it is not possible for the accredited paediatric sleep laboratory professional to apply the equipment to the patient is documented and a </w:t>
            </w:r>
            <w:r w:rsidRPr="00E962AB">
              <w:rPr>
                <w:strike/>
                <w:sz w:val="18"/>
                <w:szCs w:val="18"/>
              </w:rPr>
              <w:t xml:space="preserve">health professional </w:t>
            </w:r>
            <w:r w:rsidRPr="00E962AB">
              <w:rPr>
                <w:color w:val="0070C0"/>
                <w:sz w:val="18"/>
                <w:szCs w:val="18"/>
                <w:u w:val="single"/>
              </w:rPr>
              <w:t>parent or caregiver</w:t>
            </w:r>
            <w:r w:rsidRPr="00E962AB">
              <w:rPr>
                <w:sz w:val="18"/>
                <w:szCs w:val="18"/>
              </w:rPr>
              <w:t xml:space="preserve"> is given instructions on how to apply the equipment by an </w:t>
            </w:r>
            <w:r w:rsidRPr="00E962AB">
              <w:rPr>
                <w:strike/>
                <w:sz w:val="18"/>
                <w:szCs w:val="18"/>
              </w:rPr>
              <w:t xml:space="preserve">affiliated </w:t>
            </w:r>
            <w:r w:rsidRPr="00E962AB">
              <w:rPr>
                <w:sz w:val="18"/>
                <w:szCs w:val="18"/>
              </w:rPr>
              <w:t>accredited sleep laboratory.</w:t>
            </w:r>
          </w:p>
          <w:p w14:paraId="77937F6C" w14:textId="77777777" w:rsidR="005E1CA4" w:rsidRPr="00E962AB" w:rsidRDefault="005E1CA4" w:rsidP="000A427B">
            <w:pPr>
              <w:pStyle w:val="TableText"/>
              <w:spacing w:after="240"/>
              <w:rPr>
                <w:sz w:val="18"/>
                <w:szCs w:val="18"/>
              </w:rPr>
            </w:pPr>
            <w:r w:rsidRPr="00E962AB">
              <w:rPr>
                <w:sz w:val="18"/>
                <w:szCs w:val="18"/>
              </w:rPr>
              <w:t xml:space="preserve">(e) written instructions are given to parent/caregiver to monitor the </w:t>
            </w:r>
            <w:r w:rsidRPr="00E962AB">
              <w:rPr>
                <w:strike/>
                <w:sz w:val="18"/>
                <w:szCs w:val="18"/>
              </w:rPr>
              <w:t>child</w:t>
            </w:r>
            <w:r w:rsidRPr="00E962AB">
              <w:rPr>
                <w:sz w:val="18"/>
                <w:szCs w:val="18"/>
              </w:rPr>
              <w:t xml:space="preserve"> </w:t>
            </w:r>
            <w:r w:rsidRPr="00E962AB">
              <w:rPr>
                <w:color w:val="0070C0"/>
                <w:sz w:val="18"/>
                <w:szCs w:val="18"/>
                <w:u w:val="single"/>
              </w:rPr>
              <w:t>patient</w:t>
            </w:r>
            <w:r w:rsidRPr="00E962AB">
              <w:rPr>
                <w:color w:val="0070C0"/>
                <w:sz w:val="18"/>
                <w:szCs w:val="18"/>
              </w:rPr>
              <w:t xml:space="preserve"> </w:t>
            </w:r>
            <w:r w:rsidRPr="00E962AB">
              <w:rPr>
                <w:sz w:val="18"/>
                <w:szCs w:val="18"/>
              </w:rPr>
              <w:t>overnight and a phone contact or data link to the accredited paediatric sleep laboratory to enable trouble shooting overnight if required; and</w:t>
            </w:r>
          </w:p>
          <w:p w14:paraId="708C4B2A" w14:textId="77777777" w:rsidR="005E1CA4" w:rsidRPr="00E962AB" w:rsidRDefault="005E1CA4" w:rsidP="000A427B">
            <w:pPr>
              <w:pStyle w:val="TableText"/>
              <w:spacing w:before="36" w:after="36"/>
              <w:rPr>
                <w:sz w:val="18"/>
                <w:szCs w:val="18"/>
              </w:rPr>
            </w:pPr>
            <w:r w:rsidRPr="00E962AB">
              <w:rPr>
                <w:sz w:val="18"/>
                <w:szCs w:val="18"/>
              </w:rPr>
              <w:t xml:space="preserve">(f) </w:t>
            </w:r>
            <w:proofErr w:type="spellStart"/>
            <w:r w:rsidRPr="00E962AB">
              <w:rPr>
                <w:sz w:val="18"/>
                <w:szCs w:val="18"/>
              </w:rPr>
              <w:t>polygraphic</w:t>
            </w:r>
            <w:proofErr w:type="spellEnd"/>
            <w:r w:rsidRPr="00E962AB">
              <w:rPr>
                <w:sz w:val="18"/>
                <w:szCs w:val="18"/>
              </w:rPr>
              <w:t xml:space="preserve"> records are:</w:t>
            </w:r>
          </w:p>
          <w:p w14:paraId="512C910E" w14:textId="77777777" w:rsidR="005E1CA4" w:rsidRPr="00E962AB" w:rsidRDefault="005E1CA4" w:rsidP="000A427B">
            <w:pPr>
              <w:pStyle w:val="TableText"/>
              <w:spacing w:before="36" w:after="36"/>
              <w:ind w:left="317"/>
              <w:rPr>
                <w:sz w:val="18"/>
                <w:szCs w:val="18"/>
              </w:rPr>
            </w:pPr>
            <w:r w:rsidRPr="00E962AB">
              <w:rPr>
                <w:sz w:val="18"/>
                <w:szCs w:val="18"/>
              </w:rPr>
              <w:t>(i) analysed for assessment of sleep stage, arousals, respiratory events, and cardiac abnormalities using manual scoring, or manual correction of computerised scoring in epochs of not more than 1 minute; and</w:t>
            </w:r>
          </w:p>
          <w:p w14:paraId="35C5973C" w14:textId="77777777" w:rsidR="005E1CA4" w:rsidRPr="00E962AB" w:rsidRDefault="005E1CA4" w:rsidP="000A427B">
            <w:pPr>
              <w:pStyle w:val="TableText"/>
              <w:spacing w:after="240"/>
              <w:ind w:left="318"/>
              <w:rPr>
                <w:sz w:val="18"/>
                <w:szCs w:val="18"/>
              </w:rPr>
            </w:pPr>
            <w:r w:rsidRPr="00E962AB">
              <w:rPr>
                <w:sz w:val="18"/>
                <w:szCs w:val="18"/>
              </w:rPr>
              <w:t>(ii) stored for interpretation and preparation of a report; and</w:t>
            </w:r>
          </w:p>
          <w:p w14:paraId="7847A7C5" w14:textId="77777777" w:rsidR="005E1CA4" w:rsidRPr="00E962AB" w:rsidRDefault="005E1CA4" w:rsidP="000A427B">
            <w:pPr>
              <w:pStyle w:val="TableText"/>
              <w:spacing w:after="240"/>
              <w:rPr>
                <w:sz w:val="18"/>
                <w:szCs w:val="18"/>
              </w:rPr>
            </w:pPr>
            <w:r w:rsidRPr="00E962AB">
              <w:rPr>
                <w:sz w:val="18"/>
                <w:szCs w:val="18"/>
              </w:rPr>
              <w:t xml:space="preserve">(g) interpretation and preparation of a permanent report is provided by a qualified paediatric sleep medicine specialist who is listed on staff of a paediatric sleep laboratory accredited under the NATA/ASA Sleep Disorders Service Accreditation Program with personal direct review of raw data from the original recording of </w:t>
            </w:r>
            <w:proofErr w:type="spellStart"/>
            <w:r w:rsidRPr="00E962AB">
              <w:rPr>
                <w:sz w:val="18"/>
                <w:szCs w:val="18"/>
              </w:rPr>
              <w:t>polygraphic</w:t>
            </w:r>
            <w:proofErr w:type="spellEnd"/>
            <w:r w:rsidRPr="00E962AB">
              <w:rPr>
                <w:sz w:val="18"/>
                <w:szCs w:val="18"/>
              </w:rPr>
              <w:t xml:space="preserve"> data from the patient; and</w:t>
            </w:r>
          </w:p>
          <w:p w14:paraId="6FFC1BA3" w14:textId="77777777" w:rsidR="005E1CA4" w:rsidRPr="00E962AB" w:rsidRDefault="005E1CA4" w:rsidP="000A427B">
            <w:pPr>
              <w:pStyle w:val="TableText"/>
              <w:spacing w:after="240"/>
              <w:rPr>
                <w:sz w:val="18"/>
                <w:szCs w:val="18"/>
              </w:rPr>
            </w:pPr>
            <w:r w:rsidRPr="00E962AB">
              <w:rPr>
                <w:sz w:val="18"/>
                <w:szCs w:val="18"/>
              </w:rPr>
              <w:t xml:space="preserve">(h) the investigation is not provided to the patient on the same occasion that a service mentioned in any of items 11000, 11003, 11004, 11005, 11503, 11704, 11705, 11707, 11714, 11716, 11717, 11723, 11735 and 12203 </w:t>
            </w:r>
          </w:p>
        </w:tc>
      </w:tr>
      <w:tr w:rsidR="005E1CA4" w14:paraId="46CC0807" w14:textId="77777777" w:rsidTr="000A427B">
        <w:tc>
          <w:tcPr>
            <w:tcW w:w="9016" w:type="dxa"/>
            <w:tcBorders>
              <w:top w:val="nil"/>
              <w:bottom w:val="nil"/>
            </w:tcBorders>
          </w:tcPr>
          <w:p w14:paraId="35458354" w14:textId="77777777" w:rsidR="005E1CA4" w:rsidRPr="00E962AB" w:rsidRDefault="005E1CA4" w:rsidP="000A427B">
            <w:pPr>
              <w:pStyle w:val="TableText"/>
              <w:spacing w:after="240"/>
              <w:rPr>
                <w:sz w:val="18"/>
                <w:szCs w:val="18"/>
              </w:rPr>
            </w:pPr>
            <w:r w:rsidRPr="00E962AB">
              <w:rPr>
                <w:sz w:val="18"/>
                <w:szCs w:val="18"/>
              </w:rPr>
              <w:t>Up to a maximum of 3 sleep study items per patient in any 12-month period from this item and items XXXXX-1, XXXXX</w:t>
            </w:r>
            <w:r w:rsidRPr="00E962AB">
              <w:rPr>
                <w:sz w:val="18"/>
                <w:szCs w:val="18"/>
              </w:rPr>
              <w:noBreakHyphen/>
              <w:t>2, XXXXX</w:t>
            </w:r>
            <w:r w:rsidRPr="00E962AB">
              <w:rPr>
                <w:sz w:val="18"/>
                <w:szCs w:val="18"/>
              </w:rPr>
              <w:noBreakHyphen/>
              <w:t>3, XXXXX-4 and XXXXX-6.</w:t>
            </w:r>
          </w:p>
        </w:tc>
      </w:tr>
      <w:tr w:rsidR="005E1CA4" w14:paraId="31D33B57" w14:textId="77777777" w:rsidTr="000A427B">
        <w:tc>
          <w:tcPr>
            <w:tcW w:w="9016" w:type="dxa"/>
            <w:tcBorders>
              <w:top w:val="nil"/>
              <w:bottom w:val="nil"/>
            </w:tcBorders>
          </w:tcPr>
          <w:p w14:paraId="1C5CDE92" w14:textId="77777777" w:rsidR="005E1CA4" w:rsidRPr="00E962AB" w:rsidRDefault="005E1CA4" w:rsidP="000A427B">
            <w:pPr>
              <w:pStyle w:val="TableText"/>
              <w:spacing w:before="36" w:after="36"/>
              <w:rPr>
                <w:sz w:val="18"/>
                <w:szCs w:val="18"/>
              </w:rPr>
            </w:pPr>
            <w:r w:rsidRPr="00E962AB">
              <w:rPr>
                <w:sz w:val="18"/>
                <w:szCs w:val="18"/>
              </w:rPr>
              <w:t>(See para DN.1.17 of explanatory notes to this Category)</w:t>
            </w:r>
          </w:p>
        </w:tc>
      </w:tr>
      <w:tr w:rsidR="005E1CA4" w:rsidRPr="001E7C18" w14:paraId="60637F4F" w14:textId="77777777" w:rsidTr="000A427B">
        <w:tc>
          <w:tcPr>
            <w:tcW w:w="9016" w:type="dxa"/>
            <w:tcBorders>
              <w:top w:val="nil"/>
              <w:bottom w:val="single" w:sz="4" w:space="0" w:color="auto"/>
            </w:tcBorders>
          </w:tcPr>
          <w:p w14:paraId="0F984A35" w14:textId="77777777" w:rsidR="005E1CA4" w:rsidRPr="00E962AB" w:rsidRDefault="005E1CA4" w:rsidP="000A427B">
            <w:pPr>
              <w:pStyle w:val="TableText"/>
              <w:spacing w:before="36" w:after="36"/>
              <w:rPr>
                <w:b/>
                <w:bCs/>
                <w:sz w:val="18"/>
                <w:szCs w:val="18"/>
              </w:rPr>
            </w:pPr>
            <w:r w:rsidRPr="00E962AB">
              <w:rPr>
                <w:b/>
                <w:bCs/>
                <w:sz w:val="18"/>
                <w:szCs w:val="18"/>
              </w:rPr>
              <w:t>Fee: $284.19</w:t>
            </w:r>
            <w:r w:rsidRPr="00E962AB">
              <w:rPr>
                <w:b/>
                <w:bCs/>
                <w:sz w:val="18"/>
                <w:szCs w:val="18"/>
              </w:rPr>
              <w:tab/>
              <w:t>Benefit: 75% = $213.14</w:t>
            </w:r>
            <w:r w:rsidRPr="00E962AB">
              <w:rPr>
                <w:b/>
                <w:bCs/>
                <w:sz w:val="18"/>
                <w:szCs w:val="18"/>
              </w:rPr>
              <w:tab/>
              <w:t>85% = $241.56</w:t>
            </w:r>
          </w:p>
        </w:tc>
      </w:tr>
      <w:tr w:rsidR="005E1CA4" w:rsidRPr="000534B4" w14:paraId="05BB7187" w14:textId="77777777" w:rsidTr="000A427B">
        <w:tc>
          <w:tcPr>
            <w:tcW w:w="9016" w:type="dxa"/>
            <w:tcBorders>
              <w:bottom w:val="nil"/>
            </w:tcBorders>
          </w:tcPr>
          <w:p w14:paraId="6417F268" w14:textId="77777777" w:rsidR="005E1CA4" w:rsidRPr="00E962AB" w:rsidRDefault="005E1CA4" w:rsidP="000A427B">
            <w:pPr>
              <w:pStyle w:val="TableText"/>
              <w:keepNext/>
              <w:spacing w:before="36" w:after="36"/>
              <w:rPr>
                <w:b/>
                <w:bCs/>
                <w:sz w:val="18"/>
                <w:szCs w:val="18"/>
              </w:rPr>
            </w:pPr>
            <w:r w:rsidRPr="00E962AB">
              <w:rPr>
                <w:b/>
                <w:bCs/>
                <w:sz w:val="18"/>
                <w:szCs w:val="18"/>
              </w:rPr>
              <w:lastRenderedPageBreak/>
              <w:t>MBS item XXXXX-6</w:t>
            </w:r>
          </w:p>
        </w:tc>
      </w:tr>
      <w:tr w:rsidR="005E1CA4" w14:paraId="29E87700" w14:textId="77777777" w:rsidTr="000A427B">
        <w:tc>
          <w:tcPr>
            <w:tcW w:w="9016" w:type="dxa"/>
            <w:tcBorders>
              <w:top w:val="nil"/>
              <w:bottom w:val="nil"/>
            </w:tcBorders>
          </w:tcPr>
          <w:p w14:paraId="02FEF12F" w14:textId="77777777" w:rsidR="005E1CA4" w:rsidRPr="00E962AB" w:rsidRDefault="005E1CA4" w:rsidP="000A427B">
            <w:pPr>
              <w:pStyle w:val="TableText"/>
              <w:keepNext/>
              <w:spacing w:after="240"/>
              <w:rPr>
                <w:sz w:val="18"/>
                <w:szCs w:val="18"/>
              </w:rPr>
            </w:pPr>
            <w:r w:rsidRPr="00E962AB">
              <w:rPr>
                <w:sz w:val="18"/>
                <w:szCs w:val="18"/>
              </w:rPr>
              <w:t>Overnight investigation of sleep for at least 8 hours, for a patient aged at least 12 years but less than 18 years, to</w:t>
            </w:r>
            <w:r w:rsidRPr="00E962AB">
              <w:rPr>
                <w:strike/>
                <w:sz w:val="18"/>
                <w:szCs w:val="18"/>
              </w:rPr>
              <w:t xml:space="preserve"> confirm</w:t>
            </w:r>
            <w:r w:rsidRPr="00E962AB">
              <w:rPr>
                <w:sz w:val="18"/>
                <w:szCs w:val="18"/>
              </w:rPr>
              <w:t xml:space="preserve"> </w:t>
            </w:r>
            <w:r w:rsidRPr="00E962AB">
              <w:rPr>
                <w:color w:val="0070C0"/>
                <w:sz w:val="18"/>
                <w:szCs w:val="18"/>
                <w:u w:val="single"/>
              </w:rPr>
              <w:t>assess</w:t>
            </w:r>
            <w:r w:rsidRPr="00E962AB">
              <w:rPr>
                <w:sz w:val="18"/>
                <w:szCs w:val="18"/>
              </w:rPr>
              <w:t xml:space="preserve"> adequacy of</w:t>
            </w:r>
            <w:r w:rsidRPr="00E962AB">
              <w:rPr>
                <w:strike/>
                <w:sz w:val="18"/>
                <w:szCs w:val="18"/>
              </w:rPr>
              <w:t xml:space="preserve"> present</w:t>
            </w:r>
            <w:r w:rsidRPr="00E962AB">
              <w:rPr>
                <w:sz w:val="18"/>
                <w:szCs w:val="18"/>
              </w:rPr>
              <w:t xml:space="preserve"> respiratory support for obstructive sleep apnoea, if:</w:t>
            </w:r>
          </w:p>
          <w:p w14:paraId="097740D7" w14:textId="77777777" w:rsidR="005E1CA4" w:rsidRPr="00E962AB" w:rsidRDefault="005E1CA4" w:rsidP="000A427B">
            <w:pPr>
              <w:pStyle w:val="TableText"/>
              <w:keepNext/>
              <w:tabs>
                <w:tab w:val="left" w:pos="310"/>
              </w:tabs>
              <w:spacing w:before="36" w:after="36"/>
              <w:rPr>
                <w:sz w:val="18"/>
                <w:szCs w:val="18"/>
              </w:rPr>
            </w:pPr>
            <w:r w:rsidRPr="00E962AB">
              <w:rPr>
                <w:sz w:val="18"/>
                <w:szCs w:val="18"/>
              </w:rPr>
              <w:t>(a)</w:t>
            </w:r>
            <w:r w:rsidRPr="00E962AB">
              <w:rPr>
                <w:sz w:val="18"/>
                <w:szCs w:val="18"/>
              </w:rPr>
              <w:tab/>
              <w:t>(i)the patient is using Continuous Positive Airway Pressure (CPAP) or other non-invasive ventilation</w:t>
            </w:r>
          </w:p>
          <w:p w14:paraId="3EFF2464" w14:textId="77777777" w:rsidR="005E1CA4" w:rsidRPr="00E962AB" w:rsidRDefault="005E1CA4" w:rsidP="000A427B">
            <w:pPr>
              <w:pStyle w:val="TableText"/>
              <w:keepNext/>
              <w:tabs>
                <w:tab w:val="left" w:pos="300"/>
              </w:tabs>
              <w:spacing w:before="36" w:after="36"/>
              <w:ind w:left="310"/>
              <w:rPr>
                <w:sz w:val="18"/>
                <w:szCs w:val="18"/>
              </w:rPr>
            </w:pPr>
            <w:r w:rsidRPr="00E962AB">
              <w:rPr>
                <w:sz w:val="18"/>
                <w:szCs w:val="18"/>
              </w:rPr>
              <w:t xml:space="preserve">(ii) </w:t>
            </w:r>
            <w:r w:rsidRPr="00E962AB">
              <w:rPr>
                <w:strike/>
                <w:sz w:val="18"/>
                <w:szCs w:val="18"/>
              </w:rPr>
              <w:t>the patient has been referred by a medical practitioner to</w:t>
            </w:r>
            <w:r w:rsidRPr="00E962AB">
              <w:rPr>
                <w:sz w:val="18"/>
                <w:szCs w:val="18"/>
              </w:rPr>
              <w:t xml:space="preserve"> a qualified paediatric or adult sleep medicine practitioner has determined that the patient is stable on current respiratory support for sleep disordered breathing; and </w:t>
            </w:r>
          </w:p>
          <w:p w14:paraId="5D23E835" w14:textId="77777777" w:rsidR="005E1CA4" w:rsidRPr="00E962AB" w:rsidRDefault="005E1CA4" w:rsidP="000A427B">
            <w:pPr>
              <w:pStyle w:val="TableText"/>
              <w:keepNext/>
              <w:tabs>
                <w:tab w:val="left" w:pos="300"/>
              </w:tabs>
              <w:spacing w:after="240"/>
              <w:ind w:left="318"/>
              <w:rPr>
                <w:sz w:val="18"/>
                <w:szCs w:val="18"/>
              </w:rPr>
            </w:pPr>
            <w:r w:rsidRPr="00E962AB">
              <w:rPr>
                <w:sz w:val="18"/>
                <w:szCs w:val="18"/>
              </w:rPr>
              <w:t>(iii) following professional attendance</w:t>
            </w:r>
            <w:r w:rsidRPr="00E962AB">
              <w:rPr>
                <w:strike/>
                <w:sz w:val="18"/>
                <w:szCs w:val="18"/>
              </w:rPr>
              <w:t xml:space="preserve"> of</w:t>
            </w:r>
            <w:r w:rsidRPr="00E962AB">
              <w:rPr>
                <w:sz w:val="18"/>
                <w:szCs w:val="18"/>
              </w:rPr>
              <w:t xml:space="preserve"> </w:t>
            </w:r>
            <w:r w:rsidRPr="00E962AB">
              <w:rPr>
                <w:color w:val="0070C0"/>
                <w:sz w:val="18"/>
                <w:szCs w:val="18"/>
                <w:u w:val="single"/>
              </w:rPr>
              <w:t>on</w:t>
            </w:r>
            <w:r w:rsidRPr="00E962AB">
              <w:rPr>
                <w:sz w:val="18"/>
                <w:szCs w:val="18"/>
              </w:rPr>
              <w:t xml:space="preserve"> the patient (either face to face or by video conference) by a qualified paediatric or adult sleep medicine specialist who determines that investigation is necessary to assess respiratory support </w:t>
            </w:r>
            <w:r w:rsidRPr="00E962AB">
              <w:rPr>
                <w:strike/>
                <w:sz w:val="18"/>
                <w:szCs w:val="18"/>
              </w:rPr>
              <w:t>therapy [CPAP or bilevel]</w:t>
            </w:r>
            <w:r w:rsidRPr="00E962AB">
              <w:rPr>
                <w:sz w:val="18"/>
                <w:szCs w:val="18"/>
              </w:rPr>
              <w:t>; and</w:t>
            </w:r>
          </w:p>
          <w:p w14:paraId="45902CA5" w14:textId="77777777" w:rsidR="005E1CA4" w:rsidRPr="00E962AB" w:rsidRDefault="005E1CA4" w:rsidP="000A427B">
            <w:pPr>
              <w:pStyle w:val="TableText"/>
              <w:keepNext/>
              <w:spacing w:before="36" w:after="36"/>
              <w:rPr>
                <w:sz w:val="18"/>
                <w:szCs w:val="18"/>
              </w:rPr>
            </w:pPr>
            <w:r w:rsidRPr="00E962AB">
              <w:rPr>
                <w:sz w:val="18"/>
                <w:szCs w:val="18"/>
              </w:rPr>
              <w:t>(b) During a period of sleep, there is continuous monitoring and recording, performed in accordance with current professional guidelines, of the following measures:</w:t>
            </w:r>
          </w:p>
          <w:p w14:paraId="470D854A" w14:textId="77777777" w:rsidR="005E1CA4" w:rsidRPr="00E962AB" w:rsidRDefault="005E1CA4" w:rsidP="000A427B">
            <w:pPr>
              <w:pStyle w:val="TableText"/>
              <w:keepNext/>
              <w:spacing w:before="36" w:after="36"/>
              <w:ind w:left="310"/>
              <w:rPr>
                <w:sz w:val="18"/>
                <w:szCs w:val="18"/>
              </w:rPr>
            </w:pPr>
            <w:r w:rsidRPr="00E962AB">
              <w:rPr>
                <w:sz w:val="18"/>
                <w:szCs w:val="18"/>
              </w:rPr>
              <w:t>(i) airflow;</w:t>
            </w:r>
          </w:p>
          <w:p w14:paraId="6CBF4F6E" w14:textId="77777777" w:rsidR="005E1CA4" w:rsidRPr="00E962AB" w:rsidRDefault="005E1CA4" w:rsidP="000A427B">
            <w:pPr>
              <w:pStyle w:val="TableText"/>
              <w:keepNext/>
              <w:spacing w:before="36" w:after="36"/>
              <w:ind w:left="310"/>
              <w:rPr>
                <w:sz w:val="18"/>
                <w:szCs w:val="18"/>
              </w:rPr>
            </w:pPr>
            <w:r w:rsidRPr="00E962AB">
              <w:rPr>
                <w:sz w:val="18"/>
                <w:szCs w:val="18"/>
              </w:rPr>
              <w:t>(ii) oxygen saturation;</w:t>
            </w:r>
          </w:p>
          <w:p w14:paraId="02573037" w14:textId="77777777" w:rsidR="005E1CA4" w:rsidRPr="00E962AB" w:rsidRDefault="005E1CA4" w:rsidP="000A427B">
            <w:pPr>
              <w:pStyle w:val="TableText"/>
              <w:keepNext/>
              <w:spacing w:before="36" w:after="36"/>
              <w:ind w:left="310"/>
              <w:rPr>
                <w:sz w:val="18"/>
                <w:szCs w:val="18"/>
              </w:rPr>
            </w:pPr>
            <w:r w:rsidRPr="00E962AB">
              <w:rPr>
                <w:sz w:val="18"/>
                <w:szCs w:val="18"/>
              </w:rPr>
              <w:t>(iii) respiratory effort;</w:t>
            </w:r>
          </w:p>
          <w:p w14:paraId="65E16E31" w14:textId="77777777" w:rsidR="005E1CA4" w:rsidRPr="00E962AB" w:rsidRDefault="005E1CA4" w:rsidP="000A427B">
            <w:pPr>
              <w:pStyle w:val="TableText"/>
              <w:keepNext/>
              <w:spacing w:before="36" w:after="36"/>
              <w:ind w:left="310"/>
              <w:rPr>
                <w:sz w:val="18"/>
                <w:szCs w:val="18"/>
              </w:rPr>
            </w:pPr>
            <w:r w:rsidRPr="00E962AB">
              <w:rPr>
                <w:sz w:val="18"/>
                <w:szCs w:val="18"/>
              </w:rPr>
              <w:t>(iv) ECG or heart rate</w:t>
            </w:r>
          </w:p>
          <w:p w14:paraId="144D4132" w14:textId="77777777" w:rsidR="005E1CA4" w:rsidRPr="00E962AB" w:rsidRDefault="005E1CA4" w:rsidP="000A427B">
            <w:pPr>
              <w:pStyle w:val="TableText"/>
              <w:keepNext/>
              <w:spacing w:after="240"/>
              <w:ind w:left="318"/>
              <w:rPr>
                <w:sz w:val="18"/>
                <w:szCs w:val="18"/>
              </w:rPr>
            </w:pPr>
            <w:r w:rsidRPr="00E962AB">
              <w:rPr>
                <w:sz w:val="18"/>
                <w:szCs w:val="18"/>
              </w:rPr>
              <w:t>(v) (optional) measurement of carbon dioxide (either end tidal or transcutaneous);</w:t>
            </w:r>
            <w:r w:rsidRPr="00E962AB">
              <w:rPr>
                <w:strike/>
                <w:sz w:val="18"/>
                <w:szCs w:val="18"/>
              </w:rPr>
              <w:t xml:space="preserve"> </w:t>
            </w:r>
          </w:p>
          <w:p w14:paraId="72CADB26" w14:textId="77777777" w:rsidR="005E1CA4" w:rsidRPr="00E962AB" w:rsidRDefault="005E1CA4" w:rsidP="000A427B">
            <w:pPr>
              <w:pStyle w:val="TableText"/>
              <w:keepNext/>
              <w:spacing w:after="240"/>
              <w:rPr>
                <w:sz w:val="18"/>
                <w:szCs w:val="18"/>
              </w:rPr>
            </w:pPr>
            <w:r w:rsidRPr="00E962AB">
              <w:rPr>
                <w:sz w:val="18"/>
                <w:szCs w:val="18"/>
              </w:rPr>
              <w:t xml:space="preserve">(c) the investigation is performed under the supervision of a qualified paediatric or adult sleep medicine practitioner who is on the staff list of a sleep laboratory accredited under the NATA/ASA Sleep Disorders Service Accreditation Program; and </w:t>
            </w:r>
          </w:p>
          <w:p w14:paraId="6B4645A6" w14:textId="77777777" w:rsidR="005E1CA4" w:rsidRPr="00E962AB" w:rsidRDefault="005E1CA4" w:rsidP="000A427B">
            <w:pPr>
              <w:pStyle w:val="TableText"/>
              <w:keepNext/>
              <w:spacing w:before="36" w:after="36"/>
              <w:rPr>
                <w:sz w:val="18"/>
                <w:szCs w:val="18"/>
              </w:rPr>
            </w:pPr>
            <w:r w:rsidRPr="00E962AB">
              <w:rPr>
                <w:sz w:val="18"/>
                <w:szCs w:val="18"/>
              </w:rPr>
              <w:t>(d) either:</w:t>
            </w:r>
          </w:p>
          <w:p w14:paraId="01EAF376" w14:textId="77777777" w:rsidR="005E1CA4" w:rsidRPr="00E962AB" w:rsidRDefault="005E1CA4" w:rsidP="000A427B">
            <w:pPr>
              <w:pStyle w:val="TableText"/>
              <w:keepNext/>
              <w:spacing w:before="36" w:after="36"/>
              <w:ind w:left="317"/>
              <w:rPr>
                <w:iCs/>
                <w:sz w:val="18"/>
                <w:szCs w:val="18"/>
              </w:rPr>
            </w:pPr>
            <w:r w:rsidRPr="00E962AB">
              <w:rPr>
                <w:sz w:val="18"/>
                <w:szCs w:val="18"/>
              </w:rPr>
              <w:t xml:space="preserve">(i) </w:t>
            </w:r>
            <w:r w:rsidRPr="00E962AB">
              <w:rPr>
                <w:iCs/>
                <w:sz w:val="18"/>
                <w:szCs w:val="18"/>
              </w:rPr>
              <w:t>the equipment is applied to the patient by a sleep technician; or</w:t>
            </w:r>
          </w:p>
          <w:p w14:paraId="2D8A969D" w14:textId="77777777" w:rsidR="005E1CA4" w:rsidRPr="00E962AB" w:rsidRDefault="005E1CA4" w:rsidP="000A427B">
            <w:pPr>
              <w:pStyle w:val="TableText"/>
              <w:keepNext/>
              <w:spacing w:after="240"/>
              <w:ind w:left="318"/>
              <w:rPr>
                <w:sz w:val="18"/>
                <w:szCs w:val="18"/>
              </w:rPr>
            </w:pPr>
            <w:r w:rsidRPr="00E962AB">
              <w:rPr>
                <w:sz w:val="18"/>
                <w:szCs w:val="18"/>
              </w:rPr>
              <w:t xml:space="preserve">(ii) if this is not possible – the reason it is not possible for the accredited paediatric or adult sleep laboratory professional to apply the equipment to the patient is documented and a </w:t>
            </w:r>
            <w:r w:rsidRPr="00E962AB">
              <w:rPr>
                <w:strike/>
                <w:sz w:val="18"/>
                <w:szCs w:val="18"/>
              </w:rPr>
              <w:t xml:space="preserve">health professional </w:t>
            </w:r>
            <w:r w:rsidRPr="00E962AB">
              <w:rPr>
                <w:color w:val="0070C0"/>
                <w:sz w:val="18"/>
                <w:szCs w:val="18"/>
                <w:u w:val="single"/>
              </w:rPr>
              <w:t>parent or caregiver</w:t>
            </w:r>
            <w:r w:rsidRPr="00E962AB">
              <w:rPr>
                <w:sz w:val="18"/>
                <w:szCs w:val="18"/>
              </w:rPr>
              <w:t xml:space="preserve"> is given instructions on how to apply the equipment by an </w:t>
            </w:r>
            <w:r w:rsidRPr="00E962AB">
              <w:rPr>
                <w:strike/>
                <w:sz w:val="18"/>
                <w:szCs w:val="18"/>
              </w:rPr>
              <w:t xml:space="preserve">affiliated </w:t>
            </w:r>
            <w:r w:rsidRPr="00E962AB">
              <w:rPr>
                <w:sz w:val="18"/>
                <w:szCs w:val="18"/>
              </w:rPr>
              <w:t>accredited sleep laboratory.</w:t>
            </w:r>
          </w:p>
          <w:p w14:paraId="38C0C6FA" w14:textId="77777777" w:rsidR="005E1CA4" w:rsidRPr="00E962AB" w:rsidRDefault="005E1CA4" w:rsidP="000A427B">
            <w:pPr>
              <w:pStyle w:val="TableText"/>
              <w:keepNext/>
              <w:spacing w:after="240"/>
              <w:rPr>
                <w:sz w:val="18"/>
                <w:szCs w:val="18"/>
              </w:rPr>
            </w:pPr>
            <w:r w:rsidRPr="00E962AB">
              <w:rPr>
                <w:sz w:val="18"/>
                <w:szCs w:val="18"/>
              </w:rPr>
              <w:t xml:space="preserve">(e) written instructions are given to parent/caregiver to monitor the </w:t>
            </w:r>
            <w:r w:rsidRPr="00E962AB">
              <w:rPr>
                <w:strike/>
                <w:sz w:val="18"/>
                <w:szCs w:val="18"/>
              </w:rPr>
              <w:t>child</w:t>
            </w:r>
            <w:r w:rsidRPr="00E962AB">
              <w:rPr>
                <w:sz w:val="18"/>
                <w:szCs w:val="18"/>
              </w:rPr>
              <w:t xml:space="preserve"> </w:t>
            </w:r>
            <w:r w:rsidRPr="00E962AB">
              <w:rPr>
                <w:color w:val="0070C0"/>
                <w:sz w:val="18"/>
                <w:szCs w:val="18"/>
                <w:u w:val="single"/>
              </w:rPr>
              <w:t>patient</w:t>
            </w:r>
            <w:r w:rsidRPr="00E962AB">
              <w:rPr>
                <w:color w:val="0070C0"/>
                <w:sz w:val="18"/>
                <w:szCs w:val="18"/>
              </w:rPr>
              <w:t xml:space="preserve"> </w:t>
            </w:r>
            <w:r w:rsidRPr="00E962AB">
              <w:rPr>
                <w:sz w:val="18"/>
                <w:szCs w:val="18"/>
              </w:rPr>
              <w:t>overnight and a phone contact or data link to the accredited paediatric or adult sleep laboratory to enable trouble shooting overnight if required; and</w:t>
            </w:r>
          </w:p>
          <w:p w14:paraId="569E294E" w14:textId="77777777" w:rsidR="005E1CA4" w:rsidRPr="00E962AB" w:rsidRDefault="005E1CA4" w:rsidP="000A427B">
            <w:pPr>
              <w:pStyle w:val="TableText"/>
              <w:keepNext/>
              <w:spacing w:before="36" w:after="36"/>
              <w:rPr>
                <w:sz w:val="18"/>
                <w:szCs w:val="18"/>
              </w:rPr>
            </w:pPr>
            <w:r w:rsidRPr="00E962AB">
              <w:rPr>
                <w:sz w:val="18"/>
                <w:szCs w:val="18"/>
              </w:rPr>
              <w:t xml:space="preserve">(f) </w:t>
            </w:r>
            <w:proofErr w:type="spellStart"/>
            <w:r w:rsidRPr="00E962AB">
              <w:rPr>
                <w:sz w:val="18"/>
                <w:szCs w:val="18"/>
              </w:rPr>
              <w:t>polygraphic</w:t>
            </w:r>
            <w:proofErr w:type="spellEnd"/>
            <w:r w:rsidRPr="00E962AB">
              <w:rPr>
                <w:sz w:val="18"/>
                <w:szCs w:val="18"/>
              </w:rPr>
              <w:t xml:space="preserve"> records are:</w:t>
            </w:r>
          </w:p>
          <w:p w14:paraId="0CA36FED" w14:textId="77777777" w:rsidR="005E1CA4" w:rsidRPr="00E962AB" w:rsidRDefault="005E1CA4" w:rsidP="000A427B">
            <w:pPr>
              <w:pStyle w:val="TableText"/>
              <w:keepNext/>
              <w:spacing w:before="36" w:after="36"/>
              <w:ind w:left="317"/>
              <w:rPr>
                <w:sz w:val="18"/>
                <w:szCs w:val="18"/>
              </w:rPr>
            </w:pPr>
            <w:r w:rsidRPr="00E962AB">
              <w:rPr>
                <w:sz w:val="18"/>
                <w:szCs w:val="18"/>
              </w:rPr>
              <w:t>(i) analysed for assessment of sleep stage, arousals, respiratory events, and cardiac abnormalities using manual scoring, or manual correction of computerised scoring in epochs of not more than 1 minute; and</w:t>
            </w:r>
          </w:p>
          <w:p w14:paraId="7509A1B9" w14:textId="77777777" w:rsidR="005E1CA4" w:rsidRPr="00E962AB" w:rsidRDefault="005E1CA4" w:rsidP="000A427B">
            <w:pPr>
              <w:pStyle w:val="TableText"/>
              <w:keepNext/>
              <w:spacing w:after="240"/>
              <w:ind w:left="318"/>
              <w:rPr>
                <w:sz w:val="18"/>
                <w:szCs w:val="18"/>
              </w:rPr>
            </w:pPr>
            <w:r w:rsidRPr="00E962AB">
              <w:rPr>
                <w:sz w:val="18"/>
                <w:szCs w:val="18"/>
              </w:rPr>
              <w:t>(ii) stored for interpretation and preparation of a report; and</w:t>
            </w:r>
          </w:p>
          <w:p w14:paraId="0D8E331E" w14:textId="77777777" w:rsidR="005E1CA4" w:rsidRPr="00E962AB" w:rsidRDefault="005E1CA4" w:rsidP="000A427B">
            <w:pPr>
              <w:pStyle w:val="TableText"/>
              <w:keepNext/>
              <w:spacing w:after="240"/>
              <w:rPr>
                <w:sz w:val="18"/>
                <w:szCs w:val="18"/>
              </w:rPr>
            </w:pPr>
            <w:r w:rsidRPr="00E962AB">
              <w:rPr>
                <w:sz w:val="18"/>
                <w:szCs w:val="18"/>
              </w:rPr>
              <w:t xml:space="preserve">(g) interpretation and preparation of a permanent report is provided by a qualified paediatric or adult sleep medicine specialist who is listed on staff of a sleep laboratory accredited under the NATA/ASA Sleep Disorders Service Accreditation Program with personal direct review of raw data from the original recording of </w:t>
            </w:r>
            <w:proofErr w:type="spellStart"/>
            <w:r w:rsidRPr="00E962AB">
              <w:rPr>
                <w:sz w:val="18"/>
                <w:szCs w:val="18"/>
              </w:rPr>
              <w:t>polygraphic</w:t>
            </w:r>
            <w:proofErr w:type="spellEnd"/>
            <w:r w:rsidRPr="00E962AB">
              <w:rPr>
                <w:sz w:val="18"/>
                <w:szCs w:val="18"/>
              </w:rPr>
              <w:t xml:space="preserve"> data from the patient; and</w:t>
            </w:r>
          </w:p>
          <w:p w14:paraId="234BB195" w14:textId="77777777" w:rsidR="005E1CA4" w:rsidRPr="00E962AB" w:rsidRDefault="005E1CA4" w:rsidP="000A427B">
            <w:pPr>
              <w:pStyle w:val="TableText"/>
              <w:keepNext/>
              <w:spacing w:after="240"/>
              <w:rPr>
                <w:sz w:val="18"/>
                <w:szCs w:val="18"/>
              </w:rPr>
            </w:pPr>
            <w:r w:rsidRPr="00E962AB">
              <w:rPr>
                <w:sz w:val="18"/>
                <w:szCs w:val="18"/>
              </w:rPr>
              <w:t xml:space="preserve">(h) the investigation is not provided to the patient on the same occasion that a service mentioned in any of items 11000, 11003, 11004, 11005, 11503, 11704, 11705, 11707, 11714, 11716, 11717, 11723, 11735 and 12203 </w:t>
            </w:r>
          </w:p>
        </w:tc>
      </w:tr>
      <w:tr w:rsidR="005E1CA4" w14:paraId="229A4564" w14:textId="77777777" w:rsidTr="000A427B">
        <w:tc>
          <w:tcPr>
            <w:tcW w:w="9016" w:type="dxa"/>
            <w:tcBorders>
              <w:top w:val="nil"/>
              <w:bottom w:val="nil"/>
            </w:tcBorders>
          </w:tcPr>
          <w:p w14:paraId="5629F49E" w14:textId="77777777" w:rsidR="005E1CA4" w:rsidRPr="00E962AB" w:rsidRDefault="005E1CA4" w:rsidP="000A427B">
            <w:pPr>
              <w:pStyle w:val="TableText"/>
              <w:spacing w:before="36" w:after="36"/>
              <w:rPr>
                <w:sz w:val="18"/>
                <w:szCs w:val="18"/>
              </w:rPr>
            </w:pPr>
            <w:r w:rsidRPr="00E962AB">
              <w:rPr>
                <w:sz w:val="18"/>
                <w:szCs w:val="18"/>
              </w:rPr>
              <w:t>Up to a maximum of 3 sleep study items per patient in any 12-month period from this item and items XXXXX-1, XXXXX</w:t>
            </w:r>
            <w:r w:rsidRPr="00E962AB">
              <w:rPr>
                <w:sz w:val="18"/>
                <w:szCs w:val="18"/>
              </w:rPr>
              <w:noBreakHyphen/>
              <w:t>2, XXXXX</w:t>
            </w:r>
            <w:r w:rsidRPr="00E962AB">
              <w:rPr>
                <w:sz w:val="18"/>
                <w:szCs w:val="18"/>
              </w:rPr>
              <w:noBreakHyphen/>
              <w:t>3, XXXXX-4 and XXXXX-5.</w:t>
            </w:r>
          </w:p>
        </w:tc>
      </w:tr>
      <w:tr w:rsidR="005E1CA4" w14:paraId="1C4DE49D" w14:textId="77777777" w:rsidTr="000A427B">
        <w:tc>
          <w:tcPr>
            <w:tcW w:w="9016" w:type="dxa"/>
            <w:tcBorders>
              <w:top w:val="nil"/>
              <w:bottom w:val="nil"/>
            </w:tcBorders>
          </w:tcPr>
          <w:p w14:paraId="1364C7B3" w14:textId="77777777" w:rsidR="005E1CA4" w:rsidRPr="00E962AB" w:rsidRDefault="005E1CA4" w:rsidP="000A427B">
            <w:pPr>
              <w:pStyle w:val="TableText"/>
              <w:spacing w:before="36" w:after="36"/>
              <w:rPr>
                <w:sz w:val="18"/>
                <w:szCs w:val="18"/>
              </w:rPr>
            </w:pPr>
            <w:r w:rsidRPr="00E962AB">
              <w:rPr>
                <w:sz w:val="18"/>
                <w:szCs w:val="18"/>
              </w:rPr>
              <w:t>(See para DN.1.17 of explanatory notes to this Category)</w:t>
            </w:r>
          </w:p>
        </w:tc>
      </w:tr>
      <w:tr w:rsidR="005E1CA4" w:rsidRPr="001E7C18" w14:paraId="2EFCC248" w14:textId="77777777" w:rsidTr="000A427B">
        <w:tc>
          <w:tcPr>
            <w:tcW w:w="9016" w:type="dxa"/>
            <w:tcBorders>
              <w:top w:val="nil"/>
            </w:tcBorders>
          </w:tcPr>
          <w:p w14:paraId="7348128E" w14:textId="77777777" w:rsidR="005E1CA4" w:rsidRPr="00E962AB" w:rsidRDefault="005E1CA4" w:rsidP="000A427B">
            <w:pPr>
              <w:pStyle w:val="TableText"/>
              <w:spacing w:before="36" w:after="36"/>
              <w:rPr>
                <w:b/>
                <w:bCs/>
                <w:sz w:val="18"/>
                <w:szCs w:val="18"/>
              </w:rPr>
            </w:pPr>
            <w:r w:rsidRPr="00E962AB">
              <w:rPr>
                <w:b/>
                <w:bCs/>
                <w:sz w:val="18"/>
                <w:szCs w:val="18"/>
              </w:rPr>
              <w:t>Fee: $284.19</w:t>
            </w:r>
            <w:r w:rsidRPr="00E962AB">
              <w:rPr>
                <w:b/>
                <w:bCs/>
                <w:sz w:val="18"/>
                <w:szCs w:val="18"/>
              </w:rPr>
              <w:tab/>
              <w:t>Benefit: 75% = $213.14</w:t>
            </w:r>
            <w:r w:rsidRPr="00E962AB">
              <w:rPr>
                <w:b/>
                <w:bCs/>
                <w:sz w:val="18"/>
                <w:szCs w:val="18"/>
              </w:rPr>
              <w:tab/>
              <w:t>85% = $241.56</w:t>
            </w:r>
          </w:p>
        </w:tc>
      </w:tr>
    </w:tbl>
    <w:p w14:paraId="31B5FED4" w14:textId="77777777" w:rsidR="005E1CA4" w:rsidRPr="00A44FFB" w:rsidRDefault="005E1CA4" w:rsidP="005E1CA4">
      <w:pPr>
        <w:pStyle w:val="TableFigNoteLast"/>
      </w:pPr>
      <w:r w:rsidRPr="00A44FFB">
        <w:t>ASA = Australasian Sleep Association; CO</w:t>
      </w:r>
      <w:r w:rsidRPr="00266FE6">
        <w:rPr>
          <w:vertAlign w:val="subscript"/>
        </w:rPr>
        <w:t>2</w:t>
      </w:r>
      <w:r w:rsidRPr="00A44FFB">
        <w:t xml:space="preserve"> = carbon dioxide; CPAP = continuous positive airway pressure; ECG = electrocardiogram; </w:t>
      </w:r>
      <w:r>
        <w:t xml:space="preserve">MBS = Medical Benefits Schedule; </w:t>
      </w:r>
      <w:r w:rsidRPr="00A44FFB">
        <w:t>NATA = National Association of Testing Authorities</w:t>
      </w:r>
    </w:p>
    <w:p w14:paraId="2DFDC71C" w14:textId="77777777" w:rsidR="005E1CA4" w:rsidRPr="00FA6183" w:rsidRDefault="005E1CA4" w:rsidP="005E1CA4">
      <w:pPr>
        <w:pStyle w:val="TableFigNoteLast"/>
      </w:pPr>
      <w:r w:rsidRPr="00FA6183">
        <w:t xml:space="preserve">Suggested additions are underlined </w:t>
      </w:r>
      <w:r>
        <w:t xml:space="preserve">in blue text </w:t>
      </w:r>
      <w:r w:rsidRPr="00FA6183">
        <w:t>and deletions are in strikethrough.</w:t>
      </w:r>
    </w:p>
    <w:p w14:paraId="7BCC4A92" w14:textId="77777777" w:rsidR="005E1CA4" w:rsidRDefault="005E1CA4" w:rsidP="005E1CA4">
      <w:pPr>
        <w:pStyle w:val="TableFigNoteLast"/>
      </w:pPr>
      <w:r w:rsidRPr="00FA6183">
        <w:t>Source: compiled for this assessment report</w:t>
      </w:r>
      <w:r>
        <w:t>,</w:t>
      </w:r>
      <w:r w:rsidRPr="00FA6183">
        <w:t xml:space="preserve"> adapted from the Ratified </w:t>
      </w:r>
      <w:r>
        <w:t>PICO confirmation</w:t>
      </w:r>
      <w:r w:rsidRPr="00FA6183">
        <w:t xml:space="preserve"> Table 2</w:t>
      </w:r>
      <w:r>
        <w:t>2</w:t>
      </w:r>
      <w:r w:rsidRPr="00FA6183">
        <w:t xml:space="preserve">, Appendix </w:t>
      </w:r>
      <w:r>
        <w:t>F</w:t>
      </w:r>
    </w:p>
    <w:p w14:paraId="6755B53A" w14:textId="0A95A958" w:rsidR="005E1CA4" w:rsidRDefault="00642CDC" w:rsidP="00642CDC">
      <w:pPr>
        <w:pStyle w:val="ESHeading2"/>
        <w:numPr>
          <w:ilvl w:val="0"/>
          <w:numId w:val="0"/>
        </w:numPr>
      </w:pPr>
      <w:bookmarkStart w:id="17" w:name="_Toc145678756"/>
      <w:bookmarkStart w:id="18" w:name="_Toc150172398"/>
      <w:bookmarkStart w:id="19" w:name="_Toc153462776"/>
      <w:r>
        <w:t>7.</w:t>
      </w:r>
      <w:r>
        <w:tab/>
      </w:r>
      <w:r w:rsidR="005E1CA4" w:rsidRPr="00CE28E3">
        <w:t>Population</w:t>
      </w:r>
      <w:bookmarkEnd w:id="17"/>
      <w:bookmarkEnd w:id="18"/>
      <w:bookmarkEnd w:id="19"/>
    </w:p>
    <w:p w14:paraId="5E166B61" w14:textId="77777777" w:rsidR="005E1CA4" w:rsidRPr="00395DB7" w:rsidRDefault="005E1CA4" w:rsidP="005E1CA4">
      <w:pPr>
        <w:rPr>
          <w:rFonts w:ascii="Franklin Gothic Book" w:hAnsi="Franklin Gothic Book"/>
        </w:rPr>
      </w:pPr>
      <w:r w:rsidRPr="00395DB7">
        <w:rPr>
          <w:rFonts w:ascii="Franklin Gothic Book" w:hAnsi="Franklin Gothic Book"/>
        </w:rPr>
        <w:t>The ratified PICO confirmation specified three PICO Sets. PICO Sets 1 and 2 were for diagnosis of OSA, a disorder of breathing during sleep characterised by airway obstruction.</w:t>
      </w:r>
    </w:p>
    <w:p w14:paraId="1D224501" w14:textId="77777777" w:rsidR="005E1CA4" w:rsidRPr="00395DB7" w:rsidRDefault="005E1CA4" w:rsidP="005E1CA4">
      <w:pPr>
        <w:rPr>
          <w:rFonts w:ascii="Franklin Gothic Book" w:hAnsi="Franklin Gothic Book"/>
        </w:rPr>
      </w:pPr>
      <w:r w:rsidRPr="00395DB7">
        <w:rPr>
          <w:rFonts w:ascii="Franklin Gothic Book" w:hAnsi="Franklin Gothic Book"/>
        </w:rPr>
        <w:t xml:space="preserve">In adults, the primary association with OSA is obesity. In children, the most common cause is </w:t>
      </w:r>
      <w:r w:rsidRPr="007621DB">
        <w:rPr>
          <w:rFonts w:ascii="Franklin Gothic Book" w:hAnsi="Franklin Gothic Book"/>
        </w:rPr>
        <w:t>enlargement of the tonsils and adenoids; these grow most quickly in the pre-school years leading</w:t>
      </w:r>
      <w:r w:rsidRPr="00395DB7">
        <w:rPr>
          <w:rFonts w:ascii="Franklin Gothic Book" w:hAnsi="Franklin Gothic Book"/>
        </w:rPr>
        <w:t xml:space="preserve"> </w:t>
      </w:r>
      <w:r w:rsidRPr="00395DB7">
        <w:rPr>
          <w:rFonts w:ascii="Franklin Gothic Book" w:hAnsi="Franklin Gothic Book"/>
        </w:rPr>
        <w:lastRenderedPageBreak/>
        <w:t>to a peak in OSA incidence in young children. Ear Nose Throat (ENT) surgery, mainly adenotonsillectomy, is the mainstay of initial treatment for paediatric OSA. In-laboratory PSG (Level 1), commonly referred to as a ‘sleep study’, is the gold standard for diagnosing and quantifying OSA. However, Level 1 PSG may not be readily available, is time consuming and for reimbursement under the MBS must be ordered and assessed by a sleep specialist. Most children undergo tonsillectomy following a clinical diagnosis of OSA rather than having the diagnosis confirmed with PSG.</w:t>
      </w:r>
    </w:p>
    <w:p w14:paraId="46BDE5E5" w14:textId="77777777" w:rsidR="005E1CA4" w:rsidRPr="00395DB7" w:rsidRDefault="005E1CA4" w:rsidP="005E1CA4">
      <w:pPr>
        <w:rPr>
          <w:rFonts w:ascii="Franklin Gothic Book" w:hAnsi="Franklin Gothic Book"/>
        </w:rPr>
      </w:pPr>
      <w:r w:rsidRPr="00395DB7">
        <w:rPr>
          <w:rFonts w:ascii="Franklin Gothic Book" w:hAnsi="Franklin Gothic Book"/>
        </w:rPr>
        <w:t>Children with certain underlying medical conditions, particularly those associated with muscle weakness, hypotonia and craniofacial abnormalities, are more likely to have OSA. Breathing disorders in these children are more complex and likely to be multifactorial so these children have a higher likelihood of residual OSA following treatment and to need repeat or ongoing sleep studies.</w:t>
      </w:r>
    </w:p>
    <w:p w14:paraId="7E29544F" w14:textId="77777777" w:rsidR="005E1CA4" w:rsidRDefault="005E1CA4" w:rsidP="005E1CA4">
      <w:pPr>
        <w:pStyle w:val="ESHeading3"/>
      </w:pPr>
      <w:bookmarkStart w:id="20" w:name="_Toc150172399"/>
      <w:r>
        <w:t>PICO Set 1</w:t>
      </w:r>
      <w:bookmarkEnd w:id="20"/>
    </w:p>
    <w:p w14:paraId="12945DE7" w14:textId="77777777" w:rsidR="005E1CA4" w:rsidRPr="00395DB7" w:rsidRDefault="005E1CA4" w:rsidP="005E1CA4">
      <w:pPr>
        <w:rPr>
          <w:rFonts w:ascii="Franklin Gothic Book" w:hAnsi="Franklin Gothic Book"/>
        </w:rPr>
      </w:pPr>
      <w:r w:rsidRPr="00395DB7">
        <w:rPr>
          <w:rFonts w:ascii="Franklin Gothic Book" w:hAnsi="Franklin Gothic Book"/>
        </w:rPr>
        <w:t>The proposed population for PICO Set 1 was children and adolescents who have been determined by a qualified sleep medicine practitioner to require PSG confirmation of suspected moderate to severe OSA and for whom an out-of-laboratory setting has been deemed appropriate. The proposed intervention for this population was a Level 2 PSG study for diagnosis of OSA.</w:t>
      </w:r>
    </w:p>
    <w:p w14:paraId="60E31C7D" w14:textId="77777777" w:rsidR="005E1CA4" w:rsidRPr="00395DB7" w:rsidRDefault="005E1CA4" w:rsidP="005E1CA4">
      <w:pPr>
        <w:rPr>
          <w:rFonts w:ascii="Franklin Gothic Book" w:hAnsi="Franklin Gothic Book"/>
        </w:rPr>
      </w:pPr>
      <w:r w:rsidRPr="00395DB7">
        <w:rPr>
          <w:rFonts w:ascii="Franklin Gothic Book" w:hAnsi="Franklin Gothic Book"/>
        </w:rPr>
        <w:t>The population was uncomplicated patients. High risk patients, defined as those at risk of hypoventilation (including obesity hypoventilation) or with complex co-morbidities (such as heart disease), are not considered suitable for a Level 2 PSG study. The proposed intervention was for the investigation of possible OSA, and the population excluded patients suspected of sleep movement disorders, suspected nocturnal seizures, atypical parasomnias, hypersomnia and narcolepsy, or patients initiating respiratory support.</w:t>
      </w:r>
    </w:p>
    <w:p w14:paraId="03C8E2BF" w14:textId="77777777" w:rsidR="005E1CA4" w:rsidRPr="00395DB7" w:rsidRDefault="005E1CA4" w:rsidP="005E1CA4">
      <w:pPr>
        <w:rPr>
          <w:rFonts w:ascii="Franklin Gothic Book" w:hAnsi="Franklin Gothic Book"/>
        </w:rPr>
      </w:pPr>
      <w:r w:rsidRPr="00395DB7">
        <w:rPr>
          <w:rFonts w:ascii="Franklin Gothic Book" w:hAnsi="Franklin Gothic Book"/>
        </w:rPr>
        <w:t>The Level 2 PSG study was proposed as a replacement test for Level 1 PSG.</w:t>
      </w:r>
    </w:p>
    <w:p w14:paraId="4CAF6C1D" w14:textId="77777777" w:rsidR="005E1CA4" w:rsidRDefault="005E1CA4" w:rsidP="005E1CA4">
      <w:pPr>
        <w:pStyle w:val="ESHeading3"/>
      </w:pPr>
      <w:bookmarkStart w:id="21" w:name="_Toc150172400"/>
      <w:r>
        <w:t>PICO Set 2</w:t>
      </w:r>
      <w:bookmarkEnd w:id="21"/>
    </w:p>
    <w:p w14:paraId="00D36D41" w14:textId="77777777" w:rsidR="005E1CA4" w:rsidRPr="00395DB7" w:rsidRDefault="005E1CA4" w:rsidP="005E1CA4">
      <w:pPr>
        <w:rPr>
          <w:rFonts w:ascii="Franklin Gothic Book" w:hAnsi="Franklin Gothic Book"/>
        </w:rPr>
      </w:pPr>
      <w:r w:rsidRPr="00395DB7">
        <w:rPr>
          <w:rFonts w:ascii="Franklin Gothic Book" w:hAnsi="Franklin Gothic Book"/>
        </w:rPr>
        <w:t>Level 3 CRP was proposed for the investigation of suspected moderate to severe OSA in those children and adolescents where Level 1 or 2 PSG studies would be distressing or challenging, and who are unlikely to tolerate head leads. As a proxy, the applicant proposed patients falling into this category would be those who have not tolerated other medical investigations, who are likely to be highly anxious or who have limited tolerance for sensory stimulation (e.g. patients with neurocognitive conditions such as autism spectrum disorder; also, Rett, Prader-Willi, or Down syndromes).</w:t>
      </w:r>
    </w:p>
    <w:p w14:paraId="4A130C7D" w14:textId="77777777" w:rsidR="005E1CA4" w:rsidRPr="00395DB7" w:rsidRDefault="005E1CA4" w:rsidP="005E1CA4">
      <w:pPr>
        <w:ind w:left="-2"/>
        <w:rPr>
          <w:rFonts w:ascii="Franklin Gothic Book" w:hAnsi="Franklin Gothic Book"/>
        </w:rPr>
      </w:pPr>
      <w:r w:rsidRPr="00395DB7">
        <w:rPr>
          <w:rFonts w:ascii="Franklin Gothic Book" w:hAnsi="Franklin Gothic Book"/>
        </w:rPr>
        <w:t>The Level 3 CRP (diagnostic) was proposed as an additional test because the patient population is defined by an inability to tolerate a Level 1 or Level 2 PSG, therefore the alternative for these patients is no sleep study.</w:t>
      </w:r>
    </w:p>
    <w:p w14:paraId="57D2E1E4" w14:textId="77777777" w:rsidR="005E1CA4" w:rsidRDefault="005E1CA4" w:rsidP="005E1CA4">
      <w:pPr>
        <w:pStyle w:val="ESHeading3"/>
      </w:pPr>
      <w:bookmarkStart w:id="22" w:name="_Toc150172401"/>
      <w:r>
        <w:t>PICO Set 3</w:t>
      </w:r>
      <w:bookmarkEnd w:id="22"/>
    </w:p>
    <w:p w14:paraId="5030BBE6" w14:textId="77777777" w:rsidR="005E1CA4" w:rsidRPr="00395DB7" w:rsidRDefault="005E1CA4" w:rsidP="005E1CA4">
      <w:pPr>
        <w:rPr>
          <w:rFonts w:ascii="Franklin Gothic Book" w:hAnsi="Franklin Gothic Book"/>
        </w:rPr>
      </w:pPr>
      <w:r w:rsidRPr="00395DB7">
        <w:rPr>
          <w:rFonts w:ascii="Franklin Gothic Book" w:hAnsi="Franklin Gothic Book"/>
        </w:rPr>
        <w:t>Non-invasive respiratory support with continuous positive airway pressure (CPAP) or bilevel positive airway pressure (BiPAP) is a treatment option for OSA when surgery is not indicated or OSA persists following surgery. Non-invasive respiratory support for OSA is also commonly indicated for children and adolescents with underlying medical conditions such as craniofacial and airway abnormalities or chronic lung disease. Children and adolescents receiving non-invasive respiratory support (CPAP or BiPAP) require routine monitoring sleep studies every 6 - 12 months to ensure that efficacy of treatment is maintained with growth and development, and to evaluate if therapy is still required or can be withdrawn.</w:t>
      </w:r>
    </w:p>
    <w:p w14:paraId="78A538BF" w14:textId="77777777" w:rsidR="005E1CA4" w:rsidRPr="00395DB7" w:rsidRDefault="005E1CA4" w:rsidP="005E1CA4">
      <w:pPr>
        <w:rPr>
          <w:rFonts w:ascii="Franklin Gothic Book" w:hAnsi="Franklin Gothic Book"/>
        </w:rPr>
      </w:pPr>
      <w:r w:rsidRPr="00395DB7">
        <w:rPr>
          <w:rFonts w:ascii="Franklin Gothic Book" w:hAnsi="Franklin Gothic Book"/>
        </w:rPr>
        <w:lastRenderedPageBreak/>
        <w:t>Level 3 CRP (monitoring) was proposed as a replacement test for Level 1 PSG for treatment monitoring of OSA in children and adolescents diagnosed with OSA and stable on BiPAP or CPAP.</w:t>
      </w:r>
    </w:p>
    <w:p w14:paraId="757F018D" w14:textId="77777777" w:rsidR="005E1CA4" w:rsidRPr="00395DB7" w:rsidRDefault="005E1CA4" w:rsidP="005E1CA4">
      <w:pPr>
        <w:rPr>
          <w:rFonts w:ascii="Franklin Gothic Book" w:hAnsi="Franklin Gothic Book"/>
        </w:rPr>
      </w:pPr>
      <w:r w:rsidRPr="00395DB7">
        <w:rPr>
          <w:rFonts w:ascii="Franklin Gothic Book" w:hAnsi="Franklin Gothic Book"/>
        </w:rPr>
        <w:t>The assessment report has addressed the requirements of the ratified PICO confirmation, where evidence was available.</w:t>
      </w:r>
    </w:p>
    <w:p w14:paraId="246B7C54" w14:textId="4A941917" w:rsidR="005E1CA4" w:rsidRDefault="00642CDC" w:rsidP="00642CDC">
      <w:pPr>
        <w:pStyle w:val="ESHeading2"/>
        <w:numPr>
          <w:ilvl w:val="0"/>
          <w:numId w:val="0"/>
        </w:numPr>
      </w:pPr>
      <w:bookmarkStart w:id="23" w:name="_Toc150172402"/>
      <w:bookmarkStart w:id="24" w:name="_Toc153462777"/>
      <w:r>
        <w:t>8.</w:t>
      </w:r>
      <w:r>
        <w:tab/>
      </w:r>
      <w:r w:rsidR="005E1CA4" w:rsidRPr="00CE28E3">
        <w:t>Comparator</w:t>
      </w:r>
      <w:bookmarkEnd w:id="23"/>
      <w:bookmarkEnd w:id="24"/>
    </w:p>
    <w:p w14:paraId="4A8D70F7" w14:textId="77777777" w:rsidR="005E1CA4" w:rsidRPr="00395DB7" w:rsidRDefault="005E1CA4" w:rsidP="005E1CA4">
      <w:pPr>
        <w:rPr>
          <w:rFonts w:ascii="Franklin Gothic Book" w:hAnsi="Franklin Gothic Book"/>
        </w:rPr>
      </w:pPr>
      <w:r w:rsidRPr="00395DB7">
        <w:rPr>
          <w:rFonts w:ascii="Franklin Gothic Book" w:hAnsi="Franklin Gothic Book"/>
        </w:rPr>
        <w:t>The comparator for PICO Set 1 (Level 2 PSG study (diagnostic)) was a diagnostic Level 1 PSG study under MBS item 12210 for children or 12213 for adolescents. The applicant’s clinical claim is that a Level 2 PSG study is non-inferior to a Level 1 PSG study in children and adolescents at risk of significant OSA.</w:t>
      </w:r>
    </w:p>
    <w:p w14:paraId="2F339464" w14:textId="77777777" w:rsidR="005E1CA4" w:rsidRPr="00395DB7" w:rsidRDefault="005E1CA4" w:rsidP="005E1CA4">
      <w:pPr>
        <w:rPr>
          <w:rFonts w:ascii="Franklin Gothic Book" w:hAnsi="Franklin Gothic Book"/>
        </w:rPr>
      </w:pPr>
      <w:r w:rsidRPr="00395DB7">
        <w:rPr>
          <w:rFonts w:ascii="Franklin Gothic Book" w:hAnsi="Franklin Gothic Book"/>
        </w:rPr>
        <w:t>The comparator for PICO Set 2 (Level 3 CRP study (diagnostic)) was no sleep study and standard non-CPAP management based on clinical features alone. The applicant’s clinical claim is that a Level 3 CRP is superior to no sleep study and standard management in children and adolescents at risk of significant OSA and intolerant or likely to be intolerant of head leads for a full PSG setup.</w:t>
      </w:r>
    </w:p>
    <w:p w14:paraId="68D07FF1" w14:textId="77777777" w:rsidR="005E1CA4" w:rsidRDefault="005E1CA4" w:rsidP="005E1CA4">
      <w:pPr>
        <w:rPr>
          <w:rFonts w:ascii="Franklin Gothic Book" w:hAnsi="Franklin Gothic Book"/>
        </w:rPr>
      </w:pPr>
      <w:r w:rsidRPr="00395DB7">
        <w:rPr>
          <w:rFonts w:ascii="Franklin Gothic Book" w:hAnsi="Franklin Gothic Book"/>
        </w:rPr>
        <w:t>The comparator for PICO Set 3 (Level 3 CRP study (monitoring)) is a Level 1 PSG claimed under MBS items 12210, 12213, 12215 and 12217. The applicant’s clinical claim is that a Level 3 CRP is non-inferior to a Level 1 PSG study in children and adolescents who are stable on CPAP or BiPAP respiratory support.</w:t>
      </w:r>
    </w:p>
    <w:p w14:paraId="2685EF1C" w14:textId="77777777" w:rsidR="00642CDC" w:rsidRDefault="00642CDC" w:rsidP="00642CDC">
      <w:pPr>
        <w:pStyle w:val="Heading2"/>
        <w:numPr>
          <w:ilvl w:val="0"/>
          <w:numId w:val="0"/>
        </w:numPr>
      </w:pPr>
      <w:r>
        <w:t>9.</w:t>
      </w:r>
      <w:r>
        <w:tab/>
      </w:r>
      <w:r w:rsidRPr="00CE28E3">
        <w:t xml:space="preserve">Summary of public consultation </w:t>
      </w:r>
      <w:r>
        <w:t>input</w:t>
      </w:r>
    </w:p>
    <w:p w14:paraId="3A1E9E51" w14:textId="77777777" w:rsidR="00642CDC" w:rsidRPr="00C80D2A" w:rsidRDefault="00642CDC" w:rsidP="00642CDC">
      <w:pPr>
        <w:pStyle w:val="paragraph"/>
        <w:spacing w:before="0" w:beforeAutospacing="0" w:after="0" w:afterAutospacing="0"/>
        <w:textAlignment w:val="baseline"/>
        <w:rPr>
          <w:rFonts w:ascii="Franklin Gothic Book" w:hAnsi="Franklin Gothic Book" w:cs="Segoe UI"/>
          <w:sz w:val="18"/>
          <w:szCs w:val="18"/>
        </w:rPr>
      </w:pPr>
      <w:r w:rsidRPr="00C80D2A">
        <w:rPr>
          <w:rStyle w:val="normaltextrun"/>
          <w:rFonts w:ascii="Franklin Gothic Book" w:hAnsi="Franklin Gothic Book" w:cs="Calibri"/>
          <w:sz w:val="22"/>
          <w:szCs w:val="22"/>
        </w:rPr>
        <w:t>Consultation input was welcomed from four (4) professional organisations and (1) consumer organisation: </w:t>
      </w:r>
      <w:r w:rsidRPr="00C80D2A">
        <w:rPr>
          <w:rStyle w:val="eop"/>
          <w:rFonts w:ascii="Franklin Gothic Book" w:eastAsiaTheme="majorEastAsia" w:hAnsi="Franklin Gothic Book" w:cs="Calibri"/>
          <w:sz w:val="22"/>
          <w:szCs w:val="22"/>
        </w:rPr>
        <w:t> </w:t>
      </w:r>
    </w:p>
    <w:p w14:paraId="43AC5614" w14:textId="77777777" w:rsidR="00642CDC" w:rsidRPr="00C80D2A" w:rsidRDefault="00642CDC" w:rsidP="00642CDC">
      <w:pPr>
        <w:pStyle w:val="paragraph"/>
        <w:numPr>
          <w:ilvl w:val="0"/>
          <w:numId w:val="40"/>
        </w:numPr>
        <w:spacing w:before="0" w:beforeAutospacing="0" w:after="0" w:afterAutospacing="0"/>
        <w:textAlignment w:val="baseline"/>
        <w:rPr>
          <w:rFonts w:ascii="Franklin Gothic Book" w:hAnsi="Franklin Gothic Book" w:cs="Calibri"/>
          <w:sz w:val="22"/>
          <w:szCs w:val="22"/>
        </w:rPr>
      </w:pPr>
      <w:r w:rsidRPr="00C80D2A">
        <w:rPr>
          <w:rStyle w:val="normaltextrun"/>
          <w:rFonts w:ascii="Franklin Gothic Book" w:hAnsi="Franklin Gothic Book" w:cs="Calibri"/>
          <w:sz w:val="22"/>
          <w:szCs w:val="22"/>
        </w:rPr>
        <w:t>Australia and New Zealand Sleep Science Association (ANZSSA)</w:t>
      </w:r>
      <w:r w:rsidRPr="00C80D2A">
        <w:rPr>
          <w:rStyle w:val="eop"/>
          <w:rFonts w:ascii="Franklin Gothic Book" w:eastAsiaTheme="majorEastAsia" w:hAnsi="Franklin Gothic Book" w:cs="Calibri"/>
          <w:sz w:val="22"/>
          <w:szCs w:val="22"/>
        </w:rPr>
        <w:t> </w:t>
      </w:r>
    </w:p>
    <w:p w14:paraId="51D87123" w14:textId="77777777" w:rsidR="00642CDC" w:rsidRPr="00C80D2A" w:rsidRDefault="00642CDC" w:rsidP="00642CDC">
      <w:pPr>
        <w:pStyle w:val="paragraph"/>
        <w:numPr>
          <w:ilvl w:val="0"/>
          <w:numId w:val="40"/>
        </w:numPr>
        <w:spacing w:before="0" w:beforeAutospacing="0" w:after="0" w:afterAutospacing="0"/>
        <w:textAlignment w:val="baseline"/>
        <w:rPr>
          <w:rFonts w:ascii="Franklin Gothic Book" w:hAnsi="Franklin Gothic Book" w:cs="Calibri"/>
          <w:sz w:val="22"/>
          <w:szCs w:val="22"/>
        </w:rPr>
      </w:pPr>
      <w:r w:rsidRPr="00C80D2A">
        <w:rPr>
          <w:rStyle w:val="normaltextrun"/>
          <w:rFonts w:ascii="Franklin Gothic Book" w:hAnsi="Franklin Gothic Book" w:cs="Calibri"/>
          <w:color w:val="000000"/>
          <w:sz w:val="22"/>
          <w:szCs w:val="22"/>
        </w:rPr>
        <w:t>Thoracic Society of Australia and New Zealand (</w:t>
      </w:r>
      <w:r w:rsidRPr="00C80D2A">
        <w:rPr>
          <w:rStyle w:val="normaltextrun"/>
          <w:rFonts w:ascii="Franklin Gothic Book" w:hAnsi="Franklin Gothic Book" w:cs="Calibri"/>
          <w:sz w:val="22"/>
          <w:szCs w:val="22"/>
        </w:rPr>
        <w:t>TSANZ)</w:t>
      </w:r>
      <w:r w:rsidRPr="00C80D2A">
        <w:rPr>
          <w:rStyle w:val="eop"/>
          <w:rFonts w:ascii="Franklin Gothic Book" w:eastAsiaTheme="majorEastAsia" w:hAnsi="Franklin Gothic Book" w:cs="Calibri"/>
          <w:sz w:val="22"/>
          <w:szCs w:val="22"/>
        </w:rPr>
        <w:t> </w:t>
      </w:r>
    </w:p>
    <w:p w14:paraId="50CAE482" w14:textId="5C736437" w:rsidR="00642CDC" w:rsidRPr="00C80D2A" w:rsidRDefault="00642CDC" w:rsidP="00642CDC">
      <w:pPr>
        <w:pStyle w:val="paragraph"/>
        <w:numPr>
          <w:ilvl w:val="0"/>
          <w:numId w:val="40"/>
        </w:numPr>
        <w:spacing w:before="0" w:beforeAutospacing="0" w:after="0" w:afterAutospacing="0"/>
        <w:textAlignment w:val="baseline"/>
        <w:rPr>
          <w:rFonts w:ascii="Franklin Gothic Book" w:hAnsi="Franklin Gothic Book" w:cs="Calibri"/>
          <w:sz w:val="22"/>
          <w:szCs w:val="22"/>
        </w:rPr>
      </w:pPr>
      <w:r w:rsidRPr="00C80D2A">
        <w:rPr>
          <w:rStyle w:val="normaltextrun"/>
          <w:rFonts w:ascii="Franklin Gothic Book" w:hAnsi="Franklin Gothic Book" w:cs="Calibri"/>
          <w:sz w:val="22"/>
          <w:szCs w:val="22"/>
        </w:rPr>
        <w:t>Private Healthcare Australia (PHA)</w:t>
      </w:r>
      <w:r w:rsidRPr="00C80D2A">
        <w:rPr>
          <w:rStyle w:val="eop"/>
          <w:rFonts w:ascii="Franklin Gothic Book" w:eastAsiaTheme="majorEastAsia" w:hAnsi="Franklin Gothic Book" w:cs="Calibri"/>
          <w:sz w:val="22"/>
          <w:szCs w:val="22"/>
        </w:rPr>
        <w:t> </w:t>
      </w:r>
    </w:p>
    <w:p w14:paraId="12AD283F" w14:textId="77777777" w:rsidR="00642CDC" w:rsidRPr="00C80D2A" w:rsidRDefault="00642CDC" w:rsidP="00642CDC">
      <w:pPr>
        <w:pStyle w:val="paragraph"/>
        <w:numPr>
          <w:ilvl w:val="0"/>
          <w:numId w:val="40"/>
        </w:numPr>
        <w:spacing w:before="0" w:beforeAutospacing="0" w:after="0" w:afterAutospacing="0"/>
        <w:textAlignment w:val="baseline"/>
        <w:rPr>
          <w:rFonts w:ascii="Franklin Gothic Book" w:hAnsi="Franklin Gothic Book" w:cs="Calibri"/>
          <w:sz w:val="22"/>
          <w:szCs w:val="22"/>
        </w:rPr>
      </w:pPr>
      <w:r w:rsidRPr="00C80D2A">
        <w:rPr>
          <w:rStyle w:val="normaltextrun"/>
          <w:rFonts w:ascii="Franklin Gothic Book" w:hAnsi="Franklin Gothic Book" w:cs="Calibri"/>
          <w:sz w:val="22"/>
          <w:szCs w:val="22"/>
        </w:rPr>
        <w:t xml:space="preserve">Australian Society of Otolaryngology Head and Neck Surgery (ASOHNS) </w:t>
      </w:r>
      <w:r w:rsidRPr="00C80D2A">
        <w:rPr>
          <w:rStyle w:val="normaltextrun"/>
          <w:rFonts w:ascii="Franklin Gothic Book" w:hAnsi="Franklin Gothic Book" w:cs="Calibri"/>
          <w:i/>
          <w:iCs/>
          <w:sz w:val="22"/>
          <w:szCs w:val="22"/>
        </w:rPr>
        <w:t>– Targeted</w:t>
      </w:r>
      <w:r w:rsidRPr="00C80D2A">
        <w:rPr>
          <w:rStyle w:val="normaltextrun"/>
          <w:rFonts w:ascii="Franklin Gothic Book" w:hAnsi="Franklin Gothic Book" w:cs="Calibri"/>
          <w:sz w:val="22"/>
          <w:szCs w:val="22"/>
        </w:rPr>
        <w:t> </w:t>
      </w:r>
      <w:r w:rsidRPr="00C80D2A">
        <w:rPr>
          <w:rStyle w:val="eop"/>
          <w:rFonts w:ascii="Franklin Gothic Book" w:eastAsiaTheme="majorEastAsia" w:hAnsi="Franklin Gothic Book" w:cs="Calibri"/>
          <w:sz w:val="22"/>
          <w:szCs w:val="22"/>
        </w:rPr>
        <w:t> </w:t>
      </w:r>
    </w:p>
    <w:p w14:paraId="17EDA446" w14:textId="77777777" w:rsidR="00642CDC" w:rsidRPr="00C80D2A" w:rsidRDefault="00642CDC" w:rsidP="00642CDC">
      <w:pPr>
        <w:pStyle w:val="paragraph"/>
        <w:numPr>
          <w:ilvl w:val="0"/>
          <w:numId w:val="40"/>
        </w:numPr>
        <w:spacing w:before="0" w:beforeAutospacing="0" w:after="0" w:afterAutospacing="0"/>
        <w:textAlignment w:val="baseline"/>
        <w:rPr>
          <w:rFonts w:ascii="Franklin Gothic Book" w:hAnsi="Franklin Gothic Book" w:cs="Calibri"/>
          <w:sz w:val="22"/>
          <w:szCs w:val="22"/>
        </w:rPr>
      </w:pPr>
      <w:r w:rsidRPr="00C80D2A">
        <w:rPr>
          <w:rStyle w:val="normaltextrun"/>
          <w:rFonts w:ascii="Franklin Gothic Book" w:hAnsi="Franklin Gothic Book" w:cs="Calibri"/>
          <w:sz w:val="22"/>
          <w:szCs w:val="22"/>
        </w:rPr>
        <w:t>Sleep Health Foundation (SHF)</w:t>
      </w:r>
      <w:r w:rsidRPr="00C80D2A">
        <w:rPr>
          <w:rStyle w:val="eop"/>
          <w:rFonts w:ascii="Franklin Gothic Book" w:eastAsiaTheme="majorEastAsia" w:hAnsi="Franklin Gothic Book" w:cs="Calibri"/>
          <w:sz w:val="22"/>
          <w:szCs w:val="22"/>
        </w:rPr>
        <w:t> </w:t>
      </w:r>
    </w:p>
    <w:p w14:paraId="12C3CB6D" w14:textId="77777777" w:rsidR="00642CDC" w:rsidRPr="00C80D2A" w:rsidRDefault="00642CDC" w:rsidP="00642CDC">
      <w:pPr>
        <w:pStyle w:val="paragraph"/>
        <w:spacing w:before="240" w:beforeAutospacing="0" w:after="0" w:afterAutospacing="0"/>
        <w:textAlignment w:val="baseline"/>
        <w:rPr>
          <w:rFonts w:ascii="Franklin Gothic Book" w:hAnsi="Franklin Gothic Book" w:cs="Segoe UI"/>
          <w:sz w:val="18"/>
          <w:szCs w:val="18"/>
        </w:rPr>
      </w:pPr>
      <w:r w:rsidRPr="00C80D2A">
        <w:rPr>
          <w:rStyle w:val="normaltextrun"/>
          <w:rFonts w:ascii="Franklin Gothic Book" w:hAnsi="Franklin Gothic Book" w:cs="Calibri"/>
          <w:sz w:val="22"/>
          <w:szCs w:val="22"/>
        </w:rPr>
        <w:t>The consultation feedback received was largely supportive of public funding for out-of-laboratory sleep studies in the diagnosis and management of sleep disordered breathing in children &amp; adolescents. </w:t>
      </w:r>
      <w:r w:rsidRPr="00C80D2A">
        <w:rPr>
          <w:rStyle w:val="eop"/>
          <w:rFonts w:ascii="Franklin Gothic Book" w:eastAsiaTheme="majorEastAsia" w:hAnsi="Franklin Gothic Book" w:cs="Calibri"/>
          <w:sz w:val="22"/>
          <w:szCs w:val="22"/>
        </w:rPr>
        <w:t> </w:t>
      </w:r>
    </w:p>
    <w:p w14:paraId="7C5FDEB3" w14:textId="77777777" w:rsidR="00642CDC" w:rsidRPr="00C80D2A" w:rsidRDefault="00642CDC" w:rsidP="00E91FB9">
      <w:pPr>
        <w:pStyle w:val="paragraph"/>
        <w:spacing w:before="240" w:beforeAutospacing="0" w:after="0" w:afterAutospacing="0"/>
        <w:textAlignment w:val="baseline"/>
        <w:rPr>
          <w:rFonts w:ascii="Franklin Gothic Book" w:hAnsi="Franklin Gothic Book" w:cs="Segoe UI"/>
          <w:sz w:val="18"/>
          <w:szCs w:val="18"/>
        </w:rPr>
      </w:pPr>
      <w:r w:rsidRPr="00C80D2A">
        <w:rPr>
          <w:rStyle w:val="normaltextrun"/>
          <w:rFonts w:ascii="Franklin Gothic Book" w:hAnsi="Franklin Gothic Book" w:cs="Calibri"/>
          <w:sz w:val="22"/>
          <w:szCs w:val="22"/>
        </w:rPr>
        <w:t>Benefits</w:t>
      </w:r>
      <w:r w:rsidRPr="00C80D2A">
        <w:rPr>
          <w:rStyle w:val="eop"/>
          <w:rFonts w:ascii="Franklin Gothic Book" w:eastAsiaTheme="majorEastAsia" w:hAnsi="Franklin Gothic Book" w:cs="Calibri"/>
          <w:sz w:val="22"/>
          <w:szCs w:val="22"/>
        </w:rPr>
        <w:t> </w:t>
      </w:r>
    </w:p>
    <w:p w14:paraId="04EF6B86" w14:textId="77777777" w:rsidR="00642CDC" w:rsidRPr="00C80D2A" w:rsidRDefault="00642CDC" w:rsidP="00E91FB9">
      <w:pPr>
        <w:pStyle w:val="paragraph"/>
        <w:numPr>
          <w:ilvl w:val="0"/>
          <w:numId w:val="37"/>
        </w:numPr>
        <w:tabs>
          <w:tab w:val="clear" w:pos="720"/>
        </w:tabs>
        <w:spacing w:before="0" w:beforeAutospacing="0" w:after="0" w:afterAutospacing="0"/>
        <w:ind w:left="426" w:firstLine="0"/>
        <w:textAlignment w:val="baseline"/>
        <w:rPr>
          <w:rFonts w:ascii="Franklin Gothic Book" w:hAnsi="Franklin Gothic Book" w:cs="Calibri"/>
          <w:sz w:val="22"/>
          <w:szCs w:val="22"/>
        </w:rPr>
      </w:pPr>
      <w:r w:rsidRPr="00C80D2A">
        <w:rPr>
          <w:rStyle w:val="normaltextrun"/>
          <w:rFonts w:ascii="Franklin Gothic Book" w:hAnsi="Franklin Gothic Book" w:cs="Calibri"/>
          <w:sz w:val="22"/>
          <w:szCs w:val="22"/>
        </w:rPr>
        <w:t>Improved access such as health equity, provision of a wide ranging and more comprehensive service, and the provision of services in both metro and regional areas</w:t>
      </w:r>
      <w:r w:rsidRPr="00C80D2A">
        <w:rPr>
          <w:rStyle w:val="eop"/>
          <w:rFonts w:ascii="Franklin Gothic Book" w:eastAsiaTheme="majorEastAsia" w:hAnsi="Franklin Gothic Book" w:cs="Calibri"/>
          <w:sz w:val="22"/>
          <w:szCs w:val="22"/>
        </w:rPr>
        <w:t> </w:t>
      </w:r>
    </w:p>
    <w:p w14:paraId="6FFC95C5" w14:textId="77777777" w:rsidR="00642CDC" w:rsidRPr="00C80D2A" w:rsidRDefault="00642CDC" w:rsidP="00E91FB9">
      <w:pPr>
        <w:pStyle w:val="paragraph"/>
        <w:numPr>
          <w:ilvl w:val="0"/>
          <w:numId w:val="37"/>
        </w:numPr>
        <w:tabs>
          <w:tab w:val="clear" w:pos="720"/>
        </w:tabs>
        <w:spacing w:before="0" w:beforeAutospacing="0" w:after="0" w:afterAutospacing="0"/>
        <w:ind w:left="426" w:firstLine="0"/>
        <w:textAlignment w:val="baseline"/>
        <w:rPr>
          <w:rFonts w:ascii="Franklin Gothic Book" w:hAnsi="Franklin Gothic Book" w:cs="Calibri"/>
          <w:sz w:val="22"/>
          <w:szCs w:val="22"/>
        </w:rPr>
      </w:pPr>
      <w:r w:rsidRPr="00C80D2A">
        <w:rPr>
          <w:rStyle w:val="normaltextrun"/>
          <w:rFonts w:ascii="Franklin Gothic Book" w:hAnsi="Franklin Gothic Book" w:cs="Calibri"/>
          <w:sz w:val="22"/>
          <w:szCs w:val="22"/>
        </w:rPr>
        <w:t>Improved wellbeing for children and their families, including relief of anxiety relating to hospital attendance for both caregivers and patients, reduced burden on patients and families, elimination of travel and associated costs, decreased wait times, earlier diagnosis, and potential for improved data acquisition in children known to have low tolerance for in-hospital conditions</w:t>
      </w:r>
      <w:r w:rsidRPr="00C80D2A">
        <w:rPr>
          <w:rStyle w:val="eop"/>
          <w:rFonts w:ascii="Franklin Gothic Book" w:eastAsiaTheme="majorEastAsia" w:hAnsi="Franklin Gothic Book" w:cs="Calibri"/>
          <w:sz w:val="22"/>
          <w:szCs w:val="22"/>
        </w:rPr>
        <w:t> </w:t>
      </w:r>
    </w:p>
    <w:p w14:paraId="480A9935" w14:textId="77777777" w:rsidR="00642CDC" w:rsidRPr="00C80D2A" w:rsidRDefault="00642CDC" w:rsidP="00E91FB9">
      <w:pPr>
        <w:pStyle w:val="paragraph"/>
        <w:numPr>
          <w:ilvl w:val="0"/>
          <w:numId w:val="37"/>
        </w:numPr>
        <w:tabs>
          <w:tab w:val="clear" w:pos="720"/>
        </w:tabs>
        <w:spacing w:before="0" w:beforeAutospacing="0" w:after="0" w:afterAutospacing="0"/>
        <w:ind w:left="426" w:firstLine="0"/>
        <w:textAlignment w:val="baseline"/>
        <w:rPr>
          <w:rFonts w:ascii="Franklin Gothic Book" w:hAnsi="Franklin Gothic Book" w:cs="Calibri"/>
          <w:sz w:val="22"/>
          <w:szCs w:val="22"/>
        </w:rPr>
      </w:pPr>
      <w:r w:rsidRPr="00C80D2A">
        <w:rPr>
          <w:rStyle w:val="normaltextrun"/>
          <w:rFonts w:ascii="Franklin Gothic Book" w:hAnsi="Franklin Gothic Book" w:cs="Calibri"/>
          <w:sz w:val="22"/>
          <w:szCs w:val="22"/>
        </w:rPr>
        <w:t>Sleep and ENT physicians can triage surgery based on clinical need</w:t>
      </w:r>
      <w:r w:rsidRPr="00C80D2A">
        <w:rPr>
          <w:rStyle w:val="eop"/>
          <w:rFonts w:ascii="Franklin Gothic Book" w:eastAsiaTheme="majorEastAsia" w:hAnsi="Franklin Gothic Book" w:cs="Calibri"/>
          <w:sz w:val="22"/>
          <w:szCs w:val="22"/>
        </w:rPr>
        <w:t> </w:t>
      </w:r>
    </w:p>
    <w:p w14:paraId="59A45CCB" w14:textId="77777777" w:rsidR="00642CDC" w:rsidRPr="00C80D2A" w:rsidRDefault="00642CDC" w:rsidP="00E91FB9">
      <w:pPr>
        <w:pStyle w:val="paragraph"/>
        <w:numPr>
          <w:ilvl w:val="0"/>
          <w:numId w:val="37"/>
        </w:numPr>
        <w:tabs>
          <w:tab w:val="clear" w:pos="720"/>
        </w:tabs>
        <w:spacing w:before="0" w:beforeAutospacing="0" w:after="0" w:afterAutospacing="0"/>
        <w:ind w:left="426" w:firstLine="0"/>
        <w:textAlignment w:val="baseline"/>
        <w:rPr>
          <w:rFonts w:ascii="Franklin Gothic Book" w:hAnsi="Franklin Gothic Book" w:cs="Calibri"/>
          <w:sz w:val="22"/>
          <w:szCs w:val="22"/>
        </w:rPr>
      </w:pPr>
      <w:r w:rsidRPr="00C80D2A">
        <w:rPr>
          <w:rStyle w:val="normaltextrun"/>
          <w:rFonts w:ascii="Franklin Gothic Book" w:hAnsi="Franklin Gothic Book" w:cs="Calibri"/>
          <w:sz w:val="22"/>
          <w:szCs w:val="22"/>
        </w:rPr>
        <w:t>Specialists would gain insight into post-operative risk and allow at-risk children to be appropriately provided a higher level of post-operative care, as well as potentially reducing morbidity and mortality associated with adenotonsillectomy</w:t>
      </w:r>
      <w:r w:rsidRPr="00C80D2A">
        <w:rPr>
          <w:rStyle w:val="eop"/>
          <w:rFonts w:ascii="Franklin Gothic Book" w:eastAsiaTheme="majorEastAsia" w:hAnsi="Franklin Gothic Book" w:cs="Calibri"/>
          <w:sz w:val="22"/>
          <w:szCs w:val="22"/>
        </w:rPr>
        <w:t> </w:t>
      </w:r>
    </w:p>
    <w:p w14:paraId="1188D016" w14:textId="77777777" w:rsidR="00642CDC" w:rsidRPr="00C80D2A" w:rsidRDefault="00642CDC" w:rsidP="00E91FB9">
      <w:pPr>
        <w:pStyle w:val="paragraph"/>
        <w:spacing w:before="240" w:beforeAutospacing="0" w:after="0" w:afterAutospacing="0"/>
        <w:textAlignment w:val="baseline"/>
        <w:rPr>
          <w:rFonts w:ascii="Franklin Gothic Book" w:hAnsi="Franklin Gothic Book" w:cs="Segoe UI"/>
          <w:sz w:val="18"/>
          <w:szCs w:val="18"/>
        </w:rPr>
      </w:pPr>
      <w:r w:rsidRPr="00C80D2A">
        <w:rPr>
          <w:rStyle w:val="normaltextrun"/>
          <w:rFonts w:ascii="Franklin Gothic Book" w:hAnsi="Franklin Gothic Book" w:cs="Calibri"/>
          <w:sz w:val="22"/>
          <w:szCs w:val="22"/>
        </w:rPr>
        <w:t>Disadvantages </w:t>
      </w:r>
      <w:r w:rsidRPr="00C80D2A">
        <w:rPr>
          <w:rStyle w:val="eop"/>
          <w:rFonts w:ascii="Franklin Gothic Book" w:eastAsiaTheme="majorEastAsia" w:hAnsi="Franklin Gothic Book" w:cs="Calibri"/>
          <w:sz w:val="22"/>
          <w:szCs w:val="22"/>
        </w:rPr>
        <w:t> </w:t>
      </w:r>
    </w:p>
    <w:p w14:paraId="48A38487" w14:textId="77777777" w:rsidR="00642CDC" w:rsidRPr="00C80D2A" w:rsidRDefault="00642CDC" w:rsidP="00E91FB9">
      <w:pPr>
        <w:pStyle w:val="paragraph"/>
        <w:numPr>
          <w:ilvl w:val="0"/>
          <w:numId w:val="38"/>
        </w:numPr>
        <w:tabs>
          <w:tab w:val="clear" w:pos="720"/>
        </w:tabs>
        <w:spacing w:before="0" w:beforeAutospacing="0" w:after="0" w:afterAutospacing="0"/>
        <w:ind w:left="426" w:firstLine="0"/>
        <w:textAlignment w:val="baseline"/>
        <w:rPr>
          <w:rFonts w:ascii="Franklin Gothic Book" w:hAnsi="Franklin Gothic Book" w:cs="Calibri"/>
          <w:sz w:val="22"/>
          <w:szCs w:val="22"/>
        </w:rPr>
      </w:pPr>
      <w:r w:rsidRPr="00C80D2A">
        <w:rPr>
          <w:rStyle w:val="normaltextrun"/>
          <w:rFonts w:ascii="Franklin Gothic Book" w:hAnsi="Franklin Gothic Book" w:cs="Calibri"/>
          <w:sz w:val="22"/>
          <w:szCs w:val="22"/>
        </w:rPr>
        <w:t>Disadvantages associated with remote monitoring such as increased rate of signal loss, elevated risk of false negative diagnosis, and risk of entanglement in the leads.</w:t>
      </w:r>
      <w:r w:rsidRPr="00C80D2A">
        <w:rPr>
          <w:rStyle w:val="eop"/>
          <w:rFonts w:ascii="Franklin Gothic Book" w:eastAsiaTheme="majorEastAsia" w:hAnsi="Franklin Gothic Book" w:cs="Calibri"/>
          <w:sz w:val="22"/>
          <w:szCs w:val="22"/>
        </w:rPr>
        <w:t> </w:t>
      </w:r>
    </w:p>
    <w:p w14:paraId="44201326" w14:textId="77777777" w:rsidR="00642CDC" w:rsidRPr="00C80D2A" w:rsidRDefault="00642CDC" w:rsidP="00E91FB9">
      <w:pPr>
        <w:pStyle w:val="paragraph"/>
        <w:numPr>
          <w:ilvl w:val="0"/>
          <w:numId w:val="38"/>
        </w:numPr>
        <w:tabs>
          <w:tab w:val="clear" w:pos="720"/>
        </w:tabs>
        <w:spacing w:before="0" w:beforeAutospacing="0" w:after="0" w:afterAutospacing="0"/>
        <w:ind w:left="426" w:firstLine="0"/>
        <w:textAlignment w:val="baseline"/>
        <w:rPr>
          <w:rFonts w:ascii="Franklin Gothic Book" w:hAnsi="Franklin Gothic Book" w:cs="Calibri"/>
          <w:sz w:val="22"/>
          <w:szCs w:val="22"/>
        </w:rPr>
      </w:pPr>
      <w:r w:rsidRPr="00C80D2A">
        <w:rPr>
          <w:rStyle w:val="normaltextrun"/>
          <w:rFonts w:ascii="Franklin Gothic Book" w:hAnsi="Franklin Gothic Book" w:cs="Calibri"/>
          <w:sz w:val="22"/>
          <w:szCs w:val="22"/>
        </w:rPr>
        <w:lastRenderedPageBreak/>
        <w:t>Potential challenges with logistics and damage to equipment </w:t>
      </w:r>
      <w:r w:rsidRPr="00C80D2A">
        <w:rPr>
          <w:rStyle w:val="eop"/>
          <w:rFonts w:ascii="Franklin Gothic Book" w:eastAsiaTheme="majorEastAsia" w:hAnsi="Franklin Gothic Book" w:cs="Calibri"/>
          <w:sz w:val="22"/>
          <w:szCs w:val="22"/>
        </w:rPr>
        <w:t> </w:t>
      </w:r>
    </w:p>
    <w:p w14:paraId="1D8B660F" w14:textId="77777777" w:rsidR="00642CDC" w:rsidRPr="00C80D2A" w:rsidRDefault="00642CDC" w:rsidP="00E91FB9">
      <w:pPr>
        <w:pStyle w:val="paragraph"/>
        <w:numPr>
          <w:ilvl w:val="0"/>
          <w:numId w:val="38"/>
        </w:numPr>
        <w:tabs>
          <w:tab w:val="clear" w:pos="720"/>
        </w:tabs>
        <w:spacing w:before="0" w:beforeAutospacing="0" w:after="0" w:afterAutospacing="0"/>
        <w:ind w:left="426" w:firstLine="0"/>
        <w:textAlignment w:val="baseline"/>
        <w:rPr>
          <w:rFonts w:ascii="Franklin Gothic Book" w:hAnsi="Franklin Gothic Book" w:cs="Calibri"/>
          <w:sz w:val="22"/>
          <w:szCs w:val="22"/>
        </w:rPr>
      </w:pPr>
      <w:r w:rsidRPr="00C80D2A">
        <w:rPr>
          <w:rStyle w:val="normaltextrun"/>
          <w:rFonts w:ascii="Franklin Gothic Book" w:hAnsi="Franklin Gothic Book" w:cs="Calibri"/>
          <w:sz w:val="22"/>
          <w:szCs w:val="22"/>
        </w:rPr>
        <w:t>Risks that come with an unsupervised testing, which may result in participants requiring supplemental testing</w:t>
      </w:r>
      <w:r w:rsidRPr="00C80D2A">
        <w:rPr>
          <w:rStyle w:val="eop"/>
          <w:rFonts w:ascii="Franklin Gothic Book" w:eastAsiaTheme="majorEastAsia" w:hAnsi="Franklin Gothic Book" w:cs="Calibri"/>
          <w:sz w:val="22"/>
          <w:szCs w:val="22"/>
        </w:rPr>
        <w:t> </w:t>
      </w:r>
    </w:p>
    <w:p w14:paraId="07D70B58" w14:textId="77777777" w:rsidR="00642CDC" w:rsidRPr="00C80D2A" w:rsidRDefault="00642CDC" w:rsidP="00E91FB9">
      <w:pPr>
        <w:pStyle w:val="paragraph"/>
        <w:numPr>
          <w:ilvl w:val="0"/>
          <w:numId w:val="39"/>
        </w:numPr>
        <w:tabs>
          <w:tab w:val="clear" w:pos="720"/>
        </w:tabs>
        <w:spacing w:before="0" w:beforeAutospacing="0" w:after="0" w:afterAutospacing="0"/>
        <w:ind w:left="426" w:firstLine="0"/>
        <w:textAlignment w:val="baseline"/>
        <w:rPr>
          <w:rFonts w:ascii="Franklin Gothic Book" w:hAnsi="Franklin Gothic Book" w:cs="Calibri"/>
          <w:sz w:val="22"/>
          <w:szCs w:val="22"/>
        </w:rPr>
      </w:pPr>
      <w:r w:rsidRPr="00C80D2A">
        <w:rPr>
          <w:rStyle w:val="normaltextrun"/>
          <w:rFonts w:ascii="Franklin Gothic Book" w:hAnsi="Franklin Gothic Book" w:cs="Calibri"/>
          <w:sz w:val="22"/>
          <w:szCs w:val="22"/>
        </w:rPr>
        <w:t> Limitations with lack of video monitoring for at-home studies</w:t>
      </w:r>
      <w:r w:rsidRPr="00C80D2A">
        <w:rPr>
          <w:rStyle w:val="eop"/>
          <w:rFonts w:ascii="Franklin Gothic Book" w:eastAsiaTheme="majorEastAsia" w:hAnsi="Franklin Gothic Book" w:cs="Calibri"/>
          <w:sz w:val="22"/>
          <w:szCs w:val="22"/>
        </w:rPr>
        <w:t> </w:t>
      </w:r>
    </w:p>
    <w:p w14:paraId="5FDAE3CB" w14:textId="77777777" w:rsidR="00642CDC" w:rsidRPr="00C80D2A" w:rsidRDefault="00642CDC" w:rsidP="00642CDC">
      <w:pPr>
        <w:pStyle w:val="paragraph"/>
        <w:spacing w:before="240" w:beforeAutospacing="0" w:after="0" w:afterAutospacing="0"/>
        <w:textAlignment w:val="baseline"/>
        <w:rPr>
          <w:rFonts w:ascii="Franklin Gothic Book" w:hAnsi="Franklin Gothic Book" w:cs="Segoe UI"/>
          <w:sz w:val="18"/>
          <w:szCs w:val="18"/>
        </w:rPr>
      </w:pPr>
      <w:r w:rsidRPr="00C80D2A">
        <w:rPr>
          <w:rStyle w:val="normaltextrun"/>
          <w:rFonts w:ascii="Franklin Gothic Book" w:hAnsi="Franklin Gothic Book" w:cs="Calibri"/>
          <w:b/>
          <w:bCs/>
          <w:sz w:val="22"/>
          <w:szCs w:val="22"/>
        </w:rPr>
        <w:t>Additional comments </w:t>
      </w:r>
      <w:r w:rsidRPr="00C80D2A">
        <w:rPr>
          <w:rStyle w:val="eop"/>
          <w:rFonts w:ascii="Franklin Gothic Book" w:eastAsiaTheme="majorEastAsia" w:hAnsi="Franklin Gothic Book" w:cs="Calibri"/>
          <w:sz w:val="22"/>
          <w:szCs w:val="22"/>
        </w:rPr>
        <w:t> </w:t>
      </w:r>
    </w:p>
    <w:p w14:paraId="6B61BEC1" w14:textId="77777777" w:rsidR="00642CDC" w:rsidRPr="00C80D2A" w:rsidRDefault="00642CDC" w:rsidP="00642CDC">
      <w:pPr>
        <w:pStyle w:val="paragraph"/>
        <w:spacing w:before="0" w:beforeAutospacing="0" w:after="0" w:afterAutospacing="0"/>
        <w:textAlignment w:val="baseline"/>
        <w:rPr>
          <w:rFonts w:ascii="Franklin Gothic Book" w:hAnsi="Franklin Gothic Book" w:cs="Segoe UI"/>
          <w:sz w:val="18"/>
          <w:szCs w:val="18"/>
        </w:rPr>
      </w:pPr>
      <w:r w:rsidRPr="00C80D2A">
        <w:rPr>
          <w:rStyle w:val="normaltextrun"/>
          <w:rFonts w:ascii="Franklin Gothic Book" w:hAnsi="Franklin Gothic Book" w:cs="Calibri"/>
          <w:sz w:val="22"/>
          <w:szCs w:val="22"/>
        </w:rPr>
        <w:t>The set-up of paediatric sleep studies, levels 1-4, require specialist training and expertise from the physiologist/nurse setting up the patients given the wide range of ages, maturity, and disease related compliance with the application of the various sensors and electrodes required for differing levels of out-of-laboratory sleep studies. </w:t>
      </w:r>
      <w:r w:rsidRPr="00C80D2A">
        <w:rPr>
          <w:rStyle w:val="eop"/>
          <w:rFonts w:ascii="Franklin Gothic Book" w:eastAsiaTheme="majorEastAsia" w:hAnsi="Franklin Gothic Book" w:cs="Calibri"/>
          <w:sz w:val="22"/>
          <w:szCs w:val="22"/>
        </w:rPr>
        <w:t> </w:t>
      </w:r>
    </w:p>
    <w:p w14:paraId="1FDFF46A" w14:textId="77777777" w:rsidR="00642CDC" w:rsidRPr="00C80D2A" w:rsidRDefault="00642CDC" w:rsidP="00642CDC">
      <w:pPr>
        <w:pStyle w:val="paragraph"/>
        <w:spacing w:before="240" w:beforeAutospacing="0" w:after="0" w:afterAutospacing="0"/>
        <w:textAlignment w:val="baseline"/>
        <w:rPr>
          <w:rFonts w:ascii="Franklin Gothic Book" w:hAnsi="Franklin Gothic Book" w:cs="Segoe UI"/>
          <w:sz w:val="18"/>
          <w:szCs w:val="18"/>
        </w:rPr>
      </w:pPr>
      <w:r w:rsidRPr="00C80D2A">
        <w:rPr>
          <w:rStyle w:val="normaltextrun"/>
          <w:rFonts w:ascii="Franklin Gothic Book" w:hAnsi="Franklin Gothic Book" w:cs="Calibri"/>
          <w:sz w:val="22"/>
          <w:szCs w:val="22"/>
        </w:rPr>
        <w:t>The risk of signal loss or study failure would be mitigated by testing being restricted to NATA/ASA accredited services with the addition of telephone support.</w:t>
      </w:r>
      <w:r w:rsidRPr="00C80D2A">
        <w:rPr>
          <w:rStyle w:val="eop"/>
          <w:rFonts w:ascii="Franklin Gothic Book" w:eastAsiaTheme="majorEastAsia" w:hAnsi="Franklin Gothic Book" w:cs="Calibri"/>
          <w:sz w:val="22"/>
          <w:szCs w:val="22"/>
        </w:rPr>
        <w:t> </w:t>
      </w:r>
    </w:p>
    <w:p w14:paraId="6DB05B8D" w14:textId="77777777" w:rsidR="00642CDC" w:rsidRPr="00C80D2A" w:rsidRDefault="00642CDC" w:rsidP="00642CDC">
      <w:pPr>
        <w:pStyle w:val="paragraph"/>
        <w:spacing w:before="240" w:beforeAutospacing="0" w:after="0" w:afterAutospacing="0"/>
        <w:textAlignment w:val="baseline"/>
        <w:rPr>
          <w:rFonts w:ascii="Franklin Gothic Book" w:hAnsi="Franklin Gothic Book" w:cs="Segoe UI"/>
          <w:sz w:val="18"/>
          <w:szCs w:val="18"/>
        </w:rPr>
      </w:pPr>
      <w:r w:rsidRPr="00C80D2A">
        <w:rPr>
          <w:rStyle w:val="normaltextrun"/>
          <w:rFonts w:ascii="Franklin Gothic Book" w:hAnsi="Franklin Gothic Book" w:cs="Calibri"/>
          <w:sz w:val="22"/>
          <w:szCs w:val="22"/>
        </w:rPr>
        <w:t>The risk of lead entanglement can be significantly reduced through documentation of this risk on written materials and requesting parents and carers check on their child periodically during the study.</w:t>
      </w:r>
      <w:r w:rsidRPr="00C80D2A">
        <w:rPr>
          <w:rStyle w:val="eop"/>
          <w:rFonts w:ascii="Franklin Gothic Book" w:eastAsiaTheme="majorEastAsia" w:hAnsi="Franklin Gothic Book" w:cs="Calibri"/>
          <w:sz w:val="22"/>
          <w:szCs w:val="22"/>
        </w:rPr>
        <w:t> </w:t>
      </w:r>
    </w:p>
    <w:p w14:paraId="21B51048" w14:textId="77777777" w:rsidR="00642CDC" w:rsidRPr="00C80D2A" w:rsidRDefault="00642CDC" w:rsidP="00642CDC">
      <w:pPr>
        <w:pStyle w:val="paragraph"/>
        <w:spacing w:before="240" w:beforeAutospacing="0" w:after="0" w:afterAutospacing="0"/>
        <w:textAlignment w:val="baseline"/>
        <w:rPr>
          <w:rFonts w:ascii="Franklin Gothic Book" w:hAnsi="Franklin Gothic Book" w:cs="Segoe UI"/>
          <w:sz w:val="18"/>
          <w:szCs w:val="18"/>
        </w:rPr>
      </w:pPr>
      <w:r w:rsidRPr="00C80D2A">
        <w:rPr>
          <w:rStyle w:val="normaltextrun"/>
          <w:rFonts w:ascii="Franklin Gothic Book" w:hAnsi="Franklin Gothic Book" w:cs="Calibri"/>
          <w:sz w:val="22"/>
          <w:szCs w:val="22"/>
        </w:rPr>
        <w:t>Only paediatric sleep specialists accredited in Australia should be allowed to request and report the proposed service, and children with failed studies at home may need a repeat study or attend a hospital-based study.</w:t>
      </w:r>
      <w:r w:rsidRPr="00C80D2A">
        <w:rPr>
          <w:rStyle w:val="eop"/>
          <w:rFonts w:ascii="Franklin Gothic Book" w:eastAsiaTheme="majorEastAsia" w:hAnsi="Franklin Gothic Book" w:cs="Calibri"/>
          <w:sz w:val="22"/>
          <w:szCs w:val="22"/>
        </w:rPr>
        <w:t> </w:t>
      </w:r>
    </w:p>
    <w:p w14:paraId="3A3E6EE7" w14:textId="7E8C77B3" w:rsidR="00642CDC" w:rsidRPr="00C80D2A" w:rsidRDefault="230A7698" w:rsidP="43E75038">
      <w:pPr>
        <w:pStyle w:val="paragraph"/>
        <w:spacing w:before="240" w:beforeAutospacing="0" w:after="0" w:afterAutospacing="0"/>
        <w:textAlignment w:val="baseline"/>
        <w:rPr>
          <w:rFonts w:ascii="Franklin Gothic Book" w:hAnsi="Franklin Gothic Book" w:cs="Segoe UI"/>
          <w:sz w:val="18"/>
          <w:szCs w:val="18"/>
        </w:rPr>
      </w:pPr>
      <w:r w:rsidRPr="00C80D2A">
        <w:rPr>
          <w:rStyle w:val="normaltextrun"/>
          <w:rFonts w:ascii="Franklin Gothic Book" w:hAnsi="Franklin Gothic Book" w:cs="Calibri"/>
          <w:sz w:val="22"/>
          <w:szCs w:val="22"/>
        </w:rPr>
        <w:t>The home sleep service could potentially be commercialised by the private sector. </w:t>
      </w:r>
      <w:r w:rsidRPr="00C80D2A">
        <w:rPr>
          <w:rStyle w:val="eop"/>
          <w:rFonts w:ascii="Franklin Gothic Book" w:eastAsiaTheme="majorEastAsia" w:hAnsi="Franklin Gothic Book" w:cs="Calibri"/>
          <w:sz w:val="22"/>
          <w:szCs w:val="22"/>
        </w:rPr>
        <w:t> </w:t>
      </w:r>
    </w:p>
    <w:p w14:paraId="65C853BC" w14:textId="2F89440A" w:rsidR="00642CDC" w:rsidRPr="00C80D2A" w:rsidRDefault="00642CDC" w:rsidP="00E91FB9">
      <w:pPr>
        <w:pStyle w:val="paragraph"/>
        <w:spacing w:before="240" w:beforeAutospacing="0" w:after="0" w:afterAutospacing="0"/>
        <w:textAlignment w:val="baseline"/>
        <w:rPr>
          <w:rFonts w:ascii="Franklin Gothic Medium" w:eastAsiaTheme="majorEastAsia" w:hAnsi="Franklin Gothic Medium" w:cs="Calibri"/>
          <w:sz w:val="22"/>
          <w:szCs w:val="22"/>
        </w:rPr>
      </w:pPr>
      <w:r w:rsidRPr="00C80D2A">
        <w:rPr>
          <w:rStyle w:val="normaltextrun"/>
          <w:rFonts w:ascii="Franklin Gothic Book" w:hAnsi="Franklin Gothic Book" w:cs="Calibri"/>
          <w:sz w:val="22"/>
          <w:szCs w:val="22"/>
        </w:rPr>
        <w:t>The eligibility criteria for the overnight pulse oximetry eligibility criteria could be extended to include children 12-18 years of age and living in metropolitan areas. </w:t>
      </w:r>
      <w:r w:rsidRPr="00C80D2A">
        <w:rPr>
          <w:rStyle w:val="eop"/>
          <w:rFonts w:ascii="Franklin Gothic Book" w:eastAsiaTheme="majorEastAsia" w:hAnsi="Franklin Gothic Book" w:cs="Calibri"/>
          <w:sz w:val="22"/>
          <w:szCs w:val="22"/>
        </w:rPr>
        <w:t> </w:t>
      </w:r>
    </w:p>
    <w:p w14:paraId="5BF5E44B" w14:textId="79DC7DA1" w:rsidR="005E1CA4" w:rsidRPr="00CE28E3" w:rsidRDefault="00E91FB9" w:rsidP="00E91FB9">
      <w:pPr>
        <w:pStyle w:val="Heading2"/>
        <w:numPr>
          <w:ilvl w:val="0"/>
          <w:numId w:val="0"/>
        </w:numPr>
      </w:pPr>
      <w:bookmarkStart w:id="25" w:name="_Toc145678759"/>
      <w:bookmarkStart w:id="26" w:name="_Toc150172404"/>
      <w:bookmarkStart w:id="27" w:name="_Toc153462779"/>
      <w:r>
        <w:t>10.</w:t>
      </w:r>
      <w:r>
        <w:tab/>
      </w:r>
      <w:r w:rsidR="005E1CA4" w:rsidRPr="00CE28E3">
        <w:t>Characteristics of the evidence base</w:t>
      </w:r>
      <w:bookmarkEnd w:id="25"/>
      <w:bookmarkEnd w:id="26"/>
      <w:bookmarkEnd w:id="27"/>
    </w:p>
    <w:p w14:paraId="0343EB64" w14:textId="379D8CD3" w:rsidR="005E1CA4" w:rsidRPr="00395DB7" w:rsidRDefault="005E1CA4" w:rsidP="005E1CA4">
      <w:pPr>
        <w:rPr>
          <w:rFonts w:ascii="Franklin Gothic Book" w:hAnsi="Franklin Gothic Book"/>
        </w:rPr>
      </w:pPr>
      <w:r w:rsidRPr="00395DB7">
        <w:rPr>
          <w:rFonts w:ascii="Franklin Gothic Book" w:hAnsi="Franklin Gothic Book"/>
        </w:rPr>
        <w:t xml:space="preserve">Key features of the included evidence are summarised in </w:t>
      </w:r>
      <w:r w:rsidRPr="00395DB7">
        <w:rPr>
          <w:rFonts w:ascii="Franklin Gothic Book" w:hAnsi="Franklin Gothic Book"/>
        </w:rPr>
        <w:fldChar w:fldCharType="begin"/>
      </w:r>
      <w:r w:rsidRPr="00395DB7">
        <w:rPr>
          <w:rFonts w:ascii="Franklin Gothic Book" w:hAnsi="Franklin Gothic Book"/>
        </w:rPr>
        <w:instrText xml:space="preserve"> REF _Ref69725659 \h </w:instrText>
      </w:r>
      <w:r w:rsidR="00395DB7" w:rsidRP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Table </w:t>
      </w:r>
      <w:r w:rsidRPr="00395DB7">
        <w:rPr>
          <w:rFonts w:ascii="Franklin Gothic Book" w:hAnsi="Franklin Gothic Book"/>
          <w:noProof/>
        </w:rPr>
        <w:t>6</w:t>
      </w:r>
      <w:r w:rsidRPr="00395DB7">
        <w:rPr>
          <w:rFonts w:ascii="Franklin Gothic Book" w:hAnsi="Franklin Gothic Book"/>
        </w:rPr>
        <w:fldChar w:fldCharType="end"/>
      </w:r>
      <w:r w:rsidRPr="00395DB7">
        <w:rPr>
          <w:rFonts w:ascii="Franklin Gothic Book" w:hAnsi="Franklin Gothic Book"/>
        </w:rPr>
        <w:t>. No direct from test to health outcomes evidence was identified for any PICO set.</w:t>
      </w:r>
    </w:p>
    <w:p w14:paraId="5FA9FC25" w14:textId="56ECC140" w:rsidR="005E1CA4" w:rsidRPr="00395DB7" w:rsidRDefault="005E1CA4" w:rsidP="005E1CA4">
      <w:pPr>
        <w:rPr>
          <w:rFonts w:ascii="Franklin Gothic Book" w:hAnsi="Franklin Gothic Book"/>
        </w:rPr>
      </w:pPr>
      <w:r w:rsidRPr="00395DB7">
        <w:rPr>
          <w:rFonts w:ascii="Franklin Gothic Book" w:hAnsi="Franklin Gothic Book"/>
        </w:rPr>
        <w:t>For PICO Set 1, two studies (Cielo et al. 2023</w:t>
      </w:r>
      <w:r w:rsidR="00725450">
        <w:rPr>
          <w:rStyle w:val="FootnoteReference"/>
          <w:rFonts w:ascii="Franklin Gothic Book" w:hAnsi="Franklin Gothic Book"/>
        </w:rPr>
        <w:footnoteReference w:id="3"/>
      </w:r>
      <w:r w:rsidRPr="00395DB7">
        <w:rPr>
          <w:rFonts w:ascii="Franklin Gothic Book" w:hAnsi="Franklin Gothic Book"/>
        </w:rPr>
        <w:t>; Withers et al. 2022</w:t>
      </w:r>
      <w:r w:rsidR="00270EDF">
        <w:rPr>
          <w:rStyle w:val="FootnoteReference"/>
          <w:rFonts w:ascii="Franklin Gothic Book" w:hAnsi="Franklin Gothic Book"/>
        </w:rPr>
        <w:footnoteReference w:id="4"/>
      </w:r>
      <w:r w:rsidRPr="00395DB7">
        <w:rPr>
          <w:rFonts w:ascii="Franklin Gothic Book" w:hAnsi="Franklin Gothic Book"/>
        </w:rPr>
        <w:t xml:space="preserve">) met the inclusion criteria for assessing the test accuracy and reliability (i.e. rate of test failure and repeat tests) of out-of-laboratory Level 2 PSG studies compared to Level 1 PSG studies. These were supplemented with </w:t>
      </w:r>
      <w:r w:rsidRPr="00395DB7">
        <w:rPr>
          <w:rFonts w:ascii="Franklin Gothic Book" w:hAnsi="Franklin Gothic Book"/>
        </w:rPr>
        <w:lastRenderedPageBreak/>
        <w:t>five single-arm cohort studies that assessed the test reliability of Level 2 PSG (Goodwin et al. 2001</w:t>
      </w:r>
      <w:r w:rsidR="00A57741">
        <w:rPr>
          <w:rStyle w:val="FootnoteReference"/>
          <w:rFonts w:ascii="Franklin Gothic Book" w:hAnsi="Franklin Gothic Book"/>
        </w:rPr>
        <w:footnoteReference w:id="5"/>
      </w:r>
      <w:r w:rsidRPr="00395DB7">
        <w:rPr>
          <w:rFonts w:ascii="Franklin Gothic Book" w:hAnsi="Franklin Gothic Book"/>
        </w:rPr>
        <w:t>; Griffiths et al. 2022; Ioan et al. 2020</w:t>
      </w:r>
      <w:r w:rsidR="00425E1D">
        <w:rPr>
          <w:rStyle w:val="FootnoteReference"/>
          <w:rFonts w:ascii="Franklin Gothic Book" w:hAnsi="Franklin Gothic Book"/>
        </w:rPr>
        <w:footnoteReference w:id="6"/>
      </w:r>
      <w:r w:rsidRPr="00395DB7">
        <w:rPr>
          <w:rFonts w:ascii="Franklin Gothic Book" w:hAnsi="Franklin Gothic Book"/>
        </w:rPr>
        <w:t>; Marcus et al. 2014</w:t>
      </w:r>
      <w:r w:rsidR="007D653D">
        <w:rPr>
          <w:rStyle w:val="FootnoteReference"/>
          <w:rFonts w:ascii="Franklin Gothic Book" w:hAnsi="Franklin Gothic Book"/>
        </w:rPr>
        <w:footnoteReference w:id="7"/>
      </w:r>
      <w:r w:rsidRPr="00395DB7">
        <w:rPr>
          <w:rFonts w:ascii="Franklin Gothic Book" w:hAnsi="Franklin Gothic Book"/>
        </w:rPr>
        <w:t>; Russo 2021</w:t>
      </w:r>
      <w:r w:rsidR="00BD6A4F">
        <w:rPr>
          <w:rStyle w:val="FootnoteReference"/>
          <w:rFonts w:ascii="Franklin Gothic Book" w:hAnsi="Franklin Gothic Book"/>
        </w:rPr>
        <w:footnoteReference w:id="8"/>
      </w:r>
      <w:r w:rsidRPr="00395DB7">
        <w:rPr>
          <w:rFonts w:ascii="Franklin Gothic Book" w:hAnsi="Franklin Gothic Book"/>
        </w:rPr>
        <w:t>).</w:t>
      </w:r>
    </w:p>
    <w:p w14:paraId="173B06B7" w14:textId="5B0D787E" w:rsidR="005E1CA4" w:rsidRPr="00395DB7" w:rsidRDefault="005E1CA4" w:rsidP="005E1CA4">
      <w:pPr>
        <w:rPr>
          <w:rFonts w:ascii="Franklin Gothic Book" w:hAnsi="Franklin Gothic Book"/>
        </w:rPr>
      </w:pPr>
      <w:r w:rsidRPr="00395DB7">
        <w:rPr>
          <w:rFonts w:ascii="Franklin Gothic Book" w:hAnsi="Franklin Gothic Book"/>
        </w:rPr>
        <w:t>Five studies were included that assessed the test accuracy of out-of-laboratory Level 3 CRP against the reference standard of Level 1 PSG in a sleep laboratory (Alonso-Álvarez et al. 2015</w:t>
      </w:r>
      <w:r w:rsidR="0013779F">
        <w:rPr>
          <w:rStyle w:val="FootnoteReference"/>
          <w:rFonts w:ascii="Franklin Gothic Book" w:hAnsi="Franklin Gothic Book"/>
        </w:rPr>
        <w:footnoteReference w:id="9"/>
      </w:r>
      <w:r w:rsidRPr="00395DB7">
        <w:rPr>
          <w:rFonts w:ascii="Franklin Gothic Book" w:hAnsi="Franklin Gothic Book"/>
        </w:rPr>
        <w:t xml:space="preserve">; </w:t>
      </w:r>
      <w:proofErr w:type="spellStart"/>
      <w:r w:rsidRPr="00395DB7">
        <w:rPr>
          <w:rFonts w:ascii="Franklin Gothic Book" w:hAnsi="Franklin Gothic Book"/>
        </w:rPr>
        <w:t>Ikizoglu</w:t>
      </w:r>
      <w:proofErr w:type="spellEnd"/>
      <w:r w:rsidRPr="00395DB7">
        <w:rPr>
          <w:rFonts w:ascii="Franklin Gothic Book" w:hAnsi="Franklin Gothic Book"/>
        </w:rPr>
        <w:t xml:space="preserve"> et al. 2019</w:t>
      </w:r>
      <w:r w:rsidR="004F03A8">
        <w:rPr>
          <w:rStyle w:val="FootnoteReference"/>
          <w:rFonts w:ascii="Franklin Gothic Book" w:hAnsi="Franklin Gothic Book"/>
        </w:rPr>
        <w:footnoteReference w:id="10"/>
      </w:r>
      <w:r w:rsidRPr="00395DB7">
        <w:rPr>
          <w:rFonts w:ascii="Franklin Gothic Book" w:hAnsi="Franklin Gothic Book"/>
        </w:rPr>
        <w:t xml:space="preserve">; Kissow Lildal et al. 2023; </w:t>
      </w:r>
      <w:proofErr w:type="spellStart"/>
      <w:r w:rsidRPr="00395DB7">
        <w:rPr>
          <w:rFonts w:ascii="Franklin Gothic Book" w:hAnsi="Franklin Gothic Book"/>
        </w:rPr>
        <w:t>Revana</w:t>
      </w:r>
      <w:proofErr w:type="spellEnd"/>
      <w:r w:rsidRPr="00395DB7">
        <w:rPr>
          <w:rFonts w:ascii="Franklin Gothic Book" w:hAnsi="Franklin Gothic Book"/>
        </w:rPr>
        <w:t xml:space="preserve"> et al. 2022</w:t>
      </w:r>
      <w:r w:rsidR="001D2AE2">
        <w:rPr>
          <w:rStyle w:val="FootnoteReference"/>
          <w:rFonts w:ascii="Franklin Gothic Book" w:hAnsi="Franklin Gothic Book"/>
        </w:rPr>
        <w:footnoteReference w:id="11"/>
      </w:r>
      <w:r w:rsidRPr="00395DB7">
        <w:rPr>
          <w:rFonts w:ascii="Franklin Gothic Book" w:hAnsi="Franklin Gothic Book"/>
        </w:rPr>
        <w:t>; Fishman et al. 2018</w:t>
      </w:r>
      <w:r w:rsidR="00176027">
        <w:rPr>
          <w:rStyle w:val="FootnoteReference"/>
          <w:rFonts w:ascii="Franklin Gothic Book" w:hAnsi="Franklin Gothic Book"/>
        </w:rPr>
        <w:footnoteReference w:id="12"/>
      </w:r>
      <w:r w:rsidRPr="00395DB7">
        <w:rPr>
          <w:rFonts w:ascii="Franklin Gothic Book" w:hAnsi="Franklin Gothic Book"/>
        </w:rPr>
        <w:t>). These provided diagnostic accuracy outcomes for PICO Set 2 and 3; however, they did not provide comparative data for PICO Set 2 (comparator is no sleep study) and were in the wrong population for PICO Set 3</w:t>
      </w:r>
      <w:r w:rsidRPr="00395DB7" w:rsidDel="0058455F">
        <w:rPr>
          <w:rFonts w:ascii="Franklin Gothic Book" w:hAnsi="Franklin Gothic Book"/>
        </w:rPr>
        <w:t xml:space="preserve"> </w:t>
      </w:r>
      <w:r w:rsidRPr="00395DB7">
        <w:rPr>
          <w:rFonts w:ascii="Franklin Gothic Book" w:hAnsi="Franklin Gothic Book"/>
        </w:rPr>
        <w:t xml:space="preserve">(test accuracy may differ in patients using respiratory support during the study). Three of the test accuracy studies also reported test reliability (Kissow Lildal et al. 2023; Fishman et al. 2018; </w:t>
      </w:r>
      <w:proofErr w:type="spellStart"/>
      <w:r w:rsidRPr="00395DB7">
        <w:rPr>
          <w:rFonts w:ascii="Franklin Gothic Book" w:hAnsi="Franklin Gothic Book"/>
        </w:rPr>
        <w:t>Ikizoglu</w:t>
      </w:r>
      <w:proofErr w:type="spellEnd"/>
      <w:r w:rsidRPr="00395DB7">
        <w:rPr>
          <w:rFonts w:ascii="Franklin Gothic Book" w:hAnsi="Franklin Gothic Book"/>
        </w:rPr>
        <w:t xml:space="preserve"> et al. 2019). An additional four studies were included to assess the test reliability of Level 3 CRP (Kingshott et al. 2019; Brockmann et al.</w:t>
      </w:r>
      <w:r w:rsidR="00DF05AD">
        <w:rPr>
          <w:rStyle w:val="FootnoteReference"/>
          <w:rFonts w:ascii="Franklin Gothic Book" w:hAnsi="Franklin Gothic Book"/>
        </w:rPr>
        <w:footnoteReference w:id="13"/>
      </w:r>
      <w:r w:rsidRPr="00395DB7">
        <w:rPr>
          <w:rFonts w:ascii="Franklin Gothic Book" w:hAnsi="Franklin Gothic Book"/>
        </w:rPr>
        <w:t xml:space="preserve"> 2016; </w:t>
      </w:r>
      <w:proofErr w:type="spellStart"/>
      <w:r w:rsidRPr="00395DB7">
        <w:rPr>
          <w:rFonts w:ascii="Franklin Gothic Book" w:hAnsi="Franklin Gothic Book"/>
        </w:rPr>
        <w:t>Chiner</w:t>
      </w:r>
      <w:proofErr w:type="spellEnd"/>
      <w:r w:rsidRPr="00395DB7">
        <w:rPr>
          <w:rFonts w:ascii="Franklin Gothic Book" w:hAnsi="Franklin Gothic Book"/>
        </w:rPr>
        <w:t xml:space="preserve"> et al. 2020</w:t>
      </w:r>
      <w:r w:rsidR="00386B2D">
        <w:rPr>
          <w:rStyle w:val="FootnoteReference"/>
          <w:rFonts w:ascii="Franklin Gothic Book" w:hAnsi="Franklin Gothic Book"/>
        </w:rPr>
        <w:footnoteReference w:id="14"/>
      </w:r>
      <w:r w:rsidRPr="00395DB7">
        <w:rPr>
          <w:rFonts w:ascii="Franklin Gothic Book" w:hAnsi="Franklin Gothic Book"/>
        </w:rPr>
        <w:t>; Green et al. 2022</w:t>
      </w:r>
      <w:r w:rsidR="00B57C00">
        <w:rPr>
          <w:rStyle w:val="FootnoteReference"/>
          <w:rFonts w:ascii="Franklin Gothic Book" w:hAnsi="Franklin Gothic Book"/>
        </w:rPr>
        <w:footnoteReference w:id="15"/>
      </w:r>
      <w:r w:rsidRPr="00395DB7">
        <w:rPr>
          <w:rFonts w:ascii="Franklin Gothic Book" w:hAnsi="Franklin Gothic Book"/>
        </w:rPr>
        <w:t>).</w:t>
      </w:r>
    </w:p>
    <w:p w14:paraId="4E7D5AD8" w14:textId="5151505A" w:rsidR="005E1CA4" w:rsidRPr="00395DB7" w:rsidRDefault="005E1CA4" w:rsidP="005E1CA4">
      <w:pPr>
        <w:rPr>
          <w:rFonts w:ascii="Franklin Gothic Book" w:hAnsi="Franklin Gothic Book"/>
        </w:rPr>
      </w:pPr>
      <w:r w:rsidRPr="00395DB7">
        <w:rPr>
          <w:rFonts w:ascii="Franklin Gothic Book" w:hAnsi="Franklin Gothic Book"/>
        </w:rPr>
        <w:t>For PICO Set 2, no studies met the inclusion criteria for change in management; however, one cross-sectional accuracy study (Kissow Lildal et al. 2023) and one comparative cohort study (</w:t>
      </w:r>
      <w:proofErr w:type="spellStart"/>
      <w:r w:rsidRPr="00395DB7">
        <w:rPr>
          <w:rFonts w:ascii="Franklin Gothic Book" w:hAnsi="Franklin Gothic Book"/>
        </w:rPr>
        <w:t>Chiner</w:t>
      </w:r>
      <w:proofErr w:type="spellEnd"/>
      <w:r w:rsidRPr="00395DB7">
        <w:rPr>
          <w:rFonts w:ascii="Franklin Gothic Book" w:hAnsi="Franklin Gothic Book"/>
        </w:rPr>
        <w:t xml:space="preserve"> et al. 2020) provided data that were considered in the linked evidence approach. The health outcomes of adenotonsillectomy were summarised from two systematic reviews </w:t>
      </w:r>
      <w:r w:rsidRPr="00395DB7">
        <w:rPr>
          <w:rFonts w:ascii="Franklin Gothic Book" w:hAnsi="Franklin Gothic Book"/>
        </w:rPr>
        <w:lastRenderedPageBreak/>
        <w:t>(Venekamp et al. 2015</w:t>
      </w:r>
      <w:r w:rsidR="005142CE">
        <w:rPr>
          <w:rStyle w:val="FootnoteReference"/>
          <w:rFonts w:ascii="Franklin Gothic Book" w:hAnsi="Franklin Gothic Book"/>
        </w:rPr>
        <w:footnoteReference w:id="16"/>
      </w:r>
      <w:r w:rsidRPr="00395DB7">
        <w:rPr>
          <w:rFonts w:ascii="Franklin Gothic Book" w:hAnsi="Franklin Gothic Book"/>
        </w:rPr>
        <w:t>; Francis et al. 2017</w:t>
      </w:r>
      <w:r w:rsidR="00B136A1">
        <w:rPr>
          <w:rStyle w:val="FootnoteReference"/>
          <w:rFonts w:ascii="Franklin Gothic Book" w:hAnsi="Franklin Gothic Book"/>
        </w:rPr>
        <w:footnoteReference w:id="17"/>
      </w:r>
      <w:r w:rsidRPr="00395DB7">
        <w:rPr>
          <w:rFonts w:ascii="Franklin Gothic Book" w:hAnsi="Franklin Gothic Book"/>
        </w:rPr>
        <w:t>) and applicability of the evidence to the proposed patient population was discussed based on four studies incidentally retrieved from the literature search (</w:t>
      </w:r>
      <w:proofErr w:type="spellStart"/>
      <w:r w:rsidRPr="00395DB7">
        <w:rPr>
          <w:rFonts w:ascii="Franklin Gothic Book" w:hAnsi="Franklin Gothic Book"/>
        </w:rPr>
        <w:t>Lanzlinger</w:t>
      </w:r>
      <w:proofErr w:type="spellEnd"/>
      <w:r w:rsidRPr="00395DB7">
        <w:rPr>
          <w:rFonts w:ascii="Franklin Gothic Book" w:hAnsi="Franklin Gothic Book"/>
        </w:rPr>
        <w:t xml:space="preserve"> et al. 2023</w:t>
      </w:r>
      <w:r w:rsidR="000F0267">
        <w:rPr>
          <w:rStyle w:val="FootnoteReference"/>
          <w:rFonts w:ascii="Franklin Gothic Book" w:hAnsi="Franklin Gothic Book"/>
        </w:rPr>
        <w:footnoteReference w:id="18"/>
      </w:r>
      <w:r w:rsidRPr="00395DB7">
        <w:rPr>
          <w:rFonts w:ascii="Franklin Gothic Book" w:hAnsi="Franklin Gothic Book"/>
        </w:rPr>
        <w:t>; Primeau et al. 2016</w:t>
      </w:r>
      <w:r w:rsidR="00312752">
        <w:rPr>
          <w:rStyle w:val="FootnoteReference"/>
          <w:rFonts w:ascii="Franklin Gothic Book" w:hAnsi="Franklin Gothic Book"/>
        </w:rPr>
        <w:footnoteReference w:id="19"/>
      </w:r>
      <w:r w:rsidRPr="00395DB7">
        <w:rPr>
          <w:rFonts w:ascii="Franklin Gothic Book" w:hAnsi="Franklin Gothic Book"/>
        </w:rPr>
        <w:t>; Jones et al. 2023</w:t>
      </w:r>
      <w:r w:rsidR="00F77F93">
        <w:rPr>
          <w:rStyle w:val="FootnoteReference"/>
          <w:rFonts w:ascii="Franklin Gothic Book" w:hAnsi="Franklin Gothic Book"/>
        </w:rPr>
        <w:footnoteReference w:id="20"/>
      </w:r>
      <w:r w:rsidRPr="00395DB7">
        <w:rPr>
          <w:rFonts w:ascii="Franklin Gothic Book" w:hAnsi="Franklin Gothic Book"/>
        </w:rPr>
        <w:t>; Luong et al. 2023</w:t>
      </w:r>
      <w:r w:rsidR="00C1286C">
        <w:rPr>
          <w:rStyle w:val="FootnoteReference"/>
          <w:rFonts w:ascii="Franklin Gothic Book" w:hAnsi="Franklin Gothic Book"/>
        </w:rPr>
        <w:footnoteReference w:id="21"/>
      </w:r>
      <w:r w:rsidRPr="00395DB7">
        <w:rPr>
          <w:rFonts w:ascii="Franklin Gothic Book" w:hAnsi="Franklin Gothic Book"/>
        </w:rPr>
        <w:t>).</w:t>
      </w:r>
    </w:p>
    <w:p w14:paraId="3A12EB6F" w14:textId="4B74EC39" w:rsidR="005E1CA4" w:rsidRPr="00395DB7" w:rsidRDefault="005E1CA4" w:rsidP="005E1CA4">
      <w:pPr>
        <w:rPr>
          <w:rFonts w:ascii="Franklin Gothic Book" w:hAnsi="Franklin Gothic Book"/>
        </w:rPr>
      </w:pPr>
      <w:r w:rsidRPr="00395DB7">
        <w:rPr>
          <w:rFonts w:ascii="Franklin Gothic Book" w:hAnsi="Franklin Gothic Book"/>
        </w:rPr>
        <w:t>For PICO Set 3, no studies met the inclusion criteria for any outcome. A single case series (</w:t>
      </w:r>
      <w:proofErr w:type="spellStart"/>
      <w:r w:rsidRPr="00395DB7">
        <w:rPr>
          <w:rFonts w:ascii="Franklin Gothic Book" w:hAnsi="Franklin Gothic Book"/>
        </w:rPr>
        <w:t>Amaddeo</w:t>
      </w:r>
      <w:proofErr w:type="spellEnd"/>
      <w:r w:rsidRPr="00395DB7">
        <w:rPr>
          <w:rFonts w:ascii="Franklin Gothic Book" w:hAnsi="Franklin Gothic Book"/>
        </w:rPr>
        <w:t xml:space="preserve"> et al. 2015</w:t>
      </w:r>
      <w:r w:rsidR="00495A10">
        <w:rPr>
          <w:rStyle w:val="FootnoteReference"/>
          <w:rFonts w:ascii="Franklin Gothic Book" w:hAnsi="Franklin Gothic Book"/>
        </w:rPr>
        <w:footnoteReference w:id="22"/>
      </w:r>
      <w:r w:rsidRPr="00395DB7">
        <w:rPr>
          <w:rFonts w:ascii="Franklin Gothic Book" w:hAnsi="Franklin Gothic Book"/>
        </w:rPr>
        <w:t>) was included that reported change in management outcomes. The study was undertaken in a laboratory setting.</w:t>
      </w:r>
    </w:p>
    <w:p w14:paraId="02DEC86F" w14:textId="7E3BDB98" w:rsidR="005E1CA4" w:rsidRPr="00CE28E3" w:rsidRDefault="005E1CA4" w:rsidP="005E1CA4">
      <w:pPr>
        <w:pStyle w:val="Caption"/>
        <w:rPr>
          <w:sz w:val="16"/>
          <w:szCs w:val="16"/>
        </w:rPr>
      </w:pPr>
      <w:bookmarkStart w:id="28" w:name="_Ref69725659"/>
      <w:r w:rsidRPr="00CE28E3">
        <w:t>Table</w:t>
      </w:r>
      <w:r>
        <w:t> </w:t>
      </w:r>
      <w:fldSimple w:instr=" SEQ Table \* ARABIC ">
        <w:r>
          <w:rPr>
            <w:noProof/>
          </w:rPr>
          <w:t>6</w:t>
        </w:r>
      </w:fldSimple>
      <w:bookmarkEnd w:id="28"/>
      <w:r w:rsidRPr="00CE28E3">
        <w:tab/>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features of the included evidence"/>
        <w:tblDescription w:val="This table summarises the included evidence for each category of outcomes, including the type and extent of evidence supplied and the overall risk of bias in the evidence base."/>
      </w:tblPr>
      <w:tblGrid>
        <w:gridCol w:w="1271"/>
        <w:gridCol w:w="3260"/>
        <w:gridCol w:w="2548"/>
        <w:gridCol w:w="1937"/>
      </w:tblGrid>
      <w:tr w:rsidR="005E1CA4" w:rsidRPr="00280C69" w14:paraId="59BF58B6" w14:textId="77777777" w:rsidTr="000A427B">
        <w:trPr>
          <w:tblHeader/>
        </w:trPr>
        <w:tc>
          <w:tcPr>
            <w:tcW w:w="705" w:type="pct"/>
            <w:tcBorders>
              <w:top w:val="single" w:sz="4" w:space="0" w:color="auto"/>
              <w:left w:val="single" w:sz="4" w:space="0" w:color="auto"/>
              <w:bottom w:val="single" w:sz="4" w:space="0" w:color="auto"/>
              <w:right w:val="single" w:sz="4" w:space="0" w:color="auto"/>
            </w:tcBorders>
            <w:vAlign w:val="bottom"/>
          </w:tcPr>
          <w:p w14:paraId="37BC0C43" w14:textId="77777777" w:rsidR="005E1CA4" w:rsidRPr="00280C69" w:rsidRDefault="005E1CA4" w:rsidP="000A427B">
            <w:pPr>
              <w:pStyle w:val="TableHeading"/>
            </w:pPr>
            <w:bookmarkStart w:id="29" w:name="ColumnTitle_Table4"/>
            <w:bookmarkStart w:id="30" w:name="_Hlk68276288"/>
            <w:bookmarkEnd w:id="29"/>
            <w:r w:rsidRPr="00280C69">
              <w:t>Criterion</w:t>
            </w:r>
          </w:p>
        </w:tc>
        <w:tc>
          <w:tcPr>
            <w:tcW w:w="1808" w:type="pct"/>
            <w:tcBorders>
              <w:top w:val="single" w:sz="4" w:space="0" w:color="auto"/>
              <w:left w:val="single" w:sz="4" w:space="0" w:color="auto"/>
              <w:bottom w:val="single" w:sz="4" w:space="0" w:color="auto"/>
              <w:right w:val="single" w:sz="4" w:space="0" w:color="auto"/>
            </w:tcBorders>
            <w:vAlign w:val="bottom"/>
            <w:hideMark/>
          </w:tcPr>
          <w:p w14:paraId="442F3A30" w14:textId="77777777" w:rsidR="005E1CA4" w:rsidRPr="00280C69" w:rsidRDefault="005E1CA4" w:rsidP="000A427B">
            <w:pPr>
              <w:pStyle w:val="TableHeading"/>
            </w:pPr>
            <w:r w:rsidRPr="00280C69">
              <w:t>Type of evidence supplied</w:t>
            </w:r>
          </w:p>
        </w:tc>
        <w:tc>
          <w:tcPr>
            <w:tcW w:w="1413" w:type="pct"/>
            <w:tcBorders>
              <w:top w:val="single" w:sz="4" w:space="0" w:color="auto"/>
              <w:left w:val="single" w:sz="4" w:space="0" w:color="auto"/>
              <w:bottom w:val="single" w:sz="4" w:space="0" w:color="auto"/>
              <w:right w:val="single" w:sz="4" w:space="0" w:color="auto"/>
            </w:tcBorders>
            <w:vAlign w:val="bottom"/>
            <w:hideMark/>
          </w:tcPr>
          <w:p w14:paraId="62D817BB" w14:textId="77777777" w:rsidR="005E1CA4" w:rsidRPr="00280C69" w:rsidRDefault="005E1CA4" w:rsidP="000A427B">
            <w:pPr>
              <w:pStyle w:val="TableHeading"/>
            </w:pPr>
            <w:r w:rsidRPr="00280C69">
              <w:t>Extent of evidence supplied</w:t>
            </w:r>
          </w:p>
        </w:tc>
        <w:tc>
          <w:tcPr>
            <w:tcW w:w="1074" w:type="pct"/>
            <w:tcBorders>
              <w:top w:val="single" w:sz="4" w:space="0" w:color="auto"/>
              <w:left w:val="single" w:sz="4" w:space="0" w:color="auto"/>
              <w:bottom w:val="single" w:sz="4" w:space="0" w:color="auto"/>
              <w:right w:val="single" w:sz="4" w:space="0" w:color="auto"/>
            </w:tcBorders>
            <w:vAlign w:val="bottom"/>
            <w:hideMark/>
          </w:tcPr>
          <w:p w14:paraId="1713480A" w14:textId="77777777" w:rsidR="005E1CA4" w:rsidRPr="00280C69" w:rsidRDefault="005E1CA4" w:rsidP="000A427B">
            <w:pPr>
              <w:pStyle w:val="TableHeading"/>
            </w:pPr>
            <w:r w:rsidRPr="00280C69">
              <w:t>Overall risk of bias in evidence base</w:t>
            </w:r>
          </w:p>
        </w:tc>
      </w:tr>
      <w:tr w:rsidR="005E1CA4" w:rsidRPr="00280C69" w14:paraId="5964D75F" w14:textId="77777777" w:rsidTr="000A427B">
        <w:tc>
          <w:tcPr>
            <w:tcW w:w="705" w:type="pct"/>
            <w:tcBorders>
              <w:top w:val="single" w:sz="4" w:space="0" w:color="auto"/>
              <w:left w:val="single" w:sz="4" w:space="0" w:color="auto"/>
              <w:bottom w:val="single" w:sz="4" w:space="0" w:color="auto"/>
              <w:right w:val="single" w:sz="4" w:space="0" w:color="auto"/>
            </w:tcBorders>
            <w:hideMark/>
          </w:tcPr>
          <w:p w14:paraId="1CBB16FC" w14:textId="77777777" w:rsidR="005E1CA4" w:rsidRPr="00280C69" w:rsidRDefault="005E1CA4" w:rsidP="000A427B">
            <w:pPr>
              <w:pStyle w:val="TableText"/>
            </w:pPr>
            <w:r w:rsidRPr="00280C69">
              <w:t>Accuracy of the test (cross-sectional accuracy)</w:t>
            </w:r>
          </w:p>
        </w:tc>
        <w:tc>
          <w:tcPr>
            <w:tcW w:w="1808" w:type="pct"/>
            <w:tcBorders>
              <w:top w:val="single" w:sz="4" w:space="0" w:color="auto"/>
              <w:left w:val="single" w:sz="4" w:space="0" w:color="auto"/>
              <w:bottom w:val="single" w:sz="4" w:space="0" w:color="auto"/>
              <w:right w:val="single" w:sz="4" w:space="0" w:color="auto"/>
            </w:tcBorders>
            <w:hideMark/>
          </w:tcPr>
          <w:p w14:paraId="506D855B" w14:textId="77777777" w:rsidR="005E1CA4" w:rsidRPr="00280C69" w:rsidRDefault="005E1CA4" w:rsidP="000A427B">
            <w:pPr>
              <w:pStyle w:val="TableText"/>
            </w:pPr>
            <w:r w:rsidRPr="00280C69">
              <w:t>Cross-sectional diagnostic accuracy studies of index text compared to reference standard.</w:t>
            </w:r>
          </w:p>
          <w:p w14:paraId="14A1DCA9" w14:textId="77777777" w:rsidR="005E1CA4" w:rsidRPr="00280C69" w:rsidRDefault="005E1CA4" w:rsidP="000A427B">
            <w:pPr>
              <w:pStyle w:val="TableText"/>
            </w:pPr>
            <w:r w:rsidRPr="00280C69">
              <w:t xml:space="preserve">Reference standard is also the comparator for PICO Set 1 and 3. </w:t>
            </w:r>
          </w:p>
          <w:p w14:paraId="209B08C0" w14:textId="77777777" w:rsidR="005E1CA4" w:rsidRPr="00280C69" w:rsidRDefault="005E1CA4" w:rsidP="000A427B">
            <w:pPr>
              <w:pStyle w:val="TableText"/>
            </w:pPr>
            <w:r w:rsidRPr="00280C69">
              <w:t>For PICO Set 2 no comparative evidence was identified.</w:t>
            </w:r>
          </w:p>
        </w:tc>
        <w:tc>
          <w:tcPr>
            <w:tcW w:w="1413" w:type="pct"/>
            <w:tcBorders>
              <w:top w:val="single" w:sz="4" w:space="0" w:color="auto"/>
              <w:left w:val="single" w:sz="4" w:space="0" w:color="auto"/>
              <w:bottom w:val="single" w:sz="4" w:space="0" w:color="auto"/>
              <w:right w:val="single" w:sz="4" w:space="0" w:color="auto"/>
            </w:tcBorders>
            <w:hideMark/>
          </w:tcPr>
          <w:p w14:paraId="76AB80EB" w14:textId="77777777" w:rsidR="005E1CA4" w:rsidRPr="00280C69" w:rsidRDefault="005E1CA4" w:rsidP="000A427B">
            <w:pPr>
              <w:pStyle w:val="TableText"/>
            </w:pPr>
            <w:r w:rsidRPr="00280C69">
              <w:t>PICO Set 1</w:t>
            </w:r>
            <w:r>
              <w:br/>
            </w:r>
            <w:sdt>
              <w:sdtPr>
                <w:id w:val="1454910707"/>
                <w14:checkbox>
                  <w14:checked w14:val="1"/>
                  <w14:checkedState w14:val="2612" w14:font="MS Gothic"/>
                  <w14:uncheckedState w14:val="2610" w14:font="MS Gothic"/>
                </w14:checkbox>
              </w:sdtPr>
              <w:sdtEndPr/>
              <w:sdtContent>
                <w:r w:rsidRPr="00280C69">
                  <w:rPr>
                    <w:rFonts w:ascii="Segoe UI Symbol" w:hAnsi="Segoe UI Symbol" w:cs="Segoe UI Symbol"/>
                  </w:rPr>
                  <w:t>☒</w:t>
                </w:r>
              </w:sdtContent>
            </w:sdt>
            <w:r w:rsidRPr="00280C69">
              <w:tab/>
              <w:t>k</w:t>
            </w:r>
            <w:r>
              <w:t> </w:t>
            </w:r>
            <w:r w:rsidRPr="00280C69">
              <w:t>=</w:t>
            </w:r>
            <w:r>
              <w:t> </w:t>
            </w:r>
            <w:r w:rsidRPr="00280C69">
              <w:t>2   n</w:t>
            </w:r>
            <w:r>
              <w:t> </w:t>
            </w:r>
            <w:r w:rsidRPr="00280C69">
              <w:t>=</w:t>
            </w:r>
            <w:r>
              <w:t> </w:t>
            </w:r>
            <w:r w:rsidRPr="00280C69">
              <w:t>87</w:t>
            </w:r>
          </w:p>
          <w:p w14:paraId="2C7DA90A" w14:textId="77777777" w:rsidR="005E1CA4" w:rsidRPr="00280C69" w:rsidRDefault="005E1CA4" w:rsidP="000A427B">
            <w:pPr>
              <w:pStyle w:val="TableText"/>
            </w:pPr>
            <w:r w:rsidRPr="00280C69">
              <w:t>PICO Set 2 &amp; 3</w:t>
            </w:r>
            <w:r>
              <w:br/>
            </w:r>
            <w:sdt>
              <w:sdtPr>
                <w:id w:val="771669189"/>
                <w14:checkbox>
                  <w14:checked w14:val="1"/>
                  <w14:checkedState w14:val="2612" w14:font="MS Gothic"/>
                  <w14:uncheckedState w14:val="2610" w14:font="MS Gothic"/>
                </w14:checkbox>
              </w:sdtPr>
              <w:sdtEndPr/>
              <w:sdtContent>
                <w:r w:rsidRPr="00280C69">
                  <w:rPr>
                    <w:rFonts w:ascii="Segoe UI Symbol" w:hAnsi="Segoe UI Symbol" w:cs="Segoe UI Symbol"/>
                  </w:rPr>
                  <w:t>☒</w:t>
                </w:r>
              </w:sdtContent>
            </w:sdt>
            <w:r w:rsidRPr="00280C69">
              <w:tab/>
              <w:t>k</w:t>
            </w:r>
            <w:r>
              <w:t> </w:t>
            </w:r>
            <w:r w:rsidRPr="00280C69">
              <w:t>=</w:t>
            </w:r>
            <w:r>
              <w:t> </w:t>
            </w:r>
            <w:r w:rsidRPr="00280C69">
              <w:t>5   n</w:t>
            </w:r>
            <w:r>
              <w:t> </w:t>
            </w:r>
            <w:r w:rsidRPr="00280C69">
              <w:t>=</w:t>
            </w:r>
            <w:r>
              <w:t> </w:t>
            </w:r>
            <w:r w:rsidRPr="00280C69">
              <w:t>169</w:t>
            </w:r>
          </w:p>
        </w:tc>
        <w:tc>
          <w:tcPr>
            <w:tcW w:w="1074" w:type="pct"/>
            <w:tcBorders>
              <w:top w:val="single" w:sz="4" w:space="0" w:color="auto"/>
              <w:left w:val="single" w:sz="4" w:space="0" w:color="auto"/>
              <w:bottom w:val="single" w:sz="4" w:space="0" w:color="auto"/>
              <w:right w:val="single" w:sz="4" w:space="0" w:color="auto"/>
            </w:tcBorders>
            <w:hideMark/>
          </w:tcPr>
          <w:p w14:paraId="6BCAAD3C" w14:textId="77777777" w:rsidR="005E1CA4" w:rsidRPr="00280C69" w:rsidRDefault="005E1CA4" w:rsidP="000A427B">
            <w:pPr>
              <w:pStyle w:val="TableText"/>
            </w:pPr>
            <w:r w:rsidRPr="00280C69">
              <w:t>QUADAS-2: overall most studies had moderate risk of bias</w:t>
            </w:r>
          </w:p>
        </w:tc>
      </w:tr>
      <w:tr w:rsidR="005E1CA4" w:rsidRPr="00280C69" w14:paraId="44DD3105" w14:textId="77777777" w:rsidTr="000A427B">
        <w:tc>
          <w:tcPr>
            <w:tcW w:w="705" w:type="pct"/>
            <w:tcBorders>
              <w:top w:val="single" w:sz="4" w:space="0" w:color="auto"/>
              <w:left w:val="single" w:sz="4" w:space="0" w:color="auto"/>
              <w:bottom w:val="single" w:sz="4" w:space="0" w:color="auto"/>
              <w:right w:val="single" w:sz="4" w:space="0" w:color="auto"/>
            </w:tcBorders>
          </w:tcPr>
          <w:p w14:paraId="0CA74C07" w14:textId="77777777" w:rsidR="005E1CA4" w:rsidRPr="00280C69" w:rsidRDefault="005E1CA4" w:rsidP="000A427B">
            <w:pPr>
              <w:pStyle w:val="TableText"/>
            </w:pPr>
            <w:r w:rsidRPr="00280C69">
              <w:t>Test reliability</w:t>
            </w:r>
          </w:p>
        </w:tc>
        <w:tc>
          <w:tcPr>
            <w:tcW w:w="1808" w:type="pct"/>
            <w:tcBorders>
              <w:top w:val="single" w:sz="4" w:space="0" w:color="auto"/>
              <w:left w:val="single" w:sz="4" w:space="0" w:color="auto"/>
              <w:bottom w:val="single" w:sz="4" w:space="0" w:color="auto"/>
              <w:right w:val="single" w:sz="4" w:space="0" w:color="auto"/>
            </w:tcBorders>
          </w:tcPr>
          <w:p w14:paraId="091C6D55" w14:textId="77777777" w:rsidR="005E1CA4" w:rsidRPr="00280C69" w:rsidRDefault="005E1CA4" w:rsidP="000A427B">
            <w:pPr>
              <w:pStyle w:val="TableText"/>
            </w:pPr>
            <w:r w:rsidRPr="00280C69">
              <w:t>Comparative and single arm studies</w:t>
            </w:r>
          </w:p>
        </w:tc>
        <w:tc>
          <w:tcPr>
            <w:tcW w:w="1413" w:type="pct"/>
            <w:tcBorders>
              <w:top w:val="single" w:sz="4" w:space="0" w:color="auto"/>
              <w:left w:val="single" w:sz="4" w:space="0" w:color="auto"/>
              <w:bottom w:val="single" w:sz="4" w:space="0" w:color="auto"/>
              <w:right w:val="single" w:sz="4" w:space="0" w:color="auto"/>
            </w:tcBorders>
          </w:tcPr>
          <w:p w14:paraId="229AFF9E" w14:textId="77777777" w:rsidR="005E1CA4" w:rsidRDefault="005E1CA4" w:rsidP="000A427B">
            <w:pPr>
              <w:pStyle w:val="TableText"/>
            </w:pPr>
            <w:r>
              <w:t>PICO Set 1</w:t>
            </w:r>
            <w:r>
              <w:br/>
              <w:t>Comparative studies:</w:t>
            </w:r>
            <w:r>
              <w:br/>
            </w:r>
            <w:sdt>
              <w:sdtPr>
                <w:id w:val="-2045504350"/>
                <w14:checkbox>
                  <w14:checked w14:val="1"/>
                  <w14:checkedState w14:val="2612" w14:font="MS Gothic"/>
                  <w14:uncheckedState w14:val="2610" w14:font="MS Gothic"/>
                </w14:checkbox>
              </w:sdtPr>
              <w:sdtEndPr/>
              <w:sdtContent>
                <w:r w:rsidRPr="00280C69">
                  <w:rPr>
                    <w:rFonts w:ascii="Segoe UI Symbol" w:hAnsi="Segoe UI Symbol" w:cs="Segoe UI Symbol"/>
                  </w:rPr>
                  <w:t>☒</w:t>
                </w:r>
              </w:sdtContent>
            </w:sdt>
            <w:r w:rsidRPr="00280C69">
              <w:tab/>
              <w:t>k</w:t>
            </w:r>
            <w:r>
              <w:t> </w:t>
            </w:r>
            <w:r w:rsidRPr="00280C69">
              <w:t>=</w:t>
            </w:r>
            <w:r>
              <w:t> </w:t>
            </w:r>
            <w:r w:rsidRPr="00280C69">
              <w:t>2   n</w:t>
            </w:r>
            <w:r>
              <w:t> </w:t>
            </w:r>
            <w:r w:rsidRPr="00280C69">
              <w:t>=</w:t>
            </w:r>
            <w:r>
              <w:t> </w:t>
            </w:r>
            <w:r w:rsidRPr="00280C69">
              <w:t>87</w:t>
            </w:r>
            <w:r>
              <w:br/>
              <w:t>Single arm studies:</w:t>
            </w:r>
            <w:r>
              <w:br/>
            </w:r>
            <w:sdt>
              <w:sdtPr>
                <w:id w:val="-589388653"/>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280C69">
              <w:tab/>
              <w:t>k</w:t>
            </w:r>
            <w:r>
              <w:t> </w:t>
            </w:r>
            <w:r w:rsidRPr="00280C69">
              <w:t>=</w:t>
            </w:r>
            <w:r>
              <w:t> 5</w:t>
            </w:r>
            <w:r w:rsidRPr="00280C69">
              <w:t xml:space="preserve">   n</w:t>
            </w:r>
            <w:r>
              <w:t> </w:t>
            </w:r>
            <w:r w:rsidRPr="00280C69">
              <w:t>=</w:t>
            </w:r>
            <w:r>
              <w:t> 708</w:t>
            </w:r>
          </w:p>
          <w:p w14:paraId="2F4D0A8B" w14:textId="77777777" w:rsidR="005E1CA4" w:rsidRPr="00280C69" w:rsidRDefault="005E1CA4" w:rsidP="000A427B">
            <w:pPr>
              <w:pStyle w:val="TableText"/>
            </w:pPr>
            <w:r>
              <w:t>PICO Set 2 &amp; 3</w:t>
            </w:r>
            <w:r>
              <w:br/>
              <w:t>Comparative studies:</w:t>
            </w:r>
            <w:r>
              <w:br/>
            </w:r>
            <w:sdt>
              <w:sdtPr>
                <w:id w:val="7741360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280C69">
              <w:tab/>
              <w:t>k</w:t>
            </w:r>
            <w:r>
              <w:t> </w:t>
            </w:r>
            <w:r w:rsidRPr="00280C69">
              <w:t>=</w:t>
            </w:r>
            <w:r>
              <w:t> 5</w:t>
            </w:r>
            <w:r w:rsidRPr="00280C69">
              <w:t xml:space="preserve">   n</w:t>
            </w:r>
            <w:r>
              <w:t> </w:t>
            </w:r>
            <w:r w:rsidRPr="00280C69">
              <w:t>=</w:t>
            </w:r>
            <w:r>
              <w:t> 190</w:t>
            </w:r>
            <w:r>
              <w:br/>
              <w:t>Single arm studies:</w:t>
            </w:r>
            <w:r>
              <w:br/>
            </w:r>
            <w:sdt>
              <w:sdtPr>
                <w:id w:val="-170655250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280C69">
              <w:tab/>
              <w:t>k</w:t>
            </w:r>
            <w:r>
              <w:t> </w:t>
            </w:r>
            <w:r w:rsidRPr="00280C69">
              <w:t>=</w:t>
            </w:r>
            <w:r>
              <w:t> 2</w:t>
            </w:r>
            <w:r w:rsidRPr="00280C69">
              <w:t xml:space="preserve">   n</w:t>
            </w:r>
            <w:r>
              <w:t> </w:t>
            </w:r>
            <w:r w:rsidRPr="00280C69">
              <w:t>=</w:t>
            </w:r>
            <w:r>
              <w:t> 402</w:t>
            </w:r>
          </w:p>
        </w:tc>
        <w:tc>
          <w:tcPr>
            <w:tcW w:w="1074" w:type="pct"/>
            <w:tcBorders>
              <w:top w:val="single" w:sz="4" w:space="0" w:color="auto"/>
              <w:left w:val="single" w:sz="4" w:space="0" w:color="auto"/>
              <w:bottom w:val="single" w:sz="4" w:space="0" w:color="auto"/>
              <w:right w:val="single" w:sz="4" w:space="0" w:color="auto"/>
            </w:tcBorders>
          </w:tcPr>
          <w:p w14:paraId="399A4E8A" w14:textId="77777777" w:rsidR="005E1CA4" w:rsidRDefault="005E1CA4" w:rsidP="000A427B">
            <w:pPr>
              <w:pStyle w:val="TableText"/>
            </w:pPr>
            <w:r w:rsidRPr="005E5728">
              <w:t>NHLBI quality assessment tool for case series studies</w:t>
            </w:r>
            <w:r>
              <w:t>:</w:t>
            </w:r>
          </w:p>
          <w:p w14:paraId="6FC3C804" w14:textId="77777777" w:rsidR="005E1CA4" w:rsidRPr="00280C69" w:rsidRDefault="005E1CA4" w:rsidP="000A427B">
            <w:pPr>
              <w:pStyle w:val="TableText"/>
            </w:pPr>
            <w:r>
              <w:t>Low risk in two studies, moderate to high risk in the remainder</w:t>
            </w:r>
          </w:p>
        </w:tc>
      </w:tr>
      <w:tr w:rsidR="005E1CA4" w:rsidRPr="00280C69" w14:paraId="66D91348" w14:textId="77777777" w:rsidTr="000A427B">
        <w:tc>
          <w:tcPr>
            <w:tcW w:w="705" w:type="pct"/>
            <w:tcBorders>
              <w:top w:val="single" w:sz="4" w:space="0" w:color="auto"/>
              <w:left w:val="single" w:sz="4" w:space="0" w:color="auto"/>
              <w:bottom w:val="single" w:sz="4" w:space="0" w:color="auto"/>
              <w:right w:val="single" w:sz="4" w:space="0" w:color="auto"/>
            </w:tcBorders>
            <w:hideMark/>
          </w:tcPr>
          <w:p w14:paraId="74AE787C" w14:textId="77777777" w:rsidR="005E1CA4" w:rsidRPr="00280C69" w:rsidRDefault="005E1CA4" w:rsidP="000A427B">
            <w:pPr>
              <w:pStyle w:val="TableText"/>
            </w:pPr>
            <w:r w:rsidRPr="00280C69">
              <w:lastRenderedPageBreak/>
              <w:t>Change in patient management</w:t>
            </w:r>
          </w:p>
        </w:tc>
        <w:tc>
          <w:tcPr>
            <w:tcW w:w="1808" w:type="pct"/>
            <w:tcBorders>
              <w:top w:val="single" w:sz="4" w:space="0" w:color="auto"/>
              <w:left w:val="single" w:sz="4" w:space="0" w:color="auto"/>
              <w:bottom w:val="single" w:sz="4" w:space="0" w:color="auto"/>
              <w:right w:val="single" w:sz="4" w:space="0" w:color="auto"/>
            </w:tcBorders>
            <w:hideMark/>
          </w:tcPr>
          <w:p w14:paraId="64512DEC" w14:textId="77777777" w:rsidR="005E1CA4" w:rsidRDefault="005E1CA4" w:rsidP="000A427B">
            <w:pPr>
              <w:pStyle w:val="TableText"/>
            </w:pPr>
            <w:r>
              <w:t>No studies met the inclusion criteria for PICO Set 1.</w:t>
            </w:r>
          </w:p>
          <w:p w14:paraId="195BA0C3" w14:textId="77777777" w:rsidR="005E1CA4" w:rsidRDefault="005E1CA4" w:rsidP="000A427B">
            <w:pPr>
              <w:pStyle w:val="TableText"/>
            </w:pPr>
            <w:r>
              <w:t>No studies met the inclusion criteria for PICO Set 2. One cross-sectional accuracy study and one comparative cohort study provided limited information.</w:t>
            </w:r>
          </w:p>
          <w:p w14:paraId="6B330D23" w14:textId="77777777" w:rsidR="005E1CA4" w:rsidRPr="00280C69" w:rsidRDefault="005E1CA4" w:rsidP="000A427B">
            <w:pPr>
              <w:pStyle w:val="TableText"/>
            </w:pPr>
            <w:r>
              <w:t>One single-arm case series was included for PICO Set 3.</w:t>
            </w:r>
          </w:p>
        </w:tc>
        <w:tc>
          <w:tcPr>
            <w:tcW w:w="1413" w:type="pct"/>
            <w:tcBorders>
              <w:top w:val="single" w:sz="4" w:space="0" w:color="auto"/>
              <w:left w:val="single" w:sz="4" w:space="0" w:color="auto"/>
              <w:bottom w:val="single" w:sz="4" w:space="0" w:color="auto"/>
              <w:right w:val="single" w:sz="4" w:space="0" w:color="auto"/>
            </w:tcBorders>
            <w:hideMark/>
          </w:tcPr>
          <w:p w14:paraId="208BEFAD" w14:textId="77777777" w:rsidR="005E1CA4" w:rsidRPr="00280C69" w:rsidRDefault="005E1CA4" w:rsidP="000A427B">
            <w:pPr>
              <w:pStyle w:val="TableText"/>
            </w:pPr>
            <w:r>
              <w:t>PICO Set 3</w:t>
            </w:r>
            <w:r>
              <w:br/>
            </w:r>
            <w:sdt>
              <w:sdtPr>
                <w:id w:val="-1943214893"/>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280C69">
              <w:tab/>
              <w:t>k</w:t>
            </w:r>
            <w:r>
              <w:t> </w:t>
            </w:r>
            <w:r w:rsidRPr="00280C69">
              <w:t>=</w:t>
            </w:r>
            <w:r>
              <w:t xml:space="preserve"> 1   </w:t>
            </w:r>
            <w:r w:rsidRPr="00280C69">
              <w:t>n</w:t>
            </w:r>
            <w:r>
              <w:t> </w:t>
            </w:r>
            <w:r w:rsidRPr="00280C69">
              <w:t>=</w:t>
            </w:r>
            <w:r>
              <w:t> 26</w:t>
            </w:r>
          </w:p>
        </w:tc>
        <w:tc>
          <w:tcPr>
            <w:tcW w:w="1074" w:type="pct"/>
            <w:tcBorders>
              <w:top w:val="single" w:sz="4" w:space="0" w:color="auto"/>
              <w:left w:val="single" w:sz="4" w:space="0" w:color="auto"/>
              <w:bottom w:val="single" w:sz="4" w:space="0" w:color="auto"/>
              <w:right w:val="single" w:sz="4" w:space="0" w:color="auto"/>
            </w:tcBorders>
            <w:hideMark/>
          </w:tcPr>
          <w:p w14:paraId="33769258" w14:textId="77777777" w:rsidR="005E1CA4" w:rsidRPr="00280C69" w:rsidRDefault="005E1CA4" w:rsidP="000A427B">
            <w:pPr>
              <w:pStyle w:val="TableText"/>
            </w:pPr>
            <w:r w:rsidRPr="005E5728">
              <w:t>NHLBI quality assessment tool for case series studies</w:t>
            </w:r>
            <w:r>
              <w:t>: significant applicability concerns, low risk of bias</w:t>
            </w:r>
          </w:p>
        </w:tc>
      </w:tr>
      <w:tr w:rsidR="005E1CA4" w:rsidRPr="00280C69" w14:paraId="7817E660" w14:textId="77777777" w:rsidTr="000A427B">
        <w:tc>
          <w:tcPr>
            <w:tcW w:w="705" w:type="pct"/>
            <w:tcBorders>
              <w:top w:val="single" w:sz="4" w:space="0" w:color="auto"/>
              <w:left w:val="single" w:sz="4" w:space="0" w:color="auto"/>
              <w:bottom w:val="single" w:sz="4" w:space="0" w:color="auto"/>
              <w:right w:val="single" w:sz="4" w:space="0" w:color="auto"/>
            </w:tcBorders>
            <w:hideMark/>
          </w:tcPr>
          <w:p w14:paraId="30C59EC7" w14:textId="77777777" w:rsidR="005E1CA4" w:rsidRPr="00280C69" w:rsidRDefault="005E1CA4" w:rsidP="000A427B">
            <w:pPr>
              <w:pStyle w:val="TableText"/>
            </w:pPr>
            <w:r w:rsidRPr="00280C69">
              <w:t>Health outcomes</w:t>
            </w:r>
          </w:p>
        </w:tc>
        <w:tc>
          <w:tcPr>
            <w:tcW w:w="1808" w:type="pct"/>
            <w:tcBorders>
              <w:top w:val="single" w:sz="4" w:space="0" w:color="auto"/>
              <w:left w:val="single" w:sz="4" w:space="0" w:color="auto"/>
              <w:bottom w:val="single" w:sz="4" w:space="0" w:color="auto"/>
              <w:right w:val="single" w:sz="4" w:space="0" w:color="auto"/>
            </w:tcBorders>
          </w:tcPr>
          <w:p w14:paraId="2869082B" w14:textId="77777777" w:rsidR="005E1CA4" w:rsidRDefault="005E1CA4" w:rsidP="000A427B">
            <w:pPr>
              <w:pStyle w:val="TableText"/>
            </w:pPr>
            <w:r>
              <w:t>No studies met the inclusion criteria for direct evidence.</w:t>
            </w:r>
          </w:p>
          <w:p w14:paraId="606B2539" w14:textId="77777777" w:rsidR="005E1CA4" w:rsidRPr="00280C69" w:rsidRDefault="005E1CA4" w:rsidP="000A427B">
            <w:pPr>
              <w:pStyle w:val="TableText"/>
            </w:pPr>
            <w:r>
              <w:t>Two systematic reviews were identified to provide information of treatment effectiveness for PICO Set 2.</w:t>
            </w:r>
          </w:p>
        </w:tc>
        <w:tc>
          <w:tcPr>
            <w:tcW w:w="1413" w:type="pct"/>
            <w:tcBorders>
              <w:top w:val="single" w:sz="4" w:space="0" w:color="auto"/>
              <w:left w:val="single" w:sz="4" w:space="0" w:color="auto"/>
              <w:bottom w:val="single" w:sz="4" w:space="0" w:color="auto"/>
              <w:right w:val="single" w:sz="4" w:space="0" w:color="auto"/>
            </w:tcBorders>
          </w:tcPr>
          <w:p w14:paraId="097FE01D" w14:textId="77777777" w:rsidR="005E1CA4" w:rsidRPr="00280C69" w:rsidRDefault="005E1CA4" w:rsidP="000A427B">
            <w:pPr>
              <w:pStyle w:val="TableText"/>
            </w:pPr>
            <w:r>
              <w:t>PICO Set 2</w:t>
            </w:r>
            <w:r>
              <w:br/>
            </w:r>
            <w:sdt>
              <w:sdtPr>
                <w:id w:val="-605892943"/>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280C69">
              <w:tab/>
              <w:t>k</w:t>
            </w:r>
            <w:r>
              <w:t> </w:t>
            </w:r>
            <w:r w:rsidRPr="00280C69">
              <w:t>=</w:t>
            </w:r>
            <w:r>
              <w:t xml:space="preserve"> 2 SR  </w:t>
            </w:r>
            <w:r w:rsidRPr="00280C69">
              <w:t>n</w:t>
            </w:r>
            <w:r>
              <w:t> </w:t>
            </w:r>
            <w:r w:rsidRPr="00280C69">
              <w:t>=</w:t>
            </w:r>
            <w:r>
              <w:t> 16,316</w:t>
            </w:r>
          </w:p>
        </w:tc>
        <w:tc>
          <w:tcPr>
            <w:tcW w:w="1074" w:type="pct"/>
            <w:tcBorders>
              <w:top w:val="single" w:sz="4" w:space="0" w:color="auto"/>
              <w:left w:val="single" w:sz="4" w:space="0" w:color="auto"/>
              <w:bottom w:val="single" w:sz="4" w:space="0" w:color="auto"/>
              <w:right w:val="single" w:sz="4" w:space="0" w:color="auto"/>
            </w:tcBorders>
            <w:hideMark/>
          </w:tcPr>
          <w:p w14:paraId="09C57B4D" w14:textId="77777777" w:rsidR="005E1CA4" w:rsidRPr="00280C69" w:rsidRDefault="005E1CA4" w:rsidP="000A427B">
            <w:pPr>
              <w:pStyle w:val="TableText"/>
            </w:pPr>
            <w:r>
              <w:t>Not done as studies did not meet inclusion criteria</w:t>
            </w:r>
          </w:p>
        </w:tc>
      </w:tr>
      <w:tr w:rsidR="005E1CA4" w:rsidRPr="00280C69" w14:paraId="42CE9BFA" w14:textId="77777777" w:rsidTr="000A427B">
        <w:tc>
          <w:tcPr>
            <w:tcW w:w="705" w:type="pct"/>
            <w:tcBorders>
              <w:top w:val="single" w:sz="4" w:space="0" w:color="auto"/>
              <w:left w:val="single" w:sz="4" w:space="0" w:color="auto"/>
              <w:bottom w:val="single" w:sz="4" w:space="0" w:color="auto"/>
              <w:right w:val="single" w:sz="4" w:space="0" w:color="auto"/>
            </w:tcBorders>
          </w:tcPr>
          <w:p w14:paraId="47EDF3ED" w14:textId="77777777" w:rsidR="005E1CA4" w:rsidRPr="00280C69" w:rsidRDefault="005E1CA4" w:rsidP="000A427B">
            <w:pPr>
              <w:pStyle w:val="TableText"/>
            </w:pPr>
            <w:r w:rsidRPr="00280C69">
              <w:t>Safety</w:t>
            </w:r>
          </w:p>
        </w:tc>
        <w:tc>
          <w:tcPr>
            <w:tcW w:w="1808" w:type="pct"/>
            <w:tcBorders>
              <w:top w:val="single" w:sz="4" w:space="0" w:color="auto"/>
              <w:left w:val="single" w:sz="4" w:space="0" w:color="auto"/>
              <w:bottom w:val="single" w:sz="4" w:space="0" w:color="auto"/>
              <w:right w:val="single" w:sz="4" w:space="0" w:color="auto"/>
            </w:tcBorders>
          </w:tcPr>
          <w:p w14:paraId="0EB3991A" w14:textId="77777777" w:rsidR="005E1CA4" w:rsidRDefault="005E1CA4" w:rsidP="000A427B">
            <w:pPr>
              <w:pStyle w:val="TableText"/>
            </w:pPr>
            <w:r>
              <w:t>One PICO Set 1 single-arm cohort study reported safety of the test.</w:t>
            </w:r>
          </w:p>
          <w:p w14:paraId="1B05314C" w14:textId="77777777" w:rsidR="005E1CA4" w:rsidRPr="00280C69" w:rsidRDefault="005E1CA4" w:rsidP="000A427B">
            <w:pPr>
              <w:pStyle w:val="TableText"/>
            </w:pPr>
            <w:r>
              <w:t>No other studies met the inclusion criteria for safety outcomes.</w:t>
            </w:r>
          </w:p>
        </w:tc>
        <w:tc>
          <w:tcPr>
            <w:tcW w:w="1413" w:type="pct"/>
            <w:tcBorders>
              <w:top w:val="single" w:sz="4" w:space="0" w:color="auto"/>
              <w:left w:val="single" w:sz="4" w:space="0" w:color="auto"/>
              <w:bottom w:val="single" w:sz="4" w:space="0" w:color="auto"/>
              <w:right w:val="single" w:sz="4" w:space="0" w:color="auto"/>
            </w:tcBorders>
          </w:tcPr>
          <w:p w14:paraId="3140E296" w14:textId="77777777" w:rsidR="005E1CA4" w:rsidRPr="00280C69" w:rsidRDefault="005E1CA4" w:rsidP="000A427B">
            <w:pPr>
              <w:pStyle w:val="TableText"/>
            </w:pPr>
            <w:r>
              <w:t>PICO Set 1</w:t>
            </w:r>
            <w:r>
              <w:br/>
            </w:r>
            <w:sdt>
              <w:sdtPr>
                <w:id w:val="1185561075"/>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280C69">
              <w:tab/>
              <w:t>k</w:t>
            </w:r>
            <w:r>
              <w:t> </w:t>
            </w:r>
            <w:r w:rsidRPr="00280C69">
              <w:t>=</w:t>
            </w:r>
            <w:r>
              <w:t xml:space="preserve"> 1   </w:t>
            </w:r>
            <w:r w:rsidRPr="00280C69">
              <w:t>n</w:t>
            </w:r>
            <w:r>
              <w:t> </w:t>
            </w:r>
            <w:r w:rsidRPr="00280C69">
              <w:t>=</w:t>
            </w:r>
            <w:r>
              <w:t> 233</w:t>
            </w:r>
          </w:p>
        </w:tc>
        <w:tc>
          <w:tcPr>
            <w:tcW w:w="1074" w:type="pct"/>
            <w:tcBorders>
              <w:top w:val="single" w:sz="4" w:space="0" w:color="auto"/>
              <w:left w:val="single" w:sz="4" w:space="0" w:color="auto"/>
              <w:bottom w:val="single" w:sz="4" w:space="0" w:color="auto"/>
              <w:right w:val="single" w:sz="4" w:space="0" w:color="auto"/>
            </w:tcBorders>
          </w:tcPr>
          <w:p w14:paraId="21417441" w14:textId="77777777" w:rsidR="005E1CA4" w:rsidRDefault="005E1CA4" w:rsidP="000A427B">
            <w:pPr>
              <w:pStyle w:val="TableText"/>
            </w:pPr>
            <w:r w:rsidRPr="005E5728">
              <w:t>NHLBI quality assessment tool for case series studies</w:t>
            </w:r>
            <w:r>
              <w:t>:</w:t>
            </w:r>
          </w:p>
          <w:p w14:paraId="67159A55" w14:textId="77777777" w:rsidR="005E1CA4" w:rsidRPr="00280C69" w:rsidRDefault="005E1CA4" w:rsidP="000A427B">
            <w:pPr>
              <w:pStyle w:val="TableText"/>
            </w:pPr>
            <w:r>
              <w:t>Low risk</w:t>
            </w:r>
          </w:p>
        </w:tc>
      </w:tr>
      <w:tr w:rsidR="005E1CA4" w:rsidRPr="00280C69" w14:paraId="36B0D24E" w14:textId="77777777" w:rsidTr="000A427B">
        <w:tc>
          <w:tcPr>
            <w:tcW w:w="705" w:type="pct"/>
            <w:tcBorders>
              <w:top w:val="single" w:sz="4" w:space="0" w:color="auto"/>
              <w:left w:val="single" w:sz="4" w:space="0" w:color="auto"/>
              <w:bottom w:val="single" w:sz="4" w:space="0" w:color="auto"/>
              <w:right w:val="single" w:sz="4" w:space="0" w:color="auto"/>
            </w:tcBorders>
            <w:hideMark/>
          </w:tcPr>
          <w:p w14:paraId="0B428B48" w14:textId="77777777" w:rsidR="005E1CA4" w:rsidRPr="00280C69" w:rsidRDefault="005E1CA4" w:rsidP="000A427B">
            <w:pPr>
              <w:pStyle w:val="TableText"/>
            </w:pPr>
            <w:r w:rsidRPr="00280C69">
              <w:t>Other</w:t>
            </w:r>
          </w:p>
        </w:tc>
        <w:tc>
          <w:tcPr>
            <w:tcW w:w="1808" w:type="pct"/>
            <w:tcBorders>
              <w:top w:val="single" w:sz="4" w:space="0" w:color="auto"/>
              <w:left w:val="single" w:sz="4" w:space="0" w:color="auto"/>
              <w:bottom w:val="single" w:sz="4" w:space="0" w:color="auto"/>
              <w:right w:val="single" w:sz="4" w:space="0" w:color="auto"/>
            </w:tcBorders>
          </w:tcPr>
          <w:p w14:paraId="12E60B3F" w14:textId="77777777" w:rsidR="005E1CA4" w:rsidRPr="00280C69" w:rsidRDefault="005E1CA4" w:rsidP="000A427B">
            <w:pPr>
              <w:pStyle w:val="TableText"/>
            </w:pPr>
            <w:r>
              <w:t>Four additional studies to explore the patient population in PICO Set 2.</w:t>
            </w:r>
          </w:p>
        </w:tc>
        <w:tc>
          <w:tcPr>
            <w:tcW w:w="1413" w:type="pct"/>
            <w:tcBorders>
              <w:top w:val="single" w:sz="4" w:space="0" w:color="auto"/>
              <w:left w:val="single" w:sz="4" w:space="0" w:color="auto"/>
              <w:bottom w:val="single" w:sz="4" w:space="0" w:color="auto"/>
              <w:right w:val="single" w:sz="4" w:space="0" w:color="auto"/>
            </w:tcBorders>
            <w:hideMark/>
          </w:tcPr>
          <w:p w14:paraId="1E4A2B4F" w14:textId="77777777" w:rsidR="005E1CA4" w:rsidRPr="00280C69" w:rsidRDefault="005E1CA4" w:rsidP="000A427B">
            <w:pPr>
              <w:pStyle w:val="TableText"/>
            </w:pPr>
            <w:r>
              <w:t>PICO Set 2</w:t>
            </w:r>
            <w:r>
              <w:br/>
            </w:r>
            <w:sdt>
              <w:sdtPr>
                <w:id w:val="1915973532"/>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280C69">
              <w:tab/>
              <w:t>k</w:t>
            </w:r>
            <w:r>
              <w:t> </w:t>
            </w:r>
            <w:r w:rsidRPr="00280C69">
              <w:t>=</w:t>
            </w:r>
            <w:r>
              <w:t xml:space="preserve"> 4   </w:t>
            </w:r>
            <w:r w:rsidRPr="00280C69">
              <w:t>n</w:t>
            </w:r>
            <w:r>
              <w:t> </w:t>
            </w:r>
            <w:r w:rsidRPr="00280C69">
              <w:t>=</w:t>
            </w:r>
            <w:r>
              <w:t> 665</w:t>
            </w:r>
          </w:p>
        </w:tc>
        <w:tc>
          <w:tcPr>
            <w:tcW w:w="1074" w:type="pct"/>
            <w:tcBorders>
              <w:top w:val="single" w:sz="4" w:space="0" w:color="auto"/>
              <w:left w:val="single" w:sz="4" w:space="0" w:color="auto"/>
              <w:bottom w:val="single" w:sz="4" w:space="0" w:color="auto"/>
              <w:right w:val="single" w:sz="4" w:space="0" w:color="auto"/>
            </w:tcBorders>
          </w:tcPr>
          <w:p w14:paraId="1E6C2AC0" w14:textId="77777777" w:rsidR="005E1CA4" w:rsidRPr="00280C69" w:rsidRDefault="005E1CA4" w:rsidP="000A427B">
            <w:pPr>
              <w:pStyle w:val="TableText"/>
            </w:pPr>
            <w:r>
              <w:t>Not done as studies did not meet inclusion criteria</w:t>
            </w:r>
          </w:p>
        </w:tc>
      </w:tr>
    </w:tbl>
    <w:p w14:paraId="3880C9E9" w14:textId="77777777" w:rsidR="005E1CA4" w:rsidRPr="00CE28E3" w:rsidRDefault="005E1CA4" w:rsidP="005E1CA4">
      <w:pPr>
        <w:pStyle w:val="TableFigureFooter"/>
      </w:pPr>
      <w:bookmarkStart w:id="31" w:name="_Hlk68276301"/>
      <w:bookmarkEnd w:id="30"/>
      <w:r w:rsidRPr="00CE28E3">
        <w:t>k</w:t>
      </w:r>
      <w:r>
        <w:t xml:space="preserve"> </w:t>
      </w:r>
      <w:r w:rsidRPr="00CE28E3">
        <w:t>=</w:t>
      </w:r>
      <w:r>
        <w:t xml:space="preserve"> </w:t>
      </w:r>
      <w:r w:rsidRPr="00CE28E3">
        <w:t>number of studies</w:t>
      </w:r>
      <w:r>
        <w:t>;</w:t>
      </w:r>
      <w:r w:rsidRPr="00CE28E3">
        <w:t xml:space="preserve"> n</w:t>
      </w:r>
      <w:r>
        <w:t xml:space="preserve"> </w:t>
      </w:r>
      <w:r w:rsidRPr="00CE28E3">
        <w:t>=</w:t>
      </w:r>
      <w:r>
        <w:t xml:space="preserve"> </w:t>
      </w:r>
      <w:r w:rsidRPr="00CE28E3">
        <w:t>number of patients</w:t>
      </w:r>
      <w:r>
        <w:t>; NHLBI = National heart, lung, and blood institute; PICO = population, intervention, comparator, outcome; SR = systematic review;</w:t>
      </w:r>
      <w:r w:rsidRPr="006010B8">
        <w:t xml:space="preserve"> </w:t>
      </w:r>
      <w:r>
        <w:t>QUADAS-2 = quality assessment of diagnostic accuracy studies tool for comparison of an index test with a reference standard.</w:t>
      </w:r>
    </w:p>
    <w:p w14:paraId="3FCEC5BD" w14:textId="77777777" w:rsidR="005E1CA4" w:rsidRPr="00395DB7" w:rsidRDefault="005E1CA4" w:rsidP="005E1CA4">
      <w:pPr>
        <w:rPr>
          <w:rFonts w:ascii="Franklin Gothic Book" w:hAnsi="Franklin Gothic Book"/>
        </w:rPr>
      </w:pPr>
      <w:r w:rsidRPr="00395DB7">
        <w:rPr>
          <w:rFonts w:ascii="Franklin Gothic Book" w:hAnsi="Franklin Gothic Book"/>
        </w:rPr>
        <w:t>As already noted by both the applicant and PASC, evidence to support out-of-laboratory sleep studies in adolescents was extremely limited. Support for use in this age group relied on extrapolation from evidence collected in the younger (under 12 years) age group. Evidence to support PICO Set 3 was inadequate to support an economic evaluation. The extent and level of clinical evidence overall was considered unlikely to change given that paediatric out-of-laboratory sleep studies is a niche indication.</w:t>
      </w:r>
    </w:p>
    <w:p w14:paraId="7A84B22F" w14:textId="053FD75B" w:rsidR="005E1CA4" w:rsidRPr="00CE28E3" w:rsidRDefault="00E91FB9" w:rsidP="00E91FB9">
      <w:pPr>
        <w:pStyle w:val="Heading2"/>
        <w:numPr>
          <w:ilvl w:val="0"/>
          <w:numId w:val="0"/>
        </w:numPr>
      </w:pPr>
      <w:bookmarkStart w:id="32" w:name="_Toc145678760"/>
      <w:bookmarkStart w:id="33" w:name="_Toc150172405"/>
      <w:bookmarkStart w:id="34" w:name="_Toc153462780"/>
      <w:bookmarkEnd w:id="31"/>
      <w:r>
        <w:t>11.</w:t>
      </w:r>
      <w:r>
        <w:tab/>
      </w:r>
      <w:r w:rsidR="005E1CA4" w:rsidRPr="00CE28E3">
        <w:t>Comparative safety</w:t>
      </w:r>
      <w:bookmarkEnd w:id="32"/>
      <w:bookmarkEnd w:id="33"/>
      <w:bookmarkEnd w:id="34"/>
    </w:p>
    <w:p w14:paraId="4FB49CB3" w14:textId="77777777" w:rsidR="005E1CA4" w:rsidRPr="00395DB7" w:rsidRDefault="005E1CA4" w:rsidP="005E1CA4">
      <w:pPr>
        <w:rPr>
          <w:rFonts w:ascii="Franklin Gothic Book" w:hAnsi="Franklin Gothic Book"/>
        </w:rPr>
      </w:pPr>
      <w:r w:rsidRPr="00395DB7">
        <w:rPr>
          <w:rFonts w:ascii="Franklin Gothic Book" w:hAnsi="Franklin Gothic Book"/>
        </w:rPr>
        <w:t>No comparative studies met the inclusion criteria and reported safety outcomes. One included study, Griffiths et al. (2022), an Australian single-arm, single-centre, retrospective audit of Level 2 PSG studies (diagnostic), reported no adverse events during the study period.</w:t>
      </w:r>
    </w:p>
    <w:p w14:paraId="5EEC60F5" w14:textId="574CEFE0" w:rsidR="005E1CA4" w:rsidRPr="00395DB7" w:rsidRDefault="005E1CA4" w:rsidP="005E1CA4">
      <w:pPr>
        <w:rPr>
          <w:rFonts w:ascii="Franklin Gothic Book" w:hAnsi="Franklin Gothic Book"/>
        </w:rPr>
      </w:pPr>
      <w:r w:rsidRPr="00395DB7">
        <w:rPr>
          <w:rFonts w:ascii="Franklin Gothic Book" w:hAnsi="Franklin Gothic Book"/>
        </w:rPr>
        <w:t>No paediatric safety data were reported in MSAC application 1130 (Merlin et al. 2010</w:t>
      </w:r>
      <w:r w:rsidR="00D314C3">
        <w:rPr>
          <w:rStyle w:val="FootnoteReference"/>
          <w:rFonts w:ascii="Franklin Gothic Book" w:hAnsi="Franklin Gothic Book"/>
        </w:rPr>
        <w:footnoteReference w:id="23"/>
      </w:r>
      <w:r w:rsidRPr="00395DB7">
        <w:rPr>
          <w:rFonts w:ascii="Franklin Gothic Book" w:hAnsi="Franklin Gothic Book"/>
        </w:rPr>
        <w:t>) and the report concluded that out-of-laboratory sleep studies (of any level) are safe. Similarly, the ASA clinical practice guidelines for sleep studies in children states that although safety concerns have not been identified, attention to safety is required for unattended studies, particularly adequate parental instruction and monitors set up by trained staff (Pamula et al. 2017</w:t>
      </w:r>
      <w:r w:rsidR="00035B2B">
        <w:rPr>
          <w:rStyle w:val="FootnoteReference"/>
          <w:rFonts w:ascii="Franklin Gothic Book" w:hAnsi="Franklin Gothic Book"/>
        </w:rPr>
        <w:footnoteReference w:id="24"/>
      </w:r>
      <w:r w:rsidRPr="00395DB7">
        <w:rPr>
          <w:rFonts w:ascii="Franklin Gothic Book" w:hAnsi="Franklin Gothic Book"/>
        </w:rPr>
        <w:t>). Although no data were identified for Level 3 CRP (diagnostic or monitoring studies), it is inferred to have a lower risk due to reduced equipment requirements.</w:t>
      </w:r>
    </w:p>
    <w:p w14:paraId="2D50805B" w14:textId="77777777" w:rsidR="005E1CA4" w:rsidRPr="00395DB7" w:rsidRDefault="005E1CA4" w:rsidP="005E1CA4">
      <w:pPr>
        <w:rPr>
          <w:rFonts w:ascii="Franklin Gothic Book" w:hAnsi="Franklin Gothic Book"/>
        </w:rPr>
      </w:pPr>
      <w:r w:rsidRPr="00395DB7">
        <w:rPr>
          <w:rFonts w:ascii="Franklin Gothic Book" w:hAnsi="Franklin Gothic Book"/>
        </w:rPr>
        <w:lastRenderedPageBreak/>
        <w:t>Theoretically, there could be a difference in exposure to nosocomial respiratory infections for out-of-laboratory settings compared to in-laboratory settings, but no data are available. This may have heightened relevance to PICO Set 3 due to the high rate of complex co-occurring conditions in individuals receiving respiratory support.</w:t>
      </w:r>
    </w:p>
    <w:p w14:paraId="0458E560" w14:textId="77777777" w:rsidR="005E1CA4" w:rsidRPr="00395DB7" w:rsidRDefault="005E1CA4" w:rsidP="005E1CA4">
      <w:pPr>
        <w:rPr>
          <w:rFonts w:ascii="Franklin Gothic Book" w:hAnsi="Franklin Gothic Book"/>
        </w:rPr>
      </w:pPr>
      <w:r w:rsidRPr="00395DB7">
        <w:rPr>
          <w:rFonts w:ascii="Franklin Gothic Book" w:hAnsi="Franklin Gothic Book"/>
        </w:rPr>
        <w:t>Only PICO Set 2 is likely to alter the downstream treatment decisions based on the diagnostic assessment frameworks. There is a theoretical benefit of the Level 3 CRP (diagnostic) from avoiding inappropriate tonsillectomies and the attendant risk of harms; these harms are low frequency and rarely require readmission or reoperation (Francis et al. 2017).</w:t>
      </w:r>
    </w:p>
    <w:p w14:paraId="61643DD5" w14:textId="3EF16EC1" w:rsidR="005E1CA4" w:rsidRDefault="00E91FB9" w:rsidP="00E91FB9">
      <w:pPr>
        <w:pStyle w:val="Heading2"/>
        <w:numPr>
          <w:ilvl w:val="0"/>
          <w:numId w:val="0"/>
        </w:numPr>
      </w:pPr>
      <w:bookmarkStart w:id="35" w:name="_Toc145678761"/>
      <w:bookmarkStart w:id="36" w:name="_Toc150172406"/>
      <w:bookmarkStart w:id="37" w:name="_Toc153462781"/>
      <w:r>
        <w:t>12.</w:t>
      </w:r>
      <w:r>
        <w:tab/>
      </w:r>
      <w:r w:rsidR="005E1CA4" w:rsidRPr="00CE28E3">
        <w:t>Comparative effectiveness</w:t>
      </w:r>
      <w:bookmarkEnd w:id="35"/>
      <w:bookmarkEnd w:id="36"/>
      <w:bookmarkEnd w:id="37"/>
    </w:p>
    <w:p w14:paraId="5DA509CA" w14:textId="77777777" w:rsidR="005E1CA4" w:rsidRDefault="005E1CA4" w:rsidP="005E1CA4">
      <w:pPr>
        <w:pStyle w:val="ESHeading3"/>
      </w:pPr>
      <w:r>
        <w:t>PICO Set 1</w:t>
      </w:r>
    </w:p>
    <w:p w14:paraId="1F757C6D" w14:textId="77777777" w:rsidR="005E1CA4" w:rsidRDefault="005E1CA4" w:rsidP="005E1CA4">
      <w:pPr>
        <w:pStyle w:val="ESHeading4"/>
      </w:pPr>
      <w:r>
        <w:t>Test accuracy</w:t>
      </w:r>
    </w:p>
    <w:p w14:paraId="7933269A" w14:textId="77777777" w:rsidR="005E1CA4" w:rsidRPr="00395DB7" w:rsidRDefault="005E1CA4" w:rsidP="005E1CA4">
      <w:pPr>
        <w:rPr>
          <w:rFonts w:ascii="Franklin Gothic Book" w:hAnsi="Franklin Gothic Book"/>
        </w:rPr>
      </w:pPr>
      <w:r w:rsidRPr="00395DB7">
        <w:rPr>
          <w:rFonts w:ascii="Franklin Gothic Book" w:hAnsi="Franklin Gothic Book"/>
        </w:rPr>
        <w:t>Two studies (Cielo et al. 2023; Withers et al. 2022) reported test accuracy of Level 2 PSG studies compared to Level 1 PSG studies.</w:t>
      </w:r>
    </w:p>
    <w:p w14:paraId="3A5CED50" w14:textId="65679F0C" w:rsidR="005E1CA4" w:rsidRPr="00395DB7" w:rsidRDefault="005E1CA4" w:rsidP="005E1CA4">
      <w:pPr>
        <w:rPr>
          <w:rFonts w:ascii="Franklin Gothic Book" w:hAnsi="Franklin Gothic Book"/>
        </w:rPr>
      </w:pPr>
      <w:r w:rsidRPr="00395DB7">
        <w:rPr>
          <w:rFonts w:ascii="Franklin Gothic Book" w:hAnsi="Franklin Gothic Book"/>
        </w:rPr>
        <w:t>Withers et al. (2022) was an Australian study with a population of 47 children aged 5 to 18 years with suspected OSA, closely aligned with the PICO age range of 3 to 18 years. At both reported thresholds – any OSA and moderate to severe OSA – the Level 2 PSG misclassified very few participants in comparison to the Level 1 PSG, and sensitivity and specificity were both high with confidence intervals including perfect agreement (GRADE certainty of evidence very low) (</w:t>
      </w:r>
      <w:r w:rsidRPr="00395DB7">
        <w:rPr>
          <w:rFonts w:ascii="Franklin Gothic Book" w:hAnsi="Franklin Gothic Book"/>
        </w:rPr>
        <w:fldChar w:fldCharType="begin"/>
      </w:r>
      <w:r w:rsidRPr="00395DB7">
        <w:rPr>
          <w:rFonts w:ascii="Franklin Gothic Book" w:hAnsi="Franklin Gothic Book"/>
        </w:rPr>
        <w:instrText xml:space="preserve"> REF _Ref150199611 \h </w:instrText>
      </w:r>
      <w:r w:rsidR="00395DB7" w:rsidRP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Figure</w:t>
      </w:r>
      <w:r w:rsidR="00E91FB9">
        <w:rPr>
          <w:rFonts w:ascii="Franklin Gothic Book" w:hAnsi="Franklin Gothic Book"/>
        </w:rPr>
        <w:t> </w:t>
      </w:r>
      <w:r w:rsidRPr="00395DB7">
        <w:rPr>
          <w:rFonts w:ascii="Franklin Gothic Book" w:hAnsi="Franklin Gothic Book"/>
          <w:noProof/>
        </w:rPr>
        <w:t>1</w:t>
      </w:r>
      <w:r w:rsidRPr="00395DB7">
        <w:rPr>
          <w:rFonts w:ascii="Franklin Gothic Book" w:hAnsi="Franklin Gothic Book"/>
        </w:rPr>
        <w:fldChar w:fldCharType="end"/>
      </w:r>
      <w:r w:rsidRPr="00395DB7">
        <w:rPr>
          <w:rFonts w:ascii="Franklin Gothic Book" w:hAnsi="Franklin Gothic Book"/>
        </w:rPr>
        <w:t>).</w:t>
      </w:r>
    </w:p>
    <w:p w14:paraId="1A08EA36" w14:textId="1A99C2DA" w:rsidR="005E1CA4" w:rsidRPr="00395DB7" w:rsidRDefault="005E1CA4" w:rsidP="005E1CA4">
      <w:pPr>
        <w:rPr>
          <w:rFonts w:ascii="Franklin Gothic Book" w:hAnsi="Franklin Gothic Book"/>
        </w:rPr>
      </w:pPr>
      <w:r w:rsidRPr="00395DB7">
        <w:rPr>
          <w:rFonts w:ascii="Franklin Gothic Book" w:hAnsi="Franklin Gothic Book"/>
        </w:rPr>
        <w:t>Participants in Cielo et al. (2023) (n=43) had Down syndrome, were not required to be seeking evaluation of SDB and were aged up to 25 years. The prevalence of moderate to severe OSA was 80%. Diagnostic accuracy for Level 2 PSG was lower in this study (</w:t>
      </w:r>
      <w:r w:rsidRPr="00395DB7">
        <w:rPr>
          <w:rFonts w:ascii="Franklin Gothic Book" w:hAnsi="Franklin Gothic Book"/>
        </w:rPr>
        <w:fldChar w:fldCharType="begin"/>
      </w:r>
      <w:r w:rsidRPr="00395DB7">
        <w:rPr>
          <w:rFonts w:ascii="Franklin Gothic Book" w:hAnsi="Franklin Gothic Book"/>
        </w:rPr>
        <w:instrText xml:space="preserve"> REF _Ref150199611 \h </w:instrText>
      </w:r>
      <w:r w:rsidR="00395DB7" w:rsidRP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 xml:space="preserve">Figure </w:t>
      </w:r>
      <w:r w:rsidRPr="00395DB7">
        <w:rPr>
          <w:rFonts w:ascii="Franklin Gothic Book" w:hAnsi="Franklin Gothic Book"/>
          <w:noProof/>
        </w:rPr>
        <w:t>1</w:t>
      </w:r>
      <w:r w:rsidRPr="00395DB7">
        <w:rPr>
          <w:rFonts w:ascii="Franklin Gothic Book" w:hAnsi="Franklin Gothic Book"/>
        </w:rPr>
        <w:fldChar w:fldCharType="end"/>
      </w:r>
      <w:r w:rsidRPr="00395DB7">
        <w:rPr>
          <w:rFonts w:ascii="Franklin Gothic Book" w:hAnsi="Franklin Gothic Book"/>
        </w:rPr>
        <w:t>). This might be explained by both the older age range (where diagnostic thresholds are higher) and the higher prevalence of severe disease (where correlation between the tests is poorer). Some study participants may not be considered suitable for Level 2 PSG based on the PICO confirmation, which excludes participants with complex co-morbidities.</w:t>
      </w:r>
    </w:p>
    <w:p w14:paraId="630DCC6B" w14:textId="77777777" w:rsidR="005E1CA4" w:rsidRPr="00786F60" w:rsidRDefault="005E1CA4" w:rsidP="005E1CA4">
      <w:pPr>
        <w:pStyle w:val="Caption"/>
        <w:spacing w:before="120"/>
      </w:pPr>
      <w:bookmarkStart w:id="38" w:name="_Ref150199611"/>
      <w:r>
        <w:t xml:space="preserve">Figure </w:t>
      </w:r>
      <w:fldSimple w:instr=" SEQ Figure \* ARABIC ">
        <w:r>
          <w:rPr>
            <w:noProof/>
          </w:rPr>
          <w:t>1</w:t>
        </w:r>
      </w:fldSimple>
      <w:bookmarkEnd w:id="38"/>
      <w:r>
        <w:tab/>
        <w:t>Forest plot of diagnostic accuracy of</w:t>
      </w:r>
      <w:r w:rsidRPr="00B574B3">
        <w:t xml:space="preserve"> Level 2 PSG studies</w:t>
      </w:r>
      <w:r w:rsidRPr="00285A73">
        <w:t xml:space="preserve"> with </w:t>
      </w:r>
      <w:r>
        <w:t>Level 1 PSG studies as the reference standard</w:t>
      </w:r>
    </w:p>
    <w:p w14:paraId="2368048E" w14:textId="77777777" w:rsidR="005E1CA4" w:rsidRDefault="005E1CA4" w:rsidP="005E1CA4">
      <w:pPr>
        <w:pStyle w:val="Caption"/>
        <w:pBdr>
          <w:top w:val="single" w:sz="4" w:space="1" w:color="auto"/>
          <w:left w:val="single" w:sz="4" w:space="4" w:color="auto"/>
          <w:bottom w:val="single" w:sz="4" w:space="1" w:color="auto"/>
          <w:right w:val="single" w:sz="4" w:space="4" w:color="auto"/>
        </w:pBdr>
        <w:spacing w:before="0" w:after="0"/>
      </w:pPr>
      <w:r>
        <w:rPr>
          <w:noProof/>
        </w:rPr>
        <w:drawing>
          <wp:inline distT="0" distB="0" distL="0" distR="0" wp14:anchorId="14BFF6E5" wp14:editId="236F69B6">
            <wp:extent cx="5753210" cy="611270"/>
            <wp:effectExtent l="0" t="0" r="0" b="0"/>
            <wp:docPr id="2113714429" name="Picture 2113714429" descr="This figure is a forest plot showing the diagnostic accuracy of Level 2 PSG studies with Level 1 PSG studies as the reference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14429" name="Picture 2113714429" descr="This figure is a forest plot showing the diagnostic accuracy of Level 2 PSG studies with Level 1 PSG studies as the reference standard."/>
                    <pic:cNvPicPr/>
                  </pic:nvPicPr>
                  <pic:blipFill>
                    <a:blip r:embed="rId12"/>
                    <a:stretch>
                      <a:fillRect/>
                    </a:stretch>
                  </pic:blipFill>
                  <pic:spPr>
                    <a:xfrm>
                      <a:off x="0" y="0"/>
                      <a:ext cx="5753210" cy="611270"/>
                    </a:xfrm>
                    <a:prstGeom prst="rect">
                      <a:avLst/>
                    </a:prstGeom>
                  </pic:spPr>
                </pic:pic>
              </a:graphicData>
            </a:graphic>
          </wp:inline>
        </w:drawing>
      </w:r>
    </w:p>
    <w:p w14:paraId="688393B3" w14:textId="77777777" w:rsidR="005E1CA4" w:rsidRDefault="005E1CA4" w:rsidP="005E1CA4">
      <w:pPr>
        <w:pStyle w:val="TableFigNoteLast"/>
      </w:pPr>
      <w:r w:rsidRPr="00617291">
        <w:t>CI</w:t>
      </w:r>
      <w:r>
        <w:t xml:space="preserve"> =</w:t>
      </w:r>
      <w:r w:rsidRPr="00617291">
        <w:t> confidence interval; FN = false negative; FP = false positive; OAHI = obstructive apnoea-hypopnoea index</w:t>
      </w:r>
      <w:r>
        <w:t xml:space="preserve">; OSA = obstructive sleep apnoea; PSG = polysomnography; </w:t>
      </w:r>
      <w:r w:rsidRPr="00617291">
        <w:t>TN = true negative; TP = true positive.</w:t>
      </w:r>
    </w:p>
    <w:p w14:paraId="1AC62B3F" w14:textId="77777777" w:rsidR="005E1CA4" w:rsidRDefault="005E1CA4" w:rsidP="005E1CA4">
      <w:pPr>
        <w:pStyle w:val="TableFigNoteLast"/>
      </w:pPr>
      <w:r>
        <w:t>Notes: Withers did not report the AHI/OAHI values used for each diagnostic threshold. Moderate to severe OSA in Cielo (2023) was OAHI &gt; 5/h.</w:t>
      </w:r>
    </w:p>
    <w:p w14:paraId="3F75D4F9" w14:textId="77777777" w:rsidR="005E1CA4" w:rsidRDefault="005E1CA4" w:rsidP="005E1CA4">
      <w:pPr>
        <w:pStyle w:val="TableFigNoteLast"/>
      </w:pPr>
      <w:r>
        <w:t xml:space="preserve">Source: created for the DCAR using data from </w:t>
      </w:r>
      <w:r>
        <w:fldChar w:fldCharType="begin"/>
      </w:r>
      <w:r>
        <w:instrText xml:space="preserve"> REF _Ref148517384 \h </w:instrText>
      </w:r>
      <w:r>
        <w:fldChar w:fldCharType="separate"/>
      </w:r>
      <w:r>
        <w:t xml:space="preserve">Table </w:t>
      </w:r>
      <w:r>
        <w:rPr>
          <w:noProof/>
        </w:rPr>
        <w:t>45</w:t>
      </w:r>
      <w:r>
        <w:fldChar w:fldCharType="end"/>
      </w:r>
      <w:r>
        <w:t>.</w:t>
      </w:r>
    </w:p>
    <w:p w14:paraId="26781A11" w14:textId="77777777" w:rsidR="005E1CA4" w:rsidRDefault="005E1CA4" w:rsidP="005E1CA4">
      <w:pPr>
        <w:pStyle w:val="ESHeading4"/>
      </w:pPr>
      <w:r>
        <w:t>Test reliability</w:t>
      </w:r>
    </w:p>
    <w:p w14:paraId="688CCE32" w14:textId="77777777" w:rsidR="005E1CA4" w:rsidRPr="00395DB7" w:rsidRDefault="005E1CA4" w:rsidP="005E1CA4">
      <w:pPr>
        <w:rPr>
          <w:rFonts w:ascii="Franklin Gothic Book" w:hAnsi="Franklin Gothic Book"/>
        </w:rPr>
      </w:pPr>
      <w:r w:rsidRPr="00395DB7">
        <w:rPr>
          <w:rFonts w:ascii="Franklin Gothic Book" w:hAnsi="Franklin Gothic Book"/>
        </w:rPr>
        <w:t>No difference in test failures was reported between Level 1 PSG (range 0-5%) and Level 2 PSG (range 0-7%) in the two cross-sectional accuracy studies. An additional five single-arm studies reported initial Level 2 test failure rates ranging from 9-19% (Goodwin et al. 2001; Griffiths et al. 2022; Ioan et al. 2020; Marcus et al. 2014; Russo 2021).</w:t>
      </w:r>
    </w:p>
    <w:p w14:paraId="7CCF5410" w14:textId="77777777" w:rsidR="005E1CA4" w:rsidRDefault="005E1CA4" w:rsidP="005E1CA4">
      <w:pPr>
        <w:pStyle w:val="ESHeading4"/>
      </w:pPr>
      <w:r>
        <w:lastRenderedPageBreak/>
        <w:t>Change in management</w:t>
      </w:r>
    </w:p>
    <w:p w14:paraId="38D8EC57" w14:textId="77777777" w:rsidR="005E1CA4" w:rsidRPr="00395DB7" w:rsidRDefault="005E1CA4" w:rsidP="005E1CA4">
      <w:pPr>
        <w:rPr>
          <w:rFonts w:ascii="Franklin Gothic Book" w:hAnsi="Franklin Gothic Book"/>
        </w:rPr>
      </w:pPr>
      <w:r w:rsidRPr="00395DB7">
        <w:rPr>
          <w:rFonts w:ascii="Franklin Gothic Book" w:hAnsi="Franklin Gothic Book"/>
        </w:rPr>
        <w:t>No change in management studies were identified that met the inclusion criteria, nor are they necessary for a truncated assessment framework.</w:t>
      </w:r>
    </w:p>
    <w:p w14:paraId="74EF8943" w14:textId="77777777" w:rsidR="005E1CA4" w:rsidRPr="00395DB7" w:rsidRDefault="005E1CA4" w:rsidP="005E1CA4">
      <w:pPr>
        <w:rPr>
          <w:rFonts w:ascii="Franklin Gothic Book" w:hAnsi="Franklin Gothic Book"/>
        </w:rPr>
      </w:pPr>
      <w:r w:rsidRPr="00395DB7">
        <w:rPr>
          <w:rFonts w:ascii="Franklin Gothic Book" w:hAnsi="Franklin Gothic Book"/>
        </w:rPr>
        <w:t>The applicant indicated that treatment decisions following PSG are not made based on the PSG findings alone and incorporate symptoms, physical findings (such as tonsil and adenoid size), and patient and caregiver preferences. Therefore, the impact of any differential findings between Level 1 and Level 2 PSG is likely to be less than indicated based on test accuracy alone as clinical management decisions are driven by a broader set of factors.</w:t>
      </w:r>
    </w:p>
    <w:p w14:paraId="2471D05E" w14:textId="77777777" w:rsidR="005E1CA4" w:rsidRPr="00395DB7" w:rsidRDefault="005E1CA4" w:rsidP="005E1CA4">
      <w:pPr>
        <w:rPr>
          <w:rFonts w:ascii="Franklin Gothic Book" w:hAnsi="Franklin Gothic Book"/>
        </w:rPr>
      </w:pPr>
      <w:r w:rsidRPr="00395DB7">
        <w:rPr>
          <w:rFonts w:ascii="Franklin Gothic Book" w:hAnsi="Franklin Gothic Book"/>
        </w:rPr>
        <w:t>The technical interpretation of Level 1 and Level 2 PSG for the diagnosis of OSA does not differ and they evaluate the same measures in the same way. It is plausible to assume that a diagnosis of OSA (or otherwise) will lead to the same treatment decisions regardless of how it is reached.</w:t>
      </w:r>
    </w:p>
    <w:p w14:paraId="3D5377E5" w14:textId="77777777" w:rsidR="005E1CA4" w:rsidRPr="00223664" w:rsidRDefault="005E1CA4" w:rsidP="005E1CA4">
      <w:pPr>
        <w:pStyle w:val="ESHeading4"/>
      </w:pPr>
      <w:r w:rsidRPr="00223664">
        <w:t>Clinical claim</w:t>
      </w:r>
    </w:p>
    <w:p w14:paraId="462B6C8D" w14:textId="77777777" w:rsidR="005E1CA4" w:rsidRPr="00395DB7" w:rsidRDefault="005E1CA4" w:rsidP="005E1CA4">
      <w:pPr>
        <w:rPr>
          <w:rFonts w:ascii="Franklin Gothic Book" w:hAnsi="Franklin Gothic Book"/>
        </w:rPr>
      </w:pPr>
      <w:bookmarkStart w:id="39" w:name="_Toc145678762"/>
      <w:bookmarkStart w:id="40" w:name="_Toc150172407"/>
      <w:r w:rsidRPr="00395DB7">
        <w:rPr>
          <w:rFonts w:ascii="Franklin Gothic Book" w:hAnsi="Franklin Gothic Book"/>
        </w:rPr>
        <w:t>The use of Level 2 PSG studies results in non-inferior test accuracy compared with Level 1 PSG studies.</w:t>
      </w:r>
    </w:p>
    <w:p w14:paraId="0AF02755" w14:textId="77777777" w:rsidR="005E1CA4" w:rsidRPr="00395DB7" w:rsidRDefault="005E1CA4" w:rsidP="005E1CA4">
      <w:pPr>
        <w:rPr>
          <w:rFonts w:ascii="Franklin Gothic Book" w:hAnsi="Franklin Gothic Book"/>
        </w:rPr>
      </w:pPr>
      <w:r w:rsidRPr="00395DB7">
        <w:rPr>
          <w:rFonts w:ascii="Franklin Gothic Book" w:hAnsi="Franklin Gothic Book"/>
        </w:rPr>
        <w:t>The use of Level 2 PSG studies results in inferior testing success compared with Level 1 PSG studies. This may well be offset by the convenience to patients and caregivers of undertaking testing in a home environment.</w:t>
      </w:r>
    </w:p>
    <w:p w14:paraId="3A218DA5" w14:textId="77777777" w:rsidR="005E1CA4" w:rsidRPr="00395DB7" w:rsidRDefault="005E1CA4" w:rsidP="005E1CA4">
      <w:pPr>
        <w:rPr>
          <w:rFonts w:ascii="Franklin Gothic Book" w:hAnsi="Franklin Gothic Book"/>
        </w:rPr>
      </w:pPr>
      <w:r w:rsidRPr="00395DB7">
        <w:rPr>
          <w:rFonts w:ascii="Franklin Gothic Book" w:hAnsi="Franklin Gothic Book"/>
        </w:rPr>
        <w:t>The use of Level 2 PSG studies results in non-inferior effectiveness compared with Level 1 PSG studies.</w:t>
      </w:r>
    </w:p>
    <w:p w14:paraId="3443BB66" w14:textId="77777777" w:rsidR="005E1CA4" w:rsidRPr="00395DB7" w:rsidRDefault="005E1CA4" w:rsidP="005E1CA4">
      <w:pPr>
        <w:rPr>
          <w:rFonts w:ascii="Franklin Gothic Book" w:hAnsi="Franklin Gothic Book"/>
        </w:rPr>
      </w:pPr>
      <w:r w:rsidRPr="00395DB7">
        <w:rPr>
          <w:rFonts w:ascii="Franklin Gothic Book" w:hAnsi="Franklin Gothic Book"/>
        </w:rPr>
        <w:t>The use of out-of-laboratory Level 2 PSG studies results in non-inferior safety compared with Level 1 PSG studies.</w:t>
      </w:r>
    </w:p>
    <w:p w14:paraId="25790455" w14:textId="77777777" w:rsidR="005E1CA4" w:rsidRDefault="005E1CA4" w:rsidP="005E1CA4">
      <w:pPr>
        <w:pStyle w:val="ESHeading3"/>
      </w:pPr>
      <w:r>
        <w:t>PICO Set 2</w:t>
      </w:r>
    </w:p>
    <w:p w14:paraId="2EA80746" w14:textId="77777777" w:rsidR="005E1CA4" w:rsidRDefault="005E1CA4" w:rsidP="005E1CA4">
      <w:pPr>
        <w:pStyle w:val="ESHeading4"/>
      </w:pPr>
      <w:r>
        <w:t>Test accuracy</w:t>
      </w:r>
    </w:p>
    <w:p w14:paraId="7F2BCC76" w14:textId="77777777" w:rsidR="005E1CA4" w:rsidRPr="00395DB7" w:rsidRDefault="005E1CA4" w:rsidP="005E1CA4">
      <w:pPr>
        <w:rPr>
          <w:rFonts w:ascii="Franklin Gothic Book" w:hAnsi="Franklin Gothic Book"/>
        </w:rPr>
      </w:pPr>
      <w:r w:rsidRPr="00395DB7">
        <w:rPr>
          <w:rFonts w:ascii="Franklin Gothic Book" w:hAnsi="Franklin Gothic Book"/>
        </w:rPr>
        <w:t xml:space="preserve">Five small studies (Alonso-Álvarez et al. 2015 [n=50]; </w:t>
      </w:r>
      <w:proofErr w:type="spellStart"/>
      <w:r w:rsidRPr="00395DB7">
        <w:rPr>
          <w:rFonts w:ascii="Franklin Gothic Book" w:hAnsi="Franklin Gothic Book"/>
        </w:rPr>
        <w:t>Ikizoglu</w:t>
      </w:r>
      <w:proofErr w:type="spellEnd"/>
      <w:r w:rsidRPr="00395DB7">
        <w:rPr>
          <w:rFonts w:ascii="Franklin Gothic Book" w:hAnsi="Franklin Gothic Book"/>
        </w:rPr>
        <w:t xml:space="preserve"> et al. 2019 [n=19]; Kissow Lildal et al. 2023 [n=34]; </w:t>
      </w:r>
      <w:proofErr w:type="spellStart"/>
      <w:r w:rsidRPr="00395DB7">
        <w:rPr>
          <w:rFonts w:ascii="Franklin Gothic Book" w:hAnsi="Franklin Gothic Book"/>
        </w:rPr>
        <w:t>Revana</w:t>
      </w:r>
      <w:proofErr w:type="spellEnd"/>
      <w:r w:rsidRPr="00395DB7">
        <w:rPr>
          <w:rFonts w:ascii="Franklin Gothic Book" w:hAnsi="Franklin Gothic Book"/>
        </w:rPr>
        <w:t xml:space="preserve"> et al. 2022 [n=38]; Fishman et al. 2018 [n=28]) reported the test accuracy of Level 3 CRP against the reference standard of Level 1 PSG. Three of these studies adjusted the diagnostic threshold for Level 3 CRP relative to Level 1 PSG to maximise diagnostic accuracy (Level 3 CRP threshold adjusted upwards in two and downwards in one).</w:t>
      </w:r>
    </w:p>
    <w:p w14:paraId="4E4FC85F" w14:textId="77777777" w:rsidR="005E1CA4" w:rsidRPr="00395DB7" w:rsidRDefault="005E1CA4" w:rsidP="005E1CA4">
      <w:pPr>
        <w:rPr>
          <w:rFonts w:ascii="Franklin Gothic Book" w:hAnsi="Franklin Gothic Book"/>
        </w:rPr>
      </w:pPr>
      <w:r w:rsidRPr="00395DB7">
        <w:rPr>
          <w:rFonts w:ascii="Franklin Gothic Book" w:hAnsi="Franklin Gothic Book"/>
        </w:rPr>
        <w:t>Two studies reported diagnostic accuracy for the diagnosis of moderate to severe OSA, one in participants scheduled for (adeno)tonsillotomy (Kissow Lildal et al. 2023) and one in participants with neuromuscular disease (Fishman et al. 2018). The specificity in these studies was high (range 87% to 100%), while the sensitivity was modest (range 60% to 62%) (</w:t>
      </w:r>
      <w:r w:rsidRPr="00395DB7">
        <w:rPr>
          <w:rFonts w:ascii="Franklin Gothic Book" w:hAnsi="Franklin Gothic Book"/>
        </w:rPr>
        <w:fldChar w:fldCharType="begin"/>
      </w:r>
      <w:r w:rsidRPr="00395DB7">
        <w:rPr>
          <w:rFonts w:ascii="Franklin Gothic Book" w:hAnsi="Franklin Gothic Book"/>
        </w:rPr>
        <w:instrText xml:space="preserve"> REF _Ref150201355 \h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 xml:space="preserve">Figure </w:t>
      </w:r>
      <w:r w:rsidRPr="00395DB7">
        <w:rPr>
          <w:rFonts w:ascii="Franklin Gothic Book" w:hAnsi="Franklin Gothic Book"/>
          <w:noProof/>
        </w:rPr>
        <w:t>2</w:t>
      </w:r>
      <w:r w:rsidRPr="00395DB7">
        <w:rPr>
          <w:rFonts w:ascii="Franklin Gothic Book" w:hAnsi="Franklin Gothic Book"/>
        </w:rPr>
        <w:fldChar w:fldCharType="end"/>
      </w:r>
      <w:r w:rsidRPr="00395DB7">
        <w:rPr>
          <w:rFonts w:ascii="Franklin Gothic Book" w:hAnsi="Franklin Gothic Book"/>
        </w:rPr>
        <w:t>).</w:t>
      </w:r>
    </w:p>
    <w:p w14:paraId="65C6C7F1" w14:textId="77777777" w:rsidR="005E1CA4" w:rsidRPr="001B2CD9" w:rsidRDefault="005E1CA4" w:rsidP="005E1CA4">
      <w:pPr>
        <w:pStyle w:val="Caption"/>
        <w:spacing w:before="120"/>
      </w:pPr>
      <w:bookmarkStart w:id="41" w:name="_Ref150201355"/>
      <w:r w:rsidRPr="001B2CD9">
        <w:t xml:space="preserve">Figure </w:t>
      </w:r>
      <w:fldSimple w:instr=" SEQ Figure \* ARABIC ">
        <w:r>
          <w:rPr>
            <w:noProof/>
          </w:rPr>
          <w:t>2</w:t>
        </w:r>
      </w:fldSimple>
      <w:bookmarkEnd w:id="41"/>
      <w:r w:rsidRPr="001B2CD9">
        <w:tab/>
        <w:t xml:space="preserve">Forest plot of diagnostic accuracy </w:t>
      </w:r>
      <w:r>
        <w:t>of</w:t>
      </w:r>
      <w:r w:rsidRPr="001B2CD9">
        <w:t xml:space="preserve"> Level 3 </w:t>
      </w:r>
      <w:r>
        <w:t>CRP</w:t>
      </w:r>
      <w:r w:rsidRPr="001B2CD9">
        <w:t xml:space="preserve"> with Level 1 PSG as the reference standard for a diagnosis of moderate to severe OSA</w:t>
      </w:r>
    </w:p>
    <w:p w14:paraId="15F143D1" w14:textId="77777777" w:rsidR="005E1CA4" w:rsidRPr="001B2CD9" w:rsidRDefault="005E1CA4" w:rsidP="005E1CA4">
      <w:pPr>
        <w:pBdr>
          <w:top w:val="single" w:sz="4" w:space="1" w:color="auto"/>
          <w:left w:val="single" w:sz="4" w:space="4" w:color="auto"/>
          <w:bottom w:val="single" w:sz="4" w:space="1" w:color="auto"/>
          <w:right w:val="single" w:sz="4" w:space="4" w:color="auto"/>
        </w:pBdr>
        <w:spacing w:after="0"/>
      </w:pPr>
      <w:r w:rsidRPr="001B2CD9">
        <w:rPr>
          <w:noProof/>
        </w:rPr>
        <w:drawing>
          <wp:inline distT="0" distB="0" distL="0" distR="0" wp14:anchorId="04373FA4" wp14:editId="569125DB">
            <wp:extent cx="5731510" cy="575310"/>
            <wp:effectExtent l="0" t="0" r="2540" b="0"/>
            <wp:docPr id="990278179" name="Picture 990278179" descr="This figure is a forest plot showing the diagnostic accuracy of Level 3 CRP with Level 1 PSG as the reference standard for a diagnosis of moderate to severe 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78179" name="Picture 990278179" descr="This figure is a forest plot showing the diagnostic accuracy of Level 3 CRP with Level 1 PSG as the reference standard for a diagnosis of moderate to severe OSA."/>
                    <pic:cNvPicPr/>
                  </pic:nvPicPr>
                  <pic:blipFill>
                    <a:blip r:embed="rId13"/>
                    <a:stretch>
                      <a:fillRect/>
                    </a:stretch>
                  </pic:blipFill>
                  <pic:spPr>
                    <a:xfrm>
                      <a:off x="0" y="0"/>
                      <a:ext cx="5731510" cy="575310"/>
                    </a:xfrm>
                    <a:prstGeom prst="rect">
                      <a:avLst/>
                    </a:prstGeom>
                  </pic:spPr>
                </pic:pic>
              </a:graphicData>
            </a:graphic>
          </wp:inline>
        </w:drawing>
      </w:r>
    </w:p>
    <w:p w14:paraId="63C3658A" w14:textId="77777777" w:rsidR="005E1CA4" w:rsidRPr="001B2CD9" w:rsidRDefault="005E1CA4" w:rsidP="005E1CA4">
      <w:pPr>
        <w:pStyle w:val="TableFigNoteLast"/>
      </w:pPr>
      <w:r w:rsidRPr="001B2CD9">
        <w:t xml:space="preserve">CI = confidence interval; </w:t>
      </w:r>
      <w:r>
        <w:t xml:space="preserve">CRP = cardiorespiratory polygraphy; </w:t>
      </w:r>
      <w:r w:rsidRPr="001B2CD9">
        <w:t xml:space="preserve">FN = false negative; FP = false positive; </w:t>
      </w:r>
      <w:r w:rsidRPr="00AC4B1E">
        <w:t>OSA</w:t>
      </w:r>
      <w:r>
        <w:t xml:space="preserve"> </w:t>
      </w:r>
      <w:r w:rsidRPr="00AC4B1E">
        <w:t>=</w:t>
      </w:r>
      <w:r>
        <w:t xml:space="preserve"> </w:t>
      </w:r>
      <w:r w:rsidRPr="00AC4B1E">
        <w:t>obstructive sleep apnoea</w:t>
      </w:r>
      <w:r>
        <w:rPr>
          <w:szCs w:val="24"/>
        </w:rPr>
        <w:t xml:space="preserve">; </w:t>
      </w:r>
      <w:r>
        <w:t xml:space="preserve">PSG = polysomnography; </w:t>
      </w:r>
      <w:r w:rsidRPr="001B2CD9">
        <w:t>TN = true negative; TP = true positive.</w:t>
      </w:r>
    </w:p>
    <w:p w14:paraId="5A1B5D50" w14:textId="77777777" w:rsidR="005E1CA4" w:rsidRPr="00395DB7" w:rsidRDefault="005E1CA4" w:rsidP="005E1CA4">
      <w:pPr>
        <w:rPr>
          <w:rFonts w:ascii="Franklin Gothic Book" w:hAnsi="Franklin Gothic Book"/>
        </w:rPr>
      </w:pPr>
      <w:r w:rsidRPr="00395DB7">
        <w:rPr>
          <w:rFonts w:ascii="Franklin Gothic Book" w:hAnsi="Franklin Gothic Book"/>
        </w:rPr>
        <w:t xml:space="preserve">The prevalence of OSA in the population in Kissow Lildal et al. (2023) is similar to the estimated prevalence in the PICO population (76% any OSA and 44% moderate to severe). The study </w:t>
      </w:r>
      <w:r w:rsidRPr="00395DB7">
        <w:rPr>
          <w:rFonts w:ascii="Franklin Gothic Book" w:hAnsi="Franklin Gothic Book"/>
        </w:rPr>
        <w:lastRenderedPageBreak/>
        <w:t>reported a positive predictive value of 95% (95% CI: 76 - 100) for any OSA and 100% (95% CI: 66 - 100) for moderate to severe OSA, therefore Level 3 CRP can rule-in OSA. However, the negative predictive value was 54% (95% CI: 36 - 71) for any OSA and 76% (95% CI:63 - 85) for moderate severe OSA, suggesting that a negative test result does not accurately rule-out OSA (GRADE certainty of evidence very low).</w:t>
      </w:r>
    </w:p>
    <w:p w14:paraId="66D79B67" w14:textId="77777777" w:rsidR="005E1CA4" w:rsidRPr="00395DB7" w:rsidRDefault="005E1CA4" w:rsidP="005E1CA4">
      <w:pPr>
        <w:rPr>
          <w:rFonts w:ascii="Franklin Gothic Book" w:hAnsi="Franklin Gothic Book"/>
        </w:rPr>
      </w:pPr>
      <w:r w:rsidRPr="00395DB7">
        <w:rPr>
          <w:rFonts w:ascii="Franklin Gothic Book" w:hAnsi="Franklin Gothic Book"/>
        </w:rPr>
        <w:t>Level 3 CRP is proposed as an additional test to no sleep study and standard non-CPAP management. Although no studies reported on the diagnostic accuracy of the comparator, all participants are implied to be positive for OSA based on clinical and physical features, with the included studies presenting the additional value of a Level 3 CRP. This is most clearly demonstrated in Kissow Lildal et al. (2023), as all participants underwent tonsillectomy based on symptoms.</w:t>
      </w:r>
    </w:p>
    <w:p w14:paraId="7871BA59" w14:textId="77777777" w:rsidR="005E1CA4" w:rsidRDefault="005E1CA4" w:rsidP="005E1CA4">
      <w:pPr>
        <w:pStyle w:val="ESHeading4"/>
      </w:pPr>
      <w:r>
        <w:t>Test reliability</w:t>
      </w:r>
    </w:p>
    <w:p w14:paraId="3E06D2CE" w14:textId="77777777" w:rsidR="005E1CA4" w:rsidRPr="00395DB7" w:rsidRDefault="005E1CA4" w:rsidP="005E1CA4">
      <w:pPr>
        <w:rPr>
          <w:rFonts w:ascii="Franklin Gothic Book" w:hAnsi="Franklin Gothic Book"/>
        </w:rPr>
      </w:pPr>
      <w:r w:rsidRPr="00395DB7">
        <w:rPr>
          <w:rFonts w:ascii="Franklin Gothic Book" w:hAnsi="Franklin Gothic Book"/>
        </w:rPr>
        <w:t xml:space="preserve">Five studies reported test failures of Level 3 CRP compared to Level 1 PSG; two studies in a general population (Green et al. 2022 [n=100]; Kissow Lildal et al. 2023 [n=53]), two in children and adolescents with Down syndrome (Brockmann et al. 2016 [n=44]; </w:t>
      </w:r>
      <w:proofErr w:type="spellStart"/>
      <w:r w:rsidRPr="00395DB7">
        <w:rPr>
          <w:rFonts w:ascii="Franklin Gothic Book" w:hAnsi="Franklin Gothic Book"/>
        </w:rPr>
        <w:t>Ikizoglu</w:t>
      </w:r>
      <w:proofErr w:type="spellEnd"/>
      <w:r w:rsidRPr="00395DB7">
        <w:rPr>
          <w:rFonts w:ascii="Franklin Gothic Book" w:hAnsi="Franklin Gothic Book"/>
        </w:rPr>
        <w:t xml:space="preserve"> et al. 2019 [n=19]) and one in children with neuromuscular disease (Fishman et al. 2018 [n=28]). The rate of Level 3 CRP test failure ranged from 8 to 19% and the rate of Level 1 PSG test failure ranged from 0 to 8%. In the five comparative studies, no statistical difference was observed between Level 3 CRP and Level 1 PSG test failure rates; however, all studies were small and are expected to be underpowered for this outcome. </w:t>
      </w:r>
    </w:p>
    <w:p w14:paraId="26D20706" w14:textId="77777777" w:rsidR="005E1CA4" w:rsidRPr="00395DB7" w:rsidRDefault="005E1CA4" w:rsidP="005E1CA4">
      <w:pPr>
        <w:rPr>
          <w:rFonts w:ascii="Franklin Gothic Book" w:hAnsi="Franklin Gothic Book"/>
        </w:rPr>
      </w:pPr>
      <w:r w:rsidRPr="00395DB7">
        <w:rPr>
          <w:rFonts w:ascii="Franklin Gothic Book" w:hAnsi="Franklin Gothic Book"/>
        </w:rPr>
        <w:t>Similar rates of Level 3 CRP test failures were reported in two larger single-arm cohorts (</w:t>
      </w:r>
      <w:proofErr w:type="spellStart"/>
      <w:r w:rsidRPr="00395DB7">
        <w:rPr>
          <w:rFonts w:ascii="Franklin Gothic Book" w:hAnsi="Franklin Gothic Book"/>
        </w:rPr>
        <w:t>Chiner</w:t>
      </w:r>
      <w:proofErr w:type="spellEnd"/>
      <w:r w:rsidRPr="00395DB7">
        <w:rPr>
          <w:rFonts w:ascii="Franklin Gothic Book" w:hAnsi="Franklin Gothic Book"/>
        </w:rPr>
        <w:t xml:space="preserve"> et al. (2020) [n=104]; Kingshott et al. (2019) [n=255]: 9-26%).</w:t>
      </w:r>
    </w:p>
    <w:p w14:paraId="62643104" w14:textId="77777777" w:rsidR="005E1CA4" w:rsidRDefault="005E1CA4" w:rsidP="005E1CA4">
      <w:pPr>
        <w:pStyle w:val="ESHeading4"/>
      </w:pPr>
      <w:r>
        <w:t>Change in management</w:t>
      </w:r>
    </w:p>
    <w:p w14:paraId="38B95D5D" w14:textId="77777777" w:rsidR="005E1CA4" w:rsidRPr="00395DB7" w:rsidRDefault="005E1CA4" w:rsidP="005E1CA4">
      <w:pPr>
        <w:rPr>
          <w:rFonts w:ascii="Franklin Gothic Book" w:hAnsi="Franklin Gothic Book"/>
        </w:rPr>
      </w:pPr>
      <w:r w:rsidRPr="00395DB7">
        <w:rPr>
          <w:rFonts w:ascii="Franklin Gothic Book" w:hAnsi="Franklin Gothic Book"/>
        </w:rPr>
        <w:t>Although no studies met inclusion criteria for change in management, Kissow Lildal et al. (2023) provides theoretical changes based on test outcomes as the participants had symptoms indicative of OSA and all had tonsillotomy with or without adenoidectomy based on “treatment as usual”. Of 34 participants, Level 3 CRP classified 15 as negative for moderate to severe OSA (6 false negatives and 19 true negatives). False negative classification may lead to a patient missing out on an appropriate tonsillectomy; however, this depends on clinical symptoms. One of the six false negative participants was negative for any OSA (AHI&lt;1). True negative patients may avoid inappropriate tonsillectomy; however, appropriateness depends on clinical symptoms for mild OSA (AHI 1-5). Of the 15 negatives for moderate to severe OSA, 7 were correctly classified with no OSA and are most likely to avoid inappropriate tonsillectomy.</w:t>
      </w:r>
    </w:p>
    <w:p w14:paraId="3A3F9CBD" w14:textId="77777777" w:rsidR="005E1CA4" w:rsidRPr="001B2CD9" w:rsidRDefault="005E1CA4" w:rsidP="005E1CA4">
      <w:pPr>
        <w:pStyle w:val="ESHeading4"/>
      </w:pPr>
      <w:r w:rsidRPr="001B2CD9">
        <w:t>Health outcomes</w:t>
      </w:r>
    </w:p>
    <w:p w14:paraId="356CE457" w14:textId="77777777" w:rsidR="005E1CA4" w:rsidRPr="00395DB7" w:rsidRDefault="005E1CA4" w:rsidP="005E1CA4">
      <w:pPr>
        <w:rPr>
          <w:rFonts w:ascii="Franklin Gothic Book" w:hAnsi="Franklin Gothic Book"/>
        </w:rPr>
      </w:pPr>
      <w:r w:rsidRPr="00395DB7">
        <w:rPr>
          <w:rFonts w:ascii="Franklin Gothic Book" w:hAnsi="Franklin Gothic Book"/>
        </w:rPr>
        <w:t>Two systematic reviews were used to summarise the health outcomes of adenotonsillectomy for OSA in paediatric populations (Venekamp et al. 2015 [k=3]; Francis et al. 2017 [k=213]). For patients with OSA determined by Level 1 PSG, adenotonsillectomy resulted in improvement in quality of life, and symptoms were statistically significant at 7 months’ follow-up (GRADE certainty of evidence moderate) while neurocognitive performance and attention and executive function were similar in both groups (GRADE certainty of evidence high). PSG recordings had normalised in almost half of the children managed non-surgically. The most common post-surgical complication was post-tonsillectomy haemorrhage (frequency at or below 5%).</w:t>
      </w:r>
    </w:p>
    <w:p w14:paraId="2D80A3BD" w14:textId="77777777" w:rsidR="005E1CA4" w:rsidRDefault="005E1CA4" w:rsidP="005E1CA4">
      <w:pPr>
        <w:pStyle w:val="ESHeading4"/>
      </w:pPr>
      <w:r>
        <w:t>Patient population</w:t>
      </w:r>
    </w:p>
    <w:p w14:paraId="3B166419" w14:textId="77777777" w:rsidR="005E1CA4" w:rsidRPr="00395DB7" w:rsidRDefault="005E1CA4" w:rsidP="005E1CA4">
      <w:pPr>
        <w:rPr>
          <w:rFonts w:ascii="Franklin Gothic Book" w:hAnsi="Franklin Gothic Book"/>
        </w:rPr>
      </w:pPr>
      <w:r w:rsidRPr="00395DB7">
        <w:rPr>
          <w:rFonts w:ascii="Franklin Gothic Book" w:hAnsi="Franklin Gothic Book"/>
        </w:rPr>
        <w:t xml:space="preserve">None of the included studies specifically included the patient population defined in the PICO confirmation: intolerant of head leads, including those with severe behavioural issues, sensory intolerance and/or autism spectrum disorder. Four studies identified in the literature search </w:t>
      </w:r>
      <w:r w:rsidRPr="00395DB7">
        <w:rPr>
          <w:rFonts w:ascii="Franklin Gothic Book" w:hAnsi="Franklin Gothic Book"/>
        </w:rPr>
        <w:lastRenderedPageBreak/>
        <w:t>specifically addressed this population, however they were not systematically identified and were described to provide context.</w:t>
      </w:r>
    </w:p>
    <w:p w14:paraId="650AF623" w14:textId="77777777" w:rsidR="005E1CA4" w:rsidRPr="00395DB7" w:rsidRDefault="005E1CA4" w:rsidP="005E1CA4">
      <w:pPr>
        <w:rPr>
          <w:rFonts w:ascii="Franklin Gothic Book" w:hAnsi="Franklin Gothic Book"/>
        </w:rPr>
      </w:pPr>
      <w:r w:rsidRPr="00395DB7">
        <w:rPr>
          <w:rFonts w:ascii="Franklin Gothic Book" w:hAnsi="Franklin Gothic Book"/>
        </w:rPr>
        <w:t>The additional evidence highlighted that there are participants who have difficulty tolerating sleep studies, including Level 3 CRP (Jones et al. 2023) (n=96); this is more common in participants with neurodevelopmental disorders, although intolerance was also strongly associated with younger age (</w:t>
      </w:r>
      <w:proofErr w:type="spellStart"/>
      <w:r w:rsidRPr="00395DB7">
        <w:rPr>
          <w:rFonts w:ascii="Franklin Gothic Book" w:hAnsi="Franklin Gothic Book"/>
        </w:rPr>
        <w:t>Lanzlinger</w:t>
      </w:r>
      <w:proofErr w:type="spellEnd"/>
      <w:r w:rsidRPr="00395DB7">
        <w:rPr>
          <w:rFonts w:ascii="Franklin Gothic Book" w:hAnsi="Franklin Gothic Book"/>
        </w:rPr>
        <w:t xml:space="preserve"> et al. 2023 [n=271, aged 1 to 18]; Primeau et al. 2016 [n=161, aged 3 to 25]). Tolerance of nasal prongs, used in Level 3 CRP, appeared to be lower than head leads. The ability to tolerate the test appears to be dependent not only on the test itself, but also on the procedures in place to assist patients who have sensitivities to the equipment. Therefore, there is uncertainty in linking the evidence identified to the specified patient population particularly with respect to failure rates. Higher failure rates are likely, with the rate of 26% failure at first attempt and 19% at second attempt as reported for the cohort of participants with Down syndrome by Kingshott et al. (2019) perhaps forming the baseline.</w:t>
      </w:r>
    </w:p>
    <w:p w14:paraId="70917B7F" w14:textId="2E8353BD" w:rsidR="005E1CA4" w:rsidRPr="00395DB7" w:rsidRDefault="005E1CA4" w:rsidP="005E1CA4">
      <w:pPr>
        <w:rPr>
          <w:rFonts w:ascii="Franklin Gothic Book" w:hAnsi="Franklin Gothic Book"/>
        </w:rPr>
      </w:pPr>
      <w:r w:rsidRPr="00395DB7">
        <w:rPr>
          <w:rFonts w:ascii="Franklin Gothic Book" w:hAnsi="Franklin Gothic Book"/>
        </w:rPr>
        <w:t xml:space="preserve">The population for PICO Set 2 is difficult to define as it is not specific to particular medical conditions. There is a risk that the population who access a Level 3 CRP under the proposed MBS item may differ to that intended in the application, with the potential for </w:t>
      </w:r>
      <w:r w:rsidR="000259C8">
        <w:rPr>
          <w:rFonts w:ascii="Franklin Gothic Book" w:hAnsi="Franklin Gothic Book"/>
        </w:rPr>
        <w:t>usage outside the intended population</w:t>
      </w:r>
      <w:r w:rsidRPr="00395DB7">
        <w:rPr>
          <w:rFonts w:ascii="Franklin Gothic Book" w:hAnsi="Franklin Gothic Book"/>
        </w:rPr>
        <w:t>.</w:t>
      </w:r>
    </w:p>
    <w:p w14:paraId="183BAEBA" w14:textId="77777777" w:rsidR="005E1CA4" w:rsidRDefault="005E1CA4" w:rsidP="005E1CA4">
      <w:pPr>
        <w:pStyle w:val="ESHeading4"/>
      </w:pPr>
      <w:r>
        <w:t>Clinical claim</w:t>
      </w:r>
    </w:p>
    <w:p w14:paraId="44AAC526" w14:textId="77777777" w:rsidR="005E1CA4" w:rsidRPr="00395DB7" w:rsidRDefault="005E1CA4" w:rsidP="005E1CA4">
      <w:pPr>
        <w:rPr>
          <w:rFonts w:ascii="Franklin Gothic Book" w:hAnsi="Franklin Gothic Book"/>
        </w:rPr>
      </w:pPr>
      <w:r w:rsidRPr="00395DB7">
        <w:rPr>
          <w:rFonts w:ascii="Franklin Gothic Book" w:hAnsi="Franklin Gothic Book"/>
        </w:rPr>
        <w:t>The use of Level 3 CRP results in inferior test accuracy compared with Level 1 PSG. Test accuracy is inferred to be superior compared with no sleep study (clinical diagnosis based on history and physical features), but no direct comparative evidence was available.</w:t>
      </w:r>
    </w:p>
    <w:p w14:paraId="665A29C1" w14:textId="77777777" w:rsidR="005E1CA4" w:rsidRPr="00395DB7" w:rsidRDefault="005E1CA4" w:rsidP="005E1CA4">
      <w:pPr>
        <w:rPr>
          <w:rFonts w:ascii="Franklin Gothic Book" w:hAnsi="Franklin Gothic Book"/>
        </w:rPr>
      </w:pPr>
      <w:r w:rsidRPr="00395DB7">
        <w:rPr>
          <w:rFonts w:ascii="Franklin Gothic Book" w:hAnsi="Franklin Gothic Book"/>
        </w:rPr>
        <w:t>The use of Level 3 CRP is inferred to be superior in effectiveness compared with no sleep study based on theoretical changes to patient management following Level 3 CRP.</w:t>
      </w:r>
    </w:p>
    <w:p w14:paraId="2C00C0FC" w14:textId="77777777" w:rsidR="005E1CA4" w:rsidRPr="00395DB7" w:rsidRDefault="005E1CA4" w:rsidP="005E1CA4">
      <w:pPr>
        <w:rPr>
          <w:rFonts w:ascii="Franklin Gothic Book" w:hAnsi="Franklin Gothic Book"/>
        </w:rPr>
      </w:pPr>
      <w:r w:rsidRPr="00395DB7">
        <w:rPr>
          <w:rFonts w:ascii="Franklin Gothic Book" w:hAnsi="Franklin Gothic Book"/>
        </w:rPr>
        <w:t>Testing success is unknown in the proposed patient population and anticipated to vary depending on patient and organisational factors.</w:t>
      </w:r>
    </w:p>
    <w:p w14:paraId="33F83E4B" w14:textId="77777777" w:rsidR="005E1CA4" w:rsidRPr="00395DB7" w:rsidRDefault="005E1CA4" w:rsidP="005E1CA4">
      <w:pPr>
        <w:rPr>
          <w:rFonts w:ascii="Franklin Gothic Book" w:hAnsi="Franklin Gothic Book"/>
        </w:rPr>
      </w:pPr>
      <w:r w:rsidRPr="00395DB7">
        <w:rPr>
          <w:rFonts w:ascii="Franklin Gothic Book" w:hAnsi="Franklin Gothic Book"/>
        </w:rPr>
        <w:t>The use of out-of-laboratory Level 3 CRP results in non-inferior safety compared with no sleep study and standard non-CPAP management. The use of Level 3 CRP may improve patient selection for tonsillectomy, which could lead to safer treatment outcomes.</w:t>
      </w:r>
    </w:p>
    <w:p w14:paraId="557A864E" w14:textId="77777777" w:rsidR="005E1CA4" w:rsidRDefault="005E1CA4" w:rsidP="005E1CA4">
      <w:pPr>
        <w:pStyle w:val="ESHeading3"/>
      </w:pPr>
      <w:r>
        <w:t>PICO Set 3</w:t>
      </w:r>
    </w:p>
    <w:p w14:paraId="587F4DFA" w14:textId="77777777" w:rsidR="005E1CA4" w:rsidRDefault="005E1CA4" w:rsidP="005E1CA4">
      <w:pPr>
        <w:pStyle w:val="ESHeading4"/>
      </w:pPr>
      <w:r>
        <w:t>Test accuracy</w:t>
      </w:r>
    </w:p>
    <w:p w14:paraId="26DF6263" w14:textId="77777777" w:rsidR="005E1CA4" w:rsidRPr="00395DB7" w:rsidRDefault="005E1CA4" w:rsidP="005E1CA4">
      <w:pPr>
        <w:rPr>
          <w:rFonts w:ascii="Franklin Gothic Book" w:hAnsi="Franklin Gothic Book"/>
        </w:rPr>
      </w:pPr>
      <w:r w:rsidRPr="00395DB7">
        <w:rPr>
          <w:rFonts w:ascii="Franklin Gothic Book" w:hAnsi="Franklin Gothic Book"/>
        </w:rPr>
        <w:t>No studies were identified that met the inclusion criteria for assessing the test accuracy of out-of-laboratory Level 3 CRP used to monitor therapy in children and adolescents receiving respiratory support compared to Level 1 PSG monitoring every 6 months. Test accuracy for this indication was inferred from the five studies included in PICO Set 2; it is unknown whether test accuracy would differ for sleep studies undertaken with the patient using respiratory support.</w:t>
      </w:r>
    </w:p>
    <w:p w14:paraId="62CE3F63" w14:textId="77777777" w:rsidR="005E1CA4" w:rsidRPr="00395DB7" w:rsidRDefault="005E1CA4" w:rsidP="005E1CA4">
      <w:pPr>
        <w:rPr>
          <w:rFonts w:ascii="Franklin Gothic Book" w:hAnsi="Franklin Gothic Book"/>
        </w:rPr>
      </w:pPr>
      <w:r w:rsidRPr="00395DB7">
        <w:rPr>
          <w:rFonts w:ascii="Franklin Gothic Book" w:hAnsi="Franklin Gothic Book"/>
        </w:rPr>
        <w:t>There is no agreement on the objective or acceptable levels of respiratory events and their clinical consequences for children undergoing non-invasive ventilation (</w:t>
      </w:r>
      <w:proofErr w:type="spellStart"/>
      <w:r w:rsidRPr="00395DB7">
        <w:rPr>
          <w:rFonts w:ascii="Franklin Gothic Book" w:hAnsi="Franklin Gothic Book"/>
        </w:rPr>
        <w:t>Ammadeo</w:t>
      </w:r>
      <w:proofErr w:type="spellEnd"/>
      <w:r w:rsidRPr="00395DB7">
        <w:rPr>
          <w:rFonts w:ascii="Franklin Gothic Book" w:hAnsi="Franklin Gothic Book"/>
        </w:rPr>
        <w:t xml:space="preserve"> et al. 2015). It is anticipated that treated patients on stable non-invasive ventilation would tend to have no or mild residual disease. For the classification of moderate to severe OSA, the diagnostic accuracy studies demonstrated high specificity. The ability to rule-in moderate or severe OSA may be appropriate for monitoring, with the consequent risk that some negative findings will be false negatives. These may be detected in subsequent monitoring scheduled at six-monthly intervals or sooner for some patients.</w:t>
      </w:r>
    </w:p>
    <w:p w14:paraId="1D62A77D" w14:textId="77777777" w:rsidR="005E1CA4" w:rsidRPr="001B2CD9" w:rsidRDefault="005E1CA4" w:rsidP="005E1CA4">
      <w:pPr>
        <w:pStyle w:val="ESHeading4"/>
      </w:pPr>
      <w:r w:rsidRPr="001B2CD9">
        <w:lastRenderedPageBreak/>
        <w:t>Change in management</w:t>
      </w:r>
    </w:p>
    <w:p w14:paraId="6CC016D0" w14:textId="77777777" w:rsidR="005E1CA4" w:rsidRPr="00395DB7" w:rsidRDefault="005E1CA4" w:rsidP="005E1CA4">
      <w:pPr>
        <w:rPr>
          <w:rFonts w:ascii="Franklin Gothic Book" w:hAnsi="Franklin Gothic Book"/>
        </w:rPr>
      </w:pPr>
      <w:r w:rsidRPr="00395DB7">
        <w:rPr>
          <w:rFonts w:ascii="Franklin Gothic Book" w:hAnsi="Franklin Gothic Book"/>
        </w:rPr>
        <w:t xml:space="preserve">A single study, </w:t>
      </w:r>
      <w:proofErr w:type="spellStart"/>
      <w:r w:rsidRPr="00395DB7">
        <w:rPr>
          <w:rFonts w:ascii="Franklin Gothic Book" w:hAnsi="Franklin Gothic Book"/>
        </w:rPr>
        <w:t>Ammadeo</w:t>
      </w:r>
      <w:proofErr w:type="spellEnd"/>
      <w:r w:rsidRPr="00395DB7">
        <w:rPr>
          <w:rFonts w:ascii="Franklin Gothic Book" w:hAnsi="Franklin Gothic Book"/>
        </w:rPr>
        <w:t xml:space="preserve"> et al. (2015), was included for assessing change in management following a Level 3 CRP study for monitoring respiratory support (CPAP or BiPAP) in children and adolescents with SDB who are stable on current respiratory support. This small (n=26) single-arm study performed Level 3 CRP in a dedicated sleep unit in a paediatric hospital, not in an out-of-laboratory setting as required by the PICO criteria.</w:t>
      </w:r>
    </w:p>
    <w:p w14:paraId="20381071" w14:textId="77777777" w:rsidR="005E1CA4" w:rsidRPr="00395DB7" w:rsidRDefault="005E1CA4" w:rsidP="005E1CA4">
      <w:pPr>
        <w:rPr>
          <w:rFonts w:ascii="Franklin Gothic Book" w:hAnsi="Franklin Gothic Book"/>
        </w:rPr>
      </w:pPr>
      <w:r w:rsidRPr="00395DB7">
        <w:rPr>
          <w:rFonts w:ascii="Franklin Gothic Book" w:hAnsi="Franklin Gothic Book"/>
        </w:rPr>
        <w:t>In total, adjustments to respiratory support were made in seven cases (25% of patients) following in-laboratory Level 3 CRP, most commonly an increase in the CPAP level (3 participants). The single-arm study provides no information on how these treatment decisions may differ to those that would be made following a Level 1 PSG.</w:t>
      </w:r>
    </w:p>
    <w:p w14:paraId="21DB81AA" w14:textId="77777777" w:rsidR="005E1CA4" w:rsidRPr="00395DB7" w:rsidRDefault="005E1CA4" w:rsidP="005E1CA4">
      <w:pPr>
        <w:rPr>
          <w:rFonts w:ascii="Franklin Gothic Book" w:hAnsi="Franklin Gothic Book"/>
        </w:rPr>
      </w:pPr>
      <w:r w:rsidRPr="00395DB7">
        <w:rPr>
          <w:rFonts w:ascii="Franklin Gothic Book" w:hAnsi="Franklin Gothic Book"/>
        </w:rPr>
        <w:t>Based on reduced accuracy, particularly sensitivity, it is possible that some changes, particularly the need for increases in CPAP levels, will be missed. As monitoring is a periodic activity, residual OSA may be detected at a later time point and CPAP changes made then.</w:t>
      </w:r>
    </w:p>
    <w:p w14:paraId="7D0A1C96" w14:textId="77777777" w:rsidR="005E1CA4" w:rsidRDefault="005E1CA4" w:rsidP="005E1CA4">
      <w:pPr>
        <w:pStyle w:val="ESHeading4"/>
      </w:pPr>
      <w:r>
        <w:t>Health outcomes</w:t>
      </w:r>
    </w:p>
    <w:p w14:paraId="07F7B1CA" w14:textId="77777777" w:rsidR="005E1CA4" w:rsidRPr="00395DB7" w:rsidRDefault="005E1CA4" w:rsidP="005E1CA4">
      <w:pPr>
        <w:rPr>
          <w:rFonts w:ascii="Franklin Gothic Book" w:hAnsi="Franklin Gothic Book"/>
        </w:rPr>
      </w:pPr>
      <w:r w:rsidRPr="00395DB7">
        <w:rPr>
          <w:rFonts w:ascii="Franklin Gothic Book" w:hAnsi="Franklin Gothic Book"/>
        </w:rPr>
        <w:t>No studies met inclusion criteria for assessing the health outcomes of out-of-laboratory Level 3 CRP used to monitor therapy in children and adolescents receiving respiratory support. Monitoring appears to be widely recommended in guidelines for children receiving home-based non-invasive ventilation despite a paucity of evidence that it improves health outcomes.</w:t>
      </w:r>
    </w:p>
    <w:p w14:paraId="446C3945" w14:textId="77777777" w:rsidR="005E1CA4" w:rsidRPr="004E109C" w:rsidRDefault="005E1CA4" w:rsidP="005E1CA4">
      <w:pPr>
        <w:pStyle w:val="ESHeading4"/>
      </w:pPr>
      <w:r>
        <w:t>Additional considerations</w:t>
      </w:r>
    </w:p>
    <w:p w14:paraId="06DDF053" w14:textId="36FD6BB1" w:rsidR="005E1CA4" w:rsidRPr="00395DB7" w:rsidRDefault="005E1CA4" w:rsidP="005E1CA4">
      <w:pPr>
        <w:rPr>
          <w:rFonts w:ascii="Franklin Gothic Book" w:hAnsi="Franklin Gothic Book"/>
        </w:rPr>
      </w:pPr>
      <w:r w:rsidRPr="00395DB7">
        <w:rPr>
          <w:rFonts w:ascii="Franklin Gothic Book" w:hAnsi="Franklin Gothic Book"/>
        </w:rPr>
        <w:t>Two additional studies of cohorts of paediatric patients receiving respiratory support did not meet inclusion criteria for the assessment but provide information regarding the likely patient population (Tan et al. 2007</w:t>
      </w:r>
      <w:r w:rsidR="00533B2D">
        <w:rPr>
          <w:rStyle w:val="FootnoteReference"/>
          <w:rFonts w:ascii="Franklin Gothic Book" w:hAnsi="Franklin Gothic Book"/>
        </w:rPr>
        <w:footnoteReference w:id="25"/>
      </w:r>
      <w:r w:rsidRPr="00395DB7">
        <w:rPr>
          <w:rFonts w:ascii="Franklin Gothic Book" w:hAnsi="Franklin Gothic Book"/>
        </w:rPr>
        <w:t xml:space="preserve"> [n=45]; Widger et al. 2014</w:t>
      </w:r>
      <w:r w:rsidR="00C06445">
        <w:rPr>
          <w:rStyle w:val="FootnoteReference"/>
          <w:rFonts w:ascii="Franklin Gothic Book" w:hAnsi="Franklin Gothic Book"/>
        </w:rPr>
        <w:footnoteReference w:id="26"/>
      </w:r>
      <w:r w:rsidRPr="00395DB7">
        <w:rPr>
          <w:rFonts w:ascii="Franklin Gothic Book" w:hAnsi="Franklin Gothic Book"/>
        </w:rPr>
        <w:t xml:space="preserve"> [n=42]). The relevant population is varied and has a range of frequently severe co-occurring conditions, particularly craniofacial syndromes and neuromuscular diseases. This needs to be considered when the potential benefits of Level 3 CRP are considered with respect to practicality; for patients and their families the benefits of avoiding a hospital stay may be significant when the patients have complex, ongoing medical conditions.</w:t>
      </w:r>
    </w:p>
    <w:p w14:paraId="0B5954FB" w14:textId="77777777" w:rsidR="005E1CA4" w:rsidRPr="00395DB7" w:rsidRDefault="005E1CA4" w:rsidP="005E1CA4">
      <w:pPr>
        <w:pStyle w:val="ESHeading4"/>
      </w:pPr>
      <w:r w:rsidRPr="00395DB7">
        <w:t>Clinical claim</w:t>
      </w:r>
    </w:p>
    <w:p w14:paraId="7D1DD6D4" w14:textId="77777777" w:rsidR="005E1CA4" w:rsidRPr="00395DB7" w:rsidRDefault="005E1CA4" w:rsidP="005E1CA4">
      <w:pPr>
        <w:rPr>
          <w:rFonts w:ascii="Franklin Gothic Book" w:hAnsi="Franklin Gothic Book"/>
        </w:rPr>
      </w:pPr>
      <w:r w:rsidRPr="00395DB7">
        <w:rPr>
          <w:rFonts w:ascii="Franklin Gothic Book" w:hAnsi="Franklin Gothic Book"/>
        </w:rPr>
        <w:t>The use of Level 3 CRP to monitor therapy in children and adolescents receiving respiratory support results in uncertain effectiveness compared with Level 1 PSG.</w:t>
      </w:r>
    </w:p>
    <w:p w14:paraId="5176074D" w14:textId="05718C09" w:rsidR="00B917FD" w:rsidRDefault="005E1CA4" w:rsidP="00B917FD">
      <w:pPr>
        <w:rPr>
          <w:rFonts w:ascii="Franklin Gothic Book" w:hAnsi="Franklin Gothic Book"/>
        </w:rPr>
      </w:pPr>
      <w:r w:rsidRPr="00395DB7">
        <w:rPr>
          <w:rFonts w:ascii="Franklin Gothic Book" w:hAnsi="Franklin Gothic Book"/>
        </w:rPr>
        <w:t>The use of Level 3 CRP to monitor therapy in children and adolescents receiving respiratory support results in uncertain safety compared with Level 1 PSG.</w:t>
      </w:r>
      <w:r w:rsidR="00B917FD">
        <w:rPr>
          <w:rFonts w:ascii="Franklin Gothic Book" w:hAnsi="Franklin Gothic Book"/>
        </w:rPr>
        <w:br w:type="page"/>
      </w:r>
    </w:p>
    <w:p w14:paraId="0D524979" w14:textId="7D6C81DA" w:rsidR="005E1CA4" w:rsidRPr="00CE28E3" w:rsidRDefault="00E91FB9" w:rsidP="00E91FB9">
      <w:pPr>
        <w:pStyle w:val="Heading2"/>
        <w:numPr>
          <w:ilvl w:val="0"/>
          <w:numId w:val="0"/>
        </w:numPr>
      </w:pPr>
      <w:bookmarkStart w:id="42" w:name="_Toc153462782"/>
      <w:r>
        <w:t>13.</w:t>
      </w:r>
      <w:r>
        <w:tab/>
      </w:r>
      <w:r w:rsidR="005E1CA4" w:rsidRPr="00CE28E3">
        <w:t>Economic evaluation</w:t>
      </w:r>
      <w:bookmarkEnd w:id="39"/>
      <w:bookmarkEnd w:id="40"/>
      <w:bookmarkEnd w:id="42"/>
    </w:p>
    <w:p w14:paraId="28D960BA" w14:textId="77777777" w:rsidR="005E1CA4" w:rsidRDefault="005E1CA4" w:rsidP="005E1CA4">
      <w:pPr>
        <w:pStyle w:val="ESHeading3"/>
      </w:pPr>
      <w:r>
        <w:t>PICO Set 1</w:t>
      </w:r>
    </w:p>
    <w:p w14:paraId="36609B22" w14:textId="77777777" w:rsidR="005E1CA4" w:rsidRPr="00395DB7" w:rsidRDefault="005E1CA4" w:rsidP="005E1CA4">
      <w:pPr>
        <w:rPr>
          <w:rFonts w:ascii="Franklin Gothic Book" w:hAnsi="Franklin Gothic Book"/>
        </w:rPr>
      </w:pPr>
      <w:r w:rsidRPr="00395DB7">
        <w:rPr>
          <w:rFonts w:ascii="Franklin Gothic Book" w:hAnsi="Franklin Gothic Book"/>
        </w:rPr>
        <w:t>A cost-minimisation analysis was undertaken.</w:t>
      </w:r>
    </w:p>
    <w:p w14:paraId="332C3FD8" w14:textId="154B7073" w:rsidR="005E1CA4" w:rsidRPr="00395DB7" w:rsidRDefault="005E1CA4" w:rsidP="005E1CA4">
      <w:pPr>
        <w:rPr>
          <w:rFonts w:ascii="Franklin Gothic Book" w:hAnsi="Franklin Gothic Book"/>
        </w:rPr>
      </w:pPr>
      <w:r w:rsidRPr="00395DB7">
        <w:rPr>
          <w:rFonts w:ascii="Franklin Gothic Book" w:hAnsi="Franklin Gothic Book"/>
        </w:rPr>
        <w:lastRenderedPageBreak/>
        <w:fldChar w:fldCharType="begin"/>
      </w:r>
      <w:r w:rsidRPr="00395DB7">
        <w:rPr>
          <w:rFonts w:ascii="Franklin Gothic Book" w:hAnsi="Franklin Gothic Book"/>
        </w:rPr>
        <w:instrText xml:space="preserve"> REF _Ref150274791 \h </w:instrText>
      </w:r>
      <w:r w:rsid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Table </w:t>
      </w:r>
      <w:r w:rsidRPr="00395DB7">
        <w:rPr>
          <w:rFonts w:ascii="Franklin Gothic Book" w:hAnsi="Franklin Gothic Book"/>
          <w:noProof/>
        </w:rPr>
        <w:t>7</w:t>
      </w:r>
      <w:r w:rsidRPr="00395DB7">
        <w:rPr>
          <w:rFonts w:ascii="Franklin Gothic Book" w:hAnsi="Franklin Gothic Book"/>
        </w:rPr>
        <w:fldChar w:fldCharType="end"/>
      </w:r>
      <w:r w:rsidRPr="00395DB7">
        <w:rPr>
          <w:rFonts w:ascii="Franklin Gothic Book" w:eastAsia="Times New Roman" w:hAnsi="Franklin Gothic Book" w:cs="Times New Roman"/>
          <w:sz w:val="20"/>
          <w:szCs w:val="20"/>
        </w:rPr>
        <w:t xml:space="preserve"> </w:t>
      </w:r>
      <w:r w:rsidRPr="00395DB7">
        <w:rPr>
          <w:rFonts w:ascii="Franklin Gothic Book" w:hAnsi="Franklin Gothic Book"/>
        </w:rPr>
        <w:t>provides a summary of the approach taken for the PICO Set 1 economic evaluation.</w:t>
      </w:r>
    </w:p>
    <w:p w14:paraId="439A08CD" w14:textId="01447322" w:rsidR="005E1CA4" w:rsidRPr="00CE28E3" w:rsidRDefault="005E1CA4" w:rsidP="005E1CA4">
      <w:pPr>
        <w:pStyle w:val="Caption"/>
      </w:pPr>
      <w:bookmarkStart w:id="43" w:name="_Ref150274791"/>
      <w:r w:rsidRPr="00CE28E3">
        <w:t>Table</w:t>
      </w:r>
      <w:r>
        <w:t> </w:t>
      </w:r>
      <w:fldSimple w:instr=" SEQ Table \* ARABIC ">
        <w:r>
          <w:rPr>
            <w:noProof/>
          </w:rPr>
          <w:t>7</w:t>
        </w:r>
      </w:fldSimple>
      <w:bookmarkEnd w:id="43"/>
      <w:r w:rsidRPr="00CE28E3">
        <w:tab/>
        <w:t>Summary of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for PICO Set 1"/>
        <w:tblDescription w:val="This table summarises the economic evaluation for PICO Set 1. The table provides narrative descriptions of components of the economic evaluation."/>
      </w:tblPr>
      <w:tblGrid>
        <w:gridCol w:w="2834"/>
        <w:gridCol w:w="6182"/>
      </w:tblGrid>
      <w:tr w:rsidR="005E1CA4" w:rsidRPr="00CE28E3" w14:paraId="15011A10" w14:textId="77777777" w:rsidTr="000A427B">
        <w:trPr>
          <w:tblHeader/>
        </w:trPr>
        <w:tc>
          <w:tcPr>
            <w:tcW w:w="2834" w:type="dxa"/>
          </w:tcPr>
          <w:p w14:paraId="07507751" w14:textId="77777777" w:rsidR="005E1CA4" w:rsidRPr="00CE28E3" w:rsidRDefault="005E1CA4" w:rsidP="000A427B">
            <w:pPr>
              <w:pStyle w:val="TableHeading"/>
            </w:pPr>
            <w:r w:rsidRPr="00CE28E3">
              <w:t>Component</w:t>
            </w:r>
          </w:p>
        </w:tc>
        <w:tc>
          <w:tcPr>
            <w:tcW w:w="6182" w:type="dxa"/>
          </w:tcPr>
          <w:p w14:paraId="34FE25E9" w14:textId="77777777" w:rsidR="005E1CA4" w:rsidRPr="00CE28E3" w:rsidRDefault="005E1CA4" w:rsidP="000A427B">
            <w:pPr>
              <w:pStyle w:val="TableHeading"/>
            </w:pPr>
            <w:r w:rsidRPr="00CE28E3">
              <w:t>Description</w:t>
            </w:r>
          </w:p>
        </w:tc>
      </w:tr>
      <w:tr w:rsidR="005E1CA4" w:rsidRPr="00CE28E3" w14:paraId="5F157CCF" w14:textId="77777777" w:rsidTr="000A427B">
        <w:trPr>
          <w:tblHeader/>
        </w:trPr>
        <w:tc>
          <w:tcPr>
            <w:tcW w:w="2834" w:type="dxa"/>
          </w:tcPr>
          <w:p w14:paraId="6651970D" w14:textId="77777777" w:rsidR="005E1CA4" w:rsidRPr="00CE28E3" w:rsidRDefault="005E1CA4" w:rsidP="000A427B">
            <w:pPr>
              <w:pStyle w:val="TableText"/>
            </w:pPr>
            <w:r w:rsidRPr="00CE28E3">
              <w:t>Therapeutic claim: effectiveness</w:t>
            </w:r>
          </w:p>
        </w:tc>
        <w:tc>
          <w:tcPr>
            <w:tcW w:w="6182" w:type="dxa"/>
          </w:tcPr>
          <w:p w14:paraId="631CB340" w14:textId="77777777" w:rsidR="005E1CA4" w:rsidRPr="00CE28E3" w:rsidRDefault="005E1CA4" w:rsidP="000A427B">
            <w:pPr>
              <w:pStyle w:val="TableText"/>
            </w:pPr>
            <w:r w:rsidRPr="00CE28E3">
              <w:t>Based on evidence</w:t>
            </w:r>
            <w:r>
              <w:t xml:space="preserve"> presented</w:t>
            </w:r>
            <w:r w:rsidRPr="00CE28E3">
              <w:t>, effectiveness is assumed to be non</w:t>
            </w:r>
            <w:r>
              <w:t>-</w:t>
            </w:r>
            <w:r w:rsidRPr="00CE28E3">
              <w:t>inferior</w:t>
            </w:r>
          </w:p>
        </w:tc>
      </w:tr>
      <w:tr w:rsidR="005E1CA4" w:rsidRPr="00CE28E3" w14:paraId="562748D3" w14:textId="77777777" w:rsidTr="000A427B">
        <w:trPr>
          <w:tblHeader/>
        </w:trPr>
        <w:tc>
          <w:tcPr>
            <w:tcW w:w="2834" w:type="dxa"/>
          </w:tcPr>
          <w:p w14:paraId="5661F3E1" w14:textId="77777777" w:rsidR="005E1CA4" w:rsidRPr="00CE28E3" w:rsidRDefault="005E1CA4" w:rsidP="000A427B">
            <w:pPr>
              <w:pStyle w:val="TableText"/>
            </w:pPr>
            <w:r w:rsidRPr="00CE28E3">
              <w:t>Therapeutic claim: safety</w:t>
            </w:r>
          </w:p>
        </w:tc>
        <w:tc>
          <w:tcPr>
            <w:tcW w:w="6182" w:type="dxa"/>
          </w:tcPr>
          <w:p w14:paraId="06D5E10C" w14:textId="77777777" w:rsidR="005E1CA4" w:rsidRPr="00CE28E3" w:rsidRDefault="005E1CA4" w:rsidP="000A427B">
            <w:pPr>
              <w:pStyle w:val="TableText"/>
            </w:pPr>
            <w:r w:rsidRPr="00CE28E3">
              <w:t>Based on evidence presented, safety is assumed to be</w:t>
            </w:r>
            <w:r>
              <w:t xml:space="preserve"> </w:t>
            </w:r>
            <w:r w:rsidRPr="00CE28E3">
              <w:t>non</w:t>
            </w:r>
            <w:r>
              <w:t>-</w:t>
            </w:r>
            <w:r w:rsidRPr="00CE28E3">
              <w:t>inferior</w:t>
            </w:r>
          </w:p>
        </w:tc>
      </w:tr>
      <w:tr w:rsidR="005E1CA4" w:rsidRPr="00CE28E3" w14:paraId="688CBC38" w14:textId="77777777" w:rsidTr="000A427B">
        <w:tc>
          <w:tcPr>
            <w:tcW w:w="2834" w:type="dxa"/>
          </w:tcPr>
          <w:p w14:paraId="3C219AB9" w14:textId="77777777" w:rsidR="005E1CA4" w:rsidRPr="00CE28E3" w:rsidRDefault="005E1CA4" w:rsidP="000A427B">
            <w:pPr>
              <w:pStyle w:val="TableText"/>
            </w:pPr>
            <w:r w:rsidRPr="00CE28E3">
              <w:t>Evidence base</w:t>
            </w:r>
          </w:p>
        </w:tc>
        <w:tc>
          <w:tcPr>
            <w:tcW w:w="6182" w:type="dxa"/>
          </w:tcPr>
          <w:p w14:paraId="70397D67" w14:textId="77777777" w:rsidR="005E1CA4" w:rsidRPr="00CE28E3" w:rsidRDefault="005E1CA4" w:rsidP="000A427B">
            <w:pPr>
              <w:pStyle w:val="TableText"/>
            </w:pPr>
            <w:r>
              <w:t>Evidence from non-randomised studies</w:t>
            </w:r>
          </w:p>
        </w:tc>
      </w:tr>
      <w:tr w:rsidR="005E1CA4" w:rsidRPr="00CE28E3" w14:paraId="073BF203" w14:textId="77777777" w:rsidTr="000A427B">
        <w:tc>
          <w:tcPr>
            <w:tcW w:w="2834" w:type="dxa"/>
          </w:tcPr>
          <w:p w14:paraId="7A1DAE72" w14:textId="77777777" w:rsidR="005E1CA4" w:rsidRPr="00CE28E3" w:rsidRDefault="005E1CA4" w:rsidP="000A427B">
            <w:pPr>
              <w:pStyle w:val="TableText"/>
            </w:pPr>
            <w:r w:rsidRPr="00CE28E3">
              <w:t>Direct health technology costs</w:t>
            </w:r>
          </w:p>
        </w:tc>
        <w:tc>
          <w:tcPr>
            <w:tcW w:w="6182" w:type="dxa"/>
          </w:tcPr>
          <w:p w14:paraId="5FBA4027" w14:textId="77777777" w:rsidR="005E1CA4" w:rsidRPr="00CE28E3" w:rsidRDefault="005E1CA4" w:rsidP="000A427B">
            <w:pPr>
              <w:pStyle w:val="TableText"/>
            </w:pPr>
            <w:r>
              <w:t>Lower than costs of comparator</w:t>
            </w:r>
          </w:p>
        </w:tc>
      </w:tr>
      <w:tr w:rsidR="005E1CA4" w:rsidRPr="00CE28E3" w14:paraId="5F1085A3" w14:textId="77777777" w:rsidTr="000A427B">
        <w:tc>
          <w:tcPr>
            <w:tcW w:w="2834" w:type="dxa"/>
          </w:tcPr>
          <w:p w14:paraId="21C00867" w14:textId="77777777" w:rsidR="005E1CA4" w:rsidRPr="00CE28E3" w:rsidRDefault="005E1CA4" w:rsidP="000A427B">
            <w:pPr>
              <w:pStyle w:val="TableText"/>
            </w:pPr>
            <w:r w:rsidRPr="00CE28E3">
              <w:t>Other costs or cost offsets</w:t>
            </w:r>
          </w:p>
        </w:tc>
        <w:tc>
          <w:tcPr>
            <w:tcW w:w="6182" w:type="dxa"/>
          </w:tcPr>
          <w:p w14:paraId="5F0F0A71" w14:textId="77777777" w:rsidR="005E1CA4" w:rsidRPr="00CE28E3" w:rsidRDefault="005E1CA4" w:rsidP="000A427B">
            <w:pPr>
              <w:pStyle w:val="TableText"/>
            </w:pPr>
            <w:r>
              <w:t>Equivalent to the costs of comparator</w:t>
            </w:r>
          </w:p>
        </w:tc>
      </w:tr>
    </w:tbl>
    <w:p w14:paraId="14F078DC" w14:textId="2D918EBC" w:rsidR="005E1CA4" w:rsidRPr="00395DB7" w:rsidRDefault="005E1CA4" w:rsidP="00395DB7">
      <w:pPr>
        <w:spacing w:before="240"/>
        <w:rPr>
          <w:rFonts w:ascii="Franklin Gothic Book" w:hAnsi="Franklin Gothic Book"/>
        </w:rPr>
      </w:pPr>
      <w:r w:rsidRPr="00395DB7">
        <w:rPr>
          <w:rFonts w:ascii="Franklin Gothic Book" w:hAnsi="Franklin Gothic Book"/>
        </w:rPr>
        <w:t xml:space="preserve">The costs considered were from a health system perspective, outlined in </w:t>
      </w:r>
      <w:r w:rsidRPr="00395DB7">
        <w:rPr>
          <w:rFonts w:ascii="Franklin Gothic Book" w:hAnsi="Franklin Gothic Book"/>
        </w:rPr>
        <w:fldChar w:fldCharType="begin"/>
      </w:r>
      <w:r w:rsidRPr="00395DB7">
        <w:rPr>
          <w:rFonts w:ascii="Franklin Gothic Book" w:hAnsi="Franklin Gothic Book"/>
        </w:rPr>
        <w:instrText xml:space="preserve"> REF _Ref150249304 \h </w:instrText>
      </w:r>
      <w:r w:rsid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Table </w:t>
      </w:r>
      <w:r w:rsidRPr="00395DB7">
        <w:rPr>
          <w:rFonts w:ascii="Franklin Gothic Book" w:hAnsi="Franklin Gothic Book"/>
          <w:noProof/>
        </w:rPr>
        <w:t>8</w:t>
      </w:r>
      <w:r w:rsidRPr="00395DB7">
        <w:rPr>
          <w:rFonts w:ascii="Franklin Gothic Book" w:hAnsi="Franklin Gothic Book"/>
        </w:rPr>
        <w:fldChar w:fldCharType="end"/>
      </w:r>
      <w:r w:rsidRPr="00395DB7">
        <w:rPr>
          <w:rFonts w:ascii="Franklin Gothic Book" w:hAnsi="Franklin Gothic Book"/>
        </w:rPr>
        <w:t>. The direct health technology costs considered were for the out-of-laboratory Level 2 PSG (intervention) or in-laboratory Level 1 PSG (comparator) sleep study. Additional costs were the same in both arms.</w:t>
      </w:r>
    </w:p>
    <w:p w14:paraId="68594A70" w14:textId="4F86A00F" w:rsidR="005E1CA4" w:rsidRPr="00CE28E3" w:rsidRDefault="005E1CA4" w:rsidP="005E1CA4">
      <w:pPr>
        <w:pStyle w:val="Caption"/>
      </w:pPr>
      <w:bookmarkStart w:id="44" w:name="_Ref150249304"/>
      <w:r w:rsidRPr="00CE28E3">
        <w:t>Table</w:t>
      </w:r>
      <w:r>
        <w:t> </w:t>
      </w:r>
      <w:fldSimple w:instr=" SEQ Table \* ARABIC ">
        <w:r>
          <w:rPr>
            <w:noProof/>
          </w:rPr>
          <w:t>8</w:t>
        </w:r>
      </w:fldSimple>
      <w:bookmarkEnd w:id="44"/>
      <w:r w:rsidRPr="00CE28E3">
        <w:tab/>
        <w:t>Summary of the costs included in the cost-minimisation approach</w:t>
      </w:r>
    </w:p>
    <w:tbl>
      <w:tblPr>
        <w:tblStyle w:val="TableGrid1"/>
        <w:tblW w:w="0" w:type="auto"/>
        <w:tblLook w:val="04A0" w:firstRow="1" w:lastRow="0" w:firstColumn="1" w:lastColumn="0" w:noHBand="0" w:noVBand="1"/>
        <w:tblCaption w:val="Summary of the costs included in the cost-minimisation approach"/>
        <w:tblDescription w:val="This table summarises the costs included in the cost-minimsation approach for PICO Set 1 including parameter, value and source. "/>
      </w:tblPr>
      <w:tblGrid>
        <w:gridCol w:w="3256"/>
        <w:gridCol w:w="850"/>
        <w:gridCol w:w="4910"/>
      </w:tblGrid>
      <w:tr w:rsidR="005E1CA4" w:rsidRPr="00FF73B8" w14:paraId="5A2173CE" w14:textId="77777777" w:rsidTr="000A427B">
        <w:trPr>
          <w:cnfStyle w:val="100000000000" w:firstRow="1" w:lastRow="0" w:firstColumn="0" w:lastColumn="0" w:oddVBand="0" w:evenVBand="0" w:oddHBand="0" w:evenHBand="0" w:firstRowFirstColumn="0" w:firstRowLastColumn="0" w:lastRowFirstColumn="0" w:lastRowLastColumn="0"/>
          <w:tblHeader/>
        </w:trPr>
        <w:tc>
          <w:tcPr>
            <w:tcW w:w="3256" w:type="dxa"/>
            <w:tcBorders>
              <w:bottom w:val="single" w:sz="4" w:space="0" w:color="auto"/>
            </w:tcBorders>
          </w:tcPr>
          <w:p w14:paraId="4489A592" w14:textId="77777777" w:rsidR="005E1CA4" w:rsidRPr="00FF73B8" w:rsidRDefault="005E1CA4" w:rsidP="000A427B">
            <w:pPr>
              <w:pStyle w:val="TableHeading"/>
            </w:pPr>
            <w:r w:rsidRPr="00FF73B8">
              <w:t>Parameter</w:t>
            </w:r>
          </w:p>
        </w:tc>
        <w:tc>
          <w:tcPr>
            <w:tcW w:w="850" w:type="dxa"/>
            <w:tcBorders>
              <w:bottom w:val="single" w:sz="4" w:space="0" w:color="auto"/>
            </w:tcBorders>
          </w:tcPr>
          <w:p w14:paraId="6FA1A7AE" w14:textId="77777777" w:rsidR="005E1CA4" w:rsidRPr="00FF73B8" w:rsidRDefault="005E1CA4" w:rsidP="000A427B">
            <w:pPr>
              <w:pStyle w:val="TableHeading"/>
            </w:pPr>
            <w:r w:rsidRPr="00FF73B8">
              <w:t>Value</w:t>
            </w:r>
          </w:p>
        </w:tc>
        <w:tc>
          <w:tcPr>
            <w:tcW w:w="4910" w:type="dxa"/>
            <w:tcBorders>
              <w:bottom w:val="single" w:sz="4" w:space="0" w:color="auto"/>
            </w:tcBorders>
          </w:tcPr>
          <w:p w14:paraId="27AAAFA7" w14:textId="77777777" w:rsidR="005E1CA4" w:rsidRPr="00FF73B8" w:rsidRDefault="005E1CA4" w:rsidP="000A427B">
            <w:pPr>
              <w:pStyle w:val="TableHeading"/>
            </w:pPr>
            <w:r w:rsidRPr="00FF73B8">
              <w:t>Source</w:t>
            </w:r>
          </w:p>
        </w:tc>
      </w:tr>
      <w:tr w:rsidR="005E1CA4" w:rsidRPr="00FF73B8" w14:paraId="26E0474F" w14:textId="77777777" w:rsidTr="000A427B">
        <w:tc>
          <w:tcPr>
            <w:tcW w:w="3256" w:type="dxa"/>
            <w:tcBorders>
              <w:right w:val="nil"/>
            </w:tcBorders>
          </w:tcPr>
          <w:p w14:paraId="50649361" w14:textId="77777777" w:rsidR="005E1CA4" w:rsidRPr="00FF73B8" w:rsidRDefault="005E1CA4" w:rsidP="000A427B">
            <w:pPr>
              <w:pStyle w:val="TableHeading"/>
            </w:pPr>
            <w:r w:rsidRPr="00FF73B8">
              <w:t>Direct health technology costs</w:t>
            </w:r>
          </w:p>
        </w:tc>
        <w:tc>
          <w:tcPr>
            <w:tcW w:w="850" w:type="dxa"/>
            <w:tcBorders>
              <w:left w:val="nil"/>
              <w:right w:val="nil"/>
            </w:tcBorders>
          </w:tcPr>
          <w:p w14:paraId="3D76DF82" w14:textId="77777777" w:rsidR="005E1CA4" w:rsidRPr="00FF73B8" w:rsidRDefault="005E1CA4" w:rsidP="000A427B">
            <w:pPr>
              <w:pStyle w:val="TableHeading"/>
            </w:pPr>
          </w:p>
        </w:tc>
        <w:tc>
          <w:tcPr>
            <w:tcW w:w="4910" w:type="dxa"/>
            <w:tcBorders>
              <w:left w:val="nil"/>
            </w:tcBorders>
          </w:tcPr>
          <w:p w14:paraId="14694DF4" w14:textId="77777777" w:rsidR="005E1CA4" w:rsidRPr="00FF73B8" w:rsidRDefault="005E1CA4" w:rsidP="000A427B">
            <w:pPr>
              <w:pStyle w:val="TableHeading"/>
            </w:pPr>
          </w:p>
        </w:tc>
      </w:tr>
      <w:tr w:rsidR="005E1CA4" w:rsidRPr="00FF73B8" w14:paraId="1E2FB060" w14:textId="77777777" w:rsidTr="000A427B">
        <w:tc>
          <w:tcPr>
            <w:tcW w:w="3256" w:type="dxa"/>
            <w:tcBorders>
              <w:bottom w:val="single" w:sz="4" w:space="0" w:color="auto"/>
            </w:tcBorders>
          </w:tcPr>
          <w:p w14:paraId="051C67FC" w14:textId="77777777" w:rsidR="005E1CA4" w:rsidRPr="00FF73B8" w:rsidRDefault="005E1CA4" w:rsidP="000A427B">
            <w:pPr>
              <w:pStyle w:val="TableText"/>
            </w:pPr>
            <w:r w:rsidRPr="00FF73B8">
              <w:t xml:space="preserve">Cost of </w:t>
            </w:r>
            <w:r>
              <w:t>Level 2 PSG</w:t>
            </w:r>
            <w:r w:rsidRPr="00FF73B8">
              <w:t xml:space="preserve"> (intervention)</w:t>
            </w:r>
          </w:p>
        </w:tc>
        <w:tc>
          <w:tcPr>
            <w:tcW w:w="850" w:type="dxa"/>
            <w:tcBorders>
              <w:bottom w:val="single" w:sz="4" w:space="0" w:color="auto"/>
            </w:tcBorders>
          </w:tcPr>
          <w:p w14:paraId="2DCDF08F" w14:textId="77777777" w:rsidR="005E1CA4" w:rsidRPr="00FF73B8" w:rsidRDefault="005E1CA4" w:rsidP="000A427B">
            <w:pPr>
              <w:pStyle w:val="TableText"/>
            </w:pPr>
            <w:r w:rsidRPr="00FF73B8">
              <w:t>406.15</w:t>
            </w:r>
          </w:p>
        </w:tc>
        <w:tc>
          <w:tcPr>
            <w:tcW w:w="4910" w:type="dxa"/>
            <w:tcBorders>
              <w:bottom w:val="single" w:sz="4" w:space="0" w:color="auto"/>
            </w:tcBorders>
          </w:tcPr>
          <w:p w14:paraId="509278C3" w14:textId="77777777" w:rsidR="005E1CA4" w:rsidRPr="00FF73B8" w:rsidRDefault="005E1CA4" w:rsidP="000A427B">
            <w:pPr>
              <w:pStyle w:val="TableText"/>
            </w:pPr>
            <w:r w:rsidRPr="00FF73B8">
              <w:t>Weighted average assuming 81.5% in children, 18.5% in adolescents (based on MBS claiming data for items 12210 and 12213, respectively, for FY 2022</w:t>
            </w:r>
            <w:r>
              <w:t>—</w:t>
            </w:r>
            <w:r w:rsidRPr="00FF73B8">
              <w:t>23)</w:t>
            </w:r>
          </w:p>
        </w:tc>
      </w:tr>
      <w:tr w:rsidR="005E1CA4" w:rsidRPr="00FF73B8" w14:paraId="676A98CB" w14:textId="77777777" w:rsidTr="000A427B">
        <w:tc>
          <w:tcPr>
            <w:tcW w:w="3256" w:type="dxa"/>
            <w:tcBorders>
              <w:bottom w:val="single" w:sz="4" w:space="0" w:color="auto"/>
            </w:tcBorders>
          </w:tcPr>
          <w:p w14:paraId="268E1D0E" w14:textId="77777777" w:rsidR="005E1CA4" w:rsidRPr="00FF73B8" w:rsidRDefault="005E1CA4" w:rsidP="000A427B">
            <w:pPr>
              <w:pStyle w:val="TableText"/>
            </w:pPr>
            <w:r w:rsidRPr="00FF73B8">
              <w:t xml:space="preserve">Cost of </w:t>
            </w:r>
            <w:r>
              <w:t>Level 1 PSG</w:t>
            </w:r>
            <w:r w:rsidRPr="00FF73B8">
              <w:t xml:space="preserve"> (comparator)</w:t>
            </w:r>
          </w:p>
        </w:tc>
        <w:tc>
          <w:tcPr>
            <w:tcW w:w="850" w:type="dxa"/>
            <w:tcBorders>
              <w:bottom w:val="single" w:sz="4" w:space="0" w:color="auto"/>
            </w:tcBorders>
          </w:tcPr>
          <w:p w14:paraId="34FD752F" w14:textId="77777777" w:rsidR="005E1CA4" w:rsidRPr="00FF73B8" w:rsidRDefault="005E1CA4" w:rsidP="000A427B">
            <w:pPr>
              <w:pStyle w:val="TableText"/>
            </w:pPr>
            <w:r w:rsidRPr="00FF73B8">
              <w:t>754.60</w:t>
            </w:r>
          </w:p>
        </w:tc>
        <w:tc>
          <w:tcPr>
            <w:tcW w:w="4910" w:type="dxa"/>
            <w:tcBorders>
              <w:bottom w:val="single" w:sz="4" w:space="0" w:color="auto"/>
            </w:tcBorders>
          </w:tcPr>
          <w:p w14:paraId="7A855068" w14:textId="77777777" w:rsidR="005E1CA4" w:rsidRPr="00FF73B8" w:rsidRDefault="005E1CA4" w:rsidP="000A427B">
            <w:pPr>
              <w:pStyle w:val="TableText"/>
            </w:pPr>
            <w:r w:rsidRPr="00FF73B8">
              <w:t>Weighted average assuming 81.5% in children, 18.5% in adolescents (based on MBS claiming data for items 12210 and 12213, respectively, for FY 2022</w:t>
            </w:r>
            <w:r>
              <w:t>—</w:t>
            </w:r>
            <w:r w:rsidRPr="00FF73B8">
              <w:t>23)</w:t>
            </w:r>
          </w:p>
        </w:tc>
      </w:tr>
      <w:tr w:rsidR="005E1CA4" w:rsidRPr="00FF73B8" w14:paraId="496C346F" w14:textId="77777777" w:rsidTr="000A427B">
        <w:tc>
          <w:tcPr>
            <w:tcW w:w="3256" w:type="dxa"/>
            <w:tcBorders>
              <w:right w:val="nil"/>
            </w:tcBorders>
          </w:tcPr>
          <w:p w14:paraId="7F749D0D" w14:textId="77777777" w:rsidR="005E1CA4" w:rsidRPr="00FF73B8" w:rsidRDefault="005E1CA4" w:rsidP="000A427B">
            <w:pPr>
              <w:pStyle w:val="TableHeading"/>
            </w:pPr>
            <w:r w:rsidRPr="00FF73B8">
              <w:t>Additional costs and/or cost offsets</w:t>
            </w:r>
          </w:p>
        </w:tc>
        <w:tc>
          <w:tcPr>
            <w:tcW w:w="850" w:type="dxa"/>
            <w:tcBorders>
              <w:left w:val="nil"/>
              <w:right w:val="nil"/>
            </w:tcBorders>
          </w:tcPr>
          <w:p w14:paraId="37B9FED9" w14:textId="77777777" w:rsidR="005E1CA4" w:rsidRPr="00FF73B8" w:rsidRDefault="005E1CA4" w:rsidP="000A427B">
            <w:pPr>
              <w:pStyle w:val="TableHeading"/>
            </w:pPr>
          </w:p>
        </w:tc>
        <w:tc>
          <w:tcPr>
            <w:tcW w:w="4910" w:type="dxa"/>
            <w:tcBorders>
              <w:left w:val="nil"/>
            </w:tcBorders>
          </w:tcPr>
          <w:p w14:paraId="75729FDF" w14:textId="77777777" w:rsidR="005E1CA4" w:rsidRPr="00FF73B8" w:rsidRDefault="005E1CA4" w:rsidP="000A427B">
            <w:pPr>
              <w:pStyle w:val="TableHeading"/>
            </w:pPr>
          </w:p>
        </w:tc>
      </w:tr>
      <w:tr w:rsidR="005E1CA4" w:rsidRPr="00FF73B8" w14:paraId="4F5C9EA2" w14:textId="77777777" w:rsidTr="000A427B">
        <w:tc>
          <w:tcPr>
            <w:tcW w:w="3256" w:type="dxa"/>
          </w:tcPr>
          <w:p w14:paraId="57245B11" w14:textId="77777777" w:rsidR="005E1CA4" w:rsidRPr="00FF73B8" w:rsidRDefault="005E1CA4" w:rsidP="000A427B">
            <w:pPr>
              <w:pStyle w:val="TableText"/>
            </w:pPr>
            <w:r w:rsidRPr="00FF73B8">
              <w:t>Initial consult with general practitioner</w:t>
            </w:r>
          </w:p>
        </w:tc>
        <w:tc>
          <w:tcPr>
            <w:tcW w:w="850" w:type="dxa"/>
          </w:tcPr>
          <w:p w14:paraId="28C685BA" w14:textId="77777777" w:rsidR="005E1CA4" w:rsidRPr="00FF73B8" w:rsidRDefault="005E1CA4" w:rsidP="000A427B">
            <w:pPr>
              <w:pStyle w:val="TableText"/>
            </w:pPr>
            <w:r w:rsidRPr="00FF73B8">
              <w:t>79.7</w:t>
            </w:r>
            <w:r>
              <w:t>0</w:t>
            </w:r>
          </w:p>
        </w:tc>
        <w:tc>
          <w:tcPr>
            <w:tcW w:w="4910" w:type="dxa"/>
          </w:tcPr>
          <w:p w14:paraId="6304EF49" w14:textId="77777777" w:rsidR="005E1CA4" w:rsidRPr="00FF73B8" w:rsidRDefault="005E1CA4" w:rsidP="000A427B">
            <w:pPr>
              <w:pStyle w:val="TableText"/>
            </w:pPr>
            <w:r w:rsidRPr="00FF73B8">
              <w:t>MBS Item 36, October 2023.</w:t>
            </w:r>
          </w:p>
        </w:tc>
      </w:tr>
      <w:tr w:rsidR="005E1CA4" w:rsidRPr="00FF73B8" w14:paraId="186F1815" w14:textId="77777777" w:rsidTr="000A427B">
        <w:tc>
          <w:tcPr>
            <w:tcW w:w="3256" w:type="dxa"/>
          </w:tcPr>
          <w:p w14:paraId="2F3E81E6" w14:textId="77777777" w:rsidR="005E1CA4" w:rsidRPr="00FF73B8" w:rsidRDefault="005E1CA4" w:rsidP="000A427B">
            <w:pPr>
              <w:pStyle w:val="TableText"/>
            </w:pPr>
            <w:r w:rsidRPr="00FF73B8">
              <w:t>Consultant physician attendance, initial</w:t>
            </w:r>
          </w:p>
        </w:tc>
        <w:tc>
          <w:tcPr>
            <w:tcW w:w="850" w:type="dxa"/>
          </w:tcPr>
          <w:p w14:paraId="0C0A0E41" w14:textId="77777777" w:rsidR="005E1CA4" w:rsidRPr="00FF73B8" w:rsidRDefault="005E1CA4" w:rsidP="000A427B">
            <w:pPr>
              <w:pStyle w:val="TableText"/>
            </w:pPr>
            <w:r w:rsidRPr="00FF73B8">
              <w:t>293.4</w:t>
            </w:r>
            <w:r>
              <w:t>0</w:t>
            </w:r>
          </w:p>
        </w:tc>
        <w:tc>
          <w:tcPr>
            <w:tcW w:w="4910" w:type="dxa"/>
          </w:tcPr>
          <w:p w14:paraId="78D181D7" w14:textId="77777777" w:rsidR="005E1CA4" w:rsidRPr="00FF73B8" w:rsidRDefault="005E1CA4" w:rsidP="000A427B">
            <w:pPr>
              <w:pStyle w:val="TableText"/>
            </w:pPr>
            <w:r w:rsidRPr="00FF73B8">
              <w:t xml:space="preserve">MBS Item 132, October 2023. Chosen based on MBS items for previous MSAC </w:t>
            </w:r>
            <w:r>
              <w:t>a</w:t>
            </w:r>
            <w:r w:rsidRPr="00FF73B8">
              <w:t>pplication 1130. Alternative value is MBS Item 110, October 2023</w:t>
            </w:r>
          </w:p>
        </w:tc>
      </w:tr>
      <w:tr w:rsidR="005E1CA4" w:rsidRPr="00FF73B8" w14:paraId="733C5D96" w14:textId="77777777" w:rsidTr="000A427B">
        <w:tc>
          <w:tcPr>
            <w:tcW w:w="3256" w:type="dxa"/>
          </w:tcPr>
          <w:p w14:paraId="78FBA495" w14:textId="77777777" w:rsidR="005E1CA4" w:rsidRPr="00FF73B8" w:rsidRDefault="005E1CA4" w:rsidP="000A427B">
            <w:pPr>
              <w:pStyle w:val="TableText"/>
            </w:pPr>
            <w:r w:rsidRPr="00FF73B8">
              <w:t>Consultant physician attendance, follow-up</w:t>
            </w:r>
          </w:p>
        </w:tc>
        <w:tc>
          <w:tcPr>
            <w:tcW w:w="850" w:type="dxa"/>
          </w:tcPr>
          <w:p w14:paraId="68E5E8DB" w14:textId="77777777" w:rsidR="005E1CA4" w:rsidRPr="00FF73B8" w:rsidRDefault="005E1CA4" w:rsidP="000A427B">
            <w:pPr>
              <w:pStyle w:val="TableText"/>
            </w:pPr>
            <w:r w:rsidRPr="00FF73B8">
              <w:t>146.9</w:t>
            </w:r>
            <w:r>
              <w:t>0</w:t>
            </w:r>
          </w:p>
        </w:tc>
        <w:tc>
          <w:tcPr>
            <w:tcW w:w="4910" w:type="dxa"/>
          </w:tcPr>
          <w:p w14:paraId="5722F5CB" w14:textId="77777777" w:rsidR="005E1CA4" w:rsidRPr="00FF73B8" w:rsidRDefault="005E1CA4" w:rsidP="000A427B">
            <w:pPr>
              <w:pStyle w:val="TableText"/>
            </w:pPr>
            <w:r w:rsidRPr="00FF73B8">
              <w:t>MBS Item 133, October 2023. Alternative value is MBS Item 116, October 2023</w:t>
            </w:r>
          </w:p>
        </w:tc>
      </w:tr>
    </w:tbl>
    <w:p w14:paraId="6DDF3275" w14:textId="77777777" w:rsidR="005E1CA4" w:rsidRDefault="005E1CA4" w:rsidP="005E1CA4">
      <w:pPr>
        <w:pStyle w:val="TableFigNoteLast"/>
      </w:pPr>
      <w:r>
        <w:t>MBS = Medicare Benefits Schedule; PSG = polysomnography.</w:t>
      </w:r>
    </w:p>
    <w:p w14:paraId="269FB328" w14:textId="68521F82" w:rsidR="005E1CA4" w:rsidRPr="00395DB7" w:rsidRDefault="005E1CA4" w:rsidP="005E1CA4">
      <w:pPr>
        <w:rPr>
          <w:rFonts w:ascii="Franklin Gothic Book" w:hAnsi="Franklin Gothic Book"/>
        </w:rPr>
      </w:pPr>
      <w:r w:rsidRPr="00395DB7">
        <w:rPr>
          <w:rFonts w:ascii="Franklin Gothic Book" w:hAnsi="Franklin Gothic Book"/>
        </w:rPr>
        <w:t>The base case results for PICO Set 1 are presented in terms of cost per accurate diagnosis, accounting for the risk of incorrect diagnosis among the intervention group, and the costs of repeat testing because of failure of an initial test. Level 2 PSG has a lower cost per accurate diagnosis than Level 1 PSG (</w:t>
      </w:r>
      <w:r w:rsidRPr="00395DB7">
        <w:rPr>
          <w:rFonts w:ascii="Franklin Gothic Book" w:hAnsi="Franklin Gothic Book"/>
        </w:rPr>
        <w:fldChar w:fldCharType="begin"/>
      </w:r>
      <w:r w:rsidRPr="00395DB7">
        <w:rPr>
          <w:rFonts w:ascii="Franklin Gothic Book" w:hAnsi="Franklin Gothic Book"/>
        </w:rPr>
        <w:instrText xml:space="preserve"> REF _Ref150250106 \h </w:instrText>
      </w:r>
      <w:r w:rsid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 xml:space="preserve">Table </w:t>
      </w:r>
      <w:r w:rsidRPr="00395DB7">
        <w:rPr>
          <w:rFonts w:ascii="Franklin Gothic Book" w:hAnsi="Franklin Gothic Book"/>
          <w:noProof/>
        </w:rPr>
        <w:t>9</w:t>
      </w:r>
      <w:r w:rsidRPr="00395DB7">
        <w:rPr>
          <w:rFonts w:ascii="Franklin Gothic Book" w:hAnsi="Franklin Gothic Book"/>
        </w:rPr>
        <w:fldChar w:fldCharType="end"/>
      </w:r>
      <w:r w:rsidRPr="00395DB7">
        <w:rPr>
          <w:rFonts w:ascii="Franklin Gothic Book" w:hAnsi="Franklin Gothic Book"/>
        </w:rPr>
        <w:t>).</w:t>
      </w:r>
    </w:p>
    <w:p w14:paraId="57A8DAB9" w14:textId="5099A63F" w:rsidR="005E1CA4" w:rsidRDefault="005E1CA4" w:rsidP="005E1CA4">
      <w:pPr>
        <w:pStyle w:val="Caption"/>
      </w:pPr>
      <w:bookmarkStart w:id="45" w:name="_Ref150250106"/>
      <w:r>
        <w:t xml:space="preserve">Table </w:t>
      </w:r>
      <w:fldSimple w:instr=" SEQ Table \* ARABIC ">
        <w:r>
          <w:rPr>
            <w:noProof/>
          </w:rPr>
          <w:t>9</w:t>
        </w:r>
      </w:fldSimple>
      <w:bookmarkEnd w:id="45"/>
      <w:r>
        <w:tab/>
        <w:t>Results of cost-minimisation approach for PICO Set 1</w:t>
      </w:r>
    </w:p>
    <w:tbl>
      <w:tblPr>
        <w:tblStyle w:val="TableGrid"/>
        <w:tblW w:w="0" w:type="auto"/>
        <w:tblLayout w:type="fixed"/>
        <w:tblLook w:val="04A0" w:firstRow="1" w:lastRow="0" w:firstColumn="1" w:lastColumn="0" w:noHBand="0" w:noVBand="1"/>
        <w:tblCaption w:val="Results of cost-minimisation approach for PICO Set 1"/>
        <w:tblDescription w:val="This table summarises the results of the cost-minimisation approach for PICO Set 1. Costs are presented for the intervention, comparator and difference between the intervention and the comparator. Costs include cost of initial testing, cost of repeat testing, total cost, cost per diagnosis, and cost per accurate diagnosis. "/>
      </w:tblPr>
      <w:tblGrid>
        <w:gridCol w:w="1271"/>
        <w:gridCol w:w="992"/>
        <w:gridCol w:w="993"/>
        <w:gridCol w:w="965"/>
        <w:gridCol w:w="1019"/>
        <w:gridCol w:w="992"/>
        <w:gridCol w:w="1545"/>
        <w:gridCol w:w="1239"/>
      </w:tblGrid>
      <w:tr w:rsidR="005E1CA4" w:rsidRPr="00D57C15" w14:paraId="4693B27A" w14:textId="77777777" w:rsidTr="000A427B">
        <w:tc>
          <w:tcPr>
            <w:tcW w:w="1271" w:type="dxa"/>
          </w:tcPr>
          <w:p w14:paraId="03DBD935" w14:textId="77777777" w:rsidR="005E1CA4" w:rsidRPr="00D57C15" w:rsidRDefault="005E1CA4" w:rsidP="008D5D0C">
            <w:pPr>
              <w:pStyle w:val="TableHeading"/>
              <w:spacing w:before="0" w:after="0"/>
            </w:pPr>
          </w:p>
        </w:tc>
        <w:tc>
          <w:tcPr>
            <w:tcW w:w="992" w:type="dxa"/>
          </w:tcPr>
          <w:p w14:paraId="24286C3F" w14:textId="77777777" w:rsidR="005E1CA4" w:rsidRPr="00D57C15" w:rsidRDefault="005E1CA4" w:rsidP="008D5D0C">
            <w:pPr>
              <w:pStyle w:val="TableHeading"/>
              <w:spacing w:before="0" w:after="0"/>
            </w:pPr>
            <w:r w:rsidRPr="00D57C15">
              <w:t>Initial testing costs</w:t>
            </w:r>
          </w:p>
        </w:tc>
        <w:tc>
          <w:tcPr>
            <w:tcW w:w="993" w:type="dxa"/>
          </w:tcPr>
          <w:p w14:paraId="3DCD63E2" w14:textId="77777777" w:rsidR="005E1CA4" w:rsidRPr="00D57C15" w:rsidRDefault="005E1CA4" w:rsidP="008D5D0C">
            <w:pPr>
              <w:pStyle w:val="TableHeading"/>
              <w:spacing w:before="0" w:after="0"/>
            </w:pPr>
            <w:r w:rsidRPr="00D57C15">
              <w:t>Repeat testing (1)</w:t>
            </w:r>
          </w:p>
        </w:tc>
        <w:tc>
          <w:tcPr>
            <w:tcW w:w="965" w:type="dxa"/>
          </w:tcPr>
          <w:p w14:paraId="0B7DBB62" w14:textId="77777777" w:rsidR="005E1CA4" w:rsidRPr="00D57C15" w:rsidRDefault="005E1CA4" w:rsidP="008D5D0C">
            <w:pPr>
              <w:pStyle w:val="TableHeading"/>
              <w:spacing w:before="0" w:after="0"/>
            </w:pPr>
            <w:r w:rsidRPr="00D57C15">
              <w:t>Repeat testing (2)</w:t>
            </w:r>
          </w:p>
        </w:tc>
        <w:tc>
          <w:tcPr>
            <w:tcW w:w="1019" w:type="dxa"/>
          </w:tcPr>
          <w:p w14:paraId="718A4FC0" w14:textId="77777777" w:rsidR="005E1CA4" w:rsidRPr="00D57C15" w:rsidRDefault="005E1CA4" w:rsidP="008D5D0C">
            <w:pPr>
              <w:pStyle w:val="TableHeading"/>
              <w:spacing w:before="0" w:after="0"/>
            </w:pPr>
            <w:r w:rsidRPr="00D57C15">
              <w:t>Total cost</w:t>
            </w:r>
          </w:p>
        </w:tc>
        <w:tc>
          <w:tcPr>
            <w:tcW w:w="992" w:type="dxa"/>
          </w:tcPr>
          <w:p w14:paraId="62227EF2" w14:textId="77777777" w:rsidR="005E1CA4" w:rsidRPr="00D57C15" w:rsidRDefault="005E1CA4" w:rsidP="008D5D0C">
            <w:pPr>
              <w:pStyle w:val="TableHeading"/>
              <w:spacing w:before="0" w:after="0"/>
            </w:pPr>
            <w:r w:rsidRPr="00D57C15">
              <w:t>Cost per diagnosis</w:t>
            </w:r>
          </w:p>
        </w:tc>
        <w:tc>
          <w:tcPr>
            <w:tcW w:w="1545" w:type="dxa"/>
          </w:tcPr>
          <w:p w14:paraId="606CF00A" w14:textId="77777777" w:rsidR="005E1CA4" w:rsidRPr="00D57C15" w:rsidRDefault="005E1CA4" w:rsidP="008D5D0C">
            <w:pPr>
              <w:pStyle w:val="TableHeading"/>
              <w:spacing w:before="0" w:after="0"/>
            </w:pPr>
            <w:r w:rsidRPr="00D57C15">
              <w:t>Proportionate accurate diagnoses</w:t>
            </w:r>
          </w:p>
        </w:tc>
        <w:tc>
          <w:tcPr>
            <w:tcW w:w="1239" w:type="dxa"/>
          </w:tcPr>
          <w:p w14:paraId="4E419F93" w14:textId="77777777" w:rsidR="005E1CA4" w:rsidRPr="00D57C15" w:rsidRDefault="005E1CA4" w:rsidP="008D5D0C">
            <w:pPr>
              <w:pStyle w:val="TableHeading"/>
              <w:spacing w:before="0" w:after="0"/>
            </w:pPr>
            <w:r w:rsidRPr="00D57C15">
              <w:t>Cost per accurate diagnosis</w:t>
            </w:r>
          </w:p>
        </w:tc>
      </w:tr>
      <w:tr w:rsidR="005E1CA4" w:rsidRPr="007A39F8" w14:paraId="76061959" w14:textId="77777777" w:rsidTr="000A427B">
        <w:tc>
          <w:tcPr>
            <w:tcW w:w="1271" w:type="dxa"/>
          </w:tcPr>
          <w:p w14:paraId="2B32D7A0" w14:textId="77777777" w:rsidR="005E1CA4" w:rsidRPr="007A39F8" w:rsidRDefault="005E1CA4" w:rsidP="008D5D0C">
            <w:pPr>
              <w:pStyle w:val="TableText"/>
              <w:spacing w:before="0" w:after="0"/>
            </w:pPr>
            <w:r w:rsidRPr="007A39F8">
              <w:t>Intervention</w:t>
            </w:r>
          </w:p>
        </w:tc>
        <w:tc>
          <w:tcPr>
            <w:tcW w:w="992" w:type="dxa"/>
          </w:tcPr>
          <w:p w14:paraId="5886DEC7" w14:textId="77777777" w:rsidR="005E1CA4" w:rsidRPr="007A39F8" w:rsidRDefault="005E1CA4" w:rsidP="008D5D0C">
            <w:pPr>
              <w:pStyle w:val="TableText"/>
              <w:spacing w:before="0" w:after="0"/>
            </w:pPr>
            <w:r w:rsidRPr="007A39F8">
              <w:t>926.15</w:t>
            </w:r>
          </w:p>
        </w:tc>
        <w:tc>
          <w:tcPr>
            <w:tcW w:w="993" w:type="dxa"/>
          </w:tcPr>
          <w:p w14:paraId="491D6756" w14:textId="77777777" w:rsidR="005E1CA4" w:rsidRPr="007A39F8" w:rsidRDefault="005E1CA4" w:rsidP="008D5D0C">
            <w:pPr>
              <w:pStyle w:val="TableText"/>
              <w:spacing w:before="0" w:after="0"/>
            </w:pPr>
            <w:r>
              <w:t>72.73</w:t>
            </w:r>
          </w:p>
        </w:tc>
        <w:tc>
          <w:tcPr>
            <w:tcW w:w="965" w:type="dxa"/>
          </w:tcPr>
          <w:p w14:paraId="08122F6E" w14:textId="77777777" w:rsidR="005E1CA4" w:rsidRPr="007A39F8" w:rsidRDefault="005E1CA4" w:rsidP="008D5D0C">
            <w:pPr>
              <w:pStyle w:val="TableText"/>
              <w:spacing w:before="0" w:after="0"/>
            </w:pPr>
            <w:r w:rsidRPr="007A39F8">
              <w:t>5.41</w:t>
            </w:r>
          </w:p>
        </w:tc>
        <w:tc>
          <w:tcPr>
            <w:tcW w:w="1019" w:type="dxa"/>
          </w:tcPr>
          <w:p w14:paraId="3CB232A1" w14:textId="77777777" w:rsidR="005E1CA4" w:rsidRPr="007A39F8" w:rsidRDefault="005E1CA4" w:rsidP="008D5D0C">
            <w:pPr>
              <w:pStyle w:val="TableText"/>
              <w:spacing w:before="0" w:after="0"/>
            </w:pPr>
            <w:r>
              <w:t>1,004.29</w:t>
            </w:r>
          </w:p>
        </w:tc>
        <w:tc>
          <w:tcPr>
            <w:tcW w:w="992" w:type="dxa"/>
          </w:tcPr>
          <w:p w14:paraId="1B4D0FA6" w14:textId="77777777" w:rsidR="005E1CA4" w:rsidRPr="007A39F8" w:rsidRDefault="005E1CA4" w:rsidP="008D5D0C">
            <w:pPr>
              <w:pStyle w:val="TableText"/>
              <w:spacing w:before="0" w:after="0"/>
            </w:pPr>
            <w:r w:rsidRPr="007A39F8">
              <w:t>2</w:t>
            </w:r>
            <w:r>
              <w:t>,510.73</w:t>
            </w:r>
          </w:p>
        </w:tc>
        <w:tc>
          <w:tcPr>
            <w:tcW w:w="1545" w:type="dxa"/>
          </w:tcPr>
          <w:p w14:paraId="765E1FE1" w14:textId="77777777" w:rsidR="005E1CA4" w:rsidRPr="007A39F8" w:rsidRDefault="005E1CA4" w:rsidP="008D5D0C">
            <w:pPr>
              <w:pStyle w:val="TableText"/>
              <w:spacing w:before="0" w:after="0"/>
            </w:pPr>
            <w:r w:rsidRPr="007A39F8">
              <w:t>0.99</w:t>
            </w:r>
          </w:p>
        </w:tc>
        <w:tc>
          <w:tcPr>
            <w:tcW w:w="1239" w:type="dxa"/>
          </w:tcPr>
          <w:p w14:paraId="13F9ED02" w14:textId="77777777" w:rsidR="005E1CA4" w:rsidRPr="007A39F8" w:rsidRDefault="005E1CA4" w:rsidP="008D5D0C">
            <w:pPr>
              <w:pStyle w:val="TableText"/>
              <w:spacing w:before="0" w:after="0"/>
            </w:pPr>
            <w:r w:rsidRPr="007A39F8">
              <w:t>2,5</w:t>
            </w:r>
            <w:r>
              <w:t>41.22</w:t>
            </w:r>
          </w:p>
        </w:tc>
      </w:tr>
      <w:tr w:rsidR="005E1CA4" w:rsidRPr="007A39F8" w14:paraId="47BC5847" w14:textId="77777777" w:rsidTr="000A427B">
        <w:tc>
          <w:tcPr>
            <w:tcW w:w="1271" w:type="dxa"/>
          </w:tcPr>
          <w:p w14:paraId="6307714D" w14:textId="77777777" w:rsidR="005E1CA4" w:rsidRPr="007A39F8" w:rsidRDefault="005E1CA4" w:rsidP="008D5D0C">
            <w:pPr>
              <w:pStyle w:val="TableText"/>
              <w:spacing w:before="0" w:after="0"/>
            </w:pPr>
            <w:r w:rsidRPr="007A39F8">
              <w:t>Comparator</w:t>
            </w:r>
          </w:p>
        </w:tc>
        <w:tc>
          <w:tcPr>
            <w:tcW w:w="992" w:type="dxa"/>
          </w:tcPr>
          <w:p w14:paraId="2F928E7C" w14:textId="77777777" w:rsidR="005E1CA4" w:rsidRPr="007A39F8" w:rsidRDefault="005E1CA4" w:rsidP="008D5D0C">
            <w:pPr>
              <w:pStyle w:val="TableText"/>
              <w:spacing w:before="0" w:after="0"/>
            </w:pPr>
            <w:r w:rsidRPr="007A39F8">
              <w:t>1,274.6</w:t>
            </w:r>
            <w:r>
              <w:t>0</w:t>
            </w:r>
          </w:p>
        </w:tc>
        <w:tc>
          <w:tcPr>
            <w:tcW w:w="993" w:type="dxa"/>
          </w:tcPr>
          <w:p w14:paraId="2470FA06" w14:textId="77777777" w:rsidR="005E1CA4" w:rsidRPr="007A39F8" w:rsidRDefault="005E1CA4" w:rsidP="008D5D0C">
            <w:pPr>
              <w:pStyle w:val="TableText"/>
              <w:spacing w:before="0" w:after="0"/>
            </w:pPr>
            <w:r w:rsidRPr="007A39F8">
              <w:t>0.00</w:t>
            </w:r>
          </w:p>
        </w:tc>
        <w:tc>
          <w:tcPr>
            <w:tcW w:w="965" w:type="dxa"/>
          </w:tcPr>
          <w:p w14:paraId="1D347CE4" w14:textId="77777777" w:rsidR="005E1CA4" w:rsidRPr="007A39F8" w:rsidRDefault="005E1CA4" w:rsidP="008D5D0C">
            <w:pPr>
              <w:pStyle w:val="TableText"/>
              <w:spacing w:before="0" w:after="0"/>
            </w:pPr>
            <w:r w:rsidRPr="007A39F8">
              <w:t>0.00</w:t>
            </w:r>
          </w:p>
        </w:tc>
        <w:tc>
          <w:tcPr>
            <w:tcW w:w="1019" w:type="dxa"/>
          </w:tcPr>
          <w:p w14:paraId="01A7FFF6" w14:textId="77777777" w:rsidR="005E1CA4" w:rsidRPr="007A39F8" w:rsidRDefault="005E1CA4" w:rsidP="008D5D0C">
            <w:pPr>
              <w:pStyle w:val="TableText"/>
              <w:spacing w:before="0" w:after="0"/>
            </w:pPr>
            <w:r w:rsidRPr="007A39F8">
              <w:t>1,274.60</w:t>
            </w:r>
          </w:p>
        </w:tc>
        <w:tc>
          <w:tcPr>
            <w:tcW w:w="992" w:type="dxa"/>
          </w:tcPr>
          <w:p w14:paraId="25133EA2" w14:textId="77777777" w:rsidR="005E1CA4" w:rsidRPr="007A39F8" w:rsidRDefault="005E1CA4" w:rsidP="008D5D0C">
            <w:pPr>
              <w:pStyle w:val="TableText"/>
              <w:spacing w:before="0" w:after="0"/>
            </w:pPr>
            <w:r w:rsidRPr="007A39F8">
              <w:t>3,186.51</w:t>
            </w:r>
          </w:p>
        </w:tc>
        <w:tc>
          <w:tcPr>
            <w:tcW w:w="1545" w:type="dxa"/>
          </w:tcPr>
          <w:p w14:paraId="6E56A484" w14:textId="77777777" w:rsidR="005E1CA4" w:rsidRPr="007A39F8" w:rsidRDefault="005E1CA4" w:rsidP="008D5D0C">
            <w:pPr>
              <w:pStyle w:val="TableText"/>
              <w:spacing w:before="0" w:after="0"/>
            </w:pPr>
            <w:r w:rsidRPr="007A39F8">
              <w:t>1.00</w:t>
            </w:r>
          </w:p>
        </w:tc>
        <w:tc>
          <w:tcPr>
            <w:tcW w:w="1239" w:type="dxa"/>
          </w:tcPr>
          <w:p w14:paraId="0CF2553A" w14:textId="77777777" w:rsidR="005E1CA4" w:rsidRPr="007A39F8" w:rsidRDefault="005E1CA4" w:rsidP="008D5D0C">
            <w:pPr>
              <w:pStyle w:val="TableText"/>
              <w:spacing w:before="0" w:after="0"/>
            </w:pPr>
            <w:r w:rsidRPr="007A39F8">
              <w:t>3,186.51</w:t>
            </w:r>
          </w:p>
        </w:tc>
      </w:tr>
      <w:tr w:rsidR="005E1CA4" w:rsidRPr="007A39F8" w14:paraId="0BA8643A" w14:textId="77777777" w:rsidTr="000A427B">
        <w:tc>
          <w:tcPr>
            <w:tcW w:w="1271" w:type="dxa"/>
          </w:tcPr>
          <w:p w14:paraId="1F937D34" w14:textId="77777777" w:rsidR="005E1CA4" w:rsidRPr="007A39F8" w:rsidRDefault="005E1CA4" w:rsidP="008D5D0C">
            <w:pPr>
              <w:pStyle w:val="TableText"/>
              <w:spacing w:before="0" w:after="0"/>
            </w:pPr>
            <w:r w:rsidRPr="007A39F8">
              <w:t>Difference (intervention – comparator)</w:t>
            </w:r>
          </w:p>
        </w:tc>
        <w:tc>
          <w:tcPr>
            <w:tcW w:w="992" w:type="dxa"/>
          </w:tcPr>
          <w:p w14:paraId="7836EC75" w14:textId="77777777" w:rsidR="005E1CA4" w:rsidRPr="007A39F8" w:rsidRDefault="005E1CA4" w:rsidP="008D5D0C">
            <w:pPr>
              <w:pStyle w:val="TableText"/>
              <w:spacing w:before="0" w:after="0"/>
            </w:pPr>
            <w:r w:rsidRPr="001B6A70">
              <w:t>-348.45</w:t>
            </w:r>
          </w:p>
        </w:tc>
        <w:tc>
          <w:tcPr>
            <w:tcW w:w="993" w:type="dxa"/>
          </w:tcPr>
          <w:p w14:paraId="6E1A4A06" w14:textId="77777777" w:rsidR="005E1CA4" w:rsidRPr="007A39F8" w:rsidRDefault="005E1CA4" w:rsidP="008D5D0C">
            <w:pPr>
              <w:pStyle w:val="TableText"/>
              <w:spacing w:before="0" w:after="0"/>
            </w:pPr>
            <w:r w:rsidRPr="001B6A70">
              <w:t>72.73</w:t>
            </w:r>
          </w:p>
        </w:tc>
        <w:tc>
          <w:tcPr>
            <w:tcW w:w="965" w:type="dxa"/>
          </w:tcPr>
          <w:p w14:paraId="0196BC66" w14:textId="77777777" w:rsidR="005E1CA4" w:rsidRPr="007A39F8" w:rsidRDefault="005E1CA4" w:rsidP="008D5D0C">
            <w:pPr>
              <w:pStyle w:val="TableText"/>
              <w:spacing w:before="0" w:after="0"/>
            </w:pPr>
            <w:r w:rsidRPr="001B6A70">
              <w:t>5.41</w:t>
            </w:r>
          </w:p>
        </w:tc>
        <w:tc>
          <w:tcPr>
            <w:tcW w:w="1019" w:type="dxa"/>
          </w:tcPr>
          <w:p w14:paraId="0EC63E0B" w14:textId="77777777" w:rsidR="005E1CA4" w:rsidRPr="007A39F8" w:rsidRDefault="005E1CA4" w:rsidP="008D5D0C">
            <w:pPr>
              <w:pStyle w:val="TableText"/>
              <w:spacing w:before="0" w:after="0"/>
            </w:pPr>
            <w:r w:rsidRPr="00A05B19">
              <w:t>-270.31</w:t>
            </w:r>
          </w:p>
        </w:tc>
        <w:tc>
          <w:tcPr>
            <w:tcW w:w="992" w:type="dxa"/>
          </w:tcPr>
          <w:p w14:paraId="6646ED2F" w14:textId="77777777" w:rsidR="005E1CA4" w:rsidRPr="007A39F8" w:rsidRDefault="005E1CA4" w:rsidP="008D5D0C">
            <w:pPr>
              <w:pStyle w:val="TableText"/>
              <w:spacing w:before="0" w:after="0"/>
            </w:pPr>
            <w:r w:rsidRPr="007A39F8">
              <w:t>-675.78</w:t>
            </w:r>
          </w:p>
        </w:tc>
        <w:tc>
          <w:tcPr>
            <w:tcW w:w="1545" w:type="dxa"/>
          </w:tcPr>
          <w:p w14:paraId="4A060A77" w14:textId="77777777" w:rsidR="005E1CA4" w:rsidRPr="007A39F8" w:rsidRDefault="005E1CA4" w:rsidP="008D5D0C">
            <w:pPr>
              <w:pStyle w:val="TableText"/>
              <w:spacing w:before="0" w:after="0"/>
            </w:pPr>
            <w:r w:rsidRPr="00A05B19">
              <w:t>-0.01</w:t>
            </w:r>
          </w:p>
        </w:tc>
        <w:tc>
          <w:tcPr>
            <w:tcW w:w="1239" w:type="dxa"/>
          </w:tcPr>
          <w:p w14:paraId="64CC460E" w14:textId="77777777" w:rsidR="005E1CA4" w:rsidRPr="00A05B19" w:rsidRDefault="005E1CA4" w:rsidP="008D5D0C">
            <w:pPr>
              <w:pStyle w:val="TableText"/>
              <w:spacing w:before="0" w:after="0"/>
              <w:rPr>
                <w:b/>
                <w:bCs/>
              </w:rPr>
            </w:pPr>
            <w:r w:rsidRPr="00A05B19">
              <w:rPr>
                <w:b/>
                <w:bCs/>
              </w:rPr>
              <w:t>-645.29</w:t>
            </w:r>
          </w:p>
        </w:tc>
      </w:tr>
    </w:tbl>
    <w:p w14:paraId="3284D325" w14:textId="5803D8C6" w:rsidR="005E1CA4" w:rsidRPr="00395DB7" w:rsidRDefault="005E1CA4" w:rsidP="00395DB7">
      <w:pPr>
        <w:spacing w:before="240"/>
        <w:rPr>
          <w:rFonts w:ascii="Franklin Gothic Book" w:hAnsi="Franklin Gothic Book"/>
        </w:rPr>
      </w:pPr>
      <w:r w:rsidRPr="00395DB7">
        <w:rPr>
          <w:rFonts w:ascii="Franklin Gothic Book" w:hAnsi="Franklin Gothic Book"/>
        </w:rPr>
        <w:lastRenderedPageBreak/>
        <w:t>In one-way sensitivity analysis, the intervention was cost-saving under all analyses with the exception of where the lower limit of sensitivity was set to 0.29 (compared with 1.00 in the base case analysis) where the cost was $379.87 higher for the Intervention (</w:t>
      </w:r>
      <w:r w:rsidRPr="00395DB7">
        <w:rPr>
          <w:rFonts w:ascii="Franklin Gothic Book" w:hAnsi="Franklin Gothic Book"/>
        </w:rPr>
        <w:fldChar w:fldCharType="begin"/>
      </w:r>
      <w:r w:rsidRPr="00395DB7">
        <w:rPr>
          <w:rFonts w:ascii="Franklin Gothic Book" w:hAnsi="Franklin Gothic Book"/>
        </w:rPr>
        <w:instrText xml:space="preserve"> REF _Ref150251215 \h </w:instrText>
      </w:r>
      <w:r w:rsid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 xml:space="preserve">Table </w:t>
      </w:r>
      <w:r w:rsidRPr="00395DB7">
        <w:rPr>
          <w:rFonts w:ascii="Franklin Gothic Book" w:hAnsi="Franklin Gothic Book"/>
          <w:noProof/>
        </w:rPr>
        <w:t>11</w:t>
      </w:r>
      <w:r w:rsidRPr="00395DB7">
        <w:rPr>
          <w:rFonts w:ascii="Franklin Gothic Book" w:hAnsi="Franklin Gothic Book"/>
        </w:rPr>
        <w:fldChar w:fldCharType="end"/>
      </w:r>
      <w:r w:rsidRPr="00395DB7">
        <w:rPr>
          <w:rFonts w:ascii="Franklin Gothic Book" w:hAnsi="Franklin Gothic Book"/>
        </w:rPr>
        <w:t>).</w:t>
      </w:r>
    </w:p>
    <w:p w14:paraId="2CA51127" w14:textId="4C1B73D7" w:rsidR="005E1CA4" w:rsidRPr="00CE28E3" w:rsidRDefault="005E1CA4" w:rsidP="005E1CA4">
      <w:pPr>
        <w:pStyle w:val="Caption"/>
      </w:pPr>
      <w:r w:rsidRPr="00CE28E3">
        <w:t>Table</w:t>
      </w:r>
      <w:r>
        <w:t> </w:t>
      </w:r>
      <w:fldSimple w:instr=" SEQ Table \* ARABIC ">
        <w:r>
          <w:rPr>
            <w:noProof/>
          </w:rPr>
          <w:t>10</w:t>
        </w:r>
      </w:fldSimple>
      <w:r w:rsidRPr="00CE28E3">
        <w:tab/>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Key drivers of the model"/>
        <w:tblDescription w:val="This table summarises the key drivers of the model for PICO Set 1. The key drivers are described and their impact is summarised. "/>
      </w:tblPr>
      <w:tblGrid>
        <w:gridCol w:w="1128"/>
        <w:gridCol w:w="2835"/>
        <w:gridCol w:w="5053"/>
      </w:tblGrid>
      <w:tr w:rsidR="005E1CA4" w:rsidRPr="00CE28E3" w14:paraId="6A143094" w14:textId="77777777" w:rsidTr="000A427B">
        <w:trPr>
          <w:tblHeader/>
        </w:trPr>
        <w:tc>
          <w:tcPr>
            <w:tcW w:w="626" w:type="pct"/>
            <w:shd w:val="clear" w:color="auto" w:fill="auto"/>
            <w:vAlign w:val="center"/>
          </w:tcPr>
          <w:p w14:paraId="538FCF6C" w14:textId="77777777" w:rsidR="005E1CA4" w:rsidRPr="00CE28E3" w:rsidRDefault="005E1CA4" w:rsidP="008D5D0C">
            <w:pPr>
              <w:pStyle w:val="In-tableHeading"/>
              <w:jc w:val="center"/>
            </w:pPr>
            <w:r w:rsidRPr="00CE28E3">
              <w:t>Description</w:t>
            </w:r>
          </w:p>
        </w:tc>
        <w:tc>
          <w:tcPr>
            <w:tcW w:w="1572" w:type="pct"/>
            <w:shd w:val="clear" w:color="auto" w:fill="auto"/>
            <w:vAlign w:val="center"/>
          </w:tcPr>
          <w:p w14:paraId="4F153C4C" w14:textId="77777777" w:rsidR="005E1CA4" w:rsidRPr="00CE28E3" w:rsidRDefault="005E1CA4" w:rsidP="008D5D0C">
            <w:pPr>
              <w:pStyle w:val="In-tableHeading"/>
              <w:jc w:val="center"/>
            </w:pPr>
            <w:r w:rsidRPr="00CE28E3">
              <w:t>Method/Value</w:t>
            </w:r>
          </w:p>
        </w:tc>
        <w:tc>
          <w:tcPr>
            <w:tcW w:w="2802" w:type="pct"/>
            <w:shd w:val="clear" w:color="auto" w:fill="auto"/>
            <w:vAlign w:val="center"/>
          </w:tcPr>
          <w:p w14:paraId="7CB7162F" w14:textId="77777777" w:rsidR="005E1CA4" w:rsidRPr="00CE28E3" w:rsidRDefault="005E1CA4" w:rsidP="008D5D0C">
            <w:pPr>
              <w:pStyle w:val="In-tableHeading"/>
              <w:jc w:val="center"/>
            </w:pPr>
            <w:r w:rsidRPr="00CE28E3">
              <w:t>Impact</w:t>
            </w:r>
          </w:p>
          <w:p w14:paraId="16DAFC77" w14:textId="77777777" w:rsidR="005E1CA4" w:rsidRPr="00CE28E3" w:rsidRDefault="005E1CA4" w:rsidP="008D5D0C">
            <w:pPr>
              <w:pStyle w:val="In-tableHeading"/>
              <w:jc w:val="center"/>
            </w:pPr>
            <w:r w:rsidRPr="00CE28E3">
              <w:rPr>
                <w:rFonts w:cs="Arial"/>
                <w:szCs w:val="20"/>
              </w:rPr>
              <w:t xml:space="preserve">Base case: </w:t>
            </w:r>
            <w:r>
              <w:rPr>
                <w:rFonts w:cs="Arial"/>
                <w:szCs w:val="20"/>
              </w:rPr>
              <w:t>-</w:t>
            </w:r>
            <w:r w:rsidRPr="00CE28E3">
              <w:rPr>
                <w:rFonts w:cs="Arial"/>
                <w:szCs w:val="20"/>
              </w:rPr>
              <w:t>$</w:t>
            </w:r>
            <w:r>
              <w:rPr>
                <w:rFonts w:cs="Arial"/>
                <w:szCs w:val="20"/>
              </w:rPr>
              <w:t>645.29 difference in cost per accurate diagnosis</w:t>
            </w:r>
          </w:p>
        </w:tc>
      </w:tr>
      <w:tr w:rsidR="005E1CA4" w:rsidRPr="00CE28E3" w14:paraId="0DC745D8" w14:textId="77777777" w:rsidTr="000A427B">
        <w:tc>
          <w:tcPr>
            <w:tcW w:w="626" w:type="pct"/>
            <w:shd w:val="clear" w:color="auto" w:fill="auto"/>
            <w:tcMar>
              <w:left w:w="85" w:type="dxa"/>
              <w:right w:w="85" w:type="dxa"/>
            </w:tcMar>
            <w:vAlign w:val="center"/>
          </w:tcPr>
          <w:p w14:paraId="23988552" w14:textId="77777777" w:rsidR="005E1CA4" w:rsidRPr="00CE28E3" w:rsidRDefault="005E1CA4" w:rsidP="008D5D0C">
            <w:pPr>
              <w:pStyle w:val="TableText"/>
              <w:spacing w:before="0" w:after="0"/>
              <w:jc w:val="center"/>
              <w:rPr>
                <w:lang w:val="en-US"/>
              </w:rPr>
            </w:pPr>
            <w:r>
              <w:rPr>
                <w:lang w:val="en-US"/>
              </w:rPr>
              <w:t>Sensitivity of Level 2 PSG</w:t>
            </w:r>
          </w:p>
        </w:tc>
        <w:tc>
          <w:tcPr>
            <w:tcW w:w="1572" w:type="pct"/>
            <w:shd w:val="clear" w:color="auto" w:fill="auto"/>
            <w:tcMar>
              <w:left w:w="85" w:type="dxa"/>
              <w:right w:w="85" w:type="dxa"/>
            </w:tcMar>
            <w:vAlign w:val="center"/>
          </w:tcPr>
          <w:p w14:paraId="2D3F4F51" w14:textId="77777777" w:rsidR="005E1CA4" w:rsidRPr="00CE28E3" w:rsidRDefault="005E1CA4" w:rsidP="008D5D0C">
            <w:pPr>
              <w:pStyle w:val="TableText"/>
              <w:spacing w:before="0" w:after="0"/>
              <w:rPr>
                <w:lang w:val="en-US"/>
              </w:rPr>
            </w:pPr>
            <w:r>
              <w:rPr>
                <w:lang w:val="en-US"/>
              </w:rPr>
              <w:t xml:space="preserve">Estimated as 1 in the base case analysis, with lower limit of 0.29 tested in a sensitivity analysis. </w:t>
            </w:r>
          </w:p>
        </w:tc>
        <w:tc>
          <w:tcPr>
            <w:tcW w:w="2802" w:type="pct"/>
            <w:shd w:val="clear" w:color="auto" w:fill="auto"/>
            <w:tcMar>
              <w:left w:w="85" w:type="dxa"/>
              <w:right w:w="85" w:type="dxa"/>
            </w:tcMar>
            <w:vAlign w:val="center"/>
          </w:tcPr>
          <w:p w14:paraId="70D29690" w14:textId="77777777" w:rsidR="005E1CA4" w:rsidRDefault="005E1CA4" w:rsidP="008D5D0C">
            <w:pPr>
              <w:pStyle w:val="TableText"/>
              <w:spacing w:before="0" w:after="0"/>
              <w:rPr>
                <w:i/>
                <w:lang w:val="en-US"/>
              </w:rPr>
            </w:pPr>
            <w:r>
              <w:rPr>
                <w:i/>
                <w:lang w:val="en-US"/>
              </w:rPr>
              <w:t>Moderate</w:t>
            </w:r>
            <w:r w:rsidRPr="00CE28E3">
              <w:rPr>
                <w:i/>
                <w:lang w:val="en-US"/>
              </w:rPr>
              <w:t xml:space="preserve">, </w:t>
            </w:r>
            <w:proofErr w:type="spellStart"/>
            <w:r w:rsidRPr="00CE28E3">
              <w:rPr>
                <w:i/>
                <w:lang w:val="en-US"/>
              </w:rPr>
              <w:t>favours</w:t>
            </w:r>
            <w:proofErr w:type="spellEnd"/>
            <w:r w:rsidRPr="00CE28E3">
              <w:rPr>
                <w:i/>
                <w:lang w:val="en-US"/>
              </w:rPr>
              <w:t xml:space="preserve"> </w:t>
            </w:r>
            <w:r>
              <w:rPr>
                <w:i/>
                <w:lang w:val="en-US"/>
              </w:rPr>
              <w:t>comparator</w:t>
            </w:r>
          </w:p>
          <w:p w14:paraId="59E6FEBC" w14:textId="77777777" w:rsidR="005E1CA4" w:rsidRPr="00CE28E3" w:rsidRDefault="005E1CA4" w:rsidP="008D5D0C">
            <w:pPr>
              <w:pStyle w:val="TableText"/>
              <w:spacing w:before="0" w:after="0"/>
              <w:rPr>
                <w:i/>
                <w:lang w:val="en-US"/>
              </w:rPr>
            </w:pPr>
            <w:r w:rsidRPr="00150803">
              <w:rPr>
                <w:rFonts w:cs="Arial"/>
                <w:szCs w:val="20"/>
              </w:rPr>
              <w:br/>
            </w:r>
            <w:r w:rsidRPr="00CE28E3">
              <w:rPr>
                <w:i/>
                <w:lang w:val="en-US"/>
              </w:rPr>
              <w:t xml:space="preserve">Use of </w:t>
            </w:r>
            <w:r>
              <w:rPr>
                <w:i/>
                <w:lang w:val="en-US"/>
              </w:rPr>
              <w:t>lower sensitivity value</w:t>
            </w:r>
            <w:r w:rsidRPr="00CE28E3">
              <w:rPr>
                <w:i/>
                <w:lang w:val="en-US"/>
              </w:rPr>
              <w:t xml:space="preserve"> increased the </w:t>
            </w:r>
            <w:r>
              <w:rPr>
                <w:i/>
                <w:lang w:val="en-US"/>
              </w:rPr>
              <w:t>cost per accurate diagnosis to $379.87 more expensive for the intervention, relative to the comparator</w:t>
            </w:r>
            <w:r w:rsidRPr="00CE28E3">
              <w:rPr>
                <w:i/>
                <w:lang w:val="en-US"/>
              </w:rPr>
              <w:t xml:space="preserve">  </w:t>
            </w:r>
          </w:p>
        </w:tc>
      </w:tr>
      <w:tr w:rsidR="005E1CA4" w:rsidRPr="00CE28E3" w14:paraId="5C033144" w14:textId="77777777" w:rsidTr="000A427B">
        <w:tc>
          <w:tcPr>
            <w:tcW w:w="626" w:type="pct"/>
            <w:shd w:val="clear" w:color="auto" w:fill="auto"/>
            <w:tcMar>
              <w:left w:w="85" w:type="dxa"/>
              <w:right w:w="85" w:type="dxa"/>
            </w:tcMar>
            <w:vAlign w:val="center"/>
          </w:tcPr>
          <w:p w14:paraId="30CF3740" w14:textId="77777777" w:rsidR="005E1CA4" w:rsidRPr="00CE28E3" w:rsidRDefault="005E1CA4" w:rsidP="008D5D0C">
            <w:pPr>
              <w:pStyle w:val="TableText"/>
              <w:spacing w:before="0" w:after="0"/>
              <w:jc w:val="center"/>
              <w:rPr>
                <w:lang w:val="en-US"/>
              </w:rPr>
            </w:pPr>
            <w:r>
              <w:rPr>
                <w:lang w:val="en-US"/>
              </w:rPr>
              <w:t>Variation in expected prevalence</w:t>
            </w:r>
          </w:p>
        </w:tc>
        <w:tc>
          <w:tcPr>
            <w:tcW w:w="1572" w:type="pct"/>
            <w:shd w:val="clear" w:color="auto" w:fill="auto"/>
            <w:tcMar>
              <w:left w:w="85" w:type="dxa"/>
              <w:right w:w="85" w:type="dxa"/>
            </w:tcMar>
            <w:vAlign w:val="center"/>
          </w:tcPr>
          <w:p w14:paraId="18876C8B" w14:textId="77777777" w:rsidR="005E1CA4" w:rsidRPr="00CE28E3" w:rsidRDefault="005E1CA4" w:rsidP="008D5D0C">
            <w:pPr>
              <w:pStyle w:val="TableText"/>
              <w:spacing w:before="0" w:after="0"/>
              <w:rPr>
                <w:lang w:val="en-US"/>
              </w:rPr>
            </w:pPr>
            <w:r>
              <w:rPr>
                <w:lang w:val="en-US"/>
              </w:rPr>
              <w:t xml:space="preserve">Varied from 20 to 60% in a sensitivity analysis, 40% for the base case. </w:t>
            </w:r>
          </w:p>
        </w:tc>
        <w:tc>
          <w:tcPr>
            <w:tcW w:w="2802" w:type="pct"/>
            <w:shd w:val="clear" w:color="auto" w:fill="auto"/>
            <w:tcMar>
              <w:left w:w="85" w:type="dxa"/>
              <w:right w:w="85" w:type="dxa"/>
            </w:tcMar>
            <w:vAlign w:val="center"/>
          </w:tcPr>
          <w:p w14:paraId="1E5BBF41" w14:textId="77777777" w:rsidR="005E1CA4" w:rsidRDefault="005E1CA4" w:rsidP="008D5D0C">
            <w:pPr>
              <w:pStyle w:val="TableText"/>
              <w:spacing w:before="0" w:after="0"/>
            </w:pPr>
            <w:r w:rsidRPr="00CE28E3">
              <w:rPr>
                <w:i/>
                <w:lang w:val="en-US"/>
              </w:rPr>
              <w:t xml:space="preserve">High, </w:t>
            </w:r>
            <w:proofErr w:type="spellStart"/>
            <w:r w:rsidRPr="00CE28E3">
              <w:rPr>
                <w:i/>
                <w:lang w:val="en-US"/>
              </w:rPr>
              <w:t>favours</w:t>
            </w:r>
            <w:proofErr w:type="spellEnd"/>
            <w:r w:rsidRPr="00CE28E3">
              <w:rPr>
                <w:i/>
                <w:lang w:val="en-US"/>
              </w:rPr>
              <w:t xml:space="preserve"> </w:t>
            </w:r>
            <w:r>
              <w:rPr>
                <w:i/>
                <w:lang w:val="en-US"/>
              </w:rPr>
              <w:t>intervention</w:t>
            </w:r>
            <w:r w:rsidRPr="00CE28E3">
              <w:t xml:space="preserve"> </w:t>
            </w:r>
          </w:p>
          <w:p w14:paraId="40C4E147" w14:textId="77777777" w:rsidR="005E1CA4" w:rsidRPr="00CE28E3" w:rsidRDefault="005E1CA4" w:rsidP="008D5D0C">
            <w:pPr>
              <w:pStyle w:val="TableText"/>
              <w:spacing w:before="0" w:after="0"/>
              <w:rPr>
                <w:i/>
                <w:lang w:val="en-US"/>
              </w:rPr>
            </w:pPr>
            <w:r>
              <w:rPr>
                <w:i/>
                <w:lang w:val="en-US"/>
              </w:rPr>
              <w:br/>
            </w:r>
            <w:r w:rsidRPr="00CE28E3">
              <w:rPr>
                <w:i/>
                <w:lang w:val="en-US"/>
              </w:rPr>
              <w:t xml:space="preserve">Use of </w:t>
            </w:r>
            <w:r>
              <w:rPr>
                <w:i/>
                <w:lang w:val="en-US"/>
              </w:rPr>
              <w:t>lower prevalence value (20%)</w:t>
            </w:r>
            <w:r w:rsidRPr="00CE28E3">
              <w:rPr>
                <w:i/>
                <w:lang w:val="en-US"/>
              </w:rPr>
              <w:t xml:space="preserve"> </w:t>
            </w:r>
            <w:r>
              <w:rPr>
                <w:i/>
                <w:lang w:val="en-US"/>
              </w:rPr>
              <w:t>decreased the cost per accurate diagnosis to -$1,269.91</w:t>
            </w:r>
            <w:r w:rsidRPr="00CE28E3">
              <w:rPr>
                <w:i/>
                <w:lang w:val="en-US"/>
              </w:rPr>
              <w:t xml:space="preserve"> </w:t>
            </w:r>
            <w:r>
              <w:rPr>
                <w:i/>
                <w:lang w:val="en-US"/>
              </w:rPr>
              <w:t>less expensive for the intervention versus the comparator</w:t>
            </w:r>
          </w:p>
        </w:tc>
      </w:tr>
    </w:tbl>
    <w:p w14:paraId="0185DAB1" w14:textId="77777777" w:rsidR="005E1CA4" w:rsidRDefault="005E1CA4" w:rsidP="00B917FD">
      <w:pPr>
        <w:pStyle w:val="TableFigureFooter"/>
        <w:spacing w:before="0"/>
      </w:pPr>
      <w:r>
        <w:t>PSG = polysomnography</w:t>
      </w:r>
    </w:p>
    <w:p w14:paraId="07237BBD" w14:textId="26FDB5C0" w:rsidR="005E1CA4" w:rsidRDefault="005E1CA4" w:rsidP="005E1CA4">
      <w:pPr>
        <w:pStyle w:val="Caption"/>
      </w:pPr>
      <w:bookmarkStart w:id="46" w:name="_Ref150251215"/>
      <w:r>
        <w:t xml:space="preserve">Table </w:t>
      </w:r>
      <w:fldSimple w:instr=" SEQ Table \* ARABIC ">
        <w:r>
          <w:rPr>
            <w:noProof/>
          </w:rPr>
          <w:t>11</w:t>
        </w:r>
      </w:fldSimple>
      <w:bookmarkEnd w:id="46"/>
      <w:r>
        <w:tab/>
        <w:t>Key sensitivity analyses for cost-minimisation approach for PICO Set 1</w:t>
      </w:r>
    </w:p>
    <w:tbl>
      <w:tblPr>
        <w:tblStyle w:val="TableGrid"/>
        <w:tblW w:w="0" w:type="auto"/>
        <w:tblLook w:val="04A0" w:firstRow="1" w:lastRow="0" w:firstColumn="1" w:lastColumn="0" w:noHBand="0" w:noVBand="1"/>
        <w:tblCaption w:val="Key sensitivity analyses for cost-minimisation approach for PICO Set 1"/>
        <w:tblDescription w:val="This table summarises the key sensitivity analyses performed for PICO Set 1. The cost per accuracte diagnosis for the intervention, comparator and difference between the intervention and comparator is given for each scenario."/>
      </w:tblPr>
      <w:tblGrid>
        <w:gridCol w:w="3964"/>
        <w:gridCol w:w="1843"/>
        <w:gridCol w:w="1701"/>
        <w:gridCol w:w="1508"/>
      </w:tblGrid>
      <w:tr w:rsidR="005E1CA4" w:rsidRPr="00A92C28" w14:paraId="7309D760" w14:textId="77777777" w:rsidTr="000A427B">
        <w:trPr>
          <w:tblHeader/>
        </w:trPr>
        <w:tc>
          <w:tcPr>
            <w:tcW w:w="3964" w:type="dxa"/>
          </w:tcPr>
          <w:p w14:paraId="774EC76B" w14:textId="77777777" w:rsidR="005E1CA4" w:rsidRPr="00A92C28" w:rsidRDefault="005E1CA4" w:rsidP="000A427B">
            <w:pPr>
              <w:pStyle w:val="TableHeading0"/>
            </w:pPr>
            <w:r w:rsidRPr="00A92C28">
              <w:t>Sensitivity analysis scenario</w:t>
            </w:r>
          </w:p>
        </w:tc>
        <w:tc>
          <w:tcPr>
            <w:tcW w:w="1843" w:type="dxa"/>
          </w:tcPr>
          <w:p w14:paraId="24453D56" w14:textId="77777777" w:rsidR="005E1CA4" w:rsidRPr="00A92C28" w:rsidRDefault="005E1CA4" w:rsidP="000A427B">
            <w:pPr>
              <w:pStyle w:val="TableHeading0"/>
            </w:pPr>
            <w:r w:rsidRPr="00A92C28">
              <w:t>Cost per accurate diagnosis</w:t>
            </w:r>
            <w:r>
              <w:br/>
            </w:r>
            <w:r w:rsidRPr="00A92C28">
              <w:t>(intervention)</w:t>
            </w:r>
          </w:p>
        </w:tc>
        <w:tc>
          <w:tcPr>
            <w:tcW w:w="1701" w:type="dxa"/>
          </w:tcPr>
          <w:p w14:paraId="0F4EC5DE" w14:textId="77777777" w:rsidR="005E1CA4" w:rsidRPr="00A92C28" w:rsidRDefault="005E1CA4" w:rsidP="000A427B">
            <w:pPr>
              <w:pStyle w:val="TableHeading0"/>
            </w:pPr>
            <w:r w:rsidRPr="00A92C28">
              <w:t xml:space="preserve">Cost per accurate diagnosis </w:t>
            </w:r>
            <w:r>
              <w:br/>
            </w:r>
            <w:r w:rsidRPr="00A92C28">
              <w:t>(comparator)</w:t>
            </w:r>
          </w:p>
        </w:tc>
        <w:tc>
          <w:tcPr>
            <w:tcW w:w="1508" w:type="dxa"/>
          </w:tcPr>
          <w:p w14:paraId="5C097CE9" w14:textId="77777777" w:rsidR="005E1CA4" w:rsidRPr="00A92C28" w:rsidRDefault="005E1CA4" w:rsidP="000A427B">
            <w:pPr>
              <w:pStyle w:val="TableHeading0"/>
            </w:pPr>
            <w:r w:rsidRPr="00A92C28">
              <w:t>Difference (intervention – comparator)</w:t>
            </w:r>
          </w:p>
        </w:tc>
      </w:tr>
      <w:tr w:rsidR="005E1CA4" w:rsidRPr="00A92C28" w14:paraId="4E2DBF1A" w14:textId="77777777" w:rsidTr="000A427B">
        <w:tc>
          <w:tcPr>
            <w:tcW w:w="3964" w:type="dxa"/>
            <w:vAlign w:val="bottom"/>
          </w:tcPr>
          <w:p w14:paraId="5B986AD2" w14:textId="77777777" w:rsidR="005E1CA4" w:rsidRPr="00A92C28" w:rsidRDefault="005E1CA4" w:rsidP="000A427B">
            <w:pPr>
              <w:pStyle w:val="TableText"/>
            </w:pPr>
            <w:r w:rsidRPr="00286186">
              <w:rPr>
                <w:b/>
                <w:bCs/>
                <w:i/>
                <w:iCs/>
              </w:rPr>
              <w:t xml:space="preserve">Base case analysis </w:t>
            </w:r>
          </w:p>
        </w:tc>
        <w:tc>
          <w:tcPr>
            <w:tcW w:w="1843" w:type="dxa"/>
            <w:vAlign w:val="bottom"/>
          </w:tcPr>
          <w:p w14:paraId="0146D854" w14:textId="77777777" w:rsidR="005E1CA4" w:rsidRPr="0075467E" w:rsidRDefault="005E1CA4" w:rsidP="000A427B">
            <w:pPr>
              <w:pStyle w:val="TableText"/>
              <w:rPr>
                <w:b/>
                <w:bCs/>
              </w:rPr>
            </w:pPr>
            <w:r w:rsidRPr="0075467E">
              <w:rPr>
                <w:b/>
                <w:bCs/>
              </w:rPr>
              <w:t>2,541.22</w:t>
            </w:r>
          </w:p>
        </w:tc>
        <w:tc>
          <w:tcPr>
            <w:tcW w:w="1701" w:type="dxa"/>
            <w:vAlign w:val="bottom"/>
          </w:tcPr>
          <w:p w14:paraId="15E5C06C" w14:textId="77777777" w:rsidR="005E1CA4" w:rsidRPr="0075467E" w:rsidRDefault="005E1CA4" w:rsidP="000A427B">
            <w:pPr>
              <w:pStyle w:val="TableText"/>
              <w:rPr>
                <w:b/>
                <w:bCs/>
              </w:rPr>
            </w:pPr>
            <w:r w:rsidRPr="0075467E">
              <w:rPr>
                <w:b/>
                <w:bCs/>
              </w:rPr>
              <w:t>3,186.51</w:t>
            </w:r>
          </w:p>
        </w:tc>
        <w:tc>
          <w:tcPr>
            <w:tcW w:w="1508" w:type="dxa"/>
            <w:vAlign w:val="bottom"/>
          </w:tcPr>
          <w:p w14:paraId="2A13A1AA" w14:textId="77777777" w:rsidR="005E1CA4" w:rsidRPr="0075467E" w:rsidRDefault="005E1CA4" w:rsidP="000A427B">
            <w:pPr>
              <w:pStyle w:val="TableText"/>
              <w:rPr>
                <w:b/>
                <w:bCs/>
              </w:rPr>
            </w:pPr>
            <w:r w:rsidRPr="0075467E">
              <w:rPr>
                <w:b/>
                <w:bCs/>
              </w:rPr>
              <w:t>-645.29</w:t>
            </w:r>
          </w:p>
        </w:tc>
      </w:tr>
      <w:tr w:rsidR="005E1CA4" w:rsidRPr="00A92C28" w14:paraId="3C549019" w14:textId="77777777" w:rsidTr="000A427B">
        <w:tc>
          <w:tcPr>
            <w:tcW w:w="3964" w:type="dxa"/>
            <w:vAlign w:val="bottom"/>
          </w:tcPr>
          <w:p w14:paraId="4C091D73" w14:textId="77777777" w:rsidR="005E1CA4" w:rsidRPr="00A92C28" w:rsidRDefault="005E1CA4" w:rsidP="000A427B">
            <w:pPr>
              <w:pStyle w:val="TableText"/>
            </w:pPr>
            <w:r w:rsidRPr="00A92C28">
              <w:t xml:space="preserve">All </w:t>
            </w:r>
            <w:r>
              <w:t>Level 2 PSG</w:t>
            </w:r>
            <w:r w:rsidRPr="00A92C28">
              <w:t xml:space="preserve"> in children</w:t>
            </w:r>
            <w:r>
              <w:t xml:space="preserve"> 3 to</w:t>
            </w:r>
            <w:r w:rsidRPr="00A92C28">
              <w:t xml:space="preserve"> &lt;</w:t>
            </w:r>
            <w:r>
              <w:t> </w:t>
            </w:r>
            <w:r w:rsidRPr="00A92C28">
              <w:t xml:space="preserve">12 </w:t>
            </w:r>
            <w:proofErr w:type="spellStart"/>
            <w:r w:rsidRPr="00A92C28">
              <w:t>years</w:t>
            </w:r>
            <w:r>
              <w:rPr>
                <w:vertAlign w:val="superscript"/>
              </w:rPr>
              <w:t>a</w:t>
            </w:r>
            <w:proofErr w:type="spellEnd"/>
            <w:r w:rsidRPr="00A92C28">
              <w:t xml:space="preserve"> </w:t>
            </w:r>
          </w:p>
        </w:tc>
        <w:tc>
          <w:tcPr>
            <w:tcW w:w="1843" w:type="dxa"/>
            <w:vAlign w:val="bottom"/>
          </w:tcPr>
          <w:p w14:paraId="14BBB493" w14:textId="77777777" w:rsidR="005E1CA4" w:rsidRPr="0075467E" w:rsidRDefault="005E1CA4" w:rsidP="000A427B">
            <w:pPr>
              <w:pStyle w:val="TableText"/>
            </w:pPr>
            <w:r w:rsidRPr="0075467E">
              <w:t>2,566.45</w:t>
            </w:r>
          </w:p>
        </w:tc>
        <w:tc>
          <w:tcPr>
            <w:tcW w:w="1701" w:type="dxa"/>
            <w:vAlign w:val="bottom"/>
          </w:tcPr>
          <w:p w14:paraId="000B1F2F" w14:textId="77777777" w:rsidR="005E1CA4" w:rsidRPr="0075467E" w:rsidRDefault="005E1CA4" w:rsidP="000A427B">
            <w:pPr>
              <w:pStyle w:val="TableText"/>
            </w:pPr>
            <w:r w:rsidRPr="0075467E">
              <w:t>3,186.51</w:t>
            </w:r>
          </w:p>
        </w:tc>
        <w:tc>
          <w:tcPr>
            <w:tcW w:w="1508" w:type="dxa"/>
            <w:vAlign w:val="bottom"/>
          </w:tcPr>
          <w:p w14:paraId="45B7EEE5" w14:textId="77777777" w:rsidR="005E1CA4" w:rsidRPr="0075467E" w:rsidRDefault="005E1CA4" w:rsidP="000A427B">
            <w:pPr>
              <w:pStyle w:val="TableText"/>
            </w:pPr>
            <w:r w:rsidRPr="0075467E">
              <w:t>-620.06</w:t>
            </w:r>
          </w:p>
        </w:tc>
      </w:tr>
      <w:tr w:rsidR="005E1CA4" w:rsidRPr="00A92C28" w14:paraId="2578F5B7" w14:textId="77777777" w:rsidTr="000A427B">
        <w:tc>
          <w:tcPr>
            <w:tcW w:w="3964" w:type="dxa"/>
            <w:vAlign w:val="bottom"/>
          </w:tcPr>
          <w:p w14:paraId="1328EC72" w14:textId="77777777" w:rsidR="005E1CA4" w:rsidRPr="00A92C28" w:rsidRDefault="005E1CA4" w:rsidP="000A427B">
            <w:pPr>
              <w:pStyle w:val="TableText"/>
            </w:pPr>
            <w:r w:rsidRPr="00A92C28">
              <w:t xml:space="preserve">All </w:t>
            </w:r>
            <w:r>
              <w:t>Level 2 PSG</w:t>
            </w:r>
            <w:r w:rsidRPr="00A92C28">
              <w:t xml:space="preserve"> in adolescents 12 </w:t>
            </w:r>
            <w:r>
              <w:t>to</w:t>
            </w:r>
            <w:r w:rsidRPr="00A92C28">
              <w:t xml:space="preserve"> &lt;</w:t>
            </w:r>
            <w:r>
              <w:t> </w:t>
            </w:r>
            <w:r w:rsidRPr="00A92C28">
              <w:t xml:space="preserve">18 </w:t>
            </w:r>
            <w:proofErr w:type="spellStart"/>
            <w:r w:rsidRPr="00A92C28">
              <w:t>years</w:t>
            </w:r>
            <w:r>
              <w:rPr>
                <w:vertAlign w:val="superscript"/>
              </w:rPr>
              <w:t>a</w:t>
            </w:r>
            <w:proofErr w:type="spellEnd"/>
            <w:r w:rsidRPr="00A92C28">
              <w:t xml:space="preserve"> </w:t>
            </w:r>
          </w:p>
        </w:tc>
        <w:tc>
          <w:tcPr>
            <w:tcW w:w="1843" w:type="dxa"/>
            <w:vAlign w:val="bottom"/>
          </w:tcPr>
          <w:p w14:paraId="24039154" w14:textId="77777777" w:rsidR="005E1CA4" w:rsidRPr="0075467E" w:rsidRDefault="005E1CA4" w:rsidP="000A427B">
            <w:pPr>
              <w:pStyle w:val="TableText"/>
            </w:pPr>
            <w:r w:rsidRPr="0075467E">
              <w:t>2,430.07</w:t>
            </w:r>
          </w:p>
        </w:tc>
        <w:tc>
          <w:tcPr>
            <w:tcW w:w="1701" w:type="dxa"/>
            <w:vAlign w:val="bottom"/>
          </w:tcPr>
          <w:p w14:paraId="37EB1B08" w14:textId="77777777" w:rsidR="005E1CA4" w:rsidRPr="0075467E" w:rsidRDefault="005E1CA4" w:rsidP="000A427B">
            <w:pPr>
              <w:pStyle w:val="TableText"/>
            </w:pPr>
            <w:r w:rsidRPr="0075467E">
              <w:t>3,186.51</w:t>
            </w:r>
          </w:p>
        </w:tc>
        <w:tc>
          <w:tcPr>
            <w:tcW w:w="1508" w:type="dxa"/>
            <w:vAlign w:val="bottom"/>
          </w:tcPr>
          <w:p w14:paraId="5178E1BD" w14:textId="77777777" w:rsidR="005E1CA4" w:rsidRPr="0075467E" w:rsidRDefault="005E1CA4" w:rsidP="000A427B">
            <w:pPr>
              <w:pStyle w:val="TableText"/>
            </w:pPr>
            <w:r w:rsidRPr="0075467E">
              <w:t>-756.43</w:t>
            </w:r>
          </w:p>
        </w:tc>
      </w:tr>
      <w:tr w:rsidR="005E1CA4" w:rsidRPr="00A92C28" w14:paraId="27E59A20" w14:textId="77777777" w:rsidTr="000A427B">
        <w:tc>
          <w:tcPr>
            <w:tcW w:w="3964" w:type="dxa"/>
            <w:vAlign w:val="bottom"/>
          </w:tcPr>
          <w:p w14:paraId="2C773018" w14:textId="77777777" w:rsidR="005E1CA4" w:rsidRPr="00A92C28" w:rsidRDefault="005E1CA4" w:rsidP="000A427B">
            <w:pPr>
              <w:pStyle w:val="TableText"/>
            </w:pPr>
            <w:r w:rsidRPr="00A92C28">
              <w:t xml:space="preserve">All </w:t>
            </w:r>
            <w:r>
              <w:t>Level 1 PSG</w:t>
            </w:r>
            <w:r w:rsidRPr="00A92C28">
              <w:t xml:space="preserve"> in children </w:t>
            </w:r>
            <w:r>
              <w:t xml:space="preserve">3 to </w:t>
            </w:r>
            <w:r w:rsidRPr="00A92C28">
              <w:t>&lt;</w:t>
            </w:r>
            <w:r>
              <w:t> </w:t>
            </w:r>
            <w:r w:rsidRPr="00A92C28">
              <w:t xml:space="preserve">12 </w:t>
            </w:r>
            <w:proofErr w:type="spellStart"/>
            <w:r w:rsidRPr="00A92C28">
              <w:t>years</w:t>
            </w:r>
            <w:r>
              <w:rPr>
                <w:vertAlign w:val="superscript"/>
              </w:rPr>
              <w:t>a</w:t>
            </w:r>
            <w:proofErr w:type="spellEnd"/>
            <w:r w:rsidRPr="00A92C28">
              <w:t xml:space="preserve"> </w:t>
            </w:r>
          </w:p>
        </w:tc>
        <w:tc>
          <w:tcPr>
            <w:tcW w:w="1843" w:type="dxa"/>
            <w:vAlign w:val="bottom"/>
          </w:tcPr>
          <w:p w14:paraId="737CCE8D" w14:textId="77777777" w:rsidR="005E1CA4" w:rsidRPr="0075467E" w:rsidRDefault="005E1CA4" w:rsidP="000A427B">
            <w:pPr>
              <w:pStyle w:val="TableText"/>
            </w:pPr>
            <w:r w:rsidRPr="0075467E">
              <w:t>2,543.22</w:t>
            </w:r>
          </w:p>
        </w:tc>
        <w:tc>
          <w:tcPr>
            <w:tcW w:w="1701" w:type="dxa"/>
            <w:vAlign w:val="bottom"/>
          </w:tcPr>
          <w:p w14:paraId="160CDC27" w14:textId="77777777" w:rsidR="005E1CA4" w:rsidRPr="0075467E" w:rsidRDefault="005E1CA4" w:rsidP="000A427B">
            <w:pPr>
              <w:pStyle w:val="TableText"/>
            </w:pPr>
            <w:r w:rsidRPr="0075467E">
              <w:t>3,221.75</w:t>
            </w:r>
          </w:p>
        </w:tc>
        <w:tc>
          <w:tcPr>
            <w:tcW w:w="1508" w:type="dxa"/>
            <w:vAlign w:val="bottom"/>
          </w:tcPr>
          <w:p w14:paraId="0666916C" w14:textId="77777777" w:rsidR="005E1CA4" w:rsidRPr="0075467E" w:rsidRDefault="005E1CA4" w:rsidP="000A427B">
            <w:pPr>
              <w:pStyle w:val="TableText"/>
            </w:pPr>
            <w:r w:rsidRPr="0075467E">
              <w:t>-678.53</w:t>
            </w:r>
          </w:p>
        </w:tc>
      </w:tr>
      <w:tr w:rsidR="005E1CA4" w:rsidRPr="00A92C28" w14:paraId="15A5FC7F" w14:textId="77777777" w:rsidTr="000A427B">
        <w:tc>
          <w:tcPr>
            <w:tcW w:w="3964" w:type="dxa"/>
            <w:vAlign w:val="bottom"/>
          </w:tcPr>
          <w:p w14:paraId="2E5698D0" w14:textId="77777777" w:rsidR="005E1CA4" w:rsidRPr="00A92C28" w:rsidRDefault="005E1CA4" w:rsidP="000A427B">
            <w:pPr>
              <w:pStyle w:val="TableText"/>
            </w:pPr>
            <w:r w:rsidRPr="00A92C28">
              <w:t xml:space="preserve">All </w:t>
            </w:r>
            <w:r>
              <w:t>Level 1 PSG</w:t>
            </w:r>
            <w:r w:rsidRPr="00A92C28">
              <w:t xml:space="preserve"> in adolescents 12 </w:t>
            </w:r>
            <w:r>
              <w:t>to</w:t>
            </w:r>
            <w:r w:rsidRPr="00A92C28">
              <w:t xml:space="preserve"> &lt;</w:t>
            </w:r>
            <w:r>
              <w:t> </w:t>
            </w:r>
            <w:r w:rsidRPr="00A92C28">
              <w:t xml:space="preserve">18 </w:t>
            </w:r>
            <w:proofErr w:type="spellStart"/>
            <w:r w:rsidRPr="00A92C28">
              <w:t>years</w:t>
            </w:r>
            <w:r>
              <w:rPr>
                <w:vertAlign w:val="superscript"/>
              </w:rPr>
              <w:t>a</w:t>
            </w:r>
            <w:proofErr w:type="spellEnd"/>
            <w:r w:rsidRPr="00A92C28">
              <w:t xml:space="preserve"> </w:t>
            </w:r>
          </w:p>
        </w:tc>
        <w:tc>
          <w:tcPr>
            <w:tcW w:w="1843" w:type="dxa"/>
            <w:vAlign w:val="bottom"/>
          </w:tcPr>
          <w:p w14:paraId="4B313F93" w14:textId="77777777" w:rsidR="005E1CA4" w:rsidRPr="0075467E" w:rsidRDefault="005E1CA4" w:rsidP="000A427B">
            <w:pPr>
              <w:pStyle w:val="TableText"/>
            </w:pPr>
            <w:r w:rsidRPr="0075467E">
              <w:t>2,532.42</w:t>
            </w:r>
          </w:p>
        </w:tc>
        <w:tc>
          <w:tcPr>
            <w:tcW w:w="1701" w:type="dxa"/>
            <w:vAlign w:val="bottom"/>
          </w:tcPr>
          <w:p w14:paraId="3B60C657" w14:textId="77777777" w:rsidR="005E1CA4" w:rsidRPr="0075467E" w:rsidRDefault="005E1CA4" w:rsidP="000A427B">
            <w:pPr>
              <w:pStyle w:val="TableText"/>
            </w:pPr>
            <w:r w:rsidRPr="0075467E">
              <w:t>3,031.25</w:t>
            </w:r>
          </w:p>
        </w:tc>
        <w:tc>
          <w:tcPr>
            <w:tcW w:w="1508" w:type="dxa"/>
            <w:vAlign w:val="bottom"/>
          </w:tcPr>
          <w:p w14:paraId="0AA5CC94" w14:textId="77777777" w:rsidR="005E1CA4" w:rsidRPr="0075467E" w:rsidRDefault="005E1CA4" w:rsidP="000A427B">
            <w:pPr>
              <w:pStyle w:val="TableText"/>
            </w:pPr>
            <w:r w:rsidRPr="0075467E">
              <w:t>-498.83</w:t>
            </w:r>
          </w:p>
        </w:tc>
      </w:tr>
      <w:tr w:rsidR="005E1CA4" w:rsidRPr="00A92C28" w14:paraId="5826526A" w14:textId="77777777" w:rsidTr="000A427B">
        <w:tc>
          <w:tcPr>
            <w:tcW w:w="3964" w:type="dxa"/>
            <w:vAlign w:val="bottom"/>
          </w:tcPr>
          <w:p w14:paraId="1BD4467E" w14:textId="77777777" w:rsidR="005E1CA4" w:rsidRPr="00A92C28" w:rsidRDefault="005E1CA4" w:rsidP="000A427B">
            <w:pPr>
              <w:pStyle w:val="TableText"/>
            </w:pPr>
            <w:r w:rsidRPr="00A92C28">
              <w:t>Lower limit of sensitivity (0.29</w:t>
            </w:r>
            <w:r>
              <w:t>, base 1</w:t>
            </w:r>
            <w:r w:rsidRPr="00A92C28">
              <w:t>)</w:t>
            </w:r>
          </w:p>
        </w:tc>
        <w:tc>
          <w:tcPr>
            <w:tcW w:w="1843" w:type="dxa"/>
            <w:vAlign w:val="bottom"/>
          </w:tcPr>
          <w:p w14:paraId="39A105A6" w14:textId="77777777" w:rsidR="005E1CA4" w:rsidRPr="0075467E" w:rsidRDefault="005E1CA4" w:rsidP="000A427B">
            <w:pPr>
              <w:pStyle w:val="TableText"/>
            </w:pPr>
            <w:r w:rsidRPr="0075467E">
              <w:t>3,566.37</w:t>
            </w:r>
          </w:p>
        </w:tc>
        <w:tc>
          <w:tcPr>
            <w:tcW w:w="1701" w:type="dxa"/>
            <w:vAlign w:val="bottom"/>
          </w:tcPr>
          <w:p w14:paraId="71627BC8" w14:textId="77777777" w:rsidR="005E1CA4" w:rsidRPr="0075467E" w:rsidRDefault="005E1CA4" w:rsidP="000A427B">
            <w:pPr>
              <w:pStyle w:val="TableText"/>
            </w:pPr>
            <w:r w:rsidRPr="0075467E">
              <w:t>3,186.51</w:t>
            </w:r>
          </w:p>
        </w:tc>
        <w:tc>
          <w:tcPr>
            <w:tcW w:w="1508" w:type="dxa"/>
            <w:vAlign w:val="bottom"/>
          </w:tcPr>
          <w:p w14:paraId="6A33969F" w14:textId="77777777" w:rsidR="005E1CA4" w:rsidRPr="0075467E" w:rsidRDefault="005E1CA4" w:rsidP="000A427B">
            <w:pPr>
              <w:pStyle w:val="TableText"/>
            </w:pPr>
            <w:r w:rsidRPr="0075467E">
              <w:t>379.87</w:t>
            </w:r>
          </w:p>
        </w:tc>
      </w:tr>
      <w:tr w:rsidR="005E1CA4" w:rsidRPr="00A92C28" w14:paraId="3C4ECC1D" w14:textId="77777777" w:rsidTr="000A427B">
        <w:tc>
          <w:tcPr>
            <w:tcW w:w="3964" w:type="dxa"/>
            <w:vAlign w:val="bottom"/>
          </w:tcPr>
          <w:p w14:paraId="513481A0" w14:textId="77777777" w:rsidR="005E1CA4" w:rsidRPr="00A92C28" w:rsidRDefault="005E1CA4" w:rsidP="000A427B">
            <w:pPr>
              <w:pStyle w:val="TableText"/>
            </w:pPr>
            <w:r w:rsidRPr="00A92C28">
              <w:t>Lower limit of specificity (0.88)</w:t>
            </w:r>
          </w:p>
        </w:tc>
        <w:tc>
          <w:tcPr>
            <w:tcW w:w="1843" w:type="dxa"/>
            <w:vAlign w:val="bottom"/>
          </w:tcPr>
          <w:p w14:paraId="665DBE26" w14:textId="77777777" w:rsidR="005E1CA4" w:rsidRPr="0075467E" w:rsidRDefault="005E1CA4" w:rsidP="000A427B">
            <w:pPr>
              <w:pStyle w:val="TableText"/>
            </w:pPr>
            <w:r w:rsidRPr="0075467E">
              <w:t>2,705.52</w:t>
            </w:r>
          </w:p>
        </w:tc>
        <w:tc>
          <w:tcPr>
            <w:tcW w:w="1701" w:type="dxa"/>
            <w:vAlign w:val="bottom"/>
          </w:tcPr>
          <w:p w14:paraId="3554AEA4" w14:textId="77777777" w:rsidR="005E1CA4" w:rsidRPr="0075467E" w:rsidRDefault="005E1CA4" w:rsidP="000A427B">
            <w:pPr>
              <w:pStyle w:val="TableText"/>
            </w:pPr>
            <w:r w:rsidRPr="0075467E">
              <w:t>3,186.51</w:t>
            </w:r>
          </w:p>
        </w:tc>
        <w:tc>
          <w:tcPr>
            <w:tcW w:w="1508" w:type="dxa"/>
            <w:vAlign w:val="bottom"/>
          </w:tcPr>
          <w:p w14:paraId="0CBCA691" w14:textId="77777777" w:rsidR="005E1CA4" w:rsidRPr="0075467E" w:rsidRDefault="005E1CA4" w:rsidP="000A427B">
            <w:pPr>
              <w:pStyle w:val="TableText"/>
            </w:pPr>
            <w:r w:rsidRPr="0075467E">
              <w:t>-480.98</w:t>
            </w:r>
          </w:p>
        </w:tc>
      </w:tr>
      <w:tr w:rsidR="005E1CA4" w:rsidRPr="00A92C28" w14:paraId="0B04742F" w14:textId="77777777" w:rsidTr="000A427B">
        <w:tc>
          <w:tcPr>
            <w:tcW w:w="3964" w:type="dxa"/>
            <w:vAlign w:val="bottom"/>
          </w:tcPr>
          <w:p w14:paraId="35F93A4B" w14:textId="77777777" w:rsidR="005E1CA4" w:rsidRPr="00A92C28" w:rsidRDefault="005E1CA4" w:rsidP="000A427B">
            <w:pPr>
              <w:pStyle w:val="TableText"/>
            </w:pPr>
            <w:r w:rsidRPr="00A92C28">
              <w:t>Upper limit of specificity (1</w:t>
            </w:r>
            <w:r>
              <w:t>, base 0.98</w:t>
            </w:r>
            <w:r w:rsidRPr="00A92C28">
              <w:t>)</w:t>
            </w:r>
          </w:p>
        </w:tc>
        <w:tc>
          <w:tcPr>
            <w:tcW w:w="1843" w:type="dxa"/>
            <w:vAlign w:val="bottom"/>
          </w:tcPr>
          <w:p w14:paraId="353E2D35" w14:textId="77777777" w:rsidR="005E1CA4" w:rsidRPr="0075467E" w:rsidRDefault="005E1CA4" w:rsidP="000A427B">
            <w:pPr>
              <w:pStyle w:val="TableText"/>
            </w:pPr>
            <w:r w:rsidRPr="0075467E">
              <w:t>2,510.73</w:t>
            </w:r>
          </w:p>
        </w:tc>
        <w:tc>
          <w:tcPr>
            <w:tcW w:w="1701" w:type="dxa"/>
            <w:vAlign w:val="bottom"/>
          </w:tcPr>
          <w:p w14:paraId="2D591B8D" w14:textId="77777777" w:rsidR="005E1CA4" w:rsidRPr="0075467E" w:rsidRDefault="005E1CA4" w:rsidP="000A427B">
            <w:pPr>
              <w:pStyle w:val="TableText"/>
            </w:pPr>
            <w:r w:rsidRPr="0075467E">
              <w:t>3,186.51</w:t>
            </w:r>
          </w:p>
        </w:tc>
        <w:tc>
          <w:tcPr>
            <w:tcW w:w="1508" w:type="dxa"/>
            <w:vAlign w:val="bottom"/>
          </w:tcPr>
          <w:p w14:paraId="4E82CD22" w14:textId="77777777" w:rsidR="005E1CA4" w:rsidRPr="0075467E" w:rsidRDefault="005E1CA4" w:rsidP="000A427B">
            <w:pPr>
              <w:pStyle w:val="TableText"/>
            </w:pPr>
            <w:r w:rsidRPr="0075467E">
              <w:t>-675.78</w:t>
            </w:r>
          </w:p>
        </w:tc>
      </w:tr>
      <w:tr w:rsidR="005E1CA4" w:rsidRPr="00A92C28" w14:paraId="0B688A25" w14:textId="77777777" w:rsidTr="000A427B">
        <w:tc>
          <w:tcPr>
            <w:tcW w:w="3964" w:type="dxa"/>
            <w:vAlign w:val="bottom"/>
          </w:tcPr>
          <w:p w14:paraId="44E9F8F4" w14:textId="77777777" w:rsidR="005E1CA4" w:rsidRPr="00A92C28" w:rsidRDefault="005E1CA4" w:rsidP="000A427B">
            <w:pPr>
              <w:pStyle w:val="TableText"/>
            </w:pPr>
            <w:r w:rsidRPr="000C1CCA">
              <w:t>Prevalence 20% (baseline 40%)</w:t>
            </w:r>
          </w:p>
        </w:tc>
        <w:tc>
          <w:tcPr>
            <w:tcW w:w="1843" w:type="dxa"/>
            <w:vAlign w:val="bottom"/>
          </w:tcPr>
          <w:p w14:paraId="5F008639" w14:textId="77777777" w:rsidR="005E1CA4" w:rsidRPr="0075467E" w:rsidRDefault="005E1CA4" w:rsidP="000A427B">
            <w:pPr>
              <w:pStyle w:val="TableText"/>
            </w:pPr>
            <w:r w:rsidRPr="0075467E">
              <w:t>5,103.10</w:t>
            </w:r>
          </w:p>
        </w:tc>
        <w:tc>
          <w:tcPr>
            <w:tcW w:w="1701" w:type="dxa"/>
            <w:vAlign w:val="bottom"/>
          </w:tcPr>
          <w:p w14:paraId="322A33E4" w14:textId="77777777" w:rsidR="005E1CA4" w:rsidRPr="0075467E" w:rsidRDefault="005E1CA4" w:rsidP="000A427B">
            <w:pPr>
              <w:pStyle w:val="TableText"/>
            </w:pPr>
            <w:r w:rsidRPr="0075467E">
              <w:t>6,373.02</w:t>
            </w:r>
          </w:p>
        </w:tc>
        <w:tc>
          <w:tcPr>
            <w:tcW w:w="1508" w:type="dxa"/>
            <w:vAlign w:val="bottom"/>
          </w:tcPr>
          <w:p w14:paraId="18157CFC" w14:textId="77777777" w:rsidR="005E1CA4" w:rsidRPr="0075467E" w:rsidRDefault="005E1CA4" w:rsidP="000A427B">
            <w:pPr>
              <w:pStyle w:val="TableText"/>
            </w:pPr>
            <w:r w:rsidRPr="0075467E">
              <w:t>-1</w:t>
            </w:r>
            <w:r>
              <w:t>,</w:t>
            </w:r>
            <w:r w:rsidRPr="0075467E">
              <w:t>269.91</w:t>
            </w:r>
          </w:p>
        </w:tc>
      </w:tr>
      <w:tr w:rsidR="005E1CA4" w:rsidRPr="00A92C28" w14:paraId="1F5C7DAC" w14:textId="77777777" w:rsidTr="000A427B">
        <w:tc>
          <w:tcPr>
            <w:tcW w:w="3964" w:type="dxa"/>
            <w:vAlign w:val="bottom"/>
          </w:tcPr>
          <w:p w14:paraId="44886291" w14:textId="77777777" w:rsidR="005E1CA4" w:rsidRPr="00A92C28" w:rsidRDefault="005E1CA4" w:rsidP="000A427B">
            <w:pPr>
              <w:pStyle w:val="TableText"/>
            </w:pPr>
            <w:r w:rsidRPr="000C1CCA">
              <w:t>Prevalence 60% (baseline 40%)</w:t>
            </w:r>
          </w:p>
        </w:tc>
        <w:tc>
          <w:tcPr>
            <w:tcW w:w="1843" w:type="dxa"/>
            <w:vAlign w:val="bottom"/>
          </w:tcPr>
          <w:p w14:paraId="3F3A2633" w14:textId="77777777" w:rsidR="005E1CA4" w:rsidRPr="0075467E" w:rsidRDefault="005E1CA4" w:rsidP="000A427B">
            <w:pPr>
              <w:pStyle w:val="TableText"/>
            </w:pPr>
            <w:r w:rsidRPr="0075467E">
              <w:t>1,687.32</w:t>
            </w:r>
          </w:p>
        </w:tc>
        <w:tc>
          <w:tcPr>
            <w:tcW w:w="1701" w:type="dxa"/>
            <w:vAlign w:val="bottom"/>
          </w:tcPr>
          <w:p w14:paraId="34D83DFB" w14:textId="77777777" w:rsidR="005E1CA4" w:rsidRPr="0075467E" w:rsidRDefault="005E1CA4" w:rsidP="000A427B">
            <w:pPr>
              <w:pStyle w:val="TableText"/>
            </w:pPr>
            <w:r w:rsidRPr="0075467E">
              <w:t>2,124.34</w:t>
            </w:r>
          </w:p>
        </w:tc>
        <w:tc>
          <w:tcPr>
            <w:tcW w:w="1508" w:type="dxa"/>
            <w:vAlign w:val="bottom"/>
          </w:tcPr>
          <w:p w14:paraId="66CE9CA6" w14:textId="77777777" w:rsidR="005E1CA4" w:rsidRPr="0075467E" w:rsidRDefault="005E1CA4" w:rsidP="000A427B">
            <w:pPr>
              <w:pStyle w:val="TableText"/>
            </w:pPr>
            <w:r w:rsidRPr="0075467E">
              <w:t>-437.02</w:t>
            </w:r>
          </w:p>
        </w:tc>
      </w:tr>
      <w:tr w:rsidR="005E1CA4" w:rsidRPr="00A92C28" w14:paraId="607DC1E1" w14:textId="77777777" w:rsidTr="000A427B">
        <w:tc>
          <w:tcPr>
            <w:tcW w:w="3964" w:type="dxa"/>
            <w:vAlign w:val="bottom"/>
          </w:tcPr>
          <w:p w14:paraId="3A4E0281" w14:textId="77777777" w:rsidR="005E1CA4" w:rsidRPr="00A92C28" w:rsidRDefault="005E1CA4" w:rsidP="000A427B">
            <w:pPr>
              <w:pStyle w:val="TableText"/>
            </w:pPr>
            <w:r w:rsidRPr="000C1CCA">
              <w:t>‘Any OSA’ as treatment threshold (sensitivity 93%, specificity 97%, prevalence 60%)</w:t>
            </w:r>
          </w:p>
        </w:tc>
        <w:tc>
          <w:tcPr>
            <w:tcW w:w="1843" w:type="dxa"/>
            <w:vAlign w:val="bottom"/>
          </w:tcPr>
          <w:p w14:paraId="5DC2F297" w14:textId="77777777" w:rsidR="005E1CA4" w:rsidRPr="0075467E" w:rsidRDefault="005E1CA4" w:rsidP="000A427B">
            <w:pPr>
              <w:pStyle w:val="TableText"/>
            </w:pPr>
            <w:r w:rsidRPr="0075467E">
              <w:t>1,769.36</w:t>
            </w:r>
          </w:p>
        </w:tc>
        <w:tc>
          <w:tcPr>
            <w:tcW w:w="1701" w:type="dxa"/>
            <w:vAlign w:val="bottom"/>
          </w:tcPr>
          <w:p w14:paraId="1AE181FE" w14:textId="77777777" w:rsidR="005E1CA4" w:rsidRPr="0075467E" w:rsidRDefault="005E1CA4" w:rsidP="000A427B">
            <w:pPr>
              <w:pStyle w:val="TableText"/>
            </w:pPr>
            <w:r w:rsidRPr="0075467E">
              <w:t>2,124.34</w:t>
            </w:r>
          </w:p>
        </w:tc>
        <w:tc>
          <w:tcPr>
            <w:tcW w:w="1508" w:type="dxa"/>
            <w:vAlign w:val="bottom"/>
          </w:tcPr>
          <w:p w14:paraId="5844BFC5" w14:textId="77777777" w:rsidR="005E1CA4" w:rsidRPr="0075467E" w:rsidRDefault="005E1CA4" w:rsidP="000A427B">
            <w:pPr>
              <w:pStyle w:val="TableText"/>
            </w:pPr>
            <w:r w:rsidRPr="0075467E">
              <w:t>-354.97</w:t>
            </w:r>
          </w:p>
        </w:tc>
      </w:tr>
    </w:tbl>
    <w:p w14:paraId="5383C25C" w14:textId="77777777" w:rsidR="005E1CA4" w:rsidRDefault="005E1CA4" w:rsidP="00B917FD">
      <w:pPr>
        <w:pStyle w:val="TableFigNoteLast"/>
        <w:spacing w:before="0"/>
      </w:pPr>
      <w:r>
        <w:t xml:space="preserve">OSA=obstructive sleep apnoea; PSG = polysomnography. </w:t>
      </w:r>
    </w:p>
    <w:p w14:paraId="00C4134D" w14:textId="77777777" w:rsidR="005E1CA4" w:rsidRDefault="005E1CA4" w:rsidP="005E1CA4">
      <w:pPr>
        <w:pStyle w:val="TableFigNoteLast"/>
      </w:pPr>
      <w:r w:rsidRPr="001F1992">
        <w:rPr>
          <w:vertAlign w:val="superscript"/>
        </w:rPr>
        <w:t>a</w:t>
      </w:r>
      <w:r>
        <w:t xml:space="preserve"> The base case scenario assumes 18.5% adolescents and 81.5% children, with different costs for these two age groups. The sensitivity analyses test the importance of this assumption. The intervention price changes with the sensitivity analysis applied to the comparator group only because the retesting for failed Level 2 studies is assumed to be 50% Level 1 and 50% Level 2 studies. </w:t>
      </w:r>
    </w:p>
    <w:p w14:paraId="7D251635" w14:textId="77777777" w:rsidR="005E1CA4" w:rsidRPr="00477298" w:rsidRDefault="005E1CA4" w:rsidP="005E1CA4">
      <w:pPr>
        <w:pStyle w:val="ESHeading3"/>
      </w:pPr>
      <w:r>
        <w:t>PICO Set 2</w:t>
      </w:r>
    </w:p>
    <w:p w14:paraId="12D1FA06" w14:textId="77777777" w:rsidR="005E1CA4" w:rsidRPr="00395DB7" w:rsidRDefault="005E1CA4" w:rsidP="005E1CA4">
      <w:pPr>
        <w:rPr>
          <w:rFonts w:ascii="Franklin Gothic Book" w:hAnsi="Franklin Gothic Book"/>
        </w:rPr>
      </w:pPr>
      <w:r w:rsidRPr="00395DB7">
        <w:rPr>
          <w:rFonts w:ascii="Franklin Gothic Book" w:hAnsi="Franklin Gothic Book"/>
        </w:rPr>
        <w:t xml:space="preserve">A cost-effectiveness analysis was undertaken for PICO Set 2. The economic evaluation was aimed at assessing if Level 3 CRP were cost-effective in terms of cost per tonsillectomy avoided when compared to clinician assessment without a Level 3 study. Although it would have been ideal to express effectiveness in terms of appropriate and inappropriate tonsillectomies, this was not possible due to the limited available information. A summary of the approach is provided in </w:t>
      </w:r>
      <w:r w:rsidRPr="00395DB7">
        <w:rPr>
          <w:rFonts w:ascii="Franklin Gothic Book" w:hAnsi="Franklin Gothic Book"/>
        </w:rPr>
        <w:fldChar w:fldCharType="begin"/>
      </w:r>
      <w:r w:rsidRPr="00395DB7">
        <w:rPr>
          <w:rFonts w:ascii="Franklin Gothic Book" w:hAnsi="Franklin Gothic Book"/>
        </w:rPr>
        <w:instrText xml:space="preserve"> REF _Ref150252081 \h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Table 12</w:t>
      </w:r>
      <w:r w:rsidRPr="00395DB7">
        <w:rPr>
          <w:rFonts w:ascii="Franklin Gothic Book" w:hAnsi="Franklin Gothic Book"/>
        </w:rPr>
        <w:fldChar w:fldCharType="end"/>
      </w:r>
      <w:r w:rsidRPr="00395DB7">
        <w:rPr>
          <w:rFonts w:ascii="Franklin Gothic Book" w:hAnsi="Franklin Gothic Book"/>
        </w:rPr>
        <w:t xml:space="preserve">. The use of CPAP was not considered in the analysis, though </w:t>
      </w:r>
      <w:proofErr w:type="spellStart"/>
      <w:r w:rsidRPr="00395DB7">
        <w:rPr>
          <w:rFonts w:ascii="Franklin Gothic Book" w:hAnsi="Franklin Gothic Book"/>
        </w:rPr>
        <w:t>Chiner</w:t>
      </w:r>
      <w:proofErr w:type="spellEnd"/>
      <w:r w:rsidRPr="00395DB7">
        <w:rPr>
          <w:rFonts w:ascii="Franklin Gothic Book" w:hAnsi="Franklin Gothic Book"/>
        </w:rPr>
        <w:t xml:space="preserve"> et al. (2020) </w:t>
      </w:r>
      <w:r w:rsidRPr="00395DB7">
        <w:rPr>
          <w:rFonts w:ascii="Franklin Gothic Book" w:hAnsi="Franklin Gothic Book"/>
        </w:rPr>
        <w:lastRenderedPageBreak/>
        <w:t>indicated that approximately 7% of those diagnosed with moderate-severe OSA would require CPAP.</w:t>
      </w:r>
    </w:p>
    <w:p w14:paraId="1C71867B" w14:textId="3F6FFAF0" w:rsidR="005E1CA4" w:rsidRPr="00CE28E3" w:rsidRDefault="005E1CA4" w:rsidP="005E1CA4">
      <w:pPr>
        <w:pStyle w:val="Caption"/>
      </w:pPr>
      <w:bookmarkStart w:id="47" w:name="_Ref150252081"/>
      <w:r w:rsidRPr="00CE28E3">
        <w:t>Table</w:t>
      </w:r>
      <w:r>
        <w:t> </w:t>
      </w:r>
      <w:fldSimple w:instr=" SEQ Table \* ARABIC ">
        <w:r>
          <w:rPr>
            <w:noProof/>
          </w:rPr>
          <w:t>12</w:t>
        </w:r>
      </w:fldSimple>
      <w:bookmarkEnd w:id="47"/>
      <w:r w:rsidRPr="00CE28E3">
        <w:tab/>
        <w:t>Summary of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for PICO Set 2"/>
        <w:tblDescription w:val="This table summarises the economic evaluation for PICO Set 2. The table provides narrative descriptions of components of the economic evaluation."/>
      </w:tblPr>
      <w:tblGrid>
        <w:gridCol w:w="1980"/>
        <w:gridCol w:w="7036"/>
      </w:tblGrid>
      <w:tr w:rsidR="005E1CA4" w:rsidRPr="00463088" w14:paraId="38AFBE79" w14:textId="77777777" w:rsidTr="000A427B">
        <w:trPr>
          <w:tblHeader/>
        </w:trPr>
        <w:tc>
          <w:tcPr>
            <w:tcW w:w="1980" w:type="dxa"/>
          </w:tcPr>
          <w:p w14:paraId="4A40EF67" w14:textId="77777777" w:rsidR="005E1CA4" w:rsidRPr="00463088" w:rsidRDefault="005E1CA4" w:rsidP="000A427B">
            <w:pPr>
              <w:pStyle w:val="TableHeading0"/>
            </w:pPr>
            <w:r w:rsidRPr="00463088">
              <w:t>Component</w:t>
            </w:r>
          </w:p>
        </w:tc>
        <w:tc>
          <w:tcPr>
            <w:tcW w:w="7036" w:type="dxa"/>
          </w:tcPr>
          <w:p w14:paraId="382D30A3" w14:textId="77777777" w:rsidR="005E1CA4" w:rsidRPr="00463088" w:rsidRDefault="005E1CA4" w:rsidP="000A427B">
            <w:pPr>
              <w:pStyle w:val="TableHeading0"/>
            </w:pPr>
            <w:r w:rsidRPr="00463088">
              <w:t>Description</w:t>
            </w:r>
          </w:p>
        </w:tc>
      </w:tr>
      <w:tr w:rsidR="005E1CA4" w:rsidRPr="00463088" w14:paraId="07ABC2F4" w14:textId="77777777" w:rsidTr="000A427B">
        <w:tc>
          <w:tcPr>
            <w:tcW w:w="1980" w:type="dxa"/>
          </w:tcPr>
          <w:p w14:paraId="492AF8F4" w14:textId="77777777" w:rsidR="005E1CA4" w:rsidRPr="00463088" w:rsidRDefault="005E1CA4" w:rsidP="000A427B">
            <w:pPr>
              <w:pStyle w:val="TableText"/>
            </w:pPr>
            <w:r w:rsidRPr="00463088">
              <w:t>Perspective</w:t>
            </w:r>
          </w:p>
        </w:tc>
        <w:tc>
          <w:tcPr>
            <w:tcW w:w="7036" w:type="dxa"/>
          </w:tcPr>
          <w:p w14:paraId="109D900B" w14:textId="77777777" w:rsidR="005E1CA4" w:rsidRPr="00463088" w:rsidRDefault="005E1CA4" w:rsidP="000A427B">
            <w:pPr>
              <w:pStyle w:val="TableText"/>
            </w:pPr>
            <w:r w:rsidRPr="00463088">
              <w:t>Health care system perspective</w:t>
            </w:r>
          </w:p>
        </w:tc>
      </w:tr>
      <w:tr w:rsidR="005E1CA4" w:rsidRPr="00463088" w14:paraId="550397E7" w14:textId="77777777" w:rsidTr="000A427B">
        <w:trPr>
          <w:tblHeader/>
        </w:trPr>
        <w:tc>
          <w:tcPr>
            <w:tcW w:w="1980" w:type="dxa"/>
          </w:tcPr>
          <w:p w14:paraId="6362ACA8" w14:textId="77777777" w:rsidR="005E1CA4" w:rsidRPr="00463088" w:rsidRDefault="005E1CA4" w:rsidP="000A427B">
            <w:pPr>
              <w:pStyle w:val="TableText"/>
            </w:pPr>
            <w:r w:rsidRPr="00463088">
              <w:t>Population</w:t>
            </w:r>
          </w:p>
        </w:tc>
        <w:tc>
          <w:tcPr>
            <w:tcW w:w="7036" w:type="dxa"/>
          </w:tcPr>
          <w:p w14:paraId="5B8694B4" w14:textId="77777777" w:rsidR="005E1CA4" w:rsidRPr="00463088" w:rsidRDefault="005E1CA4" w:rsidP="000A427B">
            <w:pPr>
              <w:pStyle w:val="TableText"/>
            </w:pPr>
            <w:r w:rsidRPr="00463088">
              <w:t>Children aged 3 to &lt;</w:t>
            </w:r>
            <w:r>
              <w:t> </w:t>
            </w:r>
            <w:r w:rsidRPr="00463088">
              <w:t xml:space="preserve">12 </w:t>
            </w:r>
            <w:r>
              <w:t>together with</w:t>
            </w:r>
            <w:r w:rsidRPr="00463088">
              <w:t xml:space="preserve"> adolescents aged 12 to &lt;</w:t>
            </w:r>
            <w:r>
              <w:t> </w:t>
            </w:r>
            <w:r w:rsidRPr="00463088">
              <w:t>18 years at risk for significant OSA</w:t>
            </w:r>
            <w:r>
              <w:t>,</w:t>
            </w:r>
            <w:r w:rsidRPr="00463088">
              <w:t xml:space="preserve"> and intolerant or likely to be intolerant to head leads for PSG set up </w:t>
            </w:r>
          </w:p>
        </w:tc>
      </w:tr>
      <w:tr w:rsidR="005E1CA4" w:rsidRPr="00463088" w14:paraId="54B51994" w14:textId="77777777" w:rsidTr="000A427B">
        <w:tc>
          <w:tcPr>
            <w:tcW w:w="1980" w:type="dxa"/>
          </w:tcPr>
          <w:p w14:paraId="05E762F2" w14:textId="77777777" w:rsidR="005E1CA4" w:rsidRPr="00463088" w:rsidRDefault="005E1CA4" w:rsidP="000A427B">
            <w:pPr>
              <w:pStyle w:val="TableText"/>
            </w:pPr>
            <w:r w:rsidRPr="00463088">
              <w:t>Prior testing</w:t>
            </w:r>
          </w:p>
        </w:tc>
        <w:tc>
          <w:tcPr>
            <w:tcW w:w="7036" w:type="dxa"/>
          </w:tcPr>
          <w:p w14:paraId="18CB9237" w14:textId="77777777" w:rsidR="005E1CA4" w:rsidRPr="00463088" w:rsidRDefault="005E1CA4" w:rsidP="000A427B">
            <w:pPr>
              <w:pStyle w:val="TableText"/>
            </w:pPr>
            <w:r w:rsidRPr="00463088">
              <w:t>No prior testing assumed</w:t>
            </w:r>
          </w:p>
        </w:tc>
      </w:tr>
      <w:tr w:rsidR="005E1CA4" w:rsidRPr="00463088" w14:paraId="4D6E7E66" w14:textId="77777777" w:rsidTr="000A427B">
        <w:tc>
          <w:tcPr>
            <w:tcW w:w="1980" w:type="dxa"/>
          </w:tcPr>
          <w:p w14:paraId="42A31530" w14:textId="77777777" w:rsidR="005E1CA4" w:rsidRPr="00463088" w:rsidRDefault="005E1CA4" w:rsidP="000A427B">
            <w:pPr>
              <w:pStyle w:val="TableText"/>
            </w:pPr>
            <w:r w:rsidRPr="00463088">
              <w:t>Comparator</w:t>
            </w:r>
          </w:p>
        </w:tc>
        <w:tc>
          <w:tcPr>
            <w:tcW w:w="7036" w:type="dxa"/>
          </w:tcPr>
          <w:p w14:paraId="0570A4CA" w14:textId="77777777" w:rsidR="005E1CA4" w:rsidRPr="00463088" w:rsidRDefault="005E1CA4" w:rsidP="000A427B">
            <w:pPr>
              <w:pStyle w:val="TableText"/>
            </w:pPr>
            <w:r w:rsidRPr="00463088">
              <w:t xml:space="preserve">Comparator is no sleep study and clinician assessment (assumed to be an </w:t>
            </w:r>
            <w:r>
              <w:t>ENT</w:t>
            </w:r>
            <w:r w:rsidRPr="00463088">
              <w:t xml:space="preserve"> surgeon), with initial referral through a general practitioner</w:t>
            </w:r>
          </w:p>
        </w:tc>
      </w:tr>
      <w:tr w:rsidR="005E1CA4" w:rsidRPr="00463088" w14:paraId="7C7F7417" w14:textId="77777777" w:rsidTr="000A427B">
        <w:tc>
          <w:tcPr>
            <w:tcW w:w="1980" w:type="dxa"/>
          </w:tcPr>
          <w:p w14:paraId="22F3DE8E" w14:textId="77777777" w:rsidR="005E1CA4" w:rsidRPr="00463088" w:rsidRDefault="005E1CA4" w:rsidP="000A427B">
            <w:pPr>
              <w:pStyle w:val="TableText"/>
            </w:pPr>
            <w:r w:rsidRPr="00463088">
              <w:t>Type(s) of analysis</w:t>
            </w:r>
          </w:p>
        </w:tc>
        <w:tc>
          <w:tcPr>
            <w:tcW w:w="7036" w:type="dxa"/>
          </w:tcPr>
          <w:p w14:paraId="00ADBCB7" w14:textId="77777777" w:rsidR="005E1CA4" w:rsidRDefault="005E1CA4" w:rsidP="000A427B">
            <w:pPr>
              <w:pStyle w:val="TableText"/>
            </w:pPr>
            <w:r w:rsidRPr="00463088">
              <w:t xml:space="preserve">Cost-effectiveness analysis as no appropriate utility values </w:t>
            </w:r>
            <w:r>
              <w:t xml:space="preserve">were </w:t>
            </w:r>
            <w:r w:rsidRPr="00463088">
              <w:t>identified in a systematic review</w:t>
            </w:r>
            <w:r>
              <w:t xml:space="preserve"> </w:t>
            </w:r>
          </w:p>
          <w:p w14:paraId="242D64C4" w14:textId="77777777" w:rsidR="005E1CA4" w:rsidRPr="00463088" w:rsidRDefault="005E1CA4" w:rsidP="000A427B">
            <w:pPr>
              <w:pStyle w:val="TableText"/>
            </w:pPr>
            <w:r>
              <w:t>Cost per accurate diagnosis included as a supplementary analysis</w:t>
            </w:r>
          </w:p>
        </w:tc>
      </w:tr>
      <w:tr w:rsidR="005E1CA4" w:rsidRPr="00463088" w14:paraId="03E50F52" w14:textId="77777777" w:rsidTr="000A427B">
        <w:tc>
          <w:tcPr>
            <w:tcW w:w="1980" w:type="dxa"/>
          </w:tcPr>
          <w:p w14:paraId="4095873C" w14:textId="77777777" w:rsidR="005E1CA4" w:rsidRPr="00463088" w:rsidRDefault="005E1CA4" w:rsidP="000A427B">
            <w:pPr>
              <w:pStyle w:val="TableText"/>
            </w:pPr>
            <w:r w:rsidRPr="00463088">
              <w:t>Outcomes</w:t>
            </w:r>
          </w:p>
        </w:tc>
        <w:tc>
          <w:tcPr>
            <w:tcW w:w="7036" w:type="dxa"/>
          </w:tcPr>
          <w:p w14:paraId="4371E82E" w14:textId="77777777" w:rsidR="005E1CA4" w:rsidRPr="00463088" w:rsidRDefault="005E1CA4" w:rsidP="000A427B">
            <w:pPr>
              <w:pStyle w:val="TableText"/>
            </w:pPr>
            <w:r w:rsidRPr="00463088">
              <w:t>Tonsillectomies avoided, unable to classify as ‘appropriate’ or ‘inappropriate’</w:t>
            </w:r>
          </w:p>
        </w:tc>
      </w:tr>
      <w:tr w:rsidR="005E1CA4" w:rsidRPr="00463088" w14:paraId="5ADC2C14" w14:textId="77777777" w:rsidTr="000A427B">
        <w:tc>
          <w:tcPr>
            <w:tcW w:w="1980" w:type="dxa"/>
          </w:tcPr>
          <w:p w14:paraId="058971C4" w14:textId="77777777" w:rsidR="005E1CA4" w:rsidRPr="00463088" w:rsidRDefault="005E1CA4" w:rsidP="000A427B">
            <w:pPr>
              <w:pStyle w:val="TableText"/>
            </w:pPr>
            <w:r w:rsidRPr="00463088">
              <w:t>Time horizon</w:t>
            </w:r>
          </w:p>
        </w:tc>
        <w:tc>
          <w:tcPr>
            <w:tcW w:w="7036" w:type="dxa"/>
          </w:tcPr>
          <w:p w14:paraId="04DE2FCB" w14:textId="77777777" w:rsidR="005E1CA4" w:rsidRPr="00463088" w:rsidRDefault="005E1CA4" w:rsidP="000A427B">
            <w:pPr>
              <w:pStyle w:val="TableText"/>
            </w:pPr>
            <w:r w:rsidRPr="00463088">
              <w:t>1 year</w:t>
            </w:r>
          </w:p>
        </w:tc>
      </w:tr>
      <w:tr w:rsidR="005E1CA4" w:rsidRPr="00463088" w14:paraId="26400E17" w14:textId="77777777" w:rsidTr="000A427B">
        <w:tc>
          <w:tcPr>
            <w:tcW w:w="1980" w:type="dxa"/>
          </w:tcPr>
          <w:p w14:paraId="4B93D0FC" w14:textId="77777777" w:rsidR="005E1CA4" w:rsidRPr="00463088" w:rsidRDefault="005E1CA4" w:rsidP="000A427B">
            <w:pPr>
              <w:pStyle w:val="TableText"/>
            </w:pPr>
            <w:r w:rsidRPr="00463088">
              <w:t>Computational method</w:t>
            </w:r>
          </w:p>
        </w:tc>
        <w:tc>
          <w:tcPr>
            <w:tcW w:w="7036" w:type="dxa"/>
          </w:tcPr>
          <w:p w14:paraId="00C52599" w14:textId="77777777" w:rsidR="005E1CA4" w:rsidRPr="00463088" w:rsidRDefault="005E1CA4" w:rsidP="000A427B">
            <w:pPr>
              <w:pStyle w:val="TableText"/>
            </w:pPr>
            <w:r w:rsidRPr="00463088">
              <w:t>Decision tree analysis</w:t>
            </w:r>
          </w:p>
        </w:tc>
      </w:tr>
      <w:tr w:rsidR="005E1CA4" w:rsidRPr="00463088" w14:paraId="0CD2EF4D" w14:textId="77777777" w:rsidTr="000A427B">
        <w:tc>
          <w:tcPr>
            <w:tcW w:w="1980" w:type="dxa"/>
          </w:tcPr>
          <w:p w14:paraId="026941FB" w14:textId="77777777" w:rsidR="005E1CA4" w:rsidRPr="00463088" w:rsidRDefault="005E1CA4" w:rsidP="000A427B">
            <w:pPr>
              <w:pStyle w:val="TableText"/>
            </w:pPr>
            <w:r w:rsidRPr="00463088">
              <w:t>Generation of the base case</w:t>
            </w:r>
          </w:p>
        </w:tc>
        <w:tc>
          <w:tcPr>
            <w:tcW w:w="7036" w:type="dxa"/>
          </w:tcPr>
          <w:p w14:paraId="1B14ECF3" w14:textId="77777777" w:rsidR="005E1CA4" w:rsidRPr="00463088" w:rsidRDefault="005E1CA4" w:rsidP="000A427B">
            <w:pPr>
              <w:pStyle w:val="TableText"/>
            </w:pPr>
            <w:r w:rsidRPr="00463088">
              <w:t>Based on data from non-randomised studies and with clinical input where no data were available</w:t>
            </w:r>
          </w:p>
        </w:tc>
      </w:tr>
      <w:tr w:rsidR="005E1CA4" w:rsidRPr="00463088" w14:paraId="0922531A" w14:textId="77777777" w:rsidTr="000A427B">
        <w:tc>
          <w:tcPr>
            <w:tcW w:w="1980" w:type="dxa"/>
          </w:tcPr>
          <w:p w14:paraId="1333149C" w14:textId="77777777" w:rsidR="005E1CA4" w:rsidRPr="00463088" w:rsidRDefault="005E1CA4" w:rsidP="000A427B">
            <w:pPr>
              <w:pStyle w:val="TableText"/>
            </w:pPr>
            <w:r w:rsidRPr="00463088">
              <w:t>Health states</w:t>
            </w:r>
          </w:p>
        </w:tc>
        <w:tc>
          <w:tcPr>
            <w:tcW w:w="7036" w:type="dxa"/>
          </w:tcPr>
          <w:p w14:paraId="29AA6646" w14:textId="77777777" w:rsidR="005E1CA4" w:rsidRPr="00463088" w:rsidRDefault="005E1CA4" w:rsidP="000A427B">
            <w:pPr>
              <w:pStyle w:val="TableText"/>
            </w:pPr>
            <w:r w:rsidRPr="00463088">
              <w:t>No specific health states, rather passage through the diagnostic process assumed to end in the outcome of ‘tonsillectomy’ or ‘no tonsillectomy’</w:t>
            </w:r>
          </w:p>
        </w:tc>
      </w:tr>
      <w:tr w:rsidR="005E1CA4" w:rsidRPr="00463088" w14:paraId="370C24C7" w14:textId="77777777" w:rsidTr="000A427B">
        <w:tc>
          <w:tcPr>
            <w:tcW w:w="1980" w:type="dxa"/>
          </w:tcPr>
          <w:p w14:paraId="04DAC91B" w14:textId="77777777" w:rsidR="005E1CA4" w:rsidRPr="00463088" w:rsidRDefault="005E1CA4" w:rsidP="000A427B">
            <w:pPr>
              <w:pStyle w:val="TableText"/>
            </w:pPr>
            <w:r w:rsidRPr="00463088">
              <w:t>Cycle length</w:t>
            </w:r>
          </w:p>
        </w:tc>
        <w:tc>
          <w:tcPr>
            <w:tcW w:w="7036" w:type="dxa"/>
          </w:tcPr>
          <w:p w14:paraId="5861B290" w14:textId="77777777" w:rsidR="005E1CA4" w:rsidRPr="00463088" w:rsidRDefault="005E1CA4" w:rsidP="000A427B">
            <w:pPr>
              <w:pStyle w:val="TableText"/>
            </w:pPr>
            <w:r w:rsidRPr="00463088">
              <w:t>Not applicable, due to the short time horizon time not formally considered in the decision tree analysis</w:t>
            </w:r>
          </w:p>
        </w:tc>
      </w:tr>
      <w:tr w:rsidR="005E1CA4" w:rsidRPr="00463088" w14:paraId="4D04C195" w14:textId="77777777" w:rsidTr="000A427B">
        <w:tc>
          <w:tcPr>
            <w:tcW w:w="1980" w:type="dxa"/>
          </w:tcPr>
          <w:p w14:paraId="67EBBC02" w14:textId="77777777" w:rsidR="005E1CA4" w:rsidRPr="00463088" w:rsidRDefault="005E1CA4" w:rsidP="000A427B">
            <w:pPr>
              <w:pStyle w:val="TableText"/>
            </w:pPr>
            <w:r w:rsidRPr="00463088">
              <w:t>Transition probabilities</w:t>
            </w:r>
          </w:p>
        </w:tc>
        <w:tc>
          <w:tcPr>
            <w:tcW w:w="7036" w:type="dxa"/>
          </w:tcPr>
          <w:p w14:paraId="59989123" w14:textId="77777777" w:rsidR="005E1CA4" w:rsidRPr="00463088" w:rsidRDefault="005E1CA4" w:rsidP="000A427B">
            <w:pPr>
              <w:pStyle w:val="TableText"/>
            </w:pPr>
            <w:r w:rsidRPr="00463088">
              <w:t>Based on data from non-randomised studies and with clinical input where no data were available</w:t>
            </w:r>
          </w:p>
        </w:tc>
      </w:tr>
      <w:tr w:rsidR="005E1CA4" w:rsidRPr="00463088" w14:paraId="5ED96CA0" w14:textId="77777777" w:rsidTr="000A427B">
        <w:tc>
          <w:tcPr>
            <w:tcW w:w="1980" w:type="dxa"/>
          </w:tcPr>
          <w:p w14:paraId="4A83511D" w14:textId="77777777" w:rsidR="005E1CA4" w:rsidRPr="00463088" w:rsidRDefault="005E1CA4" w:rsidP="000A427B">
            <w:pPr>
              <w:pStyle w:val="TableText"/>
            </w:pPr>
            <w:r w:rsidRPr="00463088">
              <w:t>Discount rate</w:t>
            </w:r>
          </w:p>
        </w:tc>
        <w:tc>
          <w:tcPr>
            <w:tcW w:w="7036" w:type="dxa"/>
          </w:tcPr>
          <w:p w14:paraId="2ACB932A" w14:textId="77777777" w:rsidR="005E1CA4" w:rsidRPr="00463088" w:rsidRDefault="005E1CA4" w:rsidP="000A427B">
            <w:pPr>
              <w:pStyle w:val="TableText"/>
            </w:pPr>
            <w:r w:rsidRPr="00463088">
              <w:t xml:space="preserve">Given the </w:t>
            </w:r>
            <w:r>
              <w:t>one year time</w:t>
            </w:r>
            <w:r w:rsidRPr="00463088">
              <w:t xml:space="preserve"> horizon, no discounting of costs or benefits</w:t>
            </w:r>
          </w:p>
        </w:tc>
      </w:tr>
      <w:tr w:rsidR="005E1CA4" w:rsidRPr="00463088" w14:paraId="6147EAED" w14:textId="77777777" w:rsidTr="000A427B">
        <w:tc>
          <w:tcPr>
            <w:tcW w:w="1980" w:type="dxa"/>
          </w:tcPr>
          <w:p w14:paraId="56292312" w14:textId="77777777" w:rsidR="005E1CA4" w:rsidRPr="00463088" w:rsidRDefault="005E1CA4" w:rsidP="000A427B">
            <w:pPr>
              <w:pStyle w:val="TableText"/>
            </w:pPr>
            <w:r w:rsidRPr="00463088">
              <w:t>Software</w:t>
            </w:r>
          </w:p>
        </w:tc>
        <w:tc>
          <w:tcPr>
            <w:tcW w:w="7036" w:type="dxa"/>
          </w:tcPr>
          <w:p w14:paraId="0333476E" w14:textId="77777777" w:rsidR="005E1CA4" w:rsidRPr="00463088" w:rsidRDefault="005E1CA4" w:rsidP="000A427B">
            <w:pPr>
              <w:pStyle w:val="TableText"/>
            </w:pPr>
            <w:r w:rsidRPr="00463088">
              <w:t>TreeAge Pro, inputs/results displayed in Microsoft Excel</w:t>
            </w:r>
          </w:p>
        </w:tc>
      </w:tr>
    </w:tbl>
    <w:p w14:paraId="1F0C6722" w14:textId="77777777" w:rsidR="005E1CA4" w:rsidRPr="00CE28E3" w:rsidRDefault="005E1CA4" w:rsidP="005E1CA4">
      <w:pPr>
        <w:pStyle w:val="TableFigNoteLast"/>
      </w:pPr>
      <w:r>
        <w:t>ENT = ear, nose and throat; OSA = obstructive sleep apnoea, PSG = polysomnography.</w:t>
      </w:r>
    </w:p>
    <w:p w14:paraId="39DD5673" w14:textId="6B9DA5B7" w:rsidR="005E1CA4" w:rsidRPr="00395DB7" w:rsidRDefault="005E1CA4" w:rsidP="005E1CA4">
      <w:pPr>
        <w:rPr>
          <w:rFonts w:ascii="Franklin Gothic Book" w:hAnsi="Franklin Gothic Book"/>
        </w:rPr>
      </w:pPr>
      <w:r w:rsidRPr="00395DB7">
        <w:rPr>
          <w:rFonts w:ascii="Franklin Gothic Book" w:hAnsi="Franklin Gothic Book"/>
        </w:rPr>
        <w:t xml:space="preserve">A decision tree was constructed simulating the passage of children and adolescents at significant risk of OSA to either Level 3 CRP (intervention) or to no sleep study (comparator). The transition probabilities were derived from non-randomised studies and where no published data were available, expert opinion. A summary of the inputs for the cost-effectiveness analysis are provided in </w:t>
      </w:r>
      <w:r w:rsidRPr="00395DB7">
        <w:rPr>
          <w:rFonts w:ascii="Franklin Gothic Book" w:hAnsi="Franklin Gothic Book"/>
        </w:rPr>
        <w:fldChar w:fldCharType="begin"/>
      </w:r>
      <w:r w:rsidRPr="00395DB7">
        <w:rPr>
          <w:rFonts w:ascii="Franklin Gothic Book" w:hAnsi="Franklin Gothic Book"/>
        </w:rPr>
        <w:instrText xml:space="preserve"> REF _Ref150252785 \h </w:instrText>
      </w:r>
      <w:r w:rsid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Table </w:t>
      </w:r>
      <w:r w:rsidRPr="00395DB7">
        <w:rPr>
          <w:rFonts w:ascii="Franklin Gothic Book" w:hAnsi="Franklin Gothic Book"/>
          <w:noProof/>
        </w:rPr>
        <w:t>13</w:t>
      </w:r>
      <w:r w:rsidRPr="00395DB7">
        <w:rPr>
          <w:rFonts w:ascii="Franklin Gothic Book" w:hAnsi="Franklin Gothic Book"/>
        </w:rPr>
        <w:fldChar w:fldCharType="end"/>
      </w:r>
      <w:r w:rsidRPr="00395DB7">
        <w:rPr>
          <w:rFonts w:ascii="Franklin Gothic Book" w:hAnsi="Franklin Gothic Book"/>
        </w:rPr>
        <w:t>.</w:t>
      </w:r>
    </w:p>
    <w:p w14:paraId="7B4A3E1C" w14:textId="3CF8BBCE" w:rsidR="005E1CA4" w:rsidRDefault="005E1CA4" w:rsidP="008D5D0C">
      <w:pPr>
        <w:pStyle w:val="Caption"/>
        <w:keepLines/>
      </w:pPr>
      <w:bookmarkStart w:id="48" w:name="_Ref150252785"/>
      <w:r w:rsidRPr="00CE28E3">
        <w:t>Table</w:t>
      </w:r>
      <w:r>
        <w:t> </w:t>
      </w:r>
      <w:fldSimple w:instr=" SEQ Table \* ARABIC ">
        <w:r>
          <w:rPr>
            <w:noProof/>
          </w:rPr>
          <w:t>13</w:t>
        </w:r>
      </w:fldSimple>
      <w:bookmarkEnd w:id="48"/>
      <w:r w:rsidRPr="00CE28E3">
        <w:tab/>
        <w:t>Summary of the inputs used in the economic evaluation</w:t>
      </w:r>
    </w:p>
    <w:tbl>
      <w:tblPr>
        <w:tblStyle w:val="TableGrid1"/>
        <w:tblW w:w="0" w:type="auto"/>
        <w:tblLook w:val="04A0" w:firstRow="1" w:lastRow="0" w:firstColumn="1" w:lastColumn="0" w:noHBand="0" w:noVBand="1"/>
        <w:tblCaption w:val="Summary of the inputs used in the economic evaluation"/>
        <w:tblDescription w:val="This table presents the value and source for the parameters used in the economic evaluation for PICO Set 2. "/>
      </w:tblPr>
      <w:tblGrid>
        <w:gridCol w:w="4084"/>
        <w:gridCol w:w="1037"/>
        <w:gridCol w:w="3895"/>
      </w:tblGrid>
      <w:tr w:rsidR="005E1CA4" w:rsidRPr="00CE28E3" w14:paraId="425C1BAE" w14:textId="77777777" w:rsidTr="000A427B">
        <w:trPr>
          <w:cnfStyle w:val="100000000000" w:firstRow="1" w:lastRow="0" w:firstColumn="0" w:lastColumn="0" w:oddVBand="0" w:evenVBand="0" w:oddHBand="0" w:evenHBand="0" w:firstRowFirstColumn="0" w:firstRowLastColumn="0" w:lastRowFirstColumn="0" w:lastRowLastColumn="0"/>
          <w:tblHeader/>
        </w:trPr>
        <w:tc>
          <w:tcPr>
            <w:tcW w:w="4084" w:type="dxa"/>
            <w:tcBorders>
              <w:bottom w:val="single" w:sz="4" w:space="0" w:color="auto"/>
            </w:tcBorders>
          </w:tcPr>
          <w:p w14:paraId="6A3DAB2F" w14:textId="77777777" w:rsidR="005E1CA4" w:rsidRPr="000A7BA6" w:rsidRDefault="005E1CA4" w:rsidP="008D5D0C">
            <w:pPr>
              <w:pStyle w:val="TableHeading0"/>
              <w:keepNext/>
              <w:keepLines/>
            </w:pPr>
            <w:r w:rsidRPr="000A7BA6">
              <w:t>Parameter</w:t>
            </w:r>
          </w:p>
        </w:tc>
        <w:tc>
          <w:tcPr>
            <w:tcW w:w="1037" w:type="dxa"/>
            <w:tcBorders>
              <w:bottom w:val="single" w:sz="4" w:space="0" w:color="auto"/>
            </w:tcBorders>
          </w:tcPr>
          <w:p w14:paraId="5ADD2362" w14:textId="77777777" w:rsidR="005E1CA4" w:rsidRPr="000A7BA6" w:rsidRDefault="005E1CA4" w:rsidP="008D5D0C">
            <w:pPr>
              <w:pStyle w:val="TableHeading0"/>
              <w:keepNext/>
              <w:keepLines/>
            </w:pPr>
            <w:r w:rsidRPr="000A7BA6">
              <w:t>Value</w:t>
            </w:r>
          </w:p>
        </w:tc>
        <w:tc>
          <w:tcPr>
            <w:tcW w:w="3895" w:type="dxa"/>
            <w:tcBorders>
              <w:bottom w:val="single" w:sz="4" w:space="0" w:color="auto"/>
            </w:tcBorders>
          </w:tcPr>
          <w:p w14:paraId="70A3435C" w14:textId="77777777" w:rsidR="005E1CA4" w:rsidRPr="000A7BA6" w:rsidRDefault="005E1CA4" w:rsidP="008D5D0C">
            <w:pPr>
              <w:pStyle w:val="TableHeading0"/>
              <w:keepNext/>
              <w:keepLines/>
            </w:pPr>
            <w:r w:rsidRPr="000A7BA6">
              <w:t>Source</w:t>
            </w:r>
          </w:p>
        </w:tc>
      </w:tr>
      <w:tr w:rsidR="005E1CA4" w:rsidRPr="00CE28E3" w14:paraId="10801B40" w14:textId="77777777" w:rsidTr="000A427B">
        <w:tc>
          <w:tcPr>
            <w:tcW w:w="4084" w:type="dxa"/>
            <w:tcBorders>
              <w:right w:val="nil"/>
            </w:tcBorders>
          </w:tcPr>
          <w:p w14:paraId="629EB468" w14:textId="77777777" w:rsidR="005E1CA4" w:rsidRPr="000A7BA6" w:rsidRDefault="005E1CA4" w:rsidP="008D5D0C">
            <w:pPr>
              <w:pStyle w:val="TableHeading"/>
              <w:keepLines/>
            </w:pPr>
            <w:r w:rsidRPr="000A7BA6">
              <w:t>Transition probabilities</w:t>
            </w:r>
          </w:p>
        </w:tc>
        <w:tc>
          <w:tcPr>
            <w:tcW w:w="1037" w:type="dxa"/>
            <w:tcBorders>
              <w:left w:val="nil"/>
              <w:right w:val="nil"/>
            </w:tcBorders>
          </w:tcPr>
          <w:p w14:paraId="7D7BDD95" w14:textId="77777777" w:rsidR="005E1CA4" w:rsidRPr="000A7BA6" w:rsidRDefault="005E1CA4" w:rsidP="008D5D0C">
            <w:pPr>
              <w:pStyle w:val="TableHeading"/>
              <w:keepLines/>
            </w:pPr>
          </w:p>
        </w:tc>
        <w:tc>
          <w:tcPr>
            <w:tcW w:w="3895" w:type="dxa"/>
            <w:tcBorders>
              <w:left w:val="nil"/>
            </w:tcBorders>
          </w:tcPr>
          <w:p w14:paraId="13F09B3C" w14:textId="77777777" w:rsidR="005E1CA4" w:rsidRPr="000A7BA6" w:rsidRDefault="005E1CA4" w:rsidP="008D5D0C">
            <w:pPr>
              <w:pStyle w:val="TableHeading"/>
              <w:keepLines/>
            </w:pPr>
          </w:p>
        </w:tc>
      </w:tr>
      <w:tr w:rsidR="005E1CA4" w:rsidRPr="00CE28E3" w14:paraId="26DF8EB0" w14:textId="77777777" w:rsidTr="000A427B">
        <w:tc>
          <w:tcPr>
            <w:tcW w:w="4084" w:type="dxa"/>
            <w:tcBorders>
              <w:bottom w:val="single" w:sz="4" w:space="0" w:color="auto"/>
            </w:tcBorders>
          </w:tcPr>
          <w:p w14:paraId="1DA2208C" w14:textId="77777777" w:rsidR="005E1CA4" w:rsidRPr="000A7BA6" w:rsidRDefault="005E1CA4" w:rsidP="008D5D0C">
            <w:pPr>
              <w:pStyle w:val="TableText"/>
              <w:keepNext/>
              <w:keepLines/>
            </w:pPr>
            <w:r w:rsidRPr="000A7BA6">
              <w:t>Expected prevalence</w:t>
            </w:r>
          </w:p>
        </w:tc>
        <w:tc>
          <w:tcPr>
            <w:tcW w:w="1037" w:type="dxa"/>
            <w:tcBorders>
              <w:bottom w:val="single" w:sz="4" w:space="0" w:color="auto"/>
            </w:tcBorders>
          </w:tcPr>
          <w:p w14:paraId="6FC75A79" w14:textId="77777777" w:rsidR="005E1CA4" w:rsidRPr="000A7BA6" w:rsidRDefault="005E1CA4" w:rsidP="008D5D0C">
            <w:pPr>
              <w:pStyle w:val="TableText"/>
              <w:keepNext/>
              <w:keepLines/>
            </w:pPr>
            <w:r w:rsidRPr="000A7BA6">
              <w:t>40%</w:t>
            </w:r>
          </w:p>
        </w:tc>
        <w:tc>
          <w:tcPr>
            <w:tcW w:w="3895" w:type="dxa"/>
            <w:tcBorders>
              <w:bottom w:val="single" w:sz="4" w:space="0" w:color="auto"/>
            </w:tcBorders>
          </w:tcPr>
          <w:p w14:paraId="4DE6B5F6" w14:textId="77777777" w:rsidR="005E1CA4" w:rsidRPr="000A7BA6" w:rsidRDefault="005E1CA4" w:rsidP="008D5D0C">
            <w:pPr>
              <w:pStyle w:val="TableText"/>
              <w:keepNext/>
              <w:keepLines/>
            </w:pPr>
            <w:r w:rsidRPr="000A7BA6">
              <w:t>Assumption – clinical experts</w:t>
            </w:r>
          </w:p>
        </w:tc>
      </w:tr>
      <w:tr w:rsidR="005E1CA4" w:rsidRPr="00CE28E3" w14:paraId="23BF27AB" w14:textId="77777777" w:rsidTr="000A427B">
        <w:tc>
          <w:tcPr>
            <w:tcW w:w="4084" w:type="dxa"/>
            <w:tcBorders>
              <w:bottom w:val="single" w:sz="4" w:space="0" w:color="auto"/>
            </w:tcBorders>
          </w:tcPr>
          <w:p w14:paraId="6971B420" w14:textId="77777777" w:rsidR="005E1CA4" w:rsidRPr="000A7BA6" w:rsidRDefault="005E1CA4" w:rsidP="008D5D0C">
            <w:pPr>
              <w:pStyle w:val="TableText"/>
              <w:keepNext/>
              <w:keepLines/>
            </w:pPr>
            <w:r w:rsidRPr="000A7BA6">
              <w:t>Sensitivity</w:t>
            </w:r>
            <w:r>
              <w:t xml:space="preserve"> – intervention</w:t>
            </w:r>
          </w:p>
        </w:tc>
        <w:tc>
          <w:tcPr>
            <w:tcW w:w="1037" w:type="dxa"/>
            <w:tcBorders>
              <w:bottom w:val="single" w:sz="4" w:space="0" w:color="auto"/>
            </w:tcBorders>
          </w:tcPr>
          <w:p w14:paraId="4A1826B0" w14:textId="77777777" w:rsidR="005E1CA4" w:rsidRPr="000A7BA6" w:rsidRDefault="005E1CA4" w:rsidP="008D5D0C">
            <w:pPr>
              <w:pStyle w:val="TableText"/>
              <w:keepNext/>
              <w:keepLines/>
            </w:pPr>
            <w:r w:rsidRPr="000A7BA6">
              <w:t>60%</w:t>
            </w:r>
          </w:p>
        </w:tc>
        <w:tc>
          <w:tcPr>
            <w:tcW w:w="3895" w:type="dxa"/>
            <w:tcBorders>
              <w:bottom w:val="single" w:sz="4" w:space="0" w:color="auto"/>
            </w:tcBorders>
          </w:tcPr>
          <w:p w14:paraId="1B90F978" w14:textId="77777777" w:rsidR="005E1CA4" w:rsidRPr="000A7BA6" w:rsidRDefault="005E1CA4" w:rsidP="008D5D0C">
            <w:pPr>
              <w:pStyle w:val="TableText"/>
              <w:keepNext/>
              <w:keepLines/>
            </w:pPr>
            <w:r w:rsidRPr="000A7BA6">
              <w:t xml:space="preserve">Kissow Lidal et al. 2023 </w:t>
            </w:r>
          </w:p>
        </w:tc>
      </w:tr>
      <w:tr w:rsidR="005E1CA4" w:rsidRPr="00CE28E3" w14:paraId="304F410D" w14:textId="77777777" w:rsidTr="000A427B">
        <w:tc>
          <w:tcPr>
            <w:tcW w:w="4084" w:type="dxa"/>
            <w:tcBorders>
              <w:bottom w:val="single" w:sz="4" w:space="0" w:color="auto"/>
            </w:tcBorders>
          </w:tcPr>
          <w:p w14:paraId="77619200" w14:textId="77777777" w:rsidR="005E1CA4" w:rsidRPr="000A7BA6" w:rsidRDefault="005E1CA4" w:rsidP="000A427B">
            <w:pPr>
              <w:pStyle w:val="TableText"/>
            </w:pPr>
            <w:r w:rsidRPr="000A7BA6">
              <w:t xml:space="preserve">Specificity </w:t>
            </w:r>
            <w:r>
              <w:t>– intervention</w:t>
            </w:r>
          </w:p>
        </w:tc>
        <w:tc>
          <w:tcPr>
            <w:tcW w:w="1037" w:type="dxa"/>
            <w:tcBorders>
              <w:bottom w:val="single" w:sz="4" w:space="0" w:color="auto"/>
            </w:tcBorders>
          </w:tcPr>
          <w:p w14:paraId="752B03C1" w14:textId="77777777" w:rsidR="005E1CA4" w:rsidRPr="000A7BA6" w:rsidRDefault="005E1CA4" w:rsidP="000A427B">
            <w:pPr>
              <w:pStyle w:val="TableText"/>
            </w:pPr>
            <w:r w:rsidRPr="000A7BA6">
              <w:t>100%</w:t>
            </w:r>
          </w:p>
        </w:tc>
        <w:tc>
          <w:tcPr>
            <w:tcW w:w="3895" w:type="dxa"/>
            <w:tcBorders>
              <w:bottom w:val="single" w:sz="4" w:space="0" w:color="auto"/>
            </w:tcBorders>
          </w:tcPr>
          <w:p w14:paraId="0E3C09C3" w14:textId="77777777" w:rsidR="005E1CA4" w:rsidRPr="000A7BA6" w:rsidRDefault="005E1CA4" w:rsidP="000A427B">
            <w:pPr>
              <w:pStyle w:val="TableText"/>
            </w:pPr>
            <w:r w:rsidRPr="000A7BA6">
              <w:t>Kissow Lidal et al. 2023</w:t>
            </w:r>
          </w:p>
        </w:tc>
      </w:tr>
      <w:tr w:rsidR="005E1CA4" w:rsidRPr="00CE28E3" w14:paraId="4866B430" w14:textId="77777777" w:rsidTr="000A427B">
        <w:tc>
          <w:tcPr>
            <w:tcW w:w="4084" w:type="dxa"/>
            <w:tcBorders>
              <w:bottom w:val="single" w:sz="4" w:space="0" w:color="auto"/>
            </w:tcBorders>
          </w:tcPr>
          <w:p w14:paraId="6B7F66F0" w14:textId="77777777" w:rsidR="005E1CA4" w:rsidRPr="000A7BA6" w:rsidRDefault="005E1CA4" w:rsidP="000A427B">
            <w:pPr>
              <w:pStyle w:val="TableText"/>
            </w:pPr>
            <w:r w:rsidRPr="000A7BA6">
              <w:t xml:space="preserve">True positive </w:t>
            </w:r>
            <w:r>
              <w:t>– intervention</w:t>
            </w:r>
          </w:p>
        </w:tc>
        <w:tc>
          <w:tcPr>
            <w:tcW w:w="1037" w:type="dxa"/>
            <w:tcBorders>
              <w:bottom w:val="single" w:sz="4" w:space="0" w:color="auto"/>
            </w:tcBorders>
          </w:tcPr>
          <w:p w14:paraId="119CEF84" w14:textId="77777777" w:rsidR="005E1CA4" w:rsidRPr="000A7BA6" w:rsidRDefault="005E1CA4" w:rsidP="000A427B">
            <w:pPr>
              <w:pStyle w:val="TableText"/>
            </w:pPr>
            <w:r w:rsidRPr="000A7BA6">
              <w:t>24%</w:t>
            </w:r>
          </w:p>
        </w:tc>
        <w:tc>
          <w:tcPr>
            <w:tcW w:w="3895" w:type="dxa"/>
            <w:tcBorders>
              <w:bottom w:val="single" w:sz="4" w:space="0" w:color="auto"/>
            </w:tcBorders>
          </w:tcPr>
          <w:p w14:paraId="4C9D44D6" w14:textId="77777777" w:rsidR="005E1CA4" w:rsidRPr="000A7BA6" w:rsidRDefault="005E1CA4" w:rsidP="000A427B">
            <w:pPr>
              <w:pStyle w:val="TableText"/>
            </w:pPr>
            <w:r w:rsidRPr="000A7BA6">
              <w:t>Calculated, prevalence * sensitivity</w:t>
            </w:r>
          </w:p>
        </w:tc>
      </w:tr>
      <w:tr w:rsidR="005E1CA4" w:rsidRPr="00CE28E3" w14:paraId="5A38E4D1" w14:textId="77777777" w:rsidTr="000A427B">
        <w:tc>
          <w:tcPr>
            <w:tcW w:w="4084" w:type="dxa"/>
            <w:tcBorders>
              <w:bottom w:val="single" w:sz="4" w:space="0" w:color="auto"/>
            </w:tcBorders>
          </w:tcPr>
          <w:p w14:paraId="271B653D" w14:textId="77777777" w:rsidR="005E1CA4" w:rsidRPr="000A7BA6" w:rsidRDefault="005E1CA4" w:rsidP="000A427B">
            <w:pPr>
              <w:pStyle w:val="TableText"/>
            </w:pPr>
            <w:r w:rsidRPr="000A7BA6">
              <w:t xml:space="preserve">False positive </w:t>
            </w:r>
            <w:r>
              <w:t>– intervention</w:t>
            </w:r>
          </w:p>
        </w:tc>
        <w:tc>
          <w:tcPr>
            <w:tcW w:w="1037" w:type="dxa"/>
            <w:tcBorders>
              <w:bottom w:val="single" w:sz="4" w:space="0" w:color="auto"/>
            </w:tcBorders>
          </w:tcPr>
          <w:p w14:paraId="610799CB" w14:textId="77777777" w:rsidR="005E1CA4" w:rsidRPr="000A7BA6" w:rsidRDefault="005E1CA4" w:rsidP="000A427B">
            <w:pPr>
              <w:pStyle w:val="TableText"/>
            </w:pPr>
            <w:r w:rsidRPr="000A7BA6">
              <w:t>0%</w:t>
            </w:r>
          </w:p>
        </w:tc>
        <w:tc>
          <w:tcPr>
            <w:tcW w:w="3895" w:type="dxa"/>
            <w:tcBorders>
              <w:bottom w:val="single" w:sz="4" w:space="0" w:color="auto"/>
            </w:tcBorders>
          </w:tcPr>
          <w:p w14:paraId="7BA3E945" w14:textId="77777777" w:rsidR="005E1CA4" w:rsidRPr="000A7BA6" w:rsidRDefault="005E1CA4" w:rsidP="000A427B">
            <w:pPr>
              <w:pStyle w:val="TableText"/>
            </w:pPr>
            <w:r w:rsidRPr="000A7BA6">
              <w:t>Calculated, (1 – specificity) * (1 – prevalence)</w:t>
            </w:r>
          </w:p>
        </w:tc>
      </w:tr>
      <w:tr w:rsidR="005E1CA4" w:rsidRPr="00CE28E3" w14:paraId="456B5404" w14:textId="77777777" w:rsidTr="000A427B">
        <w:tc>
          <w:tcPr>
            <w:tcW w:w="4084" w:type="dxa"/>
            <w:tcBorders>
              <w:bottom w:val="single" w:sz="4" w:space="0" w:color="auto"/>
            </w:tcBorders>
          </w:tcPr>
          <w:p w14:paraId="53AEFD5E" w14:textId="77777777" w:rsidR="005E1CA4" w:rsidRPr="000A7BA6" w:rsidRDefault="005E1CA4" w:rsidP="000A427B">
            <w:pPr>
              <w:pStyle w:val="TableText"/>
            </w:pPr>
            <w:r w:rsidRPr="000A7BA6">
              <w:t>True negative</w:t>
            </w:r>
            <w:r>
              <w:t xml:space="preserve"> – intervention</w:t>
            </w:r>
          </w:p>
        </w:tc>
        <w:tc>
          <w:tcPr>
            <w:tcW w:w="1037" w:type="dxa"/>
            <w:tcBorders>
              <w:bottom w:val="single" w:sz="4" w:space="0" w:color="auto"/>
            </w:tcBorders>
          </w:tcPr>
          <w:p w14:paraId="7B3AD803" w14:textId="77777777" w:rsidR="005E1CA4" w:rsidRPr="000A7BA6" w:rsidRDefault="005E1CA4" w:rsidP="000A427B">
            <w:pPr>
              <w:pStyle w:val="TableText"/>
            </w:pPr>
            <w:r w:rsidRPr="000A7BA6">
              <w:t>60%</w:t>
            </w:r>
          </w:p>
        </w:tc>
        <w:tc>
          <w:tcPr>
            <w:tcW w:w="3895" w:type="dxa"/>
            <w:tcBorders>
              <w:bottom w:val="single" w:sz="4" w:space="0" w:color="auto"/>
            </w:tcBorders>
          </w:tcPr>
          <w:p w14:paraId="1B7DD544" w14:textId="77777777" w:rsidR="005E1CA4" w:rsidRPr="000A7BA6" w:rsidRDefault="005E1CA4" w:rsidP="000A427B">
            <w:pPr>
              <w:pStyle w:val="TableText"/>
            </w:pPr>
            <w:r w:rsidRPr="000A7BA6">
              <w:t>Calculated, specificity * (1 – prevalence)</w:t>
            </w:r>
          </w:p>
        </w:tc>
      </w:tr>
      <w:tr w:rsidR="005E1CA4" w:rsidRPr="00CE28E3" w14:paraId="22E3DE51" w14:textId="77777777" w:rsidTr="000A427B">
        <w:tc>
          <w:tcPr>
            <w:tcW w:w="4084" w:type="dxa"/>
            <w:tcBorders>
              <w:bottom w:val="single" w:sz="4" w:space="0" w:color="auto"/>
            </w:tcBorders>
          </w:tcPr>
          <w:p w14:paraId="4182EDC7" w14:textId="77777777" w:rsidR="005E1CA4" w:rsidRPr="000A7BA6" w:rsidRDefault="005E1CA4" w:rsidP="000A427B">
            <w:pPr>
              <w:pStyle w:val="TableText"/>
            </w:pPr>
            <w:r w:rsidRPr="000A7BA6">
              <w:t xml:space="preserve">False negative </w:t>
            </w:r>
            <w:r>
              <w:t>– intervention</w:t>
            </w:r>
          </w:p>
        </w:tc>
        <w:tc>
          <w:tcPr>
            <w:tcW w:w="1037" w:type="dxa"/>
            <w:tcBorders>
              <w:bottom w:val="single" w:sz="4" w:space="0" w:color="auto"/>
            </w:tcBorders>
          </w:tcPr>
          <w:p w14:paraId="56E8BA57" w14:textId="77777777" w:rsidR="005E1CA4" w:rsidRPr="000A7BA6" w:rsidRDefault="005E1CA4" w:rsidP="000A427B">
            <w:pPr>
              <w:pStyle w:val="TableText"/>
            </w:pPr>
            <w:r w:rsidRPr="000A7BA6">
              <w:t>16%</w:t>
            </w:r>
          </w:p>
        </w:tc>
        <w:tc>
          <w:tcPr>
            <w:tcW w:w="3895" w:type="dxa"/>
            <w:tcBorders>
              <w:bottom w:val="single" w:sz="4" w:space="0" w:color="auto"/>
            </w:tcBorders>
          </w:tcPr>
          <w:p w14:paraId="39418DA6" w14:textId="77777777" w:rsidR="005E1CA4" w:rsidRPr="000A7BA6" w:rsidRDefault="005E1CA4" w:rsidP="000A427B">
            <w:pPr>
              <w:pStyle w:val="TableText"/>
            </w:pPr>
            <w:r w:rsidRPr="000A7BA6">
              <w:t>Calculated, (1 – sensitivity) * prevalence</w:t>
            </w:r>
          </w:p>
        </w:tc>
      </w:tr>
      <w:tr w:rsidR="005E1CA4" w:rsidRPr="00CE28E3" w14:paraId="0FB7D254" w14:textId="77777777" w:rsidTr="000A427B">
        <w:tc>
          <w:tcPr>
            <w:tcW w:w="4084" w:type="dxa"/>
            <w:tcBorders>
              <w:bottom w:val="single" w:sz="4" w:space="0" w:color="auto"/>
            </w:tcBorders>
          </w:tcPr>
          <w:p w14:paraId="1AD48812" w14:textId="77777777" w:rsidR="005E1CA4" w:rsidRPr="000A7BA6" w:rsidRDefault="005E1CA4" w:rsidP="000A427B">
            <w:pPr>
              <w:pStyle w:val="TableText"/>
            </w:pPr>
            <w:r w:rsidRPr="000A7BA6">
              <w:lastRenderedPageBreak/>
              <w:t xml:space="preserve">Level 3 </w:t>
            </w:r>
            <w:r>
              <w:t xml:space="preserve">CRP </w:t>
            </w:r>
            <w:r w:rsidRPr="000A7BA6">
              <w:t>technical failure or inconclusive test</w:t>
            </w:r>
          </w:p>
        </w:tc>
        <w:tc>
          <w:tcPr>
            <w:tcW w:w="1037" w:type="dxa"/>
            <w:tcBorders>
              <w:bottom w:val="single" w:sz="4" w:space="0" w:color="auto"/>
            </w:tcBorders>
          </w:tcPr>
          <w:p w14:paraId="6674C851" w14:textId="77777777" w:rsidR="005E1CA4" w:rsidRPr="000A7BA6" w:rsidRDefault="005E1CA4" w:rsidP="000A427B">
            <w:pPr>
              <w:pStyle w:val="TableText"/>
            </w:pPr>
            <w:r w:rsidRPr="000A7BA6">
              <w:t>15%</w:t>
            </w:r>
          </w:p>
        </w:tc>
        <w:tc>
          <w:tcPr>
            <w:tcW w:w="3895" w:type="dxa"/>
            <w:tcBorders>
              <w:bottom w:val="single" w:sz="4" w:space="0" w:color="auto"/>
            </w:tcBorders>
          </w:tcPr>
          <w:p w14:paraId="2935CAF5" w14:textId="77777777" w:rsidR="005E1CA4" w:rsidRPr="000A7BA6" w:rsidRDefault="005E1CA4" w:rsidP="000A427B">
            <w:pPr>
              <w:pStyle w:val="TableText"/>
            </w:pPr>
            <w:r w:rsidRPr="000A7BA6">
              <w:t xml:space="preserve">Included studies </w:t>
            </w:r>
            <w:r>
              <w:t xml:space="preserve">(see </w:t>
            </w:r>
            <w:r>
              <w:fldChar w:fldCharType="begin"/>
            </w:r>
            <w:r>
              <w:instrText xml:space="preserve"> REF _Ref150181803 \w \h  \* MERGEFORMAT </w:instrText>
            </w:r>
            <w:r>
              <w:fldChar w:fldCharType="separate"/>
            </w:r>
            <w:r>
              <w:t>Section 2</w:t>
            </w:r>
            <w:r>
              <w:fldChar w:fldCharType="end"/>
            </w:r>
            <w:r>
              <w:t xml:space="preserve">, </w:t>
            </w:r>
            <w:r>
              <w:fldChar w:fldCharType="begin"/>
            </w:r>
            <w:r>
              <w:instrText xml:space="preserve"> REF _Ref149142467 \h  \* MERGEFORMAT </w:instrText>
            </w:r>
            <w:r>
              <w:fldChar w:fldCharType="separate"/>
            </w:r>
            <w:r>
              <w:t xml:space="preserve">Table </w:t>
            </w:r>
            <w:r>
              <w:rPr>
                <w:noProof/>
              </w:rPr>
              <w:t>58</w:t>
            </w:r>
            <w:r>
              <w:fldChar w:fldCharType="end"/>
            </w:r>
            <w:r>
              <w:t xml:space="preserve"> and </w:t>
            </w:r>
            <w:r>
              <w:fldChar w:fldCharType="begin"/>
            </w:r>
            <w:r>
              <w:instrText xml:space="preserve"> REF _Ref149555376 \h  \* MERGEFORMAT </w:instrText>
            </w:r>
            <w:r>
              <w:fldChar w:fldCharType="separate"/>
            </w:r>
            <w:r>
              <w:t xml:space="preserve">Table </w:t>
            </w:r>
            <w:r>
              <w:rPr>
                <w:noProof/>
              </w:rPr>
              <w:t>59</w:t>
            </w:r>
            <w:r>
              <w:fldChar w:fldCharType="end"/>
            </w:r>
            <w:r>
              <w:t>)</w:t>
            </w:r>
          </w:p>
        </w:tc>
      </w:tr>
      <w:tr w:rsidR="005E1CA4" w:rsidRPr="00CE28E3" w14:paraId="42895B0C" w14:textId="77777777" w:rsidTr="000A427B">
        <w:tc>
          <w:tcPr>
            <w:tcW w:w="4084" w:type="dxa"/>
            <w:tcBorders>
              <w:bottom w:val="single" w:sz="4" w:space="0" w:color="auto"/>
            </w:tcBorders>
          </w:tcPr>
          <w:p w14:paraId="1A0C9245" w14:textId="77777777" w:rsidR="005E1CA4" w:rsidRPr="000A7BA6" w:rsidRDefault="005E1CA4" w:rsidP="000A427B">
            <w:pPr>
              <w:pStyle w:val="TableText"/>
            </w:pPr>
            <w:r w:rsidRPr="000A7BA6">
              <w:t xml:space="preserve">Second </w:t>
            </w:r>
            <w:r>
              <w:t>L</w:t>
            </w:r>
            <w:r w:rsidRPr="000A7BA6">
              <w:t>evel 3</w:t>
            </w:r>
            <w:r>
              <w:t xml:space="preserve"> CRP</w:t>
            </w:r>
            <w:r w:rsidRPr="000A7BA6">
              <w:t xml:space="preserve"> technical failure or inconclusive test</w:t>
            </w:r>
          </w:p>
        </w:tc>
        <w:tc>
          <w:tcPr>
            <w:tcW w:w="1037" w:type="dxa"/>
            <w:tcBorders>
              <w:bottom w:val="single" w:sz="4" w:space="0" w:color="auto"/>
            </w:tcBorders>
          </w:tcPr>
          <w:p w14:paraId="6F542BEB" w14:textId="77777777" w:rsidR="005E1CA4" w:rsidRPr="000A7BA6" w:rsidRDefault="005E1CA4" w:rsidP="000A427B">
            <w:pPr>
              <w:pStyle w:val="TableText"/>
            </w:pPr>
            <w:r w:rsidRPr="000A7BA6">
              <w:t>9%</w:t>
            </w:r>
          </w:p>
        </w:tc>
        <w:tc>
          <w:tcPr>
            <w:tcW w:w="3895" w:type="dxa"/>
            <w:tcBorders>
              <w:bottom w:val="single" w:sz="4" w:space="0" w:color="auto"/>
            </w:tcBorders>
          </w:tcPr>
          <w:p w14:paraId="0B25C1D2" w14:textId="77777777" w:rsidR="005E1CA4" w:rsidRPr="000A7BA6" w:rsidRDefault="005E1CA4" w:rsidP="000A427B">
            <w:pPr>
              <w:pStyle w:val="TableText"/>
            </w:pPr>
            <w:r w:rsidRPr="000A7BA6">
              <w:t>Assumption</w:t>
            </w:r>
          </w:p>
        </w:tc>
      </w:tr>
      <w:tr w:rsidR="005E1CA4" w:rsidRPr="00CE28E3" w14:paraId="5A7CD8BF" w14:textId="77777777" w:rsidTr="000A427B">
        <w:tc>
          <w:tcPr>
            <w:tcW w:w="4084" w:type="dxa"/>
            <w:tcBorders>
              <w:bottom w:val="single" w:sz="4" w:space="0" w:color="auto"/>
            </w:tcBorders>
          </w:tcPr>
          <w:p w14:paraId="2A76B952" w14:textId="77777777" w:rsidR="005E1CA4" w:rsidRPr="000A7BA6" w:rsidRDefault="005E1CA4" w:rsidP="000A427B">
            <w:pPr>
              <w:pStyle w:val="TableText"/>
            </w:pPr>
            <w:r w:rsidRPr="000A7BA6">
              <w:t xml:space="preserve">Third </w:t>
            </w:r>
            <w:r>
              <w:t>L</w:t>
            </w:r>
            <w:r w:rsidRPr="000A7BA6">
              <w:t>evel 3</w:t>
            </w:r>
            <w:r>
              <w:t xml:space="preserve"> CRP</w:t>
            </w:r>
            <w:r w:rsidRPr="000A7BA6">
              <w:t xml:space="preserve"> technical failure or inconclusive test</w:t>
            </w:r>
          </w:p>
        </w:tc>
        <w:tc>
          <w:tcPr>
            <w:tcW w:w="1037" w:type="dxa"/>
            <w:tcBorders>
              <w:bottom w:val="single" w:sz="4" w:space="0" w:color="auto"/>
            </w:tcBorders>
          </w:tcPr>
          <w:p w14:paraId="27B05017" w14:textId="77777777" w:rsidR="005E1CA4" w:rsidRPr="000A7BA6" w:rsidRDefault="005E1CA4" w:rsidP="000A427B">
            <w:pPr>
              <w:pStyle w:val="TableText"/>
            </w:pPr>
            <w:r w:rsidRPr="000A7BA6">
              <w:t>6%</w:t>
            </w:r>
          </w:p>
        </w:tc>
        <w:tc>
          <w:tcPr>
            <w:tcW w:w="3895" w:type="dxa"/>
            <w:tcBorders>
              <w:bottom w:val="single" w:sz="4" w:space="0" w:color="auto"/>
            </w:tcBorders>
          </w:tcPr>
          <w:p w14:paraId="31FD38E8" w14:textId="77777777" w:rsidR="005E1CA4" w:rsidRPr="000A7BA6" w:rsidRDefault="005E1CA4" w:rsidP="000A427B">
            <w:pPr>
              <w:pStyle w:val="TableText"/>
            </w:pPr>
            <w:r w:rsidRPr="000A7BA6">
              <w:t>Assumption</w:t>
            </w:r>
          </w:p>
        </w:tc>
      </w:tr>
      <w:tr w:rsidR="005E1CA4" w:rsidRPr="00CE28E3" w14:paraId="5C76055A" w14:textId="77777777" w:rsidTr="000A427B">
        <w:tc>
          <w:tcPr>
            <w:tcW w:w="4084" w:type="dxa"/>
            <w:tcBorders>
              <w:bottom w:val="single" w:sz="4" w:space="0" w:color="auto"/>
            </w:tcBorders>
          </w:tcPr>
          <w:p w14:paraId="029407A2" w14:textId="77777777" w:rsidR="005E1CA4" w:rsidRPr="000A7BA6" w:rsidRDefault="005E1CA4" w:rsidP="000A427B">
            <w:pPr>
              <w:pStyle w:val="TableText"/>
            </w:pPr>
            <w:r w:rsidRPr="000A7BA6">
              <w:t>Retesting if technical failure or inconclusive</w:t>
            </w:r>
          </w:p>
        </w:tc>
        <w:tc>
          <w:tcPr>
            <w:tcW w:w="1037" w:type="dxa"/>
            <w:tcBorders>
              <w:bottom w:val="single" w:sz="4" w:space="0" w:color="auto"/>
            </w:tcBorders>
          </w:tcPr>
          <w:p w14:paraId="03F58914" w14:textId="77777777" w:rsidR="005E1CA4" w:rsidRPr="000A7BA6" w:rsidRDefault="005E1CA4" w:rsidP="000A427B">
            <w:pPr>
              <w:pStyle w:val="TableText"/>
            </w:pPr>
            <w:r w:rsidRPr="000A7BA6">
              <w:t>50%</w:t>
            </w:r>
          </w:p>
        </w:tc>
        <w:tc>
          <w:tcPr>
            <w:tcW w:w="3895" w:type="dxa"/>
            <w:tcBorders>
              <w:bottom w:val="single" w:sz="4" w:space="0" w:color="auto"/>
            </w:tcBorders>
          </w:tcPr>
          <w:p w14:paraId="7D9872B8" w14:textId="77777777" w:rsidR="005E1CA4" w:rsidRPr="000A7BA6" w:rsidRDefault="005E1CA4" w:rsidP="000A427B">
            <w:pPr>
              <w:pStyle w:val="TableText"/>
            </w:pPr>
            <w:r w:rsidRPr="000A7BA6">
              <w:t>Assumption, 0 if 3 failures</w:t>
            </w:r>
          </w:p>
        </w:tc>
      </w:tr>
      <w:tr w:rsidR="005E1CA4" w:rsidRPr="00CE28E3" w14:paraId="713D02DC" w14:textId="77777777" w:rsidTr="000A427B">
        <w:tc>
          <w:tcPr>
            <w:tcW w:w="4084" w:type="dxa"/>
            <w:tcBorders>
              <w:bottom w:val="single" w:sz="4" w:space="0" w:color="auto"/>
            </w:tcBorders>
          </w:tcPr>
          <w:p w14:paraId="36B83CD1" w14:textId="77777777" w:rsidR="005E1CA4" w:rsidRPr="000A7BA6" w:rsidRDefault="005E1CA4" w:rsidP="000A427B">
            <w:pPr>
              <w:pStyle w:val="TableText"/>
            </w:pPr>
            <w:r w:rsidRPr="000A7BA6">
              <w:t>Tonsillectomy if positive diagnosis from sleep study</w:t>
            </w:r>
          </w:p>
        </w:tc>
        <w:tc>
          <w:tcPr>
            <w:tcW w:w="1037" w:type="dxa"/>
            <w:tcBorders>
              <w:bottom w:val="single" w:sz="4" w:space="0" w:color="auto"/>
            </w:tcBorders>
          </w:tcPr>
          <w:p w14:paraId="5501DFB6" w14:textId="77777777" w:rsidR="005E1CA4" w:rsidRPr="000A7BA6" w:rsidRDefault="005E1CA4" w:rsidP="000A427B">
            <w:pPr>
              <w:pStyle w:val="TableText"/>
            </w:pPr>
            <w:r w:rsidRPr="000A7BA6">
              <w:t>76%</w:t>
            </w:r>
          </w:p>
        </w:tc>
        <w:tc>
          <w:tcPr>
            <w:tcW w:w="3895" w:type="dxa"/>
            <w:tcBorders>
              <w:bottom w:val="single" w:sz="4" w:space="0" w:color="auto"/>
            </w:tcBorders>
          </w:tcPr>
          <w:p w14:paraId="43F03563" w14:textId="77777777" w:rsidR="005E1CA4" w:rsidRPr="000A7BA6" w:rsidRDefault="005E1CA4" w:rsidP="000A427B">
            <w:pPr>
              <w:pStyle w:val="TableText"/>
            </w:pPr>
            <w:proofErr w:type="spellStart"/>
            <w:r w:rsidRPr="000A7BA6">
              <w:t>Chiner</w:t>
            </w:r>
            <w:proofErr w:type="spellEnd"/>
            <w:r w:rsidRPr="000A7BA6">
              <w:t xml:space="preserve"> et al. 2020</w:t>
            </w:r>
          </w:p>
        </w:tc>
      </w:tr>
      <w:tr w:rsidR="005E1CA4" w:rsidRPr="00CE28E3" w14:paraId="1468F2B3" w14:textId="77777777" w:rsidTr="000A427B">
        <w:tc>
          <w:tcPr>
            <w:tcW w:w="4084" w:type="dxa"/>
            <w:tcBorders>
              <w:bottom w:val="single" w:sz="4" w:space="0" w:color="auto"/>
            </w:tcBorders>
          </w:tcPr>
          <w:p w14:paraId="4CA3A157" w14:textId="77777777" w:rsidR="005E1CA4" w:rsidRDefault="005E1CA4" w:rsidP="000A427B">
            <w:pPr>
              <w:pStyle w:val="TableText"/>
            </w:pPr>
            <w:r w:rsidRPr="000A7BA6">
              <w:t>Tonsillectomy if assessed by ENT surgeon</w:t>
            </w:r>
            <w:r w:rsidRPr="000A7BA6" w:rsidDel="0098390A">
              <w:t xml:space="preserve"> </w:t>
            </w:r>
          </w:p>
        </w:tc>
        <w:tc>
          <w:tcPr>
            <w:tcW w:w="1037" w:type="dxa"/>
            <w:tcBorders>
              <w:bottom w:val="single" w:sz="4" w:space="0" w:color="auto"/>
            </w:tcBorders>
          </w:tcPr>
          <w:p w14:paraId="3C716457" w14:textId="77777777" w:rsidR="005E1CA4" w:rsidRDefault="005E1CA4" w:rsidP="000A427B">
            <w:pPr>
              <w:pStyle w:val="TableText"/>
            </w:pPr>
            <w:r w:rsidRPr="000A7BA6">
              <w:t>50%</w:t>
            </w:r>
          </w:p>
        </w:tc>
        <w:tc>
          <w:tcPr>
            <w:tcW w:w="3895" w:type="dxa"/>
            <w:tcBorders>
              <w:bottom w:val="single" w:sz="4" w:space="0" w:color="auto"/>
            </w:tcBorders>
          </w:tcPr>
          <w:p w14:paraId="6523405C" w14:textId="77777777" w:rsidR="005E1CA4" w:rsidRDefault="005E1CA4" w:rsidP="000A427B">
            <w:pPr>
              <w:pStyle w:val="TableText"/>
            </w:pPr>
            <w:r w:rsidRPr="000A7BA6">
              <w:t>Assumption</w:t>
            </w:r>
            <w:r w:rsidRPr="000A7BA6" w:rsidDel="0098390A">
              <w:t xml:space="preserve"> </w:t>
            </w:r>
          </w:p>
        </w:tc>
      </w:tr>
      <w:tr w:rsidR="005E1CA4" w:rsidRPr="00CE28E3" w14:paraId="24B31B6A" w14:textId="77777777" w:rsidTr="000A427B">
        <w:tc>
          <w:tcPr>
            <w:tcW w:w="4084" w:type="dxa"/>
            <w:tcBorders>
              <w:bottom w:val="single" w:sz="4" w:space="0" w:color="auto"/>
            </w:tcBorders>
          </w:tcPr>
          <w:p w14:paraId="19337860" w14:textId="77777777" w:rsidR="005E1CA4" w:rsidRPr="000A7BA6" w:rsidRDefault="005E1CA4" w:rsidP="000A427B">
            <w:pPr>
              <w:pStyle w:val="TableText"/>
            </w:pPr>
            <w:r>
              <w:t>Sensitivity – comparator</w:t>
            </w:r>
          </w:p>
        </w:tc>
        <w:tc>
          <w:tcPr>
            <w:tcW w:w="1037" w:type="dxa"/>
            <w:tcBorders>
              <w:bottom w:val="single" w:sz="4" w:space="0" w:color="auto"/>
            </w:tcBorders>
          </w:tcPr>
          <w:p w14:paraId="669DA8F4" w14:textId="77777777" w:rsidR="005E1CA4" w:rsidRPr="000A7BA6" w:rsidRDefault="005E1CA4" w:rsidP="000A427B">
            <w:pPr>
              <w:pStyle w:val="TableText"/>
            </w:pPr>
            <w:r>
              <w:t>80%</w:t>
            </w:r>
          </w:p>
        </w:tc>
        <w:tc>
          <w:tcPr>
            <w:tcW w:w="3895" w:type="dxa"/>
            <w:tcBorders>
              <w:bottom w:val="single" w:sz="4" w:space="0" w:color="auto"/>
            </w:tcBorders>
          </w:tcPr>
          <w:p w14:paraId="49678DAE" w14:textId="77777777" w:rsidR="005E1CA4" w:rsidRPr="000A7BA6" w:rsidRDefault="005E1CA4" w:rsidP="000A427B">
            <w:pPr>
              <w:pStyle w:val="TableText"/>
            </w:pPr>
            <w:r>
              <w:t>Evans et al. 2023</w:t>
            </w:r>
          </w:p>
        </w:tc>
      </w:tr>
      <w:tr w:rsidR="005E1CA4" w:rsidRPr="00CE28E3" w14:paraId="7DCE23E9" w14:textId="77777777" w:rsidTr="000A427B">
        <w:tc>
          <w:tcPr>
            <w:tcW w:w="4084" w:type="dxa"/>
            <w:tcBorders>
              <w:bottom w:val="single" w:sz="4" w:space="0" w:color="auto"/>
            </w:tcBorders>
          </w:tcPr>
          <w:p w14:paraId="062F64C3" w14:textId="77777777" w:rsidR="005E1CA4" w:rsidRPr="000A7BA6" w:rsidRDefault="005E1CA4" w:rsidP="000A427B">
            <w:pPr>
              <w:pStyle w:val="TableText"/>
            </w:pPr>
            <w:r>
              <w:t>Specificity – comparator</w:t>
            </w:r>
          </w:p>
        </w:tc>
        <w:tc>
          <w:tcPr>
            <w:tcW w:w="1037" w:type="dxa"/>
            <w:tcBorders>
              <w:bottom w:val="single" w:sz="4" w:space="0" w:color="auto"/>
            </w:tcBorders>
          </w:tcPr>
          <w:p w14:paraId="6339499B" w14:textId="77777777" w:rsidR="005E1CA4" w:rsidRPr="000A7BA6" w:rsidRDefault="005E1CA4" w:rsidP="000A427B">
            <w:pPr>
              <w:pStyle w:val="TableText"/>
            </w:pPr>
            <w:r>
              <w:t>50%</w:t>
            </w:r>
          </w:p>
        </w:tc>
        <w:tc>
          <w:tcPr>
            <w:tcW w:w="3895" w:type="dxa"/>
            <w:tcBorders>
              <w:bottom w:val="single" w:sz="4" w:space="0" w:color="auto"/>
            </w:tcBorders>
          </w:tcPr>
          <w:p w14:paraId="27C9A510" w14:textId="77777777" w:rsidR="005E1CA4" w:rsidRPr="000A7BA6" w:rsidRDefault="005E1CA4" w:rsidP="000A427B">
            <w:pPr>
              <w:pStyle w:val="TableText"/>
            </w:pPr>
            <w:r>
              <w:t>Evans et al. 2023</w:t>
            </w:r>
          </w:p>
        </w:tc>
      </w:tr>
      <w:tr w:rsidR="005E1CA4" w:rsidRPr="00CE28E3" w14:paraId="74CE334E" w14:textId="77777777" w:rsidTr="000A427B">
        <w:tc>
          <w:tcPr>
            <w:tcW w:w="4084" w:type="dxa"/>
            <w:tcBorders>
              <w:bottom w:val="single" w:sz="4" w:space="0" w:color="auto"/>
            </w:tcBorders>
          </w:tcPr>
          <w:p w14:paraId="68449E53" w14:textId="77777777" w:rsidR="005E1CA4" w:rsidRPr="000A7BA6" w:rsidRDefault="005E1CA4" w:rsidP="000A427B">
            <w:pPr>
              <w:pStyle w:val="TableText"/>
            </w:pPr>
            <w:r>
              <w:t>True positive – comparator</w:t>
            </w:r>
          </w:p>
        </w:tc>
        <w:tc>
          <w:tcPr>
            <w:tcW w:w="1037" w:type="dxa"/>
            <w:tcBorders>
              <w:bottom w:val="single" w:sz="4" w:space="0" w:color="auto"/>
            </w:tcBorders>
          </w:tcPr>
          <w:p w14:paraId="2B7AB995" w14:textId="77777777" w:rsidR="005E1CA4" w:rsidRPr="000A7BA6" w:rsidRDefault="005E1CA4" w:rsidP="000A427B">
            <w:pPr>
              <w:pStyle w:val="TableText"/>
            </w:pPr>
            <w:r>
              <w:t>32%</w:t>
            </w:r>
          </w:p>
        </w:tc>
        <w:tc>
          <w:tcPr>
            <w:tcW w:w="3895" w:type="dxa"/>
            <w:tcBorders>
              <w:bottom w:val="single" w:sz="4" w:space="0" w:color="auto"/>
            </w:tcBorders>
          </w:tcPr>
          <w:p w14:paraId="1E2E6465" w14:textId="77777777" w:rsidR="005E1CA4" w:rsidRPr="000A7BA6" w:rsidRDefault="005E1CA4" w:rsidP="000A427B">
            <w:pPr>
              <w:pStyle w:val="TableText"/>
            </w:pPr>
            <w:r w:rsidRPr="000A7BA6">
              <w:t>Calculated, prevalence * sensitivity</w:t>
            </w:r>
          </w:p>
        </w:tc>
      </w:tr>
      <w:tr w:rsidR="005E1CA4" w:rsidRPr="00CE28E3" w14:paraId="7B22ABD1" w14:textId="77777777" w:rsidTr="000A427B">
        <w:tc>
          <w:tcPr>
            <w:tcW w:w="4084" w:type="dxa"/>
            <w:tcBorders>
              <w:bottom w:val="single" w:sz="4" w:space="0" w:color="auto"/>
            </w:tcBorders>
          </w:tcPr>
          <w:p w14:paraId="25933584" w14:textId="77777777" w:rsidR="005E1CA4" w:rsidRPr="000A7BA6" w:rsidRDefault="005E1CA4" w:rsidP="000A427B">
            <w:pPr>
              <w:pStyle w:val="TableText"/>
            </w:pPr>
            <w:r>
              <w:t>False positive – comparator</w:t>
            </w:r>
          </w:p>
        </w:tc>
        <w:tc>
          <w:tcPr>
            <w:tcW w:w="1037" w:type="dxa"/>
            <w:tcBorders>
              <w:bottom w:val="single" w:sz="4" w:space="0" w:color="auto"/>
            </w:tcBorders>
          </w:tcPr>
          <w:p w14:paraId="1B78DE4D" w14:textId="77777777" w:rsidR="005E1CA4" w:rsidRPr="000A7BA6" w:rsidRDefault="005E1CA4" w:rsidP="000A427B">
            <w:pPr>
              <w:pStyle w:val="TableText"/>
            </w:pPr>
            <w:r>
              <w:t>30%</w:t>
            </w:r>
          </w:p>
        </w:tc>
        <w:tc>
          <w:tcPr>
            <w:tcW w:w="3895" w:type="dxa"/>
            <w:tcBorders>
              <w:bottom w:val="single" w:sz="4" w:space="0" w:color="auto"/>
            </w:tcBorders>
          </w:tcPr>
          <w:p w14:paraId="06F4DF2E" w14:textId="77777777" w:rsidR="005E1CA4" w:rsidRPr="000A7BA6" w:rsidRDefault="005E1CA4" w:rsidP="000A427B">
            <w:pPr>
              <w:pStyle w:val="TableText"/>
            </w:pPr>
            <w:r w:rsidRPr="000A7BA6">
              <w:t>Calculated, (1 – specificity) * (1 – prevalence)</w:t>
            </w:r>
          </w:p>
        </w:tc>
      </w:tr>
      <w:tr w:rsidR="005E1CA4" w:rsidRPr="00CE28E3" w14:paraId="5182F4AC" w14:textId="77777777" w:rsidTr="000A427B">
        <w:tc>
          <w:tcPr>
            <w:tcW w:w="4084" w:type="dxa"/>
            <w:tcBorders>
              <w:bottom w:val="single" w:sz="4" w:space="0" w:color="auto"/>
            </w:tcBorders>
          </w:tcPr>
          <w:p w14:paraId="7C267565" w14:textId="77777777" w:rsidR="005E1CA4" w:rsidRPr="000A7BA6" w:rsidRDefault="005E1CA4" w:rsidP="000A427B">
            <w:pPr>
              <w:pStyle w:val="TableText"/>
            </w:pPr>
            <w:r>
              <w:t>True negative – comparator</w:t>
            </w:r>
          </w:p>
        </w:tc>
        <w:tc>
          <w:tcPr>
            <w:tcW w:w="1037" w:type="dxa"/>
            <w:tcBorders>
              <w:bottom w:val="single" w:sz="4" w:space="0" w:color="auto"/>
            </w:tcBorders>
          </w:tcPr>
          <w:p w14:paraId="6A72A949" w14:textId="77777777" w:rsidR="005E1CA4" w:rsidRPr="000A7BA6" w:rsidRDefault="005E1CA4" w:rsidP="000A427B">
            <w:pPr>
              <w:pStyle w:val="TableText"/>
            </w:pPr>
            <w:r>
              <w:t>30%</w:t>
            </w:r>
          </w:p>
        </w:tc>
        <w:tc>
          <w:tcPr>
            <w:tcW w:w="3895" w:type="dxa"/>
            <w:tcBorders>
              <w:bottom w:val="single" w:sz="4" w:space="0" w:color="auto"/>
            </w:tcBorders>
          </w:tcPr>
          <w:p w14:paraId="4BD550A0" w14:textId="77777777" w:rsidR="005E1CA4" w:rsidRPr="000A7BA6" w:rsidRDefault="005E1CA4" w:rsidP="000A427B">
            <w:pPr>
              <w:pStyle w:val="TableText"/>
            </w:pPr>
            <w:r w:rsidRPr="000A7BA6">
              <w:t>Calculated, specificity * (1 – prevalence)</w:t>
            </w:r>
          </w:p>
        </w:tc>
      </w:tr>
      <w:tr w:rsidR="005E1CA4" w:rsidRPr="00CE28E3" w14:paraId="3E6467B6" w14:textId="77777777" w:rsidTr="000A427B">
        <w:tc>
          <w:tcPr>
            <w:tcW w:w="4084" w:type="dxa"/>
            <w:tcBorders>
              <w:bottom w:val="single" w:sz="4" w:space="0" w:color="auto"/>
            </w:tcBorders>
          </w:tcPr>
          <w:p w14:paraId="27F14F90" w14:textId="77777777" w:rsidR="005E1CA4" w:rsidRPr="000A7BA6" w:rsidRDefault="005E1CA4" w:rsidP="000A427B">
            <w:pPr>
              <w:pStyle w:val="TableText"/>
            </w:pPr>
            <w:r>
              <w:t>False negative – comparator</w:t>
            </w:r>
          </w:p>
        </w:tc>
        <w:tc>
          <w:tcPr>
            <w:tcW w:w="1037" w:type="dxa"/>
            <w:tcBorders>
              <w:bottom w:val="single" w:sz="4" w:space="0" w:color="auto"/>
            </w:tcBorders>
          </w:tcPr>
          <w:p w14:paraId="6F86226C" w14:textId="77777777" w:rsidR="005E1CA4" w:rsidRPr="000A7BA6" w:rsidRDefault="005E1CA4" w:rsidP="000A427B">
            <w:pPr>
              <w:pStyle w:val="TableText"/>
            </w:pPr>
            <w:r>
              <w:t>8%</w:t>
            </w:r>
          </w:p>
        </w:tc>
        <w:tc>
          <w:tcPr>
            <w:tcW w:w="3895" w:type="dxa"/>
            <w:tcBorders>
              <w:bottom w:val="single" w:sz="4" w:space="0" w:color="auto"/>
            </w:tcBorders>
          </w:tcPr>
          <w:p w14:paraId="07E384A5" w14:textId="77777777" w:rsidR="005E1CA4" w:rsidRPr="000A7BA6" w:rsidRDefault="005E1CA4" w:rsidP="000A427B">
            <w:pPr>
              <w:pStyle w:val="TableText"/>
            </w:pPr>
            <w:r w:rsidRPr="000A7BA6">
              <w:t xml:space="preserve">Calculated, (1 – sensitivity) * prevalence </w:t>
            </w:r>
          </w:p>
        </w:tc>
      </w:tr>
      <w:tr w:rsidR="005E1CA4" w:rsidRPr="00CE28E3" w14:paraId="0B208F0D" w14:textId="77777777" w:rsidTr="000A427B">
        <w:tc>
          <w:tcPr>
            <w:tcW w:w="4084" w:type="dxa"/>
            <w:tcBorders>
              <w:bottom w:val="single" w:sz="4" w:space="0" w:color="auto"/>
            </w:tcBorders>
          </w:tcPr>
          <w:p w14:paraId="2CEB8CAE" w14:textId="77777777" w:rsidR="005E1CA4" w:rsidRDefault="005E1CA4" w:rsidP="000A427B">
            <w:pPr>
              <w:pStyle w:val="TableText"/>
            </w:pPr>
            <w:r>
              <w:t>Tonsillectomy if positive diagnosis from clinical assessment</w:t>
            </w:r>
          </w:p>
        </w:tc>
        <w:tc>
          <w:tcPr>
            <w:tcW w:w="1037" w:type="dxa"/>
            <w:tcBorders>
              <w:bottom w:val="single" w:sz="4" w:space="0" w:color="auto"/>
            </w:tcBorders>
          </w:tcPr>
          <w:p w14:paraId="6380C7B3" w14:textId="77777777" w:rsidR="005E1CA4" w:rsidRDefault="005E1CA4" w:rsidP="000A427B">
            <w:pPr>
              <w:pStyle w:val="TableText"/>
            </w:pPr>
            <w:r>
              <w:t>100%</w:t>
            </w:r>
          </w:p>
        </w:tc>
        <w:tc>
          <w:tcPr>
            <w:tcW w:w="3895" w:type="dxa"/>
            <w:tcBorders>
              <w:bottom w:val="single" w:sz="4" w:space="0" w:color="auto"/>
            </w:tcBorders>
          </w:tcPr>
          <w:p w14:paraId="5E7A0BB9" w14:textId="77777777" w:rsidR="005E1CA4" w:rsidRPr="000A7BA6" w:rsidRDefault="005E1CA4" w:rsidP="000A427B">
            <w:pPr>
              <w:pStyle w:val="TableText"/>
            </w:pPr>
            <w:r>
              <w:t xml:space="preserve">Assumption </w:t>
            </w:r>
          </w:p>
        </w:tc>
      </w:tr>
      <w:tr w:rsidR="005E1CA4" w:rsidRPr="00CE28E3" w14:paraId="2F0F979B" w14:textId="77777777" w:rsidTr="000A427B">
        <w:tc>
          <w:tcPr>
            <w:tcW w:w="4084" w:type="dxa"/>
            <w:tcBorders>
              <w:right w:val="nil"/>
            </w:tcBorders>
          </w:tcPr>
          <w:p w14:paraId="7B1CAD33" w14:textId="77777777" w:rsidR="005E1CA4" w:rsidRPr="000A7BA6" w:rsidRDefault="005E1CA4" w:rsidP="000A427B">
            <w:pPr>
              <w:pStyle w:val="TableHeading"/>
            </w:pPr>
            <w:r w:rsidRPr="000A7BA6">
              <w:t>Costs</w:t>
            </w:r>
          </w:p>
        </w:tc>
        <w:tc>
          <w:tcPr>
            <w:tcW w:w="1037" w:type="dxa"/>
            <w:tcBorders>
              <w:left w:val="nil"/>
              <w:right w:val="nil"/>
            </w:tcBorders>
          </w:tcPr>
          <w:p w14:paraId="162D88AC" w14:textId="77777777" w:rsidR="005E1CA4" w:rsidRPr="000A7BA6" w:rsidRDefault="005E1CA4" w:rsidP="000A427B">
            <w:pPr>
              <w:pStyle w:val="TableHeading"/>
            </w:pPr>
          </w:p>
        </w:tc>
        <w:tc>
          <w:tcPr>
            <w:tcW w:w="3895" w:type="dxa"/>
            <w:tcBorders>
              <w:left w:val="nil"/>
            </w:tcBorders>
          </w:tcPr>
          <w:p w14:paraId="6BE0EDCC" w14:textId="77777777" w:rsidR="005E1CA4" w:rsidRPr="000A7BA6" w:rsidRDefault="005E1CA4" w:rsidP="000A427B">
            <w:pPr>
              <w:pStyle w:val="TableHeading"/>
            </w:pPr>
          </w:p>
        </w:tc>
      </w:tr>
      <w:tr w:rsidR="005E1CA4" w:rsidRPr="00CE28E3" w14:paraId="1CCF190B" w14:textId="77777777" w:rsidTr="000A427B">
        <w:tc>
          <w:tcPr>
            <w:tcW w:w="4084" w:type="dxa"/>
            <w:tcBorders>
              <w:right w:val="nil"/>
            </w:tcBorders>
          </w:tcPr>
          <w:p w14:paraId="0437EFC0" w14:textId="77777777" w:rsidR="005E1CA4" w:rsidRPr="000A7BA6" w:rsidRDefault="005E1CA4" w:rsidP="000A427B">
            <w:pPr>
              <w:pStyle w:val="TableHeading"/>
            </w:pPr>
            <w:r w:rsidRPr="000A7BA6">
              <w:t>Intervention</w:t>
            </w:r>
          </w:p>
        </w:tc>
        <w:tc>
          <w:tcPr>
            <w:tcW w:w="1037" w:type="dxa"/>
            <w:tcBorders>
              <w:left w:val="nil"/>
              <w:right w:val="nil"/>
            </w:tcBorders>
          </w:tcPr>
          <w:p w14:paraId="70F55570" w14:textId="77777777" w:rsidR="005E1CA4" w:rsidRPr="000A7BA6" w:rsidRDefault="005E1CA4" w:rsidP="000A427B">
            <w:pPr>
              <w:pStyle w:val="TableHeading"/>
            </w:pPr>
          </w:p>
        </w:tc>
        <w:tc>
          <w:tcPr>
            <w:tcW w:w="3895" w:type="dxa"/>
            <w:tcBorders>
              <w:left w:val="nil"/>
            </w:tcBorders>
          </w:tcPr>
          <w:p w14:paraId="0EDBAED7" w14:textId="77777777" w:rsidR="005E1CA4" w:rsidRPr="000A7BA6" w:rsidRDefault="005E1CA4" w:rsidP="000A427B">
            <w:pPr>
              <w:pStyle w:val="TableHeading"/>
            </w:pPr>
          </w:p>
        </w:tc>
      </w:tr>
      <w:tr w:rsidR="005E1CA4" w:rsidRPr="00CE28E3" w14:paraId="7D71C446" w14:textId="77777777" w:rsidTr="000A427B">
        <w:tc>
          <w:tcPr>
            <w:tcW w:w="4084" w:type="dxa"/>
          </w:tcPr>
          <w:p w14:paraId="5000718B" w14:textId="77777777" w:rsidR="005E1CA4" w:rsidRPr="000A7BA6" w:rsidRDefault="005E1CA4" w:rsidP="000A427B">
            <w:pPr>
              <w:pStyle w:val="TableText"/>
            </w:pPr>
            <w:r w:rsidRPr="000A7BA6">
              <w:t>Initial cost with general practitioner</w:t>
            </w:r>
          </w:p>
        </w:tc>
        <w:tc>
          <w:tcPr>
            <w:tcW w:w="1037" w:type="dxa"/>
          </w:tcPr>
          <w:p w14:paraId="3C10C454" w14:textId="77777777" w:rsidR="005E1CA4" w:rsidRPr="000A7BA6" w:rsidRDefault="005E1CA4" w:rsidP="000A427B">
            <w:pPr>
              <w:pStyle w:val="TableText"/>
            </w:pPr>
            <w:r w:rsidRPr="000A7BA6">
              <w:t>79.7</w:t>
            </w:r>
            <w:r>
              <w:t>0</w:t>
            </w:r>
          </w:p>
        </w:tc>
        <w:tc>
          <w:tcPr>
            <w:tcW w:w="3895" w:type="dxa"/>
          </w:tcPr>
          <w:p w14:paraId="6A489465" w14:textId="77777777" w:rsidR="005E1CA4" w:rsidRPr="00364B80" w:rsidRDefault="005E1CA4" w:rsidP="000A427B">
            <w:pPr>
              <w:pStyle w:val="TableText"/>
              <w:rPr>
                <w:color w:val="000000"/>
              </w:rPr>
            </w:pPr>
            <w:r w:rsidRPr="007725B0">
              <w:rPr>
                <w:rFonts w:cstheme="minorBidi"/>
                <w:color w:val="000000"/>
              </w:rPr>
              <w:t xml:space="preserve">MBS </w:t>
            </w:r>
            <w:r>
              <w:rPr>
                <w:rFonts w:cstheme="minorBidi"/>
                <w:color w:val="000000"/>
              </w:rPr>
              <w:t>i</w:t>
            </w:r>
            <w:r w:rsidRPr="007725B0">
              <w:rPr>
                <w:rFonts w:cstheme="minorBidi"/>
                <w:color w:val="000000"/>
              </w:rPr>
              <w:t>tem 36, October 2023</w:t>
            </w:r>
          </w:p>
        </w:tc>
      </w:tr>
      <w:tr w:rsidR="005E1CA4" w:rsidRPr="00CE28E3" w14:paraId="2F13462E" w14:textId="77777777" w:rsidTr="000A427B">
        <w:tc>
          <w:tcPr>
            <w:tcW w:w="4084" w:type="dxa"/>
            <w:vAlign w:val="bottom"/>
          </w:tcPr>
          <w:p w14:paraId="1083AC9D" w14:textId="77777777" w:rsidR="005E1CA4" w:rsidRPr="000A7BA6" w:rsidRDefault="005E1CA4" w:rsidP="000A427B">
            <w:pPr>
              <w:pStyle w:val="TableText"/>
            </w:pPr>
            <w:r w:rsidRPr="007725B0">
              <w:rPr>
                <w:rFonts w:cstheme="minorBidi"/>
                <w:color w:val="000000"/>
              </w:rPr>
              <w:t>Consultant physician attendance, initial</w:t>
            </w:r>
          </w:p>
        </w:tc>
        <w:tc>
          <w:tcPr>
            <w:tcW w:w="1037" w:type="dxa"/>
            <w:vAlign w:val="bottom"/>
          </w:tcPr>
          <w:p w14:paraId="2681CE31" w14:textId="77777777" w:rsidR="005E1CA4" w:rsidRPr="000A7BA6" w:rsidRDefault="005E1CA4" w:rsidP="000A427B">
            <w:pPr>
              <w:pStyle w:val="TableText"/>
            </w:pPr>
            <w:r w:rsidRPr="000A7BA6">
              <w:t>293.4</w:t>
            </w:r>
            <w:r>
              <w:t>0</w:t>
            </w:r>
          </w:p>
        </w:tc>
        <w:tc>
          <w:tcPr>
            <w:tcW w:w="3895" w:type="dxa"/>
            <w:vAlign w:val="bottom"/>
          </w:tcPr>
          <w:p w14:paraId="5CCFE865" w14:textId="77777777" w:rsidR="005E1CA4" w:rsidRPr="007725B0" w:rsidRDefault="005E1CA4" w:rsidP="000A427B">
            <w:pPr>
              <w:pStyle w:val="TableText"/>
              <w:rPr>
                <w:color w:val="000000"/>
              </w:rPr>
            </w:pPr>
            <w:r w:rsidRPr="007725B0">
              <w:rPr>
                <w:rFonts w:cstheme="minorBidi"/>
                <w:color w:val="000000"/>
              </w:rPr>
              <w:t xml:space="preserve">MBS </w:t>
            </w:r>
            <w:r>
              <w:rPr>
                <w:rFonts w:cstheme="minorBidi"/>
                <w:color w:val="000000"/>
              </w:rPr>
              <w:t>i</w:t>
            </w:r>
            <w:r w:rsidRPr="007725B0">
              <w:rPr>
                <w:rFonts w:cstheme="minorBidi"/>
                <w:color w:val="000000"/>
              </w:rPr>
              <w:t>tem 132, October 2023</w:t>
            </w:r>
          </w:p>
        </w:tc>
      </w:tr>
      <w:tr w:rsidR="005E1CA4" w:rsidRPr="00CE28E3" w14:paraId="76747BD8" w14:textId="77777777" w:rsidTr="000A427B">
        <w:tc>
          <w:tcPr>
            <w:tcW w:w="4084" w:type="dxa"/>
            <w:vAlign w:val="bottom"/>
          </w:tcPr>
          <w:p w14:paraId="1178243C" w14:textId="77777777" w:rsidR="005E1CA4" w:rsidRPr="000A7BA6" w:rsidRDefault="005E1CA4" w:rsidP="000A427B">
            <w:pPr>
              <w:pStyle w:val="TableText"/>
            </w:pPr>
            <w:r w:rsidRPr="007725B0">
              <w:rPr>
                <w:rFonts w:cstheme="minorBidi"/>
                <w:color w:val="000000"/>
              </w:rPr>
              <w:t>Consultant physician attendance, follow-up</w:t>
            </w:r>
          </w:p>
        </w:tc>
        <w:tc>
          <w:tcPr>
            <w:tcW w:w="1037" w:type="dxa"/>
            <w:vAlign w:val="bottom"/>
          </w:tcPr>
          <w:p w14:paraId="4912DD40" w14:textId="77777777" w:rsidR="005E1CA4" w:rsidRPr="000A7BA6" w:rsidRDefault="005E1CA4" w:rsidP="000A427B">
            <w:pPr>
              <w:pStyle w:val="TableText"/>
            </w:pPr>
            <w:r w:rsidRPr="007725B0">
              <w:rPr>
                <w:rFonts w:cstheme="minorBidi"/>
                <w:color w:val="000000"/>
              </w:rPr>
              <w:t>146.9</w:t>
            </w:r>
            <w:r>
              <w:rPr>
                <w:rFonts w:cstheme="minorBidi"/>
                <w:color w:val="000000"/>
              </w:rPr>
              <w:t>0</w:t>
            </w:r>
          </w:p>
        </w:tc>
        <w:tc>
          <w:tcPr>
            <w:tcW w:w="3895" w:type="dxa"/>
            <w:vAlign w:val="bottom"/>
          </w:tcPr>
          <w:p w14:paraId="73BEB6B7" w14:textId="77777777" w:rsidR="005E1CA4" w:rsidRPr="007725B0" w:rsidRDefault="005E1CA4" w:rsidP="000A427B">
            <w:pPr>
              <w:pStyle w:val="TableText"/>
              <w:rPr>
                <w:color w:val="000000"/>
              </w:rPr>
            </w:pPr>
            <w:r w:rsidRPr="007725B0">
              <w:rPr>
                <w:rFonts w:cstheme="minorBidi"/>
                <w:color w:val="000000"/>
              </w:rPr>
              <w:t xml:space="preserve">MBS </w:t>
            </w:r>
            <w:r>
              <w:rPr>
                <w:rFonts w:cstheme="minorBidi"/>
                <w:color w:val="000000"/>
              </w:rPr>
              <w:t>i</w:t>
            </w:r>
            <w:r w:rsidRPr="007725B0">
              <w:rPr>
                <w:rFonts w:cstheme="minorBidi"/>
                <w:color w:val="000000"/>
              </w:rPr>
              <w:t>tem 133, October 2023</w:t>
            </w:r>
          </w:p>
        </w:tc>
      </w:tr>
      <w:tr w:rsidR="005E1CA4" w:rsidRPr="00CE28E3" w14:paraId="1FD4F78D" w14:textId="77777777" w:rsidTr="000A427B">
        <w:tc>
          <w:tcPr>
            <w:tcW w:w="4084" w:type="dxa"/>
            <w:vAlign w:val="bottom"/>
          </w:tcPr>
          <w:p w14:paraId="6DC006ED" w14:textId="77777777" w:rsidR="005E1CA4" w:rsidRPr="000A7BA6" w:rsidRDefault="005E1CA4" w:rsidP="000A427B">
            <w:pPr>
              <w:pStyle w:val="TableText"/>
            </w:pPr>
            <w:r w:rsidRPr="007725B0">
              <w:rPr>
                <w:rFonts w:cstheme="minorBidi"/>
                <w:color w:val="000000"/>
              </w:rPr>
              <w:t xml:space="preserve">Cost of </w:t>
            </w:r>
            <w:r>
              <w:rPr>
                <w:rFonts w:cstheme="minorBidi"/>
                <w:color w:val="000000"/>
              </w:rPr>
              <w:t>L</w:t>
            </w:r>
            <w:r w:rsidRPr="007725B0">
              <w:rPr>
                <w:rFonts w:cstheme="minorBidi"/>
                <w:color w:val="000000"/>
              </w:rPr>
              <w:t xml:space="preserve">evel 3 </w:t>
            </w:r>
            <w:r>
              <w:rPr>
                <w:rFonts w:cstheme="minorBidi"/>
                <w:color w:val="000000"/>
              </w:rPr>
              <w:t>CRP</w:t>
            </w:r>
            <w:r w:rsidRPr="007725B0">
              <w:rPr>
                <w:rFonts w:cstheme="minorBidi"/>
                <w:color w:val="000000"/>
              </w:rPr>
              <w:t xml:space="preserve"> study</w:t>
            </w:r>
          </w:p>
        </w:tc>
        <w:tc>
          <w:tcPr>
            <w:tcW w:w="1037" w:type="dxa"/>
            <w:vAlign w:val="bottom"/>
          </w:tcPr>
          <w:p w14:paraId="7AD69CDE" w14:textId="77777777" w:rsidR="005E1CA4" w:rsidRPr="000A7BA6" w:rsidRDefault="005E1CA4" w:rsidP="000A427B">
            <w:pPr>
              <w:pStyle w:val="TableText"/>
            </w:pPr>
            <w:r w:rsidRPr="000A7BA6">
              <w:t>284.19</w:t>
            </w:r>
          </w:p>
        </w:tc>
        <w:tc>
          <w:tcPr>
            <w:tcW w:w="3895" w:type="dxa"/>
            <w:vAlign w:val="bottom"/>
          </w:tcPr>
          <w:p w14:paraId="164CEAB6" w14:textId="77777777" w:rsidR="005E1CA4" w:rsidRPr="007725B0" w:rsidRDefault="005E1CA4" w:rsidP="000A427B">
            <w:pPr>
              <w:pStyle w:val="TableText"/>
              <w:rPr>
                <w:color w:val="000000"/>
              </w:rPr>
            </w:pPr>
            <w:r w:rsidRPr="007725B0">
              <w:rPr>
                <w:rFonts w:cstheme="minorBidi"/>
                <w:color w:val="000000"/>
              </w:rPr>
              <w:t>DCAR, Appendix F</w:t>
            </w:r>
          </w:p>
        </w:tc>
      </w:tr>
      <w:tr w:rsidR="005E1CA4" w:rsidRPr="00CE28E3" w14:paraId="67827003" w14:textId="77777777" w:rsidTr="000A427B">
        <w:tc>
          <w:tcPr>
            <w:tcW w:w="4084" w:type="dxa"/>
          </w:tcPr>
          <w:p w14:paraId="48298EE0" w14:textId="77777777" w:rsidR="005E1CA4" w:rsidRPr="000A7BA6" w:rsidRDefault="005E1CA4" w:rsidP="000A427B">
            <w:pPr>
              <w:pStyle w:val="TableText"/>
              <w:rPr>
                <w:b/>
                <w:bCs/>
              </w:rPr>
            </w:pPr>
            <w:r w:rsidRPr="000A7BA6">
              <w:rPr>
                <w:b/>
                <w:bCs/>
              </w:rPr>
              <w:t>Total costs intervention</w:t>
            </w:r>
          </w:p>
        </w:tc>
        <w:tc>
          <w:tcPr>
            <w:tcW w:w="1037" w:type="dxa"/>
          </w:tcPr>
          <w:p w14:paraId="7D5AF91E" w14:textId="77777777" w:rsidR="005E1CA4" w:rsidRPr="000A7BA6" w:rsidRDefault="005E1CA4" w:rsidP="000A427B">
            <w:pPr>
              <w:pStyle w:val="TableText"/>
              <w:rPr>
                <w:b/>
                <w:bCs/>
              </w:rPr>
            </w:pPr>
            <w:r w:rsidRPr="000A7BA6">
              <w:rPr>
                <w:b/>
                <w:bCs/>
              </w:rPr>
              <w:t xml:space="preserve">804.19 </w:t>
            </w:r>
          </w:p>
        </w:tc>
        <w:tc>
          <w:tcPr>
            <w:tcW w:w="3895" w:type="dxa"/>
          </w:tcPr>
          <w:p w14:paraId="2613FA9F" w14:textId="77777777" w:rsidR="005E1CA4" w:rsidRPr="007725B0" w:rsidRDefault="005E1CA4" w:rsidP="000A427B">
            <w:pPr>
              <w:pStyle w:val="TableText"/>
              <w:rPr>
                <w:b/>
                <w:bCs/>
                <w:color w:val="000000"/>
              </w:rPr>
            </w:pPr>
            <w:r w:rsidRPr="007725B0">
              <w:rPr>
                <w:rFonts w:cstheme="minorBidi"/>
                <w:b/>
                <w:bCs/>
                <w:color w:val="000000"/>
              </w:rPr>
              <w:t>Calculated</w:t>
            </w:r>
          </w:p>
        </w:tc>
      </w:tr>
      <w:tr w:rsidR="005E1CA4" w:rsidRPr="00CE28E3" w14:paraId="70C674AC" w14:textId="77777777" w:rsidTr="000A427B">
        <w:tc>
          <w:tcPr>
            <w:tcW w:w="4084" w:type="dxa"/>
            <w:tcBorders>
              <w:right w:val="nil"/>
            </w:tcBorders>
          </w:tcPr>
          <w:p w14:paraId="12102385" w14:textId="77777777" w:rsidR="005E1CA4" w:rsidRPr="00743AB5" w:rsidRDefault="005E1CA4" w:rsidP="000A427B">
            <w:pPr>
              <w:pStyle w:val="TableText"/>
              <w:rPr>
                <w:b/>
                <w:bCs/>
                <w:color w:val="000000"/>
              </w:rPr>
            </w:pPr>
            <w:r w:rsidRPr="00743AB5">
              <w:rPr>
                <w:b/>
                <w:bCs/>
              </w:rPr>
              <w:t>Comparator</w:t>
            </w:r>
          </w:p>
        </w:tc>
        <w:tc>
          <w:tcPr>
            <w:tcW w:w="1037" w:type="dxa"/>
            <w:tcBorders>
              <w:left w:val="nil"/>
              <w:right w:val="nil"/>
            </w:tcBorders>
            <w:vAlign w:val="bottom"/>
          </w:tcPr>
          <w:p w14:paraId="102F6588" w14:textId="77777777" w:rsidR="005E1CA4" w:rsidRPr="007725B0" w:rsidRDefault="005E1CA4" w:rsidP="000A427B">
            <w:pPr>
              <w:pStyle w:val="TableText"/>
              <w:rPr>
                <w:color w:val="000000"/>
              </w:rPr>
            </w:pPr>
          </w:p>
        </w:tc>
        <w:tc>
          <w:tcPr>
            <w:tcW w:w="3895" w:type="dxa"/>
            <w:tcBorders>
              <w:left w:val="nil"/>
            </w:tcBorders>
            <w:vAlign w:val="bottom"/>
          </w:tcPr>
          <w:p w14:paraId="0556DF70" w14:textId="77777777" w:rsidR="005E1CA4" w:rsidRPr="007725B0" w:rsidRDefault="005E1CA4" w:rsidP="000A427B">
            <w:pPr>
              <w:pStyle w:val="TableText"/>
              <w:rPr>
                <w:color w:val="000000"/>
              </w:rPr>
            </w:pPr>
          </w:p>
        </w:tc>
      </w:tr>
      <w:tr w:rsidR="005E1CA4" w:rsidRPr="00CE28E3" w14:paraId="3663121C" w14:textId="77777777" w:rsidTr="000A427B">
        <w:tc>
          <w:tcPr>
            <w:tcW w:w="4084" w:type="dxa"/>
            <w:vAlign w:val="bottom"/>
          </w:tcPr>
          <w:p w14:paraId="0876D20A" w14:textId="77777777" w:rsidR="005E1CA4" w:rsidRPr="000A7BA6" w:rsidRDefault="005E1CA4" w:rsidP="000A427B">
            <w:pPr>
              <w:pStyle w:val="TableText"/>
            </w:pPr>
            <w:r w:rsidRPr="007725B0">
              <w:rPr>
                <w:rFonts w:cstheme="minorBidi"/>
                <w:color w:val="000000"/>
              </w:rPr>
              <w:t>Initial consult with general practitioner</w:t>
            </w:r>
          </w:p>
        </w:tc>
        <w:tc>
          <w:tcPr>
            <w:tcW w:w="1037" w:type="dxa"/>
            <w:vAlign w:val="bottom"/>
          </w:tcPr>
          <w:p w14:paraId="51647E4F" w14:textId="77777777" w:rsidR="005E1CA4" w:rsidRPr="000A7BA6" w:rsidRDefault="005E1CA4" w:rsidP="000A427B">
            <w:pPr>
              <w:pStyle w:val="TableText"/>
              <w:rPr>
                <w:b/>
                <w:bCs/>
              </w:rPr>
            </w:pPr>
            <w:r w:rsidRPr="007725B0">
              <w:rPr>
                <w:rFonts w:cstheme="minorBidi"/>
                <w:color w:val="000000"/>
              </w:rPr>
              <w:t>79.7</w:t>
            </w:r>
            <w:r>
              <w:rPr>
                <w:rFonts w:cstheme="minorBidi"/>
                <w:color w:val="000000"/>
              </w:rPr>
              <w:t>0</w:t>
            </w:r>
          </w:p>
        </w:tc>
        <w:tc>
          <w:tcPr>
            <w:tcW w:w="3895" w:type="dxa"/>
            <w:vAlign w:val="bottom"/>
          </w:tcPr>
          <w:p w14:paraId="174E6AC7" w14:textId="77777777" w:rsidR="005E1CA4" w:rsidRPr="007725B0" w:rsidRDefault="005E1CA4" w:rsidP="000A427B">
            <w:pPr>
              <w:pStyle w:val="TableText"/>
              <w:rPr>
                <w:b/>
                <w:bCs/>
                <w:color w:val="000000"/>
              </w:rPr>
            </w:pPr>
            <w:r w:rsidRPr="007725B0">
              <w:rPr>
                <w:rFonts w:cstheme="minorBidi"/>
                <w:color w:val="000000"/>
              </w:rPr>
              <w:t xml:space="preserve">MBS </w:t>
            </w:r>
            <w:r>
              <w:rPr>
                <w:rFonts w:cstheme="minorBidi"/>
                <w:color w:val="000000"/>
              </w:rPr>
              <w:t>i</w:t>
            </w:r>
            <w:r w:rsidRPr="007725B0">
              <w:rPr>
                <w:rFonts w:cstheme="minorBidi"/>
                <w:color w:val="000000"/>
              </w:rPr>
              <w:t>tem 36, October 2023</w:t>
            </w:r>
          </w:p>
        </w:tc>
      </w:tr>
      <w:tr w:rsidR="005E1CA4" w:rsidRPr="00CE28E3" w14:paraId="45220274" w14:textId="77777777" w:rsidTr="000A427B">
        <w:tc>
          <w:tcPr>
            <w:tcW w:w="4084" w:type="dxa"/>
            <w:vAlign w:val="bottom"/>
          </w:tcPr>
          <w:p w14:paraId="11BA9065" w14:textId="77777777" w:rsidR="005E1CA4" w:rsidRPr="000A7BA6" w:rsidRDefault="005E1CA4" w:rsidP="000A427B">
            <w:pPr>
              <w:pStyle w:val="TableText"/>
            </w:pPr>
            <w:r>
              <w:rPr>
                <w:rFonts w:cstheme="minorBidi"/>
                <w:color w:val="000000"/>
              </w:rPr>
              <w:t>Specialist</w:t>
            </w:r>
            <w:r w:rsidRPr="007725B0">
              <w:rPr>
                <w:rFonts w:cstheme="minorBidi"/>
                <w:color w:val="000000"/>
              </w:rPr>
              <w:t xml:space="preserve"> attendance, initial</w:t>
            </w:r>
          </w:p>
        </w:tc>
        <w:tc>
          <w:tcPr>
            <w:tcW w:w="1037" w:type="dxa"/>
            <w:vAlign w:val="bottom"/>
          </w:tcPr>
          <w:p w14:paraId="3D422C76" w14:textId="77777777" w:rsidR="005E1CA4" w:rsidRPr="000A7BA6" w:rsidRDefault="005E1CA4" w:rsidP="000A427B">
            <w:pPr>
              <w:pStyle w:val="TableText"/>
              <w:rPr>
                <w:b/>
                <w:bCs/>
              </w:rPr>
            </w:pPr>
            <w:r>
              <w:rPr>
                <w:rFonts w:cstheme="minorBidi"/>
                <w:color w:val="000000"/>
              </w:rPr>
              <w:t>95.10</w:t>
            </w:r>
          </w:p>
        </w:tc>
        <w:tc>
          <w:tcPr>
            <w:tcW w:w="3895" w:type="dxa"/>
            <w:vAlign w:val="bottom"/>
          </w:tcPr>
          <w:p w14:paraId="2EB0866E" w14:textId="77777777" w:rsidR="005E1CA4" w:rsidRPr="007725B0" w:rsidRDefault="005E1CA4" w:rsidP="000A427B">
            <w:pPr>
              <w:pStyle w:val="TableText"/>
              <w:rPr>
                <w:b/>
                <w:bCs/>
                <w:color w:val="000000"/>
              </w:rPr>
            </w:pPr>
            <w:r w:rsidRPr="49743B38">
              <w:rPr>
                <w:rFonts w:cstheme="minorBidi"/>
                <w:color w:val="000000" w:themeColor="text1"/>
              </w:rPr>
              <w:t xml:space="preserve">MBS item </w:t>
            </w:r>
            <w:r>
              <w:rPr>
                <w:rFonts w:cstheme="minorBidi"/>
                <w:color w:val="000000" w:themeColor="text1"/>
              </w:rPr>
              <w:t>104</w:t>
            </w:r>
            <w:r w:rsidRPr="49743B38">
              <w:rPr>
                <w:rFonts w:cstheme="minorBidi"/>
                <w:color w:val="000000" w:themeColor="text1"/>
              </w:rPr>
              <w:t>, October 2023</w:t>
            </w:r>
          </w:p>
        </w:tc>
      </w:tr>
      <w:tr w:rsidR="005E1CA4" w:rsidRPr="00CE28E3" w14:paraId="6171BF6B" w14:textId="77777777" w:rsidTr="000A427B">
        <w:tc>
          <w:tcPr>
            <w:tcW w:w="4084" w:type="dxa"/>
            <w:vAlign w:val="bottom"/>
          </w:tcPr>
          <w:p w14:paraId="44C4E379" w14:textId="77777777" w:rsidR="005E1CA4" w:rsidRPr="000A7BA6" w:rsidRDefault="005E1CA4" w:rsidP="000A427B">
            <w:pPr>
              <w:pStyle w:val="TableText"/>
            </w:pPr>
            <w:r w:rsidRPr="007725B0">
              <w:rPr>
                <w:rFonts w:cstheme="minorBidi"/>
                <w:b/>
                <w:bCs/>
                <w:color w:val="000000"/>
              </w:rPr>
              <w:t>Total costs comparator</w:t>
            </w:r>
          </w:p>
        </w:tc>
        <w:tc>
          <w:tcPr>
            <w:tcW w:w="1037" w:type="dxa"/>
            <w:vAlign w:val="bottom"/>
          </w:tcPr>
          <w:p w14:paraId="50576FCC" w14:textId="77777777" w:rsidR="005E1CA4" w:rsidRPr="000A7BA6" w:rsidRDefault="005E1CA4" w:rsidP="000A427B">
            <w:pPr>
              <w:pStyle w:val="TableText"/>
              <w:rPr>
                <w:b/>
                <w:bCs/>
              </w:rPr>
            </w:pPr>
            <w:r>
              <w:rPr>
                <w:b/>
                <w:bCs/>
              </w:rPr>
              <w:t>174..80</w:t>
            </w:r>
          </w:p>
        </w:tc>
        <w:tc>
          <w:tcPr>
            <w:tcW w:w="3895" w:type="dxa"/>
          </w:tcPr>
          <w:p w14:paraId="4568D2F4" w14:textId="77777777" w:rsidR="005E1CA4" w:rsidRPr="007725B0" w:rsidRDefault="005E1CA4" w:rsidP="000A427B">
            <w:pPr>
              <w:pStyle w:val="TableText"/>
              <w:rPr>
                <w:b/>
                <w:bCs/>
                <w:color w:val="000000"/>
              </w:rPr>
            </w:pPr>
          </w:p>
        </w:tc>
      </w:tr>
      <w:tr w:rsidR="005E1CA4" w:rsidRPr="00CE28E3" w14:paraId="0A60F7FE" w14:textId="77777777" w:rsidTr="000A427B">
        <w:tc>
          <w:tcPr>
            <w:tcW w:w="4084" w:type="dxa"/>
            <w:tcBorders>
              <w:right w:val="nil"/>
            </w:tcBorders>
          </w:tcPr>
          <w:p w14:paraId="63C95179" w14:textId="77777777" w:rsidR="005E1CA4" w:rsidRPr="00500EBE" w:rsidRDefault="005E1CA4" w:rsidP="000A427B">
            <w:pPr>
              <w:pStyle w:val="TableText"/>
              <w:rPr>
                <w:b/>
                <w:bCs/>
                <w:color w:val="000000"/>
              </w:rPr>
            </w:pPr>
            <w:r w:rsidRPr="00500EBE">
              <w:rPr>
                <w:b/>
                <w:bCs/>
              </w:rPr>
              <w:t>Tonsillectomy (willingness to pay indicator)</w:t>
            </w:r>
          </w:p>
        </w:tc>
        <w:tc>
          <w:tcPr>
            <w:tcW w:w="1037" w:type="dxa"/>
            <w:tcBorders>
              <w:left w:val="nil"/>
              <w:right w:val="nil"/>
            </w:tcBorders>
          </w:tcPr>
          <w:p w14:paraId="3D47747C" w14:textId="77777777" w:rsidR="005E1CA4" w:rsidRPr="007725B0" w:rsidRDefault="005E1CA4" w:rsidP="000A427B">
            <w:pPr>
              <w:pStyle w:val="TableText"/>
              <w:rPr>
                <w:color w:val="000000"/>
              </w:rPr>
            </w:pPr>
          </w:p>
        </w:tc>
        <w:tc>
          <w:tcPr>
            <w:tcW w:w="3895" w:type="dxa"/>
            <w:tcBorders>
              <w:left w:val="nil"/>
            </w:tcBorders>
            <w:vAlign w:val="bottom"/>
          </w:tcPr>
          <w:p w14:paraId="794C979A" w14:textId="77777777" w:rsidR="005E1CA4" w:rsidRPr="2A9EC183" w:rsidRDefault="005E1CA4" w:rsidP="000A427B">
            <w:pPr>
              <w:pStyle w:val="TableText"/>
              <w:rPr>
                <w:color w:val="000000" w:themeColor="text1"/>
              </w:rPr>
            </w:pPr>
          </w:p>
        </w:tc>
      </w:tr>
      <w:tr w:rsidR="005E1CA4" w:rsidRPr="00CE28E3" w14:paraId="32DF6C77" w14:textId="77777777" w:rsidTr="000A427B">
        <w:tc>
          <w:tcPr>
            <w:tcW w:w="4084" w:type="dxa"/>
          </w:tcPr>
          <w:p w14:paraId="4516874B" w14:textId="77777777" w:rsidR="005E1CA4" w:rsidRPr="007725B0" w:rsidRDefault="005E1CA4" w:rsidP="000A427B">
            <w:pPr>
              <w:pStyle w:val="TableText"/>
              <w:rPr>
                <w:color w:val="000000"/>
              </w:rPr>
            </w:pPr>
            <w:r w:rsidRPr="007725B0">
              <w:rPr>
                <w:rFonts w:cstheme="minorBidi"/>
                <w:color w:val="000000"/>
              </w:rPr>
              <w:t>Professional fee – surgeon</w:t>
            </w:r>
          </w:p>
        </w:tc>
        <w:tc>
          <w:tcPr>
            <w:tcW w:w="1037" w:type="dxa"/>
          </w:tcPr>
          <w:p w14:paraId="0C510EAF" w14:textId="77777777" w:rsidR="005E1CA4" w:rsidRPr="007725B0" w:rsidRDefault="005E1CA4" w:rsidP="000A427B">
            <w:pPr>
              <w:pStyle w:val="TableText"/>
              <w:rPr>
                <w:color w:val="000000"/>
              </w:rPr>
            </w:pPr>
            <w:r w:rsidRPr="007725B0">
              <w:rPr>
                <w:rFonts w:cstheme="minorBidi"/>
                <w:color w:val="000000"/>
              </w:rPr>
              <w:t>339.21</w:t>
            </w:r>
          </w:p>
        </w:tc>
        <w:tc>
          <w:tcPr>
            <w:tcW w:w="3895" w:type="dxa"/>
            <w:vAlign w:val="bottom"/>
          </w:tcPr>
          <w:p w14:paraId="1CACF929" w14:textId="77777777" w:rsidR="005E1CA4" w:rsidRPr="007725B0" w:rsidRDefault="005E1CA4" w:rsidP="000A427B">
            <w:pPr>
              <w:pStyle w:val="TableText"/>
              <w:rPr>
                <w:color w:val="000000"/>
              </w:rPr>
            </w:pPr>
            <w:r w:rsidRPr="2A9EC183">
              <w:rPr>
                <w:rFonts w:cstheme="minorBidi"/>
                <w:color w:val="000000" w:themeColor="text1"/>
              </w:rPr>
              <w:t>MBS items 41789 (&lt; 12 years) and 41793 (≥ 12 years), October 2023. Weighted average assuming 81.5% in children, 18.5% in adolescents (based on MBS claiming data for items 12210 and 12213, respectively, for FY 2022</w:t>
            </w:r>
            <w:r>
              <w:t>—</w:t>
            </w:r>
            <w:r w:rsidRPr="2A9EC183">
              <w:rPr>
                <w:rFonts w:cstheme="minorBidi"/>
                <w:color w:val="000000" w:themeColor="text1"/>
              </w:rPr>
              <w:t>23).</w:t>
            </w:r>
          </w:p>
        </w:tc>
      </w:tr>
      <w:tr w:rsidR="005E1CA4" w:rsidRPr="00CE28E3" w14:paraId="02E0D478" w14:textId="77777777" w:rsidTr="000A427B">
        <w:tc>
          <w:tcPr>
            <w:tcW w:w="4084" w:type="dxa"/>
          </w:tcPr>
          <w:p w14:paraId="4050F183" w14:textId="77777777" w:rsidR="005E1CA4" w:rsidRPr="007725B0" w:rsidRDefault="005E1CA4" w:rsidP="000A427B">
            <w:pPr>
              <w:pStyle w:val="TableText"/>
              <w:rPr>
                <w:color w:val="000000"/>
              </w:rPr>
            </w:pPr>
            <w:r>
              <w:rPr>
                <w:color w:val="000000"/>
              </w:rPr>
              <w:t>Pre-anaesthesia consultation</w:t>
            </w:r>
          </w:p>
        </w:tc>
        <w:tc>
          <w:tcPr>
            <w:tcW w:w="1037" w:type="dxa"/>
          </w:tcPr>
          <w:p w14:paraId="7C4E1816" w14:textId="77777777" w:rsidR="005E1CA4" w:rsidRPr="007725B0" w:rsidRDefault="005E1CA4" w:rsidP="000A427B">
            <w:pPr>
              <w:pStyle w:val="TableText"/>
              <w:rPr>
                <w:color w:val="000000"/>
              </w:rPr>
            </w:pPr>
            <w:r>
              <w:rPr>
                <w:color w:val="000000"/>
              </w:rPr>
              <w:t>47.80</w:t>
            </w:r>
          </w:p>
        </w:tc>
        <w:tc>
          <w:tcPr>
            <w:tcW w:w="3895" w:type="dxa"/>
            <w:vAlign w:val="bottom"/>
          </w:tcPr>
          <w:p w14:paraId="5AFEFA9A" w14:textId="77777777" w:rsidR="005E1CA4" w:rsidRPr="2A9EC183" w:rsidRDefault="005E1CA4" w:rsidP="000A427B">
            <w:pPr>
              <w:pStyle w:val="TableText"/>
              <w:rPr>
                <w:color w:val="000000" w:themeColor="text1"/>
              </w:rPr>
            </w:pPr>
            <w:r>
              <w:rPr>
                <w:color w:val="000000" w:themeColor="text1"/>
              </w:rPr>
              <w:t>MBS item 17610, October 2023</w:t>
            </w:r>
          </w:p>
        </w:tc>
      </w:tr>
      <w:tr w:rsidR="005E1CA4" w:rsidRPr="00CE28E3" w14:paraId="45750F00" w14:textId="77777777" w:rsidTr="000A427B">
        <w:tc>
          <w:tcPr>
            <w:tcW w:w="4084" w:type="dxa"/>
          </w:tcPr>
          <w:p w14:paraId="0643B000" w14:textId="77777777" w:rsidR="005E1CA4" w:rsidRPr="007725B0" w:rsidRDefault="005E1CA4" w:rsidP="000A427B">
            <w:pPr>
              <w:pStyle w:val="TableText"/>
              <w:rPr>
                <w:color w:val="000000"/>
              </w:rPr>
            </w:pPr>
            <w:r w:rsidRPr="007725B0">
              <w:rPr>
                <w:rFonts w:cstheme="minorBidi"/>
                <w:color w:val="000000"/>
              </w:rPr>
              <w:t>Anaesthesia initiation</w:t>
            </w:r>
          </w:p>
        </w:tc>
        <w:tc>
          <w:tcPr>
            <w:tcW w:w="1037" w:type="dxa"/>
          </w:tcPr>
          <w:p w14:paraId="6DC3B083" w14:textId="77777777" w:rsidR="005E1CA4" w:rsidRPr="007725B0" w:rsidRDefault="005E1CA4" w:rsidP="000A427B">
            <w:pPr>
              <w:pStyle w:val="TableText"/>
              <w:rPr>
                <w:color w:val="000000"/>
              </w:rPr>
            </w:pPr>
            <w:r w:rsidRPr="007725B0">
              <w:rPr>
                <w:rFonts w:cstheme="minorBidi"/>
                <w:color w:val="000000"/>
              </w:rPr>
              <w:t>130.2</w:t>
            </w:r>
            <w:r>
              <w:rPr>
                <w:rFonts w:cstheme="minorBidi"/>
                <w:color w:val="000000"/>
              </w:rPr>
              <w:t>0</w:t>
            </w:r>
          </w:p>
        </w:tc>
        <w:tc>
          <w:tcPr>
            <w:tcW w:w="3895" w:type="dxa"/>
            <w:vAlign w:val="bottom"/>
          </w:tcPr>
          <w:p w14:paraId="0757917D" w14:textId="77777777" w:rsidR="005E1CA4" w:rsidRPr="007725B0" w:rsidRDefault="005E1CA4" w:rsidP="000A427B">
            <w:pPr>
              <w:pStyle w:val="TableText"/>
              <w:rPr>
                <w:color w:val="000000"/>
              </w:rPr>
            </w:pPr>
            <w:r w:rsidRPr="2A9EC183">
              <w:rPr>
                <w:rFonts w:cstheme="minorBidi"/>
                <w:color w:val="000000" w:themeColor="text1"/>
              </w:rPr>
              <w:t>MBS item 20320,</w:t>
            </w:r>
            <w:r>
              <w:rPr>
                <w:rFonts w:cstheme="minorBidi"/>
                <w:color w:val="000000" w:themeColor="text1"/>
              </w:rPr>
              <w:t xml:space="preserve"> 20170</w:t>
            </w:r>
            <w:r w:rsidRPr="2A9EC183">
              <w:rPr>
                <w:rFonts w:cstheme="minorBidi"/>
                <w:color w:val="000000" w:themeColor="text1"/>
              </w:rPr>
              <w:t xml:space="preserve"> October 2023</w:t>
            </w:r>
          </w:p>
        </w:tc>
      </w:tr>
      <w:tr w:rsidR="005E1CA4" w:rsidRPr="00CE28E3" w14:paraId="34F7B48E" w14:textId="77777777" w:rsidTr="000A427B">
        <w:tc>
          <w:tcPr>
            <w:tcW w:w="4084" w:type="dxa"/>
          </w:tcPr>
          <w:p w14:paraId="36CD3B62" w14:textId="77777777" w:rsidR="005E1CA4" w:rsidRPr="007725B0" w:rsidRDefault="005E1CA4" w:rsidP="000A427B">
            <w:pPr>
              <w:pStyle w:val="TableText"/>
              <w:rPr>
                <w:color w:val="000000"/>
              </w:rPr>
            </w:pPr>
            <w:r w:rsidRPr="007725B0">
              <w:rPr>
                <w:rFonts w:cstheme="minorBidi"/>
                <w:color w:val="000000"/>
              </w:rPr>
              <w:t>Anaesthesia time units</w:t>
            </w:r>
          </w:p>
        </w:tc>
        <w:tc>
          <w:tcPr>
            <w:tcW w:w="1037" w:type="dxa"/>
          </w:tcPr>
          <w:p w14:paraId="7A6BE3E8" w14:textId="77777777" w:rsidR="005E1CA4" w:rsidRPr="007725B0" w:rsidRDefault="005E1CA4" w:rsidP="000A427B">
            <w:pPr>
              <w:pStyle w:val="TableText"/>
              <w:rPr>
                <w:color w:val="000000"/>
              </w:rPr>
            </w:pPr>
            <w:r w:rsidRPr="007725B0">
              <w:rPr>
                <w:rFonts w:cstheme="minorBidi"/>
                <w:color w:val="000000"/>
              </w:rPr>
              <w:t>43.4</w:t>
            </w:r>
            <w:r>
              <w:rPr>
                <w:rFonts w:cstheme="minorBidi"/>
                <w:color w:val="000000"/>
              </w:rPr>
              <w:t>0</w:t>
            </w:r>
          </w:p>
        </w:tc>
        <w:tc>
          <w:tcPr>
            <w:tcW w:w="3895" w:type="dxa"/>
            <w:vAlign w:val="bottom"/>
          </w:tcPr>
          <w:p w14:paraId="18133C29" w14:textId="77777777" w:rsidR="005E1CA4" w:rsidRPr="007725B0" w:rsidRDefault="005E1CA4" w:rsidP="000A427B">
            <w:pPr>
              <w:pStyle w:val="TableText"/>
              <w:rPr>
                <w:color w:val="000000"/>
              </w:rPr>
            </w:pPr>
            <w:r w:rsidRPr="007725B0">
              <w:rPr>
                <w:rFonts w:cstheme="minorBidi"/>
                <w:color w:val="000000"/>
              </w:rPr>
              <w:t xml:space="preserve">MBS </w:t>
            </w:r>
            <w:r>
              <w:rPr>
                <w:rFonts w:cstheme="minorBidi"/>
                <w:color w:val="000000"/>
              </w:rPr>
              <w:t>i</w:t>
            </w:r>
            <w:r w:rsidRPr="007725B0">
              <w:rPr>
                <w:rFonts w:cstheme="minorBidi"/>
                <w:color w:val="000000"/>
              </w:rPr>
              <w:t>tem 23025, October 2023</w:t>
            </w:r>
          </w:p>
        </w:tc>
      </w:tr>
      <w:tr w:rsidR="005E1CA4" w:rsidRPr="00CE28E3" w14:paraId="3CB970F6" w14:textId="77777777" w:rsidTr="000A427B">
        <w:tc>
          <w:tcPr>
            <w:tcW w:w="4084" w:type="dxa"/>
          </w:tcPr>
          <w:p w14:paraId="1DD68640" w14:textId="77777777" w:rsidR="005E1CA4" w:rsidRPr="007725B0" w:rsidRDefault="005E1CA4" w:rsidP="000A427B">
            <w:pPr>
              <w:pStyle w:val="TableText"/>
              <w:rPr>
                <w:color w:val="000000"/>
              </w:rPr>
            </w:pPr>
            <w:r w:rsidRPr="007725B0">
              <w:rPr>
                <w:rFonts w:cstheme="minorBidi"/>
                <w:color w:val="000000"/>
              </w:rPr>
              <w:t>Hospital facility services</w:t>
            </w:r>
          </w:p>
        </w:tc>
        <w:tc>
          <w:tcPr>
            <w:tcW w:w="1037" w:type="dxa"/>
          </w:tcPr>
          <w:p w14:paraId="49E916D9" w14:textId="77777777" w:rsidR="005E1CA4" w:rsidRPr="007725B0" w:rsidRDefault="005E1CA4" w:rsidP="000A427B">
            <w:pPr>
              <w:pStyle w:val="TableText"/>
              <w:rPr>
                <w:color w:val="000000"/>
              </w:rPr>
            </w:pPr>
            <w:r w:rsidRPr="007725B0">
              <w:rPr>
                <w:rFonts w:cstheme="minorBidi"/>
                <w:color w:val="000000"/>
              </w:rPr>
              <w:t>2,113</w:t>
            </w:r>
            <w:r>
              <w:rPr>
                <w:rFonts w:cstheme="minorBidi"/>
                <w:color w:val="000000"/>
              </w:rPr>
              <w:t>.00</w:t>
            </w:r>
          </w:p>
        </w:tc>
        <w:tc>
          <w:tcPr>
            <w:tcW w:w="3895" w:type="dxa"/>
            <w:vAlign w:val="bottom"/>
          </w:tcPr>
          <w:p w14:paraId="0E1E5542" w14:textId="77777777" w:rsidR="005E1CA4" w:rsidRPr="007725B0" w:rsidRDefault="005E1CA4" w:rsidP="000A427B">
            <w:pPr>
              <w:pStyle w:val="TableText"/>
              <w:rPr>
                <w:color w:val="000000"/>
              </w:rPr>
            </w:pPr>
            <w:r w:rsidRPr="007725B0">
              <w:rPr>
                <w:rFonts w:cstheme="minorBidi"/>
                <w:color w:val="000000"/>
              </w:rPr>
              <w:t>Total average charge per AR-DRG V10 Private Hospital Data Bureau (2021-22) D11Z – tonsillectomy and/or adenoidectomy</w:t>
            </w:r>
          </w:p>
        </w:tc>
      </w:tr>
      <w:tr w:rsidR="005E1CA4" w:rsidRPr="00CE28E3" w14:paraId="64E23080" w14:textId="77777777" w:rsidTr="000A427B">
        <w:tc>
          <w:tcPr>
            <w:tcW w:w="4084" w:type="dxa"/>
          </w:tcPr>
          <w:p w14:paraId="312F58BF" w14:textId="77777777" w:rsidR="005E1CA4" w:rsidRPr="007725B0" w:rsidRDefault="005E1CA4" w:rsidP="000A427B">
            <w:pPr>
              <w:pStyle w:val="TableText"/>
              <w:rPr>
                <w:color w:val="000000"/>
              </w:rPr>
            </w:pPr>
            <w:r>
              <w:rPr>
                <w:rFonts w:cstheme="minorBidi"/>
                <w:color w:val="000000"/>
              </w:rPr>
              <w:t>Specialist</w:t>
            </w:r>
            <w:r w:rsidRPr="007725B0">
              <w:rPr>
                <w:rFonts w:cstheme="minorBidi"/>
                <w:color w:val="000000"/>
              </w:rPr>
              <w:t xml:space="preserve"> attendance, follow-up</w:t>
            </w:r>
          </w:p>
        </w:tc>
        <w:tc>
          <w:tcPr>
            <w:tcW w:w="1037" w:type="dxa"/>
          </w:tcPr>
          <w:p w14:paraId="006C66E4" w14:textId="77777777" w:rsidR="005E1CA4" w:rsidRPr="007725B0" w:rsidRDefault="005E1CA4" w:rsidP="000A427B">
            <w:pPr>
              <w:pStyle w:val="TableText"/>
              <w:rPr>
                <w:color w:val="000000"/>
              </w:rPr>
            </w:pPr>
            <w:r>
              <w:rPr>
                <w:rFonts w:cstheme="minorBidi"/>
                <w:color w:val="000000"/>
              </w:rPr>
              <w:t>47.80</w:t>
            </w:r>
          </w:p>
        </w:tc>
        <w:tc>
          <w:tcPr>
            <w:tcW w:w="3895" w:type="dxa"/>
            <w:vAlign w:val="bottom"/>
          </w:tcPr>
          <w:p w14:paraId="59B3E196" w14:textId="77777777" w:rsidR="005E1CA4" w:rsidRPr="007725B0" w:rsidRDefault="005E1CA4" w:rsidP="000A427B">
            <w:pPr>
              <w:pStyle w:val="TableText"/>
              <w:rPr>
                <w:color w:val="000000"/>
              </w:rPr>
            </w:pPr>
            <w:r w:rsidRPr="007725B0">
              <w:rPr>
                <w:rFonts w:cstheme="minorBidi"/>
                <w:color w:val="000000"/>
              </w:rPr>
              <w:t xml:space="preserve">MBS </w:t>
            </w:r>
            <w:r>
              <w:rPr>
                <w:rFonts w:cstheme="minorBidi"/>
                <w:color w:val="000000"/>
              </w:rPr>
              <w:t>i</w:t>
            </w:r>
            <w:r w:rsidRPr="007725B0">
              <w:rPr>
                <w:rFonts w:cstheme="minorBidi"/>
                <w:color w:val="000000"/>
              </w:rPr>
              <w:t xml:space="preserve">tem </w:t>
            </w:r>
            <w:r>
              <w:rPr>
                <w:rFonts w:cstheme="minorBidi"/>
                <w:color w:val="000000"/>
              </w:rPr>
              <w:t>105</w:t>
            </w:r>
            <w:r w:rsidRPr="007725B0">
              <w:rPr>
                <w:rFonts w:cstheme="minorBidi"/>
                <w:color w:val="000000"/>
              </w:rPr>
              <w:t>, October 2023</w:t>
            </w:r>
          </w:p>
        </w:tc>
      </w:tr>
      <w:tr w:rsidR="005E1CA4" w:rsidRPr="00CE28E3" w14:paraId="7CF7909D" w14:textId="77777777" w:rsidTr="000A427B">
        <w:tc>
          <w:tcPr>
            <w:tcW w:w="4084" w:type="dxa"/>
            <w:tcBorders>
              <w:bottom w:val="single" w:sz="4" w:space="0" w:color="auto"/>
            </w:tcBorders>
            <w:vAlign w:val="bottom"/>
          </w:tcPr>
          <w:p w14:paraId="546B9137" w14:textId="77777777" w:rsidR="005E1CA4" w:rsidRPr="007725B0" w:rsidRDefault="005E1CA4" w:rsidP="000A427B">
            <w:pPr>
              <w:pStyle w:val="TableText"/>
              <w:rPr>
                <w:color w:val="000000"/>
              </w:rPr>
            </w:pPr>
            <w:r w:rsidRPr="007725B0">
              <w:rPr>
                <w:rFonts w:cstheme="minorBidi"/>
                <w:b/>
                <w:bCs/>
                <w:color w:val="000000"/>
              </w:rPr>
              <w:t>Total</w:t>
            </w:r>
          </w:p>
        </w:tc>
        <w:tc>
          <w:tcPr>
            <w:tcW w:w="1037" w:type="dxa"/>
            <w:tcBorders>
              <w:bottom w:val="single" w:sz="4" w:space="0" w:color="auto"/>
            </w:tcBorders>
            <w:vAlign w:val="bottom"/>
          </w:tcPr>
          <w:p w14:paraId="3DAEC857" w14:textId="77777777" w:rsidR="005E1CA4" w:rsidRPr="007725B0" w:rsidRDefault="005E1CA4" w:rsidP="000A427B">
            <w:pPr>
              <w:pStyle w:val="TableText"/>
              <w:rPr>
                <w:color w:val="000000"/>
              </w:rPr>
            </w:pPr>
            <w:r w:rsidRPr="007725B0">
              <w:rPr>
                <w:rFonts w:cstheme="minorBidi"/>
                <w:b/>
                <w:bCs/>
                <w:color w:val="000000"/>
              </w:rPr>
              <w:t>2</w:t>
            </w:r>
            <w:r>
              <w:rPr>
                <w:rFonts w:cstheme="minorBidi"/>
                <w:b/>
                <w:bCs/>
                <w:color w:val="000000"/>
              </w:rPr>
              <w:t>,721.41</w:t>
            </w:r>
          </w:p>
        </w:tc>
        <w:tc>
          <w:tcPr>
            <w:tcW w:w="3895" w:type="dxa"/>
            <w:tcBorders>
              <w:bottom w:val="single" w:sz="4" w:space="0" w:color="auto"/>
            </w:tcBorders>
            <w:vAlign w:val="bottom"/>
          </w:tcPr>
          <w:p w14:paraId="754897E1" w14:textId="77777777" w:rsidR="005E1CA4" w:rsidRPr="007725B0" w:rsidRDefault="005E1CA4" w:rsidP="000A427B">
            <w:pPr>
              <w:pStyle w:val="TableText"/>
              <w:rPr>
                <w:color w:val="000000"/>
              </w:rPr>
            </w:pPr>
          </w:p>
        </w:tc>
      </w:tr>
    </w:tbl>
    <w:p w14:paraId="4073DD3B" w14:textId="77777777" w:rsidR="005E1CA4" w:rsidRPr="00161603" w:rsidRDefault="005E1CA4" w:rsidP="005E1CA4">
      <w:pPr>
        <w:pStyle w:val="TableFigNoteLast"/>
      </w:pPr>
      <w:r>
        <w:t>AR-DRG = Australian-Refined Diagnosis Related Groups; CRP=cardiorespiratory polygraphy; ENT, ear, nose and throat; MBS = Medicare Benefits Schedule.</w:t>
      </w:r>
    </w:p>
    <w:p w14:paraId="37FB0690" w14:textId="77777777" w:rsidR="005E1CA4" w:rsidRPr="00395DB7" w:rsidRDefault="005E1CA4" w:rsidP="005E1CA4">
      <w:pPr>
        <w:rPr>
          <w:rFonts w:ascii="Franklin Gothic Book" w:hAnsi="Franklin Gothic Book"/>
        </w:rPr>
      </w:pPr>
      <w:r w:rsidRPr="00395DB7">
        <w:rPr>
          <w:rFonts w:ascii="Franklin Gothic Book" w:hAnsi="Franklin Gothic Book"/>
        </w:rPr>
        <w:lastRenderedPageBreak/>
        <w:t xml:space="preserve">As the outcome of interest for the cost-effectiveness analysis was tonsillectomies avoided, the cost of tonsillectomy was used to set a ‘willingness-to-pay’ threshold for the intervention. This meant that though all costs leading up to the day of surgery were considered for both groups, the cost of tonsillectomy itself was not included in the model. Using this approach, if the incremental cost per tonsillectomy avoided is less than the cost of a tonsillectomy, the intervention can be considered cost-effective. </w:t>
      </w:r>
    </w:p>
    <w:p w14:paraId="34378BE5" w14:textId="0CCE098B" w:rsidR="005E1CA4" w:rsidRPr="00395DB7" w:rsidRDefault="005E1CA4" w:rsidP="005E1CA4">
      <w:pPr>
        <w:rPr>
          <w:rFonts w:ascii="Franklin Gothic Book" w:hAnsi="Franklin Gothic Book"/>
        </w:rPr>
      </w:pPr>
      <w:r w:rsidRPr="00395DB7">
        <w:rPr>
          <w:rFonts w:ascii="Franklin Gothic Book" w:hAnsi="Franklin Gothic Book"/>
        </w:rPr>
        <w:t xml:space="preserve">The base-case incremental cost per tonsillectomy avoided of $1,751.65 was less than the expected cost per tonsillectomy ($2,721.41) meaning that the intervention can </w:t>
      </w:r>
      <w:proofErr w:type="gramStart"/>
      <w:r w:rsidRPr="00395DB7">
        <w:rPr>
          <w:rFonts w:ascii="Franklin Gothic Book" w:hAnsi="Franklin Gothic Book"/>
        </w:rPr>
        <w:t>be considered to be</w:t>
      </w:r>
      <w:proofErr w:type="gramEnd"/>
      <w:r w:rsidRPr="00395DB7">
        <w:rPr>
          <w:rFonts w:ascii="Franklin Gothic Book" w:hAnsi="Franklin Gothic Book"/>
        </w:rPr>
        <w:t xml:space="preserve"> cost-effective by this measure (</w:t>
      </w:r>
      <w:r w:rsidRPr="00395DB7">
        <w:rPr>
          <w:rFonts w:ascii="Franklin Gothic Book" w:hAnsi="Franklin Gothic Book"/>
        </w:rPr>
        <w:fldChar w:fldCharType="begin"/>
      </w:r>
      <w:r w:rsidRPr="00395DB7">
        <w:rPr>
          <w:rFonts w:ascii="Franklin Gothic Book" w:hAnsi="Franklin Gothic Book"/>
        </w:rPr>
        <w:instrText xml:space="preserve"> REF _Ref150253985 \h </w:instrText>
      </w:r>
      <w:r w:rsid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 xml:space="preserve">Table </w:t>
      </w:r>
      <w:r w:rsidRPr="00395DB7">
        <w:rPr>
          <w:rFonts w:ascii="Franklin Gothic Book" w:hAnsi="Franklin Gothic Book"/>
          <w:noProof/>
        </w:rPr>
        <w:t>14</w:t>
      </w:r>
      <w:r w:rsidRPr="00395DB7">
        <w:rPr>
          <w:rFonts w:ascii="Franklin Gothic Book" w:hAnsi="Franklin Gothic Book"/>
        </w:rPr>
        <w:fldChar w:fldCharType="end"/>
      </w:r>
      <w:r w:rsidRPr="00395DB7">
        <w:rPr>
          <w:rFonts w:ascii="Franklin Gothic Book" w:hAnsi="Franklin Gothic Book"/>
        </w:rPr>
        <w:t>). The economic evaluation highlights that the higher specificity, and lower sensitivity, of Level 3 CRP in comparison to no sleep study (clinic evaluation, potentially aided by sleep questionnaires) may lead to lower false positives, and higher false negatives, and therefore potentially fewer tonsillectomies.</w:t>
      </w:r>
    </w:p>
    <w:p w14:paraId="51FE91E7" w14:textId="468D04D2" w:rsidR="005E1CA4" w:rsidRDefault="005E1CA4" w:rsidP="005E1CA4">
      <w:pPr>
        <w:pStyle w:val="Caption"/>
      </w:pPr>
      <w:bookmarkStart w:id="49" w:name="_Ref150253985"/>
      <w:r>
        <w:t xml:space="preserve">Table </w:t>
      </w:r>
      <w:fldSimple w:instr=" SEQ Table \* ARABIC ">
        <w:r>
          <w:rPr>
            <w:noProof/>
          </w:rPr>
          <w:t>14</w:t>
        </w:r>
      </w:fldSimple>
      <w:bookmarkEnd w:id="49"/>
      <w:r>
        <w:tab/>
        <w:t>Base case economic evaluation results for PICO Set 2</w:t>
      </w:r>
    </w:p>
    <w:tbl>
      <w:tblPr>
        <w:tblStyle w:val="TableGrid"/>
        <w:tblW w:w="0" w:type="auto"/>
        <w:tblLook w:val="04A0" w:firstRow="1" w:lastRow="0" w:firstColumn="1" w:lastColumn="0" w:noHBand="0" w:noVBand="1"/>
        <w:tblCaption w:val="Base case economic evaluation results for PICO Set 2"/>
        <w:tblDescription w:val="This table presents the base case economic evalution results for PICO Set 2 including costs, tonsillectomies avoided, and cost/tonsillectomy avoided for the intervention, comparator and incremental."/>
      </w:tblPr>
      <w:tblGrid>
        <w:gridCol w:w="2122"/>
        <w:gridCol w:w="1825"/>
        <w:gridCol w:w="2534"/>
        <w:gridCol w:w="2535"/>
      </w:tblGrid>
      <w:tr w:rsidR="005E1CA4" w:rsidRPr="00536F7A" w14:paraId="53CD1689" w14:textId="77777777" w:rsidTr="000A427B">
        <w:trPr>
          <w:tblHeader/>
        </w:trPr>
        <w:tc>
          <w:tcPr>
            <w:tcW w:w="2122" w:type="dxa"/>
          </w:tcPr>
          <w:p w14:paraId="2E303039" w14:textId="77777777" w:rsidR="005E1CA4" w:rsidRPr="00536F7A" w:rsidRDefault="005E1CA4" w:rsidP="000A427B">
            <w:pPr>
              <w:pStyle w:val="TableHeading0"/>
              <w:keepNext/>
            </w:pPr>
          </w:p>
        </w:tc>
        <w:tc>
          <w:tcPr>
            <w:tcW w:w="1825" w:type="dxa"/>
          </w:tcPr>
          <w:p w14:paraId="09B6C45D" w14:textId="77777777" w:rsidR="005E1CA4" w:rsidRPr="00536F7A" w:rsidRDefault="005E1CA4" w:rsidP="000A427B">
            <w:pPr>
              <w:pStyle w:val="TableHeading0"/>
              <w:keepNext/>
            </w:pPr>
            <w:r w:rsidRPr="00536F7A">
              <w:t>Costs</w:t>
            </w:r>
          </w:p>
        </w:tc>
        <w:tc>
          <w:tcPr>
            <w:tcW w:w="2534" w:type="dxa"/>
          </w:tcPr>
          <w:p w14:paraId="4397EC77" w14:textId="77777777" w:rsidR="005E1CA4" w:rsidRPr="00536F7A" w:rsidRDefault="005E1CA4" w:rsidP="000A427B">
            <w:pPr>
              <w:pStyle w:val="TableHeading0"/>
              <w:keepNext/>
            </w:pPr>
            <w:r w:rsidRPr="00536F7A">
              <w:t>Tonsillectomies avoided</w:t>
            </w:r>
          </w:p>
        </w:tc>
        <w:tc>
          <w:tcPr>
            <w:tcW w:w="2535" w:type="dxa"/>
          </w:tcPr>
          <w:p w14:paraId="3657726A" w14:textId="77777777" w:rsidR="005E1CA4" w:rsidRPr="00536F7A" w:rsidRDefault="005E1CA4" w:rsidP="000A427B">
            <w:pPr>
              <w:pStyle w:val="TableHeading0"/>
              <w:keepNext/>
            </w:pPr>
            <w:r w:rsidRPr="00536F7A">
              <w:t>Cost/</w:t>
            </w:r>
            <w:r>
              <w:t xml:space="preserve"> </w:t>
            </w:r>
            <w:r w:rsidRPr="00536F7A">
              <w:t>tonsillectomy avoided</w:t>
            </w:r>
          </w:p>
        </w:tc>
      </w:tr>
      <w:tr w:rsidR="005E1CA4" w:rsidRPr="00536F7A" w14:paraId="74337FEB" w14:textId="77777777" w:rsidTr="000A427B">
        <w:tc>
          <w:tcPr>
            <w:tcW w:w="2122" w:type="dxa"/>
          </w:tcPr>
          <w:p w14:paraId="7DE6714A" w14:textId="77777777" w:rsidR="005E1CA4" w:rsidRPr="00536F7A" w:rsidRDefault="005E1CA4" w:rsidP="000A427B">
            <w:pPr>
              <w:pStyle w:val="TableText"/>
            </w:pPr>
            <w:r w:rsidRPr="00536F7A">
              <w:t>Intervention</w:t>
            </w:r>
          </w:p>
        </w:tc>
        <w:tc>
          <w:tcPr>
            <w:tcW w:w="1825" w:type="dxa"/>
          </w:tcPr>
          <w:p w14:paraId="0C9516D4" w14:textId="77777777" w:rsidR="005E1CA4" w:rsidRPr="00536F7A" w:rsidRDefault="005E1CA4" w:rsidP="000A427B">
            <w:pPr>
              <w:pStyle w:val="TableText"/>
            </w:pPr>
            <w:r>
              <w:t>881.09</w:t>
            </w:r>
          </w:p>
        </w:tc>
        <w:tc>
          <w:tcPr>
            <w:tcW w:w="2534" w:type="dxa"/>
          </w:tcPr>
          <w:p w14:paraId="4E9968B4" w14:textId="77777777" w:rsidR="005E1CA4" w:rsidRPr="00536F7A" w:rsidRDefault="005E1CA4" w:rsidP="000A427B">
            <w:pPr>
              <w:pStyle w:val="TableText"/>
            </w:pPr>
            <w:r w:rsidRPr="00536F7A">
              <w:t>0.7</w:t>
            </w:r>
            <w:r>
              <w:t>8</w:t>
            </w:r>
          </w:p>
        </w:tc>
        <w:tc>
          <w:tcPr>
            <w:tcW w:w="2535" w:type="dxa"/>
          </w:tcPr>
          <w:p w14:paraId="6E52A93D" w14:textId="77777777" w:rsidR="005E1CA4" w:rsidRPr="00536F7A" w:rsidRDefault="005E1CA4" w:rsidP="000A427B">
            <w:pPr>
              <w:pStyle w:val="TableText"/>
            </w:pPr>
            <w:r>
              <w:t>-</w:t>
            </w:r>
          </w:p>
        </w:tc>
      </w:tr>
      <w:tr w:rsidR="005E1CA4" w:rsidRPr="00536F7A" w14:paraId="1A070F5B" w14:textId="77777777" w:rsidTr="000A427B">
        <w:tc>
          <w:tcPr>
            <w:tcW w:w="2122" w:type="dxa"/>
          </w:tcPr>
          <w:p w14:paraId="76BF56D3" w14:textId="77777777" w:rsidR="005E1CA4" w:rsidRPr="00536F7A" w:rsidRDefault="005E1CA4" w:rsidP="000A427B">
            <w:pPr>
              <w:pStyle w:val="TableText"/>
            </w:pPr>
            <w:r w:rsidRPr="00536F7A">
              <w:t>Comparator</w:t>
            </w:r>
          </w:p>
        </w:tc>
        <w:tc>
          <w:tcPr>
            <w:tcW w:w="1825" w:type="dxa"/>
          </w:tcPr>
          <w:p w14:paraId="2572D19E" w14:textId="77777777" w:rsidR="005E1CA4" w:rsidRPr="00536F7A" w:rsidRDefault="005E1CA4" w:rsidP="000A427B">
            <w:pPr>
              <w:pStyle w:val="TableText"/>
            </w:pPr>
            <w:r>
              <w:t>174.80</w:t>
            </w:r>
          </w:p>
        </w:tc>
        <w:tc>
          <w:tcPr>
            <w:tcW w:w="2534" w:type="dxa"/>
          </w:tcPr>
          <w:p w14:paraId="40E062B4" w14:textId="77777777" w:rsidR="005E1CA4" w:rsidRPr="00536F7A" w:rsidRDefault="005E1CA4" w:rsidP="000A427B">
            <w:pPr>
              <w:pStyle w:val="TableText"/>
            </w:pPr>
            <w:r w:rsidRPr="00536F7A">
              <w:t>0.</w:t>
            </w:r>
            <w:r>
              <w:t>38</w:t>
            </w:r>
          </w:p>
        </w:tc>
        <w:tc>
          <w:tcPr>
            <w:tcW w:w="2535" w:type="dxa"/>
          </w:tcPr>
          <w:p w14:paraId="7B377817" w14:textId="77777777" w:rsidR="005E1CA4" w:rsidRPr="00536F7A" w:rsidRDefault="005E1CA4" w:rsidP="000A427B">
            <w:pPr>
              <w:pStyle w:val="TableText"/>
            </w:pPr>
            <w:r>
              <w:t>-</w:t>
            </w:r>
          </w:p>
        </w:tc>
      </w:tr>
      <w:tr w:rsidR="005E1CA4" w:rsidRPr="00536F7A" w14:paraId="3E0550C6" w14:textId="77777777" w:rsidTr="000A427B">
        <w:tc>
          <w:tcPr>
            <w:tcW w:w="2122" w:type="dxa"/>
          </w:tcPr>
          <w:p w14:paraId="1BE4D96C" w14:textId="77777777" w:rsidR="005E1CA4" w:rsidRPr="00536F7A" w:rsidRDefault="005E1CA4" w:rsidP="000A427B">
            <w:pPr>
              <w:pStyle w:val="TableText"/>
            </w:pPr>
            <w:r w:rsidRPr="00536F7A">
              <w:t>Incremental</w:t>
            </w:r>
          </w:p>
        </w:tc>
        <w:tc>
          <w:tcPr>
            <w:tcW w:w="1825" w:type="dxa"/>
          </w:tcPr>
          <w:p w14:paraId="3575C306" w14:textId="77777777" w:rsidR="005E1CA4" w:rsidRPr="00536F7A" w:rsidRDefault="005E1CA4" w:rsidP="000A427B">
            <w:pPr>
              <w:pStyle w:val="TableText"/>
            </w:pPr>
            <w:r>
              <w:t>706.29</w:t>
            </w:r>
          </w:p>
        </w:tc>
        <w:tc>
          <w:tcPr>
            <w:tcW w:w="2534" w:type="dxa"/>
          </w:tcPr>
          <w:p w14:paraId="01C79F44" w14:textId="77777777" w:rsidR="005E1CA4" w:rsidRPr="00536F7A" w:rsidRDefault="005E1CA4" w:rsidP="000A427B">
            <w:pPr>
              <w:pStyle w:val="TableText"/>
            </w:pPr>
            <w:r w:rsidRPr="00536F7A">
              <w:t>0.</w:t>
            </w:r>
            <w:r>
              <w:t>4</w:t>
            </w:r>
          </w:p>
        </w:tc>
        <w:tc>
          <w:tcPr>
            <w:tcW w:w="2535" w:type="dxa"/>
          </w:tcPr>
          <w:p w14:paraId="62359E43" w14:textId="77777777" w:rsidR="005E1CA4" w:rsidRPr="00536F7A" w:rsidRDefault="005E1CA4" w:rsidP="000A427B">
            <w:pPr>
              <w:pStyle w:val="TableText"/>
            </w:pPr>
            <w:r w:rsidRPr="00536F7A">
              <w:t>1,</w:t>
            </w:r>
            <w:r>
              <w:t>751.65</w:t>
            </w:r>
          </w:p>
        </w:tc>
      </w:tr>
    </w:tbl>
    <w:p w14:paraId="19B89FAB" w14:textId="77777777" w:rsidR="005E1CA4" w:rsidRPr="00395DB7" w:rsidRDefault="005E1CA4" w:rsidP="00395DB7">
      <w:pPr>
        <w:spacing w:before="240"/>
        <w:rPr>
          <w:rFonts w:ascii="Franklin Gothic Book" w:hAnsi="Franklin Gothic Book"/>
        </w:rPr>
      </w:pPr>
      <w:r w:rsidRPr="00395DB7">
        <w:rPr>
          <w:rFonts w:ascii="Franklin Gothic Book" w:hAnsi="Franklin Gothic Book"/>
        </w:rPr>
        <w:t>Applying the same method as for PICO set 1, the costs per accurate diagnosis for the intervention and comparator were also estimated. The cost per accurate diagnosis for Level 3 CRP was $2,537.20 and for no sleep study $704.84 (difference of $1,832.36), hence the use of Level 3 CRP is more expensive per accurate diagnosis compared to no testing.</w:t>
      </w:r>
    </w:p>
    <w:p w14:paraId="5AD22CC6" w14:textId="66875A81" w:rsidR="005E1CA4" w:rsidRPr="00395DB7" w:rsidRDefault="005E1CA4" w:rsidP="005E1CA4">
      <w:pPr>
        <w:rPr>
          <w:rFonts w:ascii="Franklin Gothic Book" w:hAnsi="Franklin Gothic Book"/>
        </w:rPr>
      </w:pPr>
      <w:r w:rsidRPr="00395DB7">
        <w:rPr>
          <w:rFonts w:ascii="Franklin Gothic Book" w:hAnsi="Franklin Gothic Book"/>
        </w:rPr>
        <w:t xml:space="preserve">Several one-way sensitivity analyses were performed. The key drivers of the model are presented in </w:t>
      </w:r>
      <w:r w:rsidRPr="00395DB7">
        <w:rPr>
          <w:rFonts w:ascii="Franklin Gothic Book" w:hAnsi="Franklin Gothic Book"/>
        </w:rPr>
        <w:fldChar w:fldCharType="begin"/>
      </w:r>
      <w:r w:rsidRPr="00395DB7">
        <w:rPr>
          <w:rFonts w:ascii="Franklin Gothic Book" w:hAnsi="Franklin Gothic Book"/>
        </w:rPr>
        <w:instrText xml:space="preserve"> REF _Ref69726321 \h </w:instrText>
      </w:r>
      <w:r w:rsid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Table </w:t>
      </w:r>
      <w:r w:rsidRPr="00395DB7">
        <w:rPr>
          <w:rFonts w:ascii="Franklin Gothic Book" w:hAnsi="Franklin Gothic Book"/>
          <w:noProof/>
        </w:rPr>
        <w:t>15</w:t>
      </w:r>
      <w:r w:rsidRPr="00395DB7">
        <w:rPr>
          <w:rFonts w:ascii="Franklin Gothic Book" w:hAnsi="Franklin Gothic Book"/>
        </w:rPr>
        <w:fldChar w:fldCharType="end"/>
      </w:r>
      <w:r w:rsidRPr="00395DB7">
        <w:rPr>
          <w:rFonts w:ascii="Franklin Gothic Book" w:hAnsi="Franklin Gothic Book"/>
        </w:rPr>
        <w:t xml:space="preserve"> and sensitivity analysis in </w:t>
      </w:r>
      <w:r w:rsidRPr="00395DB7">
        <w:rPr>
          <w:rFonts w:ascii="Franklin Gothic Book" w:hAnsi="Franklin Gothic Book"/>
        </w:rPr>
        <w:fldChar w:fldCharType="begin"/>
      </w:r>
      <w:r w:rsidRPr="00395DB7">
        <w:rPr>
          <w:rFonts w:ascii="Franklin Gothic Book" w:hAnsi="Franklin Gothic Book"/>
        </w:rPr>
        <w:instrText xml:space="preserve"> REF _Ref150256315 \h </w:instrText>
      </w:r>
      <w:r w:rsid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 xml:space="preserve">Table </w:t>
      </w:r>
      <w:r w:rsidRPr="00395DB7">
        <w:rPr>
          <w:rFonts w:ascii="Franklin Gothic Book" w:hAnsi="Franklin Gothic Book"/>
          <w:noProof/>
        </w:rPr>
        <w:t>16</w:t>
      </w:r>
      <w:r w:rsidRPr="00395DB7">
        <w:rPr>
          <w:rFonts w:ascii="Franklin Gothic Book" w:hAnsi="Franklin Gothic Book"/>
        </w:rPr>
        <w:fldChar w:fldCharType="end"/>
      </w:r>
      <w:r w:rsidRPr="00395DB7">
        <w:rPr>
          <w:rFonts w:ascii="Franklin Gothic Book" w:hAnsi="Franklin Gothic Book"/>
        </w:rPr>
        <w:t>. As the model does not consider appropriate or inappropriate tonsillectomy, some lower incremental cost scenarios may be clinically unfavourable as, for example, when higher rates of false negatives lead to fewer tonsillectomies.</w:t>
      </w:r>
    </w:p>
    <w:p w14:paraId="4C0C96F9" w14:textId="11EF52D2" w:rsidR="005E1CA4" w:rsidRPr="00CE28E3" w:rsidRDefault="005E1CA4" w:rsidP="008D5D0C">
      <w:pPr>
        <w:pStyle w:val="Caption"/>
        <w:keepLines/>
      </w:pPr>
      <w:bookmarkStart w:id="50" w:name="_Ref69726321"/>
      <w:r w:rsidRPr="00CE28E3">
        <w:t>Table</w:t>
      </w:r>
      <w:r>
        <w:t> </w:t>
      </w:r>
      <w:fldSimple w:instr=" SEQ Table \* ARABIC ">
        <w:r>
          <w:rPr>
            <w:noProof/>
          </w:rPr>
          <w:t>15</w:t>
        </w:r>
      </w:fldSimple>
      <w:bookmarkEnd w:id="50"/>
      <w:r w:rsidRPr="00CE28E3">
        <w:tab/>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Key drivers of the model"/>
        <w:tblDescription w:val="This table summarises the key drivers of the economic model for PICO Set 2 and the impact of the driver."/>
      </w:tblPr>
      <w:tblGrid>
        <w:gridCol w:w="1413"/>
        <w:gridCol w:w="3403"/>
        <w:gridCol w:w="4200"/>
      </w:tblGrid>
      <w:tr w:rsidR="005E1CA4" w:rsidRPr="00CE28E3" w14:paraId="362EBB0F" w14:textId="77777777" w:rsidTr="000A427B">
        <w:trPr>
          <w:tblHeader/>
        </w:trPr>
        <w:tc>
          <w:tcPr>
            <w:tcW w:w="784" w:type="pct"/>
            <w:shd w:val="clear" w:color="auto" w:fill="auto"/>
            <w:tcMar>
              <w:left w:w="57" w:type="dxa"/>
              <w:right w:w="57" w:type="dxa"/>
            </w:tcMar>
            <w:vAlign w:val="center"/>
          </w:tcPr>
          <w:p w14:paraId="1A08AFA4" w14:textId="77777777" w:rsidR="005E1CA4" w:rsidRPr="00CE28E3" w:rsidRDefault="005E1CA4" w:rsidP="008D5D0C">
            <w:pPr>
              <w:pStyle w:val="In-tableHeading"/>
              <w:keepLines/>
              <w:jc w:val="center"/>
            </w:pPr>
            <w:bookmarkStart w:id="51" w:name="Title_Table10" w:colFirst="0" w:colLast="0"/>
            <w:bookmarkStart w:id="52" w:name="_Hlk68276626"/>
            <w:r w:rsidRPr="00CE28E3">
              <w:t>Description</w:t>
            </w:r>
          </w:p>
        </w:tc>
        <w:tc>
          <w:tcPr>
            <w:tcW w:w="1887" w:type="pct"/>
            <w:shd w:val="clear" w:color="auto" w:fill="auto"/>
            <w:tcMar>
              <w:left w:w="57" w:type="dxa"/>
              <w:right w:w="57" w:type="dxa"/>
            </w:tcMar>
            <w:vAlign w:val="center"/>
          </w:tcPr>
          <w:p w14:paraId="5A46F09B" w14:textId="77777777" w:rsidR="005E1CA4" w:rsidRPr="00CE28E3" w:rsidRDefault="005E1CA4" w:rsidP="008D5D0C">
            <w:pPr>
              <w:pStyle w:val="In-tableHeading"/>
              <w:keepLines/>
              <w:jc w:val="center"/>
            </w:pPr>
            <w:r w:rsidRPr="00CE28E3">
              <w:t>Method/Value</w:t>
            </w:r>
          </w:p>
        </w:tc>
        <w:tc>
          <w:tcPr>
            <w:tcW w:w="2330" w:type="pct"/>
            <w:shd w:val="clear" w:color="auto" w:fill="auto"/>
            <w:tcMar>
              <w:left w:w="57" w:type="dxa"/>
              <w:right w:w="57" w:type="dxa"/>
            </w:tcMar>
            <w:vAlign w:val="center"/>
          </w:tcPr>
          <w:p w14:paraId="6E8955D4" w14:textId="77777777" w:rsidR="005E1CA4" w:rsidRPr="00CE28E3" w:rsidRDefault="005E1CA4" w:rsidP="008D5D0C">
            <w:pPr>
              <w:pStyle w:val="In-tableHeading"/>
              <w:keepLines/>
              <w:jc w:val="center"/>
            </w:pPr>
            <w:r w:rsidRPr="00CE28E3">
              <w:t>Impact</w:t>
            </w:r>
          </w:p>
          <w:p w14:paraId="25AE98F5" w14:textId="77777777" w:rsidR="005E1CA4" w:rsidRPr="00CE28E3" w:rsidRDefault="005E1CA4" w:rsidP="008D5D0C">
            <w:pPr>
              <w:pStyle w:val="In-tableHeading"/>
              <w:keepLines/>
              <w:spacing w:after="147"/>
              <w:jc w:val="center"/>
            </w:pPr>
            <w:r w:rsidRPr="00CE28E3">
              <w:rPr>
                <w:rFonts w:cs="Arial"/>
                <w:szCs w:val="20"/>
              </w:rPr>
              <w:t>Base case: $</w:t>
            </w:r>
            <w:r w:rsidRPr="00536F7A">
              <w:t>1,</w:t>
            </w:r>
            <w:r>
              <w:t>751</w:t>
            </w:r>
            <w:r w:rsidRPr="00536F7A">
              <w:t>.</w:t>
            </w:r>
            <w:r>
              <w:t>65</w:t>
            </w:r>
            <w:r w:rsidRPr="00CE28E3">
              <w:rPr>
                <w:rFonts w:cs="Arial"/>
                <w:szCs w:val="20"/>
              </w:rPr>
              <w:t>/</w:t>
            </w:r>
            <w:r>
              <w:rPr>
                <w:rFonts w:cs="Arial"/>
                <w:szCs w:val="20"/>
              </w:rPr>
              <w:t>tonsillectomy avoided</w:t>
            </w:r>
          </w:p>
        </w:tc>
      </w:tr>
      <w:bookmarkEnd w:id="51"/>
      <w:tr w:rsidR="005E1CA4" w:rsidRPr="00CE28E3" w14:paraId="337A6E30" w14:textId="77777777" w:rsidTr="000A427B">
        <w:tc>
          <w:tcPr>
            <w:tcW w:w="784" w:type="pct"/>
            <w:shd w:val="clear" w:color="auto" w:fill="auto"/>
            <w:tcMar>
              <w:left w:w="85" w:type="dxa"/>
              <w:right w:w="85" w:type="dxa"/>
            </w:tcMar>
            <w:vAlign w:val="center"/>
          </w:tcPr>
          <w:p w14:paraId="39CAEFF0" w14:textId="77777777" w:rsidR="005E1CA4" w:rsidRPr="00CE28E3" w:rsidRDefault="005E1CA4" w:rsidP="008D5D0C">
            <w:pPr>
              <w:pStyle w:val="TableText"/>
              <w:keepNext/>
              <w:keepLines/>
              <w:spacing w:before="36" w:after="36"/>
              <w:jc w:val="center"/>
              <w:rPr>
                <w:lang w:val="en-US"/>
              </w:rPr>
            </w:pPr>
            <w:r>
              <w:rPr>
                <w:lang w:val="en-US"/>
              </w:rPr>
              <w:t>Prevalence, specificity of comparator</w:t>
            </w:r>
          </w:p>
        </w:tc>
        <w:tc>
          <w:tcPr>
            <w:tcW w:w="1887" w:type="pct"/>
            <w:shd w:val="clear" w:color="auto" w:fill="auto"/>
            <w:tcMar>
              <w:left w:w="85" w:type="dxa"/>
              <w:right w:w="85" w:type="dxa"/>
            </w:tcMar>
            <w:vAlign w:val="center"/>
          </w:tcPr>
          <w:p w14:paraId="39639A96" w14:textId="77777777" w:rsidR="005E1CA4" w:rsidRPr="00CE28E3" w:rsidRDefault="005E1CA4" w:rsidP="008D5D0C">
            <w:pPr>
              <w:pStyle w:val="TableText"/>
              <w:keepNext/>
              <w:keepLines/>
              <w:spacing w:before="36" w:after="36"/>
              <w:rPr>
                <w:lang w:val="en-US"/>
              </w:rPr>
            </w:pPr>
            <w:r>
              <w:rPr>
                <w:lang w:val="en-US"/>
              </w:rPr>
              <w:t>Applicant estimated that 50% of patients assessed by the ENT would go onto tonsillectomy. DCAR uses estimated sensitivity and specificity of clinical evaluation combined with sleep questionnaires. Actual estimates may vary by provider.</w:t>
            </w:r>
          </w:p>
        </w:tc>
        <w:tc>
          <w:tcPr>
            <w:tcW w:w="2330" w:type="pct"/>
            <w:shd w:val="clear" w:color="auto" w:fill="auto"/>
            <w:tcMar>
              <w:left w:w="85" w:type="dxa"/>
              <w:right w:w="85" w:type="dxa"/>
            </w:tcMar>
            <w:vAlign w:val="center"/>
          </w:tcPr>
          <w:p w14:paraId="3D2E4283" w14:textId="77777777" w:rsidR="005E1CA4" w:rsidRDefault="005E1CA4" w:rsidP="008D5D0C">
            <w:pPr>
              <w:pStyle w:val="TableText"/>
              <w:keepNext/>
              <w:keepLines/>
              <w:spacing w:before="36" w:after="36"/>
              <w:rPr>
                <w:i/>
                <w:lang w:val="en-US"/>
              </w:rPr>
            </w:pPr>
            <w:r>
              <w:rPr>
                <w:i/>
                <w:lang w:val="en-US"/>
              </w:rPr>
              <w:t>Higher prevalence of 100% in at risk population led to a higher ICER ($2,367.29/tonsillectomy avoided)</w:t>
            </w:r>
          </w:p>
          <w:p w14:paraId="32BA6326" w14:textId="77777777" w:rsidR="005E1CA4" w:rsidRPr="00CE28E3" w:rsidRDefault="005E1CA4" w:rsidP="008D5D0C">
            <w:pPr>
              <w:pStyle w:val="TableText"/>
              <w:keepNext/>
              <w:keepLines/>
              <w:spacing w:before="36" w:after="36"/>
              <w:rPr>
                <w:i/>
                <w:lang w:val="en-US"/>
              </w:rPr>
            </w:pPr>
            <w:r>
              <w:rPr>
                <w:i/>
                <w:lang w:val="en-US"/>
              </w:rPr>
              <w:t>Higher specificity of clinical evaluation of 65% (base case = 50%) increased the ICER ($2,205.18/tonsillectomy avoided)</w:t>
            </w:r>
            <w:r>
              <w:rPr>
                <w:i/>
                <w:lang w:val="en-US"/>
              </w:rPr>
              <w:br/>
            </w:r>
          </w:p>
        </w:tc>
      </w:tr>
      <w:tr w:rsidR="005E1CA4" w:rsidRPr="00CE28E3" w14:paraId="7F83AEAA" w14:textId="77777777" w:rsidTr="000A427B">
        <w:tc>
          <w:tcPr>
            <w:tcW w:w="784" w:type="pct"/>
            <w:shd w:val="clear" w:color="auto" w:fill="auto"/>
            <w:tcMar>
              <w:left w:w="85" w:type="dxa"/>
              <w:right w:w="85" w:type="dxa"/>
            </w:tcMar>
            <w:vAlign w:val="center"/>
          </w:tcPr>
          <w:p w14:paraId="7AE208EA" w14:textId="77777777" w:rsidR="005E1CA4" w:rsidRPr="00CE28E3" w:rsidRDefault="005E1CA4" w:rsidP="008D5D0C">
            <w:pPr>
              <w:pStyle w:val="TableText"/>
              <w:keepNext/>
              <w:keepLines/>
              <w:spacing w:before="36" w:after="36"/>
              <w:jc w:val="center"/>
              <w:rPr>
                <w:lang w:val="en-US"/>
              </w:rPr>
            </w:pPr>
            <w:r>
              <w:rPr>
                <w:lang w:val="en-US"/>
              </w:rPr>
              <w:t>Transition probability – sensitivity</w:t>
            </w:r>
          </w:p>
        </w:tc>
        <w:tc>
          <w:tcPr>
            <w:tcW w:w="1887" w:type="pct"/>
            <w:shd w:val="clear" w:color="auto" w:fill="auto"/>
            <w:tcMar>
              <w:left w:w="85" w:type="dxa"/>
              <w:right w:w="85" w:type="dxa"/>
            </w:tcMar>
            <w:vAlign w:val="center"/>
          </w:tcPr>
          <w:p w14:paraId="4C7D0546" w14:textId="77777777" w:rsidR="005E1CA4" w:rsidRPr="00CE28E3" w:rsidRDefault="005E1CA4" w:rsidP="008D5D0C">
            <w:pPr>
              <w:pStyle w:val="TableText"/>
              <w:keepNext/>
              <w:keepLines/>
              <w:spacing w:before="36" w:after="36"/>
              <w:rPr>
                <w:lang w:val="en-US"/>
              </w:rPr>
            </w:pPr>
            <w:r>
              <w:rPr>
                <w:lang w:val="en-US"/>
              </w:rPr>
              <w:t>Taken from Kissow Lildal et al. (2023), base case of 60%. Limited evidence base and small study.</w:t>
            </w:r>
          </w:p>
        </w:tc>
        <w:tc>
          <w:tcPr>
            <w:tcW w:w="2330" w:type="pct"/>
            <w:shd w:val="clear" w:color="auto" w:fill="auto"/>
            <w:tcMar>
              <w:left w:w="85" w:type="dxa"/>
              <w:right w:w="85" w:type="dxa"/>
            </w:tcMar>
            <w:vAlign w:val="center"/>
          </w:tcPr>
          <w:p w14:paraId="73402977" w14:textId="77777777" w:rsidR="005E1CA4" w:rsidRPr="009D58A4" w:rsidRDefault="005E1CA4" w:rsidP="008D5D0C">
            <w:pPr>
              <w:pStyle w:val="TableText"/>
              <w:keepNext/>
              <w:keepLines/>
              <w:spacing w:before="36" w:after="36"/>
            </w:pPr>
            <w:r>
              <w:rPr>
                <w:i/>
                <w:lang w:val="en-US"/>
              </w:rPr>
              <w:t>Moderate;</w:t>
            </w:r>
            <w:r w:rsidRPr="00CE28E3">
              <w:rPr>
                <w:i/>
                <w:lang w:val="en-US"/>
              </w:rPr>
              <w:t xml:space="preserve"> </w:t>
            </w:r>
            <w:proofErr w:type="spellStart"/>
            <w:r w:rsidRPr="00CE28E3">
              <w:rPr>
                <w:i/>
                <w:lang w:val="en-US"/>
              </w:rPr>
              <w:t>favours</w:t>
            </w:r>
            <w:proofErr w:type="spellEnd"/>
            <w:r w:rsidRPr="00CE28E3">
              <w:rPr>
                <w:i/>
                <w:lang w:val="en-US"/>
              </w:rPr>
              <w:t xml:space="preserve"> </w:t>
            </w:r>
            <w:r>
              <w:rPr>
                <w:i/>
                <w:lang w:val="en-US"/>
              </w:rPr>
              <w:t xml:space="preserve">Level 3 CRP at lower values however may also result in </w:t>
            </w:r>
            <w:proofErr w:type="spellStart"/>
            <w:r>
              <w:rPr>
                <w:i/>
                <w:lang w:val="en-US"/>
              </w:rPr>
              <w:t>unfavourable</w:t>
            </w:r>
            <w:proofErr w:type="spellEnd"/>
            <w:r>
              <w:rPr>
                <w:i/>
                <w:lang w:val="en-US"/>
              </w:rPr>
              <w:t xml:space="preserve"> clinical outcome of appropriate tonsillectomies being avoided (higher false negative rate)</w:t>
            </w:r>
            <w:r w:rsidRPr="00CE28E3">
              <w:t xml:space="preserve"> </w:t>
            </w:r>
            <w:r w:rsidRPr="00CE28E3">
              <w:rPr>
                <w:i/>
                <w:lang w:val="en-US"/>
              </w:rPr>
              <w:t xml:space="preserve"> </w:t>
            </w:r>
            <w:r>
              <w:rPr>
                <w:i/>
                <w:lang w:val="en-US"/>
              </w:rPr>
              <w:br/>
            </w:r>
            <w:r w:rsidRPr="00CE28E3">
              <w:rPr>
                <w:i/>
                <w:lang w:val="en-US"/>
              </w:rPr>
              <w:t xml:space="preserve">Use of </w:t>
            </w:r>
            <w:r>
              <w:rPr>
                <w:i/>
                <w:lang w:val="en-US"/>
              </w:rPr>
              <w:t>33%</w:t>
            </w:r>
            <w:r w:rsidRPr="00CE28E3">
              <w:rPr>
                <w:i/>
                <w:lang w:val="en-US"/>
              </w:rPr>
              <w:t xml:space="preserve"> </w:t>
            </w:r>
            <w:r>
              <w:rPr>
                <w:i/>
                <w:lang w:val="en-US"/>
              </w:rPr>
              <w:t>decreased</w:t>
            </w:r>
            <w:r w:rsidRPr="00CE28E3">
              <w:rPr>
                <w:i/>
                <w:lang w:val="en-US"/>
              </w:rPr>
              <w:t xml:space="preserve"> the </w:t>
            </w:r>
            <w:r>
              <w:rPr>
                <w:i/>
                <w:lang w:val="en-US"/>
              </w:rPr>
              <w:t>incremental cost</w:t>
            </w:r>
            <w:r w:rsidRPr="00CE28E3">
              <w:rPr>
                <w:i/>
                <w:lang w:val="en-US"/>
              </w:rPr>
              <w:t xml:space="preserve"> to $</w:t>
            </w:r>
            <w:r w:rsidRPr="00C47887">
              <w:rPr>
                <w:i/>
                <w:lang w:val="en-US"/>
              </w:rPr>
              <w:t>1,4</w:t>
            </w:r>
            <w:r>
              <w:rPr>
                <w:i/>
                <w:lang w:val="en-US"/>
              </w:rPr>
              <w:t>47</w:t>
            </w:r>
            <w:r w:rsidRPr="00C47887">
              <w:rPr>
                <w:i/>
                <w:lang w:val="en-US"/>
              </w:rPr>
              <w:t>.</w:t>
            </w:r>
            <w:r>
              <w:rPr>
                <w:i/>
                <w:lang w:val="en-US"/>
              </w:rPr>
              <w:t>38</w:t>
            </w:r>
            <w:r w:rsidRPr="00CE28E3">
              <w:rPr>
                <w:i/>
                <w:lang w:val="en-US"/>
              </w:rPr>
              <w:t>/</w:t>
            </w:r>
            <w:r>
              <w:t xml:space="preserve"> </w:t>
            </w:r>
            <w:r w:rsidRPr="00306BF3">
              <w:rPr>
                <w:i/>
                <w:lang w:val="en-US"/>
              </w:rPr>
              <w:t>tonsillectomy avoided</w:t>
            </w:r>
            <w:r w:rsidRPr="00CE28E3">
              <w:rPr>
                <w:i/>
                <w:lang w:val="en-US"/>
              </w:rPr>
              <w:t>.</w:t>
            </w:r>
          </w:p>
        </w:tc>
      </w:tr>
    </w:tbl>
    <w:bookmarkEnd w:id="52"/>
    <w:p w14:paraId="79D0BA72" w14:textId="77777777" w:rsidR="005E1CA4" w:rsidRDefault="005E1CA4" w:rsidP="008D5D0C">
      <w:pPr>
        <w:pStyle w:val="TableFigNoteLast"/>
        <w:keepNext/>
        <w:keepLines/>
      </w:pPr>
      <w:r>
        <w:t>CRP=cardiorespiratory polygraphy; ENT=ear, nose and throat.</w:t>
      </w:r>
    </w:p>
    <w:p w14:paraId="578DB002" w14:textId="66FCEA2E" w:rsidR="005E1CA4" w:rsidRDefault="005E1CA4" w:rsidP="005E1CA4">
      <w:pPr>
        <w:pStyle w:val="Caption"/>
      </w:pPr>
      <w:bookmarkStart w:id="53" w:name="_Ref150256315"/>
      <w:r>
        <w:lastRenderedPageBreak/>
        <w:t xml:space="preserve">Table </w:t>
      </w:r>
      <w:fldSimple w:instr=" SEQ Table \* ARABIC ">
        <w:r>
          <w:rPr>
            <w:noProof/>
          </w:rPr>
          <w:t>16</w:t>
        </w:r>
      </w:fldSimple>
      <w:bookmarkEnd w:id="53"/>
      <w:r>
        <w:tab/>
        <w:t>Key sensitivity analyses for PICO Set 2</w:t>
      </w:r>
    </w:p>
    <w:tbl>
      <w:tblPr>
        <w:tblStyle w:val="TableGrid"/>
        <w:tblW w:w="5000" w:type="pct"/>
        <w:tblLook w:val="04A0" w:firstRow="1" w:lastRow="0" w:firstColumn="1" w:lastColumn="0" w:noHBand="0" w:noVBand="1"/>
        <w:tblCaption w:val="Key sensitivity analyses for PICO Set 2"/>
        <w:tblDescription w:val="This table presents the key sensitivity analyses for the economic model in PICO Set 2. For each scenario the incremental costs, incremental effectiveness and incremental cost per tonsillectomy avoided are shown."/>
      </w:tblPr>
      <w:tblGrid>
        <w:gridCol w:w="4956"/>
        <w:gridCol w:w="1137"/>
        <w:gridCol w:w="1277"/>
        <w:gridCol w:w="1646"/>
      </w:tblGrid>
      <w:tr w:rsidR="005E1CA4" w:rsidRPr="007C3301" w14:paraId="0DE71AF4" w14:textId="77777777" w:rsidTr="000A427B">
        <w:trPr>
          <w:tblHeader/>
        </w:trPr>
        <w:tc>
          <w:tcPr>
            <w:tcW w:w="2749" w:type="pct"/>
            <w:vAlign w:val="bottom"/>
          </w:tcPr>
          <w:p w14:paraId="71A61BA8" w14:textId="77777777" w:rsidR="005E1CA4" w:rsidRPr="007C3301" w:rsidRDefault="005E1CA4" w:rsidP="000A427B">
            <w:pPr>
              <w:pStyle w:val="TableHeading0"/>
            </w:pPr>
            <w:r w:rsidRPr="007C3301">
              <w:t>Scenario</w:t>
            </w:r>
          </w:p>
        </w:tc>
        <w:tc>
          <w:tcPr>
            <w:tcW w:w="629" w:type="pct"/>
            <w:vAlign w:val="bottom"/>
          </w:tcPr>
          <w:p w14:paraId="0C80018F" w14:textId="77777777" w:rsidR="005E1CA4" w:rsidRPr="007C3301" w:rsidRDefault="005E1CA4" w:rsidP="000A427B">
            <w:pPr>
              <w:pStyle w:val="TableHeading0"/>
            </w:pPr>
            <w:r w:rsidRPr="007C3301">
              <w:t>Incremental costs</w:t>
            </w:r>
          </w:p>
        </w:tc>
        <w:tc>
          <w:tcPr>
            <w:tcW w:w="709" w:type="pct"/>
            <w:vAlign w:val="bottom"/>
          </w:tcPr>
          <w:p w14:paraId="25C87270" w14:textId="77777777" w:rsidR="005E1CA4" w:rsidRPr="007C3301" w:rsidRDefault="005E1CA4" w:rsidP="000A427B">
            <w:pPr>
              <w:pStyle w:val="TableHeading0"/>
            </w:pPr>
            <w:r w:rsidRPr="007C3301">
              <w:t>Incremental effectiveness</w:t>
            </w:r>
          </w:p>
        </w:tc>
        <w:tc>
          <w:tcPr>
            <w:tcW w:w="913" w:type="pct"/>
            <w:vAlign w:val="bottom"/>
          </w:tcPr>
          <w:p w14:paraId="15DB01F7" w14:textId="77777777" w:rsidR="005E1CA4" w:rsidRPr="007C3301" w:rsidRDefault="005E1CA4" w:rsidP="000A427B">
            <w:pPr>
              <w:pStyle w:val="TableHeading0"/>
            </w:pPr>
            <w:r w:rsidRPr="007C3301">
              <w:t>Incremental cost per tonsillectomy avoided</w:t>
            </w:r>
          </w:p>
        </w:tc>
      </w:tr>
      <w:tr w:rsidR="005E1CA4" w:rsidRPr="007C3301" w14:paraId="026085B2" w14:textId="77777777" w:rsidTr="000A427B">
        <w:tc>
          <w:tcPr>
            <w:tcW w:w="2749" w:type="pct"/>
            <w:vAlign w:val="bottom"/>
          </w:tcPr>
          <w:p w14:paraId="7601BB49" w14:textId="77777777" w:rsidR="005E1CA4" w:rsidRPr="00286186" w:rsidRDefault="005E1CA4" w:rsidP="000A427B">
            <w:pPr>
              <w:pStyle w:val="TableText"/>
              <w:rPr>
                <w:b/>
                <w:bCs/>
                <w:i/>
                <w:iCs/>
              </w:rPr>
            </w:pPr>
            <w:r w:rsidRPr="00286186">
              <w:rPr>
                <w:b/>
                <w:bCs/>
                <w:i/>
                <w:iCs/>
              </w:rPr>
              <w:t>Base case analysis</w:t>
            </w:r>
          </w:p>
        </w:tc>
        <w:tc>
          <w:tcPr>
            <w:tcW w:w="629" w:type="pct"/>
            <w:vAlign w:val="bottom"/>
          </w:tcPr>
          <w:p w14:paraId="3B7AC5A6" w14:textId="77777777" w:rsidR="005E1CA4" w:rsidRPr="00F07146" w:rsidRDefault="005E1CA4" w:rsidP="000A427B">
            <w:pPr>
              <w:pStyle w:val="TableText"/>
              <w:rPr>
                <w:b/>
                <w:bCs/>
                <w:i/>
                <w:iCs/>
                <w:highlight w:val="yellow"/>
              </w:rPr>
            </w:pPr>
            <w:r w:rsidRPr="00221763">
              <w:rPr>
                <w:b/>
                <w:bCs/>
                <w:i/>
                <w:iCs/>
              </w:rPr>
              <w:t>706.29</w:t>
            </w:r>
          </w:p>
        </w:tc>
        <w:tc>
          <w:tcPr>
            <w:tcW w:w="709" w:type="pct"/>
            <w:vAlign w:val="bottom"/>
          </w:tcPr>
          <w:p w14:paraId="6FFD3AF5" w14:textId="77777777" w:rsidR="005E1CA4" w:rsidRPr="00286186" w:rsidRDefault="005E1CA4" w:rsidP="000A427B">
            <w:pPr>
              <w:pStyle w:val="TableText"/>
              <w:rPr>
                <w:b/>
                <w:bCs/>
                <w:i/>
                <w:iCs/>
              </w:rPr>
            </w:pPr>
            <w:r w:rsidRPr="00286186">
              <w:rPr>
                <w:b/>
                <w:bCs/>
                <w:i/>
                <w:iCs/>
              </w:rPr>
              <w:t>0.</w:t>
            </w:r>
            <w:r>
              <w:rPr>
                <w:b/>
                <w:bCs/>
                <w:i/>
                <w:iCs/>
              </w:rPr>
              <w:t>4</w:t>
            </w:r>
          </w:p>
        </w:tc>
        <w:tc>
          <w:tcPr>
            <w:tcW w:w="913" w:type="pct"/>
            <w:vAlign w:val="bottom"/>
          </w:tcPr>
          <w:p w14:paraId="60CBB80C" w14:textId="77777777" w:rsidR="005E1CA4" w:rsidRPr="00286186" w:rsidRDefault="005E1CA4" w:rsidP="000A427B">
            <w:pPr>
              <w:pStyle w:val="TableText"/>
              <w:rPr>
                <w:b/>
                <w:bCs/>
                <w:i/>
                <w:iCs/>
              </w:rPr>
            </w:pPr>
            <w:r w:rsidRPr="00286186">
              <w:rPr>
                <w:b/>
                <w:bCs/>
                <w:i/>
                <w:iCs/>
              </w:rPr>
              <w:t>1,</w:t>
            </w:r>
            <w:r>
              <w:rPr>
                <w:b/>
                <w:bCs/>
                <w:i/>
                <w:iCs/>
              </w:rPr>
              <w:t>751.65</w:t>
            </w:r>
          </w:p>
        </w:tc>
      </w:tr>
      <w:tr w:rsidR="005E1CA4" w:rsidRPr="007C3301" w14:paraId="2D6B5D73" w14:textId="77777777" w:rsidTr="000A427B">
        <w:tc>
          <w:tcPr>
            <w:tcW w:w="2749" w:type="pct"/>
            <w:vAlign w:val="bottom"/>
          </w:tcPr>
          <w:p w14:paraId="4BF5AF44" w14:textId="77777777" w:rsidR="005E1CA4" w:rsidRPr="007C3301" w:rsidRDefault="005E1CA4" w:rsidP="000A427B">
            <w:pPr>
              <w:pStyle w:val="TableText"/>
            </w:pPr>
            <w:r w:rsidRPr="007C3301">
              <w:t>Expected prevalence among at</w:t>
            </w:r>
            <w:r>
              <w:t>-</w:t>
            </w:r>
            <w:r w:rsidRPr="007C3301">
              <w:t>risk group of 30% (base = 40%)</w:t>
            </w:r>
          </w:p>
        </w:tc>
        <w:tc>
          <w:tcPr>
            <w:tcW w:w="629" w:type="pct"/>
            <w:vAlign w:val="bottom"/>
          </w:tcPr>
          <w:p w14:paraId="2B51A6FD" w14:textId="77777777" w:rsidR="005E1CA4" w:rsidRPr="001F4430" w:rsidRDefault="005E1CA4" w:rsidP="000A427B">
            <w:pPr>
              <w:pStyle w:val="TableText"/>
            </w:pPr>
            <w:r w:rsidRPr="001F4430">
              <w:t>698.95</w:t>
            </w:r>
          </w:p>
        </w:tc>
        <w:tc>
          <w:tcPr>
            <w:tcW w:w="709" w:type="pct"/>
            <w:vAlign w:val="bottom"/>
          </w:tcPr>
          <w:p w14:paraId="767FF5DF" w14:textId="77777777" w:rsidR="005E1CA4" w:rsidRPr="001F4430" w:rsidRDefault="005E1CA4" w:rsidP="000A427B">
            <w:pPr>
              <w:pStyle w:val="TableText"/>
            </w:pPr>
            <w:r w:rsidRPr="001F4430">
              <w:t>0.42</w:t>
            </w:r>
          </w:p>
        </w:tc>
        <w:tc>
          <w:tcPr>
            <w:tcW w:w="913" w:type="pct"/>
            <w:vAlign w:val="bottom"/>
          </w:tcPr>
          <w:p w14:paraId="26087488" w14:textId="77777777" w:rsidR="005E1CA4" w:rsidRPr="001F4430" w:rsidRDefault="005E1CA4" w:rsidP="000A427B">
            <w:pPr>
              <w:pStyle w:val="TableText"/>
            </w:pPr>
            <w:r w:rsidRPr="001F4430">
              <w:t>1,673.77</w:t>
            </w:r>
          </w:p>
        </w:tc>
      </w:tr>
      <w:tr w:rsidR="005E1CA4" w:rsidRPr="007C3301" w14:paraId="35F12093" w14:textId="77777777" w:rsidTr="000A427B">
        <w:tc>
          <w:tcPr>
            <w:tcW w:w="2749" w:type="pct"/>
            <w:vAlign w:val="bottom"/>
          </w:tcPr>
          <w:p w14:paraId="0AECC8AA" w14:textId="77777777" w:rsidR="005E1CA4" w:rsidRPr="007C3301" w:rsidRDefault="005E1CA4" w:rsidP="000A427B">
            <w:pPr>
              <w:pStyle w:val="TableText"/>
            </w:pPr>
            <w:r w:rsidRPr="007C3301">
              <w:t>Expected prevalence among at</w:t>
            </w:r>
            <w:r>
              <w:t>-</w:t>
            </w:r>
            <w:r w:rsidRPr="007C3301">
              <w:t>risk group of 50% (base = 40%)</w:t>
            </w:r>
          </w:p>
        </w:tc>
        <w:tc>
          <w:tcPr>
            <w:tcW w:w="629" w:type="pct"/>
            <w:vAlign w:val="bottom"/>
          </w:tcPr>
          <w:p w14:paraId="38DAEAF7" w14:textId="77777777" w:rsidR="005E1CA4" w:rsidRPr="001F4430" w:rsidRDefault="005E1CA4" w:rsidP="000A427B">
            <w:pPr>
              <w:pStyle w:val="TableText"/>
            </w:pPr>
            <w:r w:rsidRPr="001F4430">
              <w:t>713.63</w:t>
            </w:r>
          </w:p>
        </w:tc>
        <w:tc>
          <w:tcPr>
            <w:tcW w:w="709" w:type="pct"/>
            <w:vAlign w:val="bottom"/>
          </w:tcPr>
          <w:p w14:paraId="4174CAF7" w14:textId="77777777" w:rsidR="005E1CA4" w:rsidRPr="001F4430" w:rsidRDefault="005E1CA4" w:rsidP="000A427B">
            <w:pPr>
              <w:pStyle w:val="TableText"/>
            </w:pPr>
            <w:r w:rsidRPr="001F4430">
              <w:t>0.39</w:t>
            </w:r>
          </w:p>
        </w:tc>
        <w:tc>
          <w:tcPr>
            <w:tcW w:w="913" w:type="pct"/>
            <w:vAlign w:val="bottom"/>
          </w:tcPr>
          <w:p w14:paraId="389B3947" w14:textId="77777777" w:rsidR="005E1CA4" w:rsidRPr="001F4430" w:rsidRDefault="005E1CA4" w:rsidP="000A427B">
            <w:pPr>
              <w:pStyle w:val="TableText"/>
            </w:pPr>
            <w:r w:rsidRPr="001F4430">
              <w:t>1,835.29</w:t>
            </w:r>
          </w:p>
        </w:tc>
      </w:tr>
      <w:tr w:rsidR="005E1CA4" w:rsidRPr="007C3301" w14:paraId="52ADD087" w14:textId="77777777" w:rsidTr="000A427B">
        <w:tc>
          <w:tcPr>
            <w:tcW w:w="2749" w:type="pct"/>
          </w:tcPr>
          <w:p w14:paraId="7E7B81B0" w14:textId="77777777" w:rsidR="005E1CA4" w:rsidRPr="007C3301" w:rsidRDefault="005E1CA4" w:rsidP="000A427B">
            <w:pPr>
              <w:pStyle w:val="TableText"/>
            </w:pPr>
            <w:r w:rsidRPr="0041284B">
              <w:t>Expected prevalence among at risk group of 100% (base = 40%)</w:t>
            </w:r>
          </w:p>
        </w:tc>
        <w:tc>
          <w:tcPr>
            <w:tcW w:w="629" w:type="pct"/>
            <w:vAlign w:val="bottom"/>
          </w:tcPr>
          <w:p w14:paraId="632B386B" w14:textId="77777777" w:rsidR="005E1CA4" w:rsidRPr="001F4430" w:rsidRDefault="005E1CA4" w:rsidP="000A427B">
            <w:pPr>
              <w:pStyle w:val="TableText"/>
            </w:pPr>
            <w:r w:rsidRPr="001F4430">
              <w:t>750.36</w:t>
            </w:r>
          </w:p>
        </w:tc>
        <w:tc>
          <w:tcPr>
            <w:tcW w:w="709" w:type="pct"/>
            <w:vAlign w:val="bottom"/>
          </w:tcPr>
          <w:p w14:paraId="0C2047E7" w14:textId="77777777" w:rsidR="005E1CA4" w:rsidRPr="001F4430" w:rsidRDefault="005E1CA4" w:rsidP="000A427B">
            <w:pPr>
              <w:pStyle w:val="TableText"/>
            </w:pPr>
            <w:r w:rsidRPr="001F4430">
              <w:t>0.32</w:t>
            </w:r>
          </w:p>
        </w:tc>
        <w:tc>
          <w:tcPr>
            <w:tcW w:w="913" w:type="pct"/>
            <w:vAlign w:val="bottom"/>
          </w:tcPr>
          <w:p w14:paraId="4D731307" w14:textId="77777777" w:rsidR="005E1CA4" w:rsidRPr="001F4430" w:rsidRDefault="005E1CA4" w:rsidP="000A427B">
            <w:pPr>
              <w:pStyle w:val="TableText"/>
            </w:pPr>
            <w:r w:rsidRPr="001F4430">
              <w:t>2,367.29</w:t>
            </w:r>
          </w:p>
        </w:tc>
      </w:tr>
      <w:tr w:rsidR="005E1CA4" w:rsidRPr="007C3301" w14:paraId="54C074B1" w14:textId="77777777" w:rsidTr="000A427B">
        <w:tc>
          <w:tcPr>
            <w:tcW w:w="2749" w:type="pct"/>
            <w:vAlign w:val="bottom"/>
          </w:tcPr>
          <w:p w14:paraId="7125B4D7" w14:textId="77777777" w:rsidR="005E1CA4" w:rsidRPr="007C3301" w:rsidRDefault="005E1CA4" w:rsidP="000A427B">
            <w:pPr>
              <w:pStyle w:val="TableText"/>
            </w:pPr>
            <w:r w:rsidRPr="007C3301">
              <w:t>Sensitivity lower limit of 33% (base = 60%)</w:t>
            </w:r>
          </w:p>
        </w:tc>
        <w:tc>
          <w:tcPr>
            <w:tcW w:w="629" w:type="pct"/>
            <w:vAlign w:val="bottom"/>
          </w:tcPr>
          <w:p w14:paraId="4E97883A" w14:textId="77777777" w:rsidR="005E1CA4" w:rsidRPr="001F4430" w:rsidRDefault="005E1CA4" w:rsidP="000A427B">
            <w:pPr>
              <w:pStyle w:val="TableText"/>
            </w:pPr>
            <w:r w:rsidRPr="001F4430">
              <w:t>693.07</w:t>
            </w:r>
          </w:p>
        </w:tc>
        <w:tc>
          <w:tcPr>
            <w:tcW w:w="709" w:type="pct"/>
            <w:vAlign w:val="bottom"/>
          </w:tcPr>
          <w:p w14:paraId="2651F71B" w14:textId="77777777" w:rsidR="005E1CA4" w:rsidRPr="001F4430" w:rsidRDefault="005E1CA4" w:rsidP="000A427B">
            <w:pPr>
              <w:pStyle w:val="TableText"/>
            </w:pPr>
            <w:r w:rsidRPr="001F4430">
              <w:t>0.48</w:t>
            </w:r>
          </w:p>
        </w:tc>
        <w:tc>
          <w:tcPr>
            <w:tcW w:w="913" w:type="pct"/>
            <w:vAlign w:val="bottom"/>
          </w:tcPr>
          <w:p w14:paraId="31819F13" w14:textId="77777777" w:rsidR="005E1CA4" w:rsidRPr="001F4430" w:rsidRDefault="005E1CA4" w:rsidP="000A427B">
            <w:pPr>
              <w:pStyle w:val="TableText"/>
            </w:pPr>
            <w:r w:rsidRPr="001F4430">
              <w:t>1,447.38</w:t>
            </w:r>
          </w:p>
        </w:tc>
      </w:tr>
      <w:tr w:rsidR="005E1CA4" w:rsidRPr="007C3301" w14:paraId="67D61EF9" w14:textId="77777777" w:rsidTr="000A427B">
        <w:tc>
          <w:tcPr>
            <w:tcW w:w="2749" w:type="pct"/>
            <w:vAlign w:val="bottom"/>
          </w:tcPr>
          <w:p w14:paraId="76498D81" w14:textId="77777777" w:rsidR="005E1CA4" w:rsidRPr="007C3301" w:rsidRDefault="005E1CA4" w:rsidP="000A427B">
            <w:pPr>
              <w:pStyle w:val="TableText"/>
            </w:pPr>
            <w:r w:rsidRPr="007C3301">
              <w:t>Sensitivity upper limit of 82% (base = 60%)</w:t>
            </w:r>
          </w:p>
        </w:tc>
        <w:tc>
          <w:tcPr>
            <w:tcW w:w="629" w:type="pct"/>
            <w:vAlign w:val="bottom"/>
          </w:tcPr>
          <w:p w14:paraId="7EC67A95" w14:textId="77777777" w:rsidR="005E1CA4" w:rsidRPr="001F4430" w:rsidRDefault="005E1CA4" w:rsidP="000A427B">
            <w:pPr>
              <w:pStyle w:val="TableText"/>
            </w:pPr>
            <w:r w:rsidRPr="001F4430">
              <w:t>717.06</w:t>
            </w:r>
          </w:p>
        </w:tc>
        <w:tc>
          <w:tcPr>
            <w:tcW w:w="709" w:type="pct"/>
            <w:vAlign w:val="bottom"/>
          </w:tcPr>
          <w:p w14:paraId="1F59958D" w14:textId="77777777" w:rsidR="005E1CA4" w:rsidRPr="001F4430" w:rsidRDefault="005E1CA4" w:rsidP="000A427B">
            <w:pPr>
              <w:pStyle w:val="TableText"/>
            </w:pPr>
            <w:r w:rsidRPr="001F4430">
              <w:t>0.34</w:t>
            </w:r>
          </w:p>
        </w:tc>
        <w:tc>
          <w:tcPr>
            <w:tcW w:w="913" w:type="pct"/>
            <w:vAlign w:val="bottom"/>
          </w:tcPr>
          <w:p w14:paraId="4ACAF998" w14:textId="77777777" w:rsidR="005E1CA4" w:rsidRPr="001F4430" w:rsidRDefault="005E1CA4" w:rsidP="000A427B">
            <w:pPr>
              <w:pStyle w:val="TableText"/>
            </w:pPr>
            <w:r w:rsidRPr="001F4430">
              <w:t>2,099.19</w:t>
            </w:r>
          </w:p>
        </w:tc>
      </w:tr>
      <w:tr w:rsidR="005E1CA4" w:rsidRPr="007C3301" w14:paraId="2B7F5EA1" w14:textId="77777777" w:rsidTr="000A427B">
        <w:tc>
          <w:tcPr>
            <w:tcW w:w="2749" w:type="pct"/>
            <w:vAlign w:val="bottom"/>
          </w:tcPr>
          <w:p w14:paraId="1C6F1FBC" w14:textId="77777777" w:rsidR="005E1CA4" w:rsidRPr="007C3301" w:rsidRDefault="005E1CA4" w:rsidP="000A427B">
            <w:pPr>
              <w:pStyle w:val="TableText"/>
            </w:pPr>
            <w:r w:rsidRPr="007C3301">
              <w:t>Specificity lower limit of 82% (base = 100%)</w:t>
            </w:r>
          </w:p>
        </w:tc>
        <w:tc>
          <w:tcPr>
            <w:tcW w:w="629" w:type="pct"/>
            <w:vAlign w:val="bottom"/>
          </w:tcPr>
          <w:p w14:paraId="6E212AA3" w14:textId="77777777" w:rsidR="005E1CA4" w:rsidRPr="001F4430" w:rsidRDefault="005E1CA4" w:rsidP="000A427B">
            <w:pPr>
              <w:pStyle w:val="TableText"/>
            </w:pPr>
            <w:r w:rsidRPr="001F4430">
              <w:t>719.51</w:t>
            </w:r>
          </w:p>
        </w:tc>
        <w:tc>
          <w:tcPr>
            <w:tcW w:w="709" w:type="pct"/>
            <w:vAlign w:val="bottom"/>
          </w:tcPr>
          <w:p w14:paraId="096DAA07" w14:textId="77777777" w:rsidR="005E1CA4" w:rsidRPr="001F4430" w:rsidRDefault="005E1CA4" w:rsidP="000A427B">
            <w:pPr>
              <w:pStyle w:val="TableText"/>
            </w:pPr>
            <w:r w:rsidRPr="001F4430">
              <w:t>0.33</w:t>
            </w:r>
          </w:p>
        </w:tc>
        <w:tc>
          <w:tcPr>
            <w:tcW w:w="913" w:type="pct"/>
            <w:vAlign w:val="bottom"/>
          </w:tcPr>
          <w:p w14:paraId="4F2076EE" w14:textId="77777777" w:rsidR="005E1CA4" w:rsidRPr="001F4430" w:rsidRDefault="005E1CA4" w:rsidP="000A427B">
            <w:pPr>
              <w:pStyle w:val="TableText"/>
            </w:pPr>
            <w:r w:rsidRPr="001F4430">
              <w:t>2,196.41</w:t>
            </w:r>
          </w:p>
        </w:tc>
      </w:tr>
      <w:tr w:rsidR="005E1CA4" w:rsidRPr="007C3301" w14:paraId="303DB3E0" w14:textId="77777777" w:rsidTr="000A427B">
        <w:tc>
          <w:tcPr>
            <w:tcW w:w="2749" w:type="pct"/>
            <w:vAlign w:val="bottom"/>
          </w:tcPr>
          <w:p w14:paraId="505E1BFB" w14:textId="77777777" w:rsidR="005E1CA4" w:rsidRPr="007C3301" w:rsidRDefault="005E1CA4" w:rsidP="000A427B">
            <w:pPr>
              <w:pStyle w:val="TableText"/>
            </w:pPr>
            <w:r w:rsidRPr="007C3301">
              <w:t xml:space="preserve">Tonsillectomy if positive </w:t>
            </w:r>
            <w:r>
              <w:t>L</w:t>
            </w:r>
            <w:r w:rsidRPr="007C3301">
              <w:t>evel 3 study of 50% (base = 76%)</w:t>
            </w:r>
          </w:p>
        </w:tc>
        <w:tc>
          <w:tcPr>
            <w:tcW w:w="629" w:type="pct"/>
            <w:vAlign w:val="bottom"/>
          </w:tcPr>
          <w:p w14:paraId="45644FB0" w14:textId="77777777" w:rsidR="005E1CA4" w:rsidRPr="001F4430" w:rsidRDefault="005E1CA4" w:rsidP="000A427B">
            <w:pPr>
              <w:pStyle w:val="TableText"/>
            </w:pPr>
            <w:r w:rsidRPr="001F4430">
              <w:t>696.24</w:t>
            </w:r>
          </w:p>
        </w:tc>
        <w:tc>
          <w:tcPr>
            <w:tcW w:w="709" w:type="pct"/>
            <w:vAlign w:val="bottom"/>
          </w:tcPr>
          <w:p w14:paraId="3451F52B" w14:textId="77777777" w:rsidR="005E1CA4" w:rsidRPr="001F4430" w:rsidRDefault="005E1CA4" w:rsidP="000A427B">
            <w:pPr>
              <w:pStyle w:val="TableText"/>
            </w:pPr>
            <w:r w:rsidRPr="001F4430">
              <w:t>0.46</w:t>
            </w:r>
          </w:p>
        </w:tc>
        <w:tc>
          <w:tcPr>
            <w:tcW w:w="913" w:type="pct"/>
            <w:vAlign w:val="bottom"/>
          </w:tcPr>
          <w:p w14:paraId="4737517B" w14:textId="77777777" w:rsidR="005E1CA4" w:rsidRPr="001F4430" w:rsidRDefault="005E1CA4" w:rsidP="000A427B">
            <w:pPr>
              <w:pStyle w:val="TableText"/>
            </w:pPr>
            <w:r w:rsidRPr="001F4430">
              <w:t>1,511.23</w:t>
            </w:r>
          </w:p>
        </w:tc>
      </w:tr>
      <w:tr w:rsidR="005E1CA4" w:rsidRPr="007C3301" w14:paraId="0615AA1F" w14:textId="77777777" w:rsidTr="000A427B">
        <w:tc>
          <w:tcPr>
            <w:tcW w:w="2749" w:type="pct"/>
            <w:vAlign w:val="bottom"/>
          </w:tcPr>
          <w:p w14:paraId="4A2A6A32" w14:textId="77777777" w:rsidR="005E1CA4" w:rsidRPr="007C3301" w:rsidRDefault="005E1CA4" w:rsidP="000A427B">
            <w:pPr>
              <w:pStyle w:val="TableText"/>
            </w:pPr>
            <w:r w:rsidRPr="007C3301">
              <w:t xml:space="preserve">Tonsillectomy if positive </w:t>
            </w:r>
            <w:r>
              <w:t>L</w:t>
            </w:r>
            <w:r w:rsidRPr="007C3301">
              <w:t>evel 3 study of 100% (base = 76%)</w:t>
            </w:r>
          </w:p>
        </w:tc>
        <w:tc>
          <w:tcPr>
            <w:tcW w:w="629" w:type="pct"/>
            <w:vAlign w:val="bottom"/>
          </w:tcPr>
          <w:p w14:paraId="5838E77D" w14:textId="77777777" w:rsidR="005E1CA4" w:rsidRPr="001F4430" w:rsidRDefault="005E1CA4" w:rsidP="000A427B">
            <w:pPr>
              <w:pStyle w:val="TableText"/>
            </w:pPr>
            <w:r w:rsidRPr="001F4430">
              <w:t>715.57</w:t>
            </w:r>
          </w:p>
        </w:tc>
        <w:tc>
          <w:tcPr>
            <w:tcW w:w="709" w:type="pct"/>
            <w:vAlign w:val="bottom"/>
          </w:tcPr>
          <w:p w14:paraId="1A1592C2" w14:textId="77777777" w:rsidR="005E1CA4" w:rsidRPr="001F4430" w:rsidRDefault="005E1CA4" w:rsidP="000A427B">
            <w:pPr>
              <w:pStyle w:val="TableText"/>
            </w:pPr>
            <w:r w:rsidRPr="001F4430">
              <w:t>0.35</w:t>
            </w:r>
          </w:p>
        </w:tc>
        <w:tc>
          <w:tcPr>
            <w:tcW w:w="913" w:type="pct"/>
            <w:vAlign w:val="bottom"/>
          </w:tcPr>
          <w:p w14:paraId="48ABE8FA" w14:textId="77777777" w:rsidR="005E1CA4" w:rsidRPr="001F4430" w:rsidRDefault="005E1CA4" w:rsidP="000A427B">
            <w:pPr>
              <w:pStyle w:val="TableText"/>
            </w:pPr>
            <w:r w:rsidRPr="001F4430">
              <w:t>2,043.66</w:t>
            </w:r>
          </w:p>
        </w:tc>
      </w:tr>
      <w:tr w:rsidR="005E1CA4" w:rsidRPr="007C3301" w14:paraId="6C674AA9" w14:textId="77777777" w:rsidTr="000A427B">
        <w:tc>
          <w:tcPr>
            <w:tcW w:w="2749" w:type="pct"/>
            <w:vAlign w:val="bottom"/>
          </w:tcPr>
          <w:p w14:paraId="082C1EF0" w14:textId="77777777" w:rsidR="005E1CA4" w:rsidRPr="006E7218" w:rsidRDefault="005E1CA4" w:rsidP="000A427B">
            <w:pPr>
              <w:pStyle w:val="TableText"/>
            </w:pPr>
            <w:r w:rsidRPr="006E7218">
              <w:t>Sensitivity (comparator) lower limit of 75% (base = 80%)</w:t>
            </w:r>
          </w:p>
        </w:tc>
        <w:tc>
          <w:tcPr>
            <w:tcW w:w="629" w:type="pct"/>
            <w:vAlign w:val="bottom"/>
          </w:tcPr>
          <w:p w14:paraId="1FAB8F18" w14:textId="77777777" w:rsidR="005E1CA4" w:rsidRPr="001F4430" w:rsidRDefault="005E1CA4" w:rsidP="000A427B">
            <w:pPr>
              <w:pStyle w:val="TableText"/>
            </w:pPr>
            <w:r w:rsidRPr="001F4430">
              <w:t>706.29</w:t>
            </w:r>
          </w:p>
        </w:tc>
        <w:tc>
          <w:tcPr>
            <w:tcW w:w="709" w:type="pct"/>
            <w:vAlign w:val="bottom"/>
          </w:tcPr>
          <w:p w14:paraId="139D3E26" w14:textId="77777777" w:rsidR="005E1CA4" w:rsidRPr="001F4430" w:rsidRDefault="005E1CA4" w:rsidP="000A427B">
            <w:pPr>
              <w:pStyle w:val="TableText"/>
            </w:pPr>
            <w:r w:rsidRPr="001F4430">
              <w:t>0.38</w:t>
            </w:r>
          </w:p>
        </w:tc>
        <w:tc>
          <w:tcPr>
            <w:tcW w:w="913" w:type="pct"/>
            <w:vAlign w:val="bottom"/>
          </w:tcPr>
          <w:p w14:paraId="1265F4A6" w14:textId="77777777" w:rsidR="005E1CA4" w:rsidRPr="001F4430" w:rsidRDefault="005E1CA4" w:rsidP="000A427B">
            <w:pPr>
              <w:pStyle w:val="TableText"/>
            </w:pPr>
            <w:r w:rsidRPr="001F4430">
              <w:t>1,835.54</w:t>
            </w:r>
          </w:p>
        </w:tc>
      </w:tr>
      <w:tr w:rsidR="005E1CA4" w:rsidRPr="007C3301" w14:paraId="0313F5FE" w14:textId="77777777" w:rsidTr="000A427B">
        <w:tc>
          <w:tcPr>
            <w:tcW w:w="2749" w:type="pct"/>
            <w:vAlign w:val="bottom"/>
          </w:tcPr>
          <w:p w14:paraId="51A824BD" w14:textId="77777777" w:rsidR="005E1CA4" w:rsidRPr="006E7218" w:rsidRDefault="005E1CA4" w:rsidP="000A427B">
            <w:pPr>
              <w:pStyle w:val="TableText"/>
            </w:pPr>
            <w:r w:rsidRPr="006E7218">
              <w:t>Sensitivity (comparator) upper limit of 85% (base = 80%)</w:t>
            </w:r>
          </w:p>
        </w:tc>
        <w:tc>
          <w:tcPr>
            <w:tcW w:w="629" w:type="pct"/>
            <w:vAlign w:val="bottom"/>
          </w:tcPr>
          <w:p w14:paraId="3A963D81" w14:textId="77777777" w:rsidR="005E1CA4" w:rsidRPr="001F4430" w:rsidRDefault="005E1CA4" w:rsidP="000A427B">
            <w:pPr>
              <w:pStyle w:val="TableText"/>
            </w:pPr>
            <w:r w:rsidRPr="001F4430">
              <w:t>706.29</w:t>
            </w:r>
          </w:p>
        </w:tc>
        <w:tc>
          <w:tcPr>
            <w:tcW w:w="709" w:type="pct"/>
            <w:vAlign w:val="bottom"/>
          </w:tcPr>
          <w:p w14:paraId="30C24559" w14:textId="77777777" w:rsidR="005E1CA4" w:rsidRPr="001F4430" w:rsidRDefault="005E1CA4" w:rsidP="000A427B">
            <w:pPr>
              <w:pStyle w:val="TableText"/>
            </w:pPr>
            <w:r w:rsidRPr="001F4430">
              <w:t>0.42</w:t>
            </w:r>
          </w:p>
        </w:tc>
        <w:tc>
          <w:tcPr>
            <w:tcW w:w="913" w:type="pct"/>
            <w:vAlign w:val="bottom"/>
          </w:tcPr>
          <w:p w14:paraId="27EB25C0" w14:textId="77777777" w:rsidR="005E1CA4" w:rsidRPr="001F4430" w:rsidRDefault="005E1CA4" w:rsidP="000A427B">
            <w:pPr>
              <w:pStyle w:val="TableText"/>
            </w:pPr>
            <w:r w:rsidRPr="001F4430">
              <w:t>1,675.09</w:t>
            </w:r>
          </w:p>
        </w:tc>
      </w:tr>
      <w:tr w:rsidR="005E1CA4" w:rsidRPr="007C3301" w14:paraId="69626971" w14:textId="77777777" w:rsidTr="000A427B">
        <w:tc>
          <w:tcPr>
            <w:tcW w:w="2749" w:type="pct"/>
            <w:vAlign w:val="bottom"/>
          </w:tcPr>
          <w:p w14:paraId="2FD0D070" w14:textId="77777777" w:rsidR="005E1CA4" w:rsidRPr="006E7218" w:rsidRDefault="005E1CA4" w:rsidP="000A427B">
            <w:pPr>
              <w:pStyle w:val="TableText"/>
            </w:pPr>
            <w:r w:rsidRPr="006E7218">
              <w:t>Specificity (comparator) lower limit of 35% (base = 50%)</w:t>
            </w:r>
          </w:p>
        </w:tc>
        <w:tc>
          <w:tcPr>
            <w:tcW w:w="629" w:type="pct"/>
            <w:vAlign w:val="bottom"/>
          </w:tcPr>
          <w:p w14:paraId="78D9373F" w14:textId="77777777" w:rsidR="005E1CA4" w:rsidRPr="001F4430" w:rsidRDefault="005E1CA4" w:rsidP="000A427B">
            <w:pPr>
              <w:pStyle w:val="TableText"/>
            </w:pPr>
            <w:r w:rsidRPr="001F4430">
              <w:t>706.29</w:t>
            </w:r>
          </w:p>
        </w:tc>
        <w:tc>
          <w:tcPr>
            <w:tcW w:w="709" w:type="pct"/>
            <w:vAlign w:val="bottom"/>
          </w:tcPr>
          <w:p w14:paraId="40296592" w14:textId="77777777" w:rsidR="005E1CA4" w:rsidRPr="001F4430" w:rsidRDefault="005E1CA4" w:rsidP="000A427B">
            <w:pPr>
              <w:pStyle w:val="TableText"/>
            </w:pPr>
            <w:r w:rsidRPr="001F4430">
              <w:t>0.49</w:t>
            </w:r>
          </w:p>
        </w:tc>
        <w:tc>
          <w:tcPr>
            <w:tcW w:w="913" w:type="pct"/>
            <w:vAlign w:val="bottom"/>
          </w:tcPr>
          <w:p w14:paraId="0F2A6B48" w14:textId="77777777" w:rsidR="005E1CA4" w:rsidRPr="001F4430" w:rsidRDefault="005E1CA4" w:rsidP="000A427B">
            <w:pPr>
              <w:pStyle w:val="TableText"/>
            </w:pPr>
            <w:r w:rsidRPr="001F4430">
              <w:t>1,452.85</w:t>
            </w:r>
          </w:p>
        </w:tc>
      </w:tr>
      <w:tr w:rsidR="005E1CA4" w:rsidRPr="007C3301" w14:paraId="1DDD5FFC" w14:textId="77777777" w:rsidTr="000A427B">
        <w:tc>
          <w:tcPr>
            <w:tcW w:w="2749" w:type="pct"/>
            <w:vAlign w:val="bottom"/>
          </w:tcPr>
          <w:p w14:paraId="7F740E68" w14:textId="77777777" w:rsidR="005E1CA4" w:rsidRPr="006E7218" w:rsidRDefault="005E1CA4" w:rsidP="000A427B">
            <w:pPr>
              <w:pStyle w:val="TableText"/>
            </w:pPr>
            <w:r w:rsidRPr="006E7218">
              <w:t>Specificity (comparator)upper limit of 65% (base = 50%)</w:t>
            </w:r>
          </w:p>
        </w:tc>
        <w:tc>
          <w:tcPr>
            <w:tcW w:w="629" w:type="pct"/>
            <w:vAlign w:val="bottom"/>
          </w:tcPr>
          <w:p w14:paraId="22599D60" w14:textId="77777777" w:rsidR="005E1CA4" w:rsidRPr="001F4430" w:rsidRDefault="005E1CA4" w:rsidP="000A427B">
            <w:pPr>
              <w:pStyle w:val="TableText"/>
            </w:pPr>
            <w:r w:rsidRPr="001F4430">
              <w:t>706.29</w:t>
            </w:r>
          </w:p>
        </w:tc>
        <w:tc>
          <w:tcPr>
            <w:tcW w:w="709" w:type="pct"/>
            <w:vAlign w:val="bottom"/>
          </w:tcPr>
          <w:p w14:paraId="62F72D6F" w14:textId="77777777" w:rsidR="005E1CA4" w:rsidRPr="001F4430" w:rsidRDefault="005E1CA4" w:rsidP="000A427B">
            <w:pPr>
              <w:pStyle w:val="TableText"/>
            </w:pPr>
            <w:r w:rsidRPr="001F4430">
              <w:t>0.32</w:t>
            </w:r>
          </w:p>
        </w:tc>
        <w:tc>
          <w:tcPr>
            <w:tcW w:w="913" w:type="pct"/>
            <w:vAlign w:val="bottom"/>
          </w:tcPr>
          <w:p w14:paraId="3F96F90E" w14:textId="77777777" w:rsidR="005E1CA4" w:rsidRPr="001F4430" w:rsidRDefault="005E1CA4" w:rsidP="000A427B">
            <w:pPr>
              <w:pStyle w:val="TableText"/>
            </w:pPr>
            <w:r w:rsidRPr="001F4430">
              <w:t>2,205.18</w:t>
            </w:r>
          </w:p>
        </w:tc>
      </w:tr>
    </w:tbl>
    <w:p w14:paraId="50B80E7A" w14:textId="77777777" w:rsidR="005E1CA4" w:rsidRPr="002A7DF3" w:rsidRDefault="005E1CA4" w:rsidP="005E1CA4">
      <w:pPr>
        <w:pStyle w:val="TableFigNoteLast"/>
      </w:pPr>
      <w:r>
        <w:t xml:space="preserve">ENT, ear, nose and throat; MBS = Medicare Benefits Schedule. </w:t>
      </w:r>
    </w:p>
    <w:p w14:paraId="4010468C" w14:textId="77777777" w:rsidR="005E1CA4" w:rsidRDefault="005E1CA4" w:rsidP="005E1CA4">
      <w:pPr>
        <w:pStyle w:val="ESHeading3"/>
      </w:pPr>
      <w:r>
        <w:t>PICO Set 3</w:t>
      </w:r>
    </w:p>
    <w:p w14:paraId="4B6F35BC" w14:textId="0A81B9FA" w:rsidR="005E1CA4" w:rsidRPr="00395DB7" w:rsidRDefault="005E1CA4" w:rsidP="005E1CA4">
      <w:pPr>
        <w:rPr>
          <w:rFonts w:ascii="Franklin Gothic Book" w:hAnsi="Franklin Gothic Book"/>
        </w:rPr>
      </w:pPr>
      <w:r w:rsidRPr="00395DB7">
        <w:rPr>
          <w:rFonts w:ascii="Franklin Gothic Book" w:hAnsi="Franklin Gothic Book"/>
        </w:rPr>
        <w:t xml:space="preserve">Due to the limited evidence available for PICO Set 3, a costing analysis was undertaken. The costs considered are presented in </w:t>
      </w:r>
      <w:r w:rsidRPr="00395DB7">
        <w:rPr>
          <w:rFonts w:ascii="Franklin Gothic Book" w:hAnsi="Franklin Gothic Book"/>
        </w:rPr>
        <w:fldChar w:fldCharType="begin"/>
      </w:r>
      <w:r w:rsidRPr="00395DB7">
        <w:rPr>
          <w:rFonts w:ascii="Franklin Gothic Book" w:hAnsi="Franklin Gothic Book"/>
        </w:rPr>
        <w:instrText xml:space="preserve"> REF _Ref150256560 \h </w:instrText>
      </w:r>
      <w:r w:rsid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 xml:space="preserve">Table </w:t>
      </w:r>
      <w:r w:rsidRPr="00395DB7">
        <w:rPr>
          <w:rFonts w:ascii="Franklin Gothic Book" w:hAnsi="Franklin Gothic Book"/>
          <w:noProof/>
        </w:rPr>
        <w:t>17</w:t>
      </w:r>
      <w:r w:rsidRPr="00395DB7">
        <w:rPr>
          <w:rFonts w:ascii="Franklin Gothic Book" w:hAnsi="Franklin Gothic Book"/>
        </w:rPr>
        <w:fldChar w:fldCharType="end"/>
      </w:r>
      <w:r w:rsidRPr="00395DB7">
        <w:rPr>
          <w:rFonts w:ascii="Franklin Gothic Book" w:hAnsi="Franklin Gothic Book"/>
        </w:rPr>
        <w:t>. The proposed fees for the new MBS items ($284.19) are much lower than existing MBS items for Level 1 PSG ($768.70 and $692.50), owing to lower health practitioner staffing costs for out-of-laboratory sleep studies. The evaluation of the consequences of the out-of-laboratory studies in comparison to Level 1 PSG is limited by a lack of appropriate data.</w:t>
      </w:r>
    </w:p>
    <w:p w14:paraId="046D5514" w14:textId="6EAC8BAE" w:rsidR="005E1CA4" w:rsidRDefault="005E1CA4" w:rsidP="005E1CA4">
      <w:pPr>
        <w:pStyle w:val="Caption"/>
      </w:pPr>
      <w:bookmarkStart w:id="54" w:name="_Ref150256560"/>
      <w:r>
        <w:t xml:space="preserve">Table </w:t>
      </w:r>
      <w:fldSimple w:instr=" SEQ Table \* ARABIC ">
        <w:r>
          <w:rPr>
            <w:noProof/>
          </w:rPr>
          <w:t>17</w:t>
        </w:r>
      </w:fldSimple>
      <w:bookmarkEnd w:id="54"/>
      <w:r>
        <w:tab/>
      </w:r>
      <w:r w:rsidRPr="00CE28E3">
        <w:t xml:space="preserve">Summary of the costs included </w:t>
      </w:r>
      <w:r>
        <w:t>in the economic evaluation for PICO Set 3</w:t>
      </w:r>
    </w:p>
    <w:tbl>
      <w:tblPr>
        <w:tblStyle w:val="TableGrid1"/>
        <w:tblW w:w="0" w:type="auto"/>
        <w:tblLook w:val="04A0" w:firstRow="1" w:lastRow="0" w:firstColumn="1" w:lastColumn="0" w:noHBand="0" w:noVBand="1"/>
        <w:tblCaption w:val="Summary of the costs included in the economic evaluation for PICO Set 3"/>
        <w:tblDescription w:val="This table shows the value and source for the parameters used in the economic evaluation for PICO Set 3. "/>
      </w:tblPr>
      <w:tblGrid>
        <w:gridCol w:w="4673"/>
        <w:gridCol w:w="992"/>
        <w:gridCol w:w="3351"/>
      </w:tblGrid>
      <w:tr w:rsidR="005E1CA4" w:rsidRPr="00CE28E3" w14:paraId="43E9D1C7" w14:textId="77777777" w:rsidTr="000A427B">
        <w:trPr>
          <w:cnfStyle w:val="100000000000" w:firstRow="1" w:lastRow="0" w:firstColumn="0" w:lastColumn="0" w:oddVBand="0" w:evenVBand="0" w:oddHBand="0" w:evenHBand="0" w:firstRowFirstColumn="0" w:firstRowLastColumn="0" w:lastRowFirstColumn="0" w:lastRowLastColumn="0"/>
          <w:tblHeader/>
        </w:trPr>
        <w:tc>
          <w:tcPr>
            <w:tcW w:w="4673" w:type="dxa"/>
            <w:tcBorders>
              <w:bottom w:val="single" w:sz="4" w:space="0" w:color="auto"/>
            </w:tcBorders>
          </w:tcPr>
          <w:p w14:paraId="71658354" w14:textId="77777777" w:rsidR="005E1CA4" w:rsidRPr="00CE28E3" w:rsidRDefault="005E1CA4" w:rsidP="000A427B">
            <w:pPr>
              <w:pStyle w:val="TableHeading"/>
            </w:pPr>
            <w:r w:rsidRPr="00CE28E3">
              <w:t>Parameter</w:t>
            </w:r>
          </w:p>
        </w:tc>
        <w:tc>
          <w:tcPr>
            <w:tcW w:w="992" w:type="dxa"/>
            <w:tcBorders>
              <w:bottom w:val="single" w:sz="4" w:space="0" w:color="auto"/>
            </w:tcBorders>
          </w:tcPr>
          <w:p w14:paraId="5E6C2E04" w14:textId="77777777" w:rsidR="005E1CA4" w:rsidRPr="00CE28E3" w:rsidRDefault="005E1CA4" w:rsidP="000A427B">
            <w:pPr>
              <w:pStyle w:val="TableHeading"/>
            </w:pPr>
            <w:r w:rsidRPr="00CE28E3">
              <w:t>Value</w:t>
            </w:r>
          </w:p>
        </w:tc>
        <w:tc>
          <w:tcPr>
            <w:tcW w:w="3351" w:type="dxa"/>
            <w:tcBorders>
              <w:bottom w:val="single" w:sz="4" w:space="0" w:color="auto"/>
            </w:tcBorders>
          </w:tcPr>
          <w:p w14:paraId="772E3D12" w14:textId="77777777" w:rsidR="005E1CA4" w:rsidRPr="00CE28E3" w:rsidRDefault="005E1CA4" w:rsidP="000A427B">
            <w:pPr>
              <w:pStyle w:val="TableHeading"/>
            </w:pPr>
            <w:r w:rsidRPr="00CE28E3">
              <w:t>Source</w:t>
            </w:r>
          </w:p>
        </w:tc>
      </w:tr>
      <w:tr w:rsidR="005E1CA4" w:rsidRPr="00CE28E3" w14:paraId="6578A2E2" w14:textId="77777777" w:rsidTr="000A427B">
        <w:tc>
          <w:tcPr>
            <w:tcW w:w="4673" w:type="dxa"/>
            <w:tcBorders>
              <w:right w:val="nil"/>
            </w:tcBorders>
          </w:tcPr>
          <w:p w14:paraId="7C218B0B" w14:textId="77777777" w:rsidR="005E1CA4" w:rsidRPr="00CE28E3" w:rsidRDefault="005E1CA4" w:rsidP="000A427B">
            <w:pPr>
              <w:pStyle w:val="TableHeading"/>
            </w:pPr>
            <w:r w:rsidRPr="00CE28E3">
              <w:t>Direct health technology costs</w:t>
            </w:r>
          </w:p>
        </w:tc>
        <w:tc>
          <w:tcPr>
            <w:tcW w:w="992" w:type="dxa"/>
            <w:tcBorders>
              <w:left w:val="nil"/>
              <w:right w:val="nil"/>
            </w:tcBorders>
          </w:tcPr>
          <w:p w14:paraId="2DE01757" w14:textId="77777777" w:rsidR="005E1CA4" w:rsidRPr="00CE28E3" w:rsidRDefault="005E1CA4" w:rsidP="000A427B">
            <w:pPr>
              <w:pStyle w:val="TableHeading"/>
            </w:pPr>
          </w:p>
        </w:tc>
        <w:tc>
          <w:tcPr>
            <w:tcW w:w="3351" w:type="dxa"/>
            <w:tcBorders>
              <w:left w:val="nil"/>
            </w:tcBorders>
          </w:tcPr>
          <w:p w14:paraId="08EC1F47" w14:textId="77777777" w:rsidR="005E1CA4" w:rsidRPr="00CE28E3" w:rsidRDefault="005E1CA4" w:rsidP="000A427B">
            <w:pPr>
              <w:pStyle w:val="TableHeading"/>
            </w:pPr>
          </w:p>
        </w:tc>
      </w:tr>
      <w:tr w:rsidR="005E1CA4" w:rsidRPr="00CE28E3" w14:paraId="5B3CC377" w14:textId="77777777" w:rsidTr="000A427B">
        <w:tc>
          <w:tcPr>
            <w:tcW w:w="4673" w:type="dxa"/>
            <w:tcBorders>
              <w:bottom w:val="single" w:sz="4" w:space="0" w:color="auto"/>
            </w:tcBorders>
          </w:tcPr>
          <w:p w14:paraId="600DABDD" w14:textId="77777777" w:rsidR="005E1CA4" w:rsidRPr="00CE28E3" w:rsidRDefault="005E1CA4" w:rsidP="000A427B">
            <w:pPr>
              <w:pStyle w:val="TableText"/>
              <w:keepNext/>
            </w:pPr>
            <w:r>
              <w:t>Level 3 CRP follow-up (monitoring) in a child diagnosed with OSA</w:t>
            </w:r>
          </w:p>
        </w:tc>
        <w:tc>
          <w:tcPr>
            <w:tcW w:w="992" w:type="dxa"/>
            <w:tcBorders>
              <w:bottom w:val="single" w:sz="4" w:space="0" w:color="auto"/>
            </w:tcBorders>
          </w:tcPr>
          <w:p w14:paraId="07872F7B" w14:textId="77777777" w:rsidR="005E1CA4" w:rsidRPr="00CE28E3" w:rsidRDefault="005E1CA4" w:rsidP="000A427B">
            <w:pPr>
              <w:pStyle w:val="TableText"/>
              <w:keepNext/>
            </w:pPr>
            <w:r>
              <w:t>284.19</w:t>
            </w:r>
          </w:p>
        </w:tc>
        <w:tc>
          <w:tcPr>
            <w:tcW w:w="3351" w:type="dxa"/>
            <w:tcBorders>
              <w:bottom w:val="single" w:sz="4" w:space="0" w:color="auto"/>
            </w:tcBorders>
          </w:tcPr>
          <w:p w14:paraId="68352E44" w14:textId="77777777" w:rsidR="005E1CA4" w:rsidRPr="00CE28E3" w:rsidRDefault="005E1CA4" w:rsidP="000A427B">
            <w:pPr>
              <w:pStyle w:val="TableText"/>
              <w:keepNext/>
            </w:pPr>
            <w:r>
              <w:t>DCAR</w:t>
            </w:r>
          </w:p>
        </w:tc>
      </w:tr>
      <w:tr w:rsidR="005E1CA4" w:rsidRPr="00CE28E3" w14:paraId="6FC63CA4" w14:textId="77777777" w:rsidTr="000A427B">
        <w:tc>
          <w:tcPr>
            <w:tcW w:w="4673" w:type="dxa"/>
            <w:tcBorders>
              <w:bottom w:val="single" w:sz="4" w:space="0" w:color="auto"/>
            </w:tcBorders>
          </w:tcPr>
          <w:p w14:paraId="45238120" w14:textId="77777777" w:rsidR="005E1CA4" w:rsidRDefault="005E1CA4" w:rsidP="000A427B">
            <w:pPr>
              <w:pStyle w:val="TableText"/>
              <w:keepNext/>
            </w:pPr>
            <w:r>
              <w:t>Level 3 CRP follow-up (monitoring) in an adolescent diagnosed with OSA</w:t>
            </w:r>
          </w:p>
        </w:tc>
        <w:tc>
          <w:tcPr>
            <w:tcW w:w="992" w:type="dxa"/>
            <w:tcBorders>
              <w:bottom w:val="single" w:sz="4" w:space="0" w:color="auto"/>
            </w:tcBorders>
          </w:tcPr>
          <w:p w14:paraId="7E1D7ABE" w14:textId="77777777" w:rsidR="005E1CA4" w:rsidRPr="00CE28E3" w:rsidRDefault="005E1CA4" w:rsidP="000A427B">
            <w:pPr>
              <w:pStyle w:val="TableText"/>
              <w:keepNext/>
            </w:pPr>
            <w:r>
              <w:t>284.19</w:t>
            </w:r>
          </w:p>
        </w:tc>
        <w:tc>
          <w:tcPr>
            <w:tcW w:w="3351" w:type="dxa"/>
            <w:tcBorders>
              <w:bottom w:val="single" w:sz="4" w:space="0" w:color="auto"/>
            </w:tcBorders>
          </w:tcPr>
          <w:p w14:paraId="4BFACE39" w14:textId="77777777" w:rsidR="005E1CA4" w:rsidRPr="00CE28E3" w:rsidRDefault="005E1CA4" w:rsidP="000A427B">
            <w:pPr>
              <w:pStyle w:val="TableText"/>
              <w:keepNext/>
            </w:pPr>
            <w:r>
              <w:t>DCAR</w:t>
            </w:r>
          </w:p>
        </w:tc>
      </w:tr>
      <w:tr w:rsidR="005E1CA4" w:rsidRPr="00CE28E3" w14:paraId="705CD141" w14:textId="77777777" w:rsidTr="000A427B">
        <w:tc>
          <w:tcPr>
            <w:tcW w:w="4673" w:type="dxa"/>
            <w:tcBorders>
              <w:bottom w:val="single" w:sz="4" w:space="0" w:color="auto"/>
            </w:tcBorders>
          </w:tcPr>
          <w:p w14:paraId="23115AEA" w14:textId="77777777" w:rsidR="005E1CA4" w:rsidRDefault="005E1CA4" w:rsidP="000A427B">
            <w:pPr>
              <w:pStyle w:val="TableText"/>
              <w:keepNext/>
            </w:pPr>
            <w:r>
              <w:t>Level 1 PSG in children for diagnosis or monitoring</w:t>
            </w:r>
          </w:p>
        </w:tc>
        <w:tc>
          <w:tcPr>
            <w:tcW w:w="992" w:type="dxa"/>
            <w:tcBorders>
              <w:bottom w:val="single" w:sz="4" w:space="0" w:color="auto"/>
            </w:tcBorders>
          </w:tcPr>
          <w:p w14:paraId="6BD975E2" w14:textId="77777777" w:rsidR="005E1CA4" w:rsidRDefault="005E1CA4" w:rsidP="000A427B">
            <w:pPr>
              <w:pStyle w:val="TableText"/>
              <w:keepNext/>
            </w:pPr>
            <w:r>
              <w:t>768.70</w:t>
            </w:r>
          </w:p>
        </w:tc>
        <w:tc>
          <w:tcPr>
            <w:tcW w:w="3351" w:type="dxa"/>
            <w:tcBorders>
              <w:bottom w:val="single" w:sz="4" w:space="0" w:color="auto"/>
            </w:tcBorders>
          </w:tcPr>
          <w:p w14:paraId="108C45C2" w14:textId="77777777" w:rsidR="005E1CA4" w:rsidRPr="00CE28E3" w:rsidRDefault="005E1CA4" w:rsidP="000A427B">
            <w:pPr>
              <w:pStyle w:val="TableText"/>
              <w:keepNext/>
            </w:pPr>
            <w:r>
              <w:t>MBS items 12210, 12215, October 2023</w:t>
            </w:r>
          </w:p>
        </w:tc>
      </w:tr>
      <w:tr w:rsidR="005E1CA4" w:rsidRPr="00CE28E3" w14:paraId="53E8DBA4" w14:textId="77777777" w:rsidTr="000A427B">
        <w:tc>
          <w:tcPr>
            <w:tcW w:w="4673" w:type="dxa"/>
            <w:tcBorders>
              <w:bottom w:val="single" w:sz="4" w:space="0" w:color="auto"/>
            </w:tcBorders>
          </w:tcPr>
          <w:p w14:paraId="33D4AA24" w14:textId="77777777" w:rsidR="005E1CA4" w:rsidRDefault="005E1CA4" w:rsidP="000A427B">
            <w:pPr>
              <w:pStyle w:val="TableText"/>
              <w:keepNext/>
            </w:pPr>
            <w:r>
              <w:t>Level 1 PSG in adolescents for diagnosis or monitoring</w:t>
            </w:r>
          </w:p>
        </w:tc>
        <w:tc>
          <w:tcPr>
            <w:tcW w:w="992" w:type="dxa"/>
            <w:tcBorders>
              <w:bottom w:val="single" w:sz="4" w:space="0" w:color="auto"/>
            </w:tcBorders>
          </w:tcPr>
          <w:p w14:paraId="009006EA" w14:textId="77777777" w:rsidR="005E1CA4" w:rsidRDefault="005E1CA4" w:rsidP="000A427B">
            <w:pPr>
              <w:pStyle w:val="TableText"/>
              <w:keepNext/>
            </w:pPr>
            <w:r>
              <w:t>692.50</w:t>
            </w:r>
          </w:p>
        </w:tc>
        <w:tc>
          <w:tcPr>
            <w:tcW w:w="3351" w:type="dxa"/>
            <w:tcBorders>
              <w:bottom w:val="single" w:sz="4" w:space="0" w:color="auto"/>
            </w:tcBorders>
          </w:tcPr>
          <w:p w14:paraId="3065FEB3" w14:textId="77777777" w:rsidR="005E1CA4" w:rsidRPr="00CE28E3" w:rsidRDefault="005E1CA4" w:rsidP="000A427B">
            <w:pPr>
              <w:pStyle w:val="TableText"/>
              <w:keepNext/>
            </w:pPr>
            <w:r>
              <w:t>MBS items 12213, 12217, October 2023</w:t>
            </w:r>
          </w:p>
        </w:tc>
      </w:tr>
      <w:tr w:rsidR="005E1CA4" w:rsidRPr="00CE28E3" w14:paraId="7253FDBA" w14:textId="77777777" w:rsidTr="000A427B">
        <w:tc>
          <w:tcPr>
            <w:tcW w:w="4673" w:type="dxa"/>
            <w:tcBorders>
              <w:right w:val="nil"/>
            </w:tcBorders>
          </w:tcPr>
          <w:p w14:paraId="273EF3EA" w14:textId="77777777" w:rsidR="005E1CA4" w:rsidRPr="00CE28E3" w:rsidRDefault="005E1CA4" w:rsidP="000A427B">
            <w:pPr>
              <w:pStyle w:val="TableHeading"/>
            </w:pPr>
            <w:r w:rsidRPr="00CE28E3">
              <w:t>Additional costs and/or cost offsets</w:t>
            </w:r>
          </w:p>
        </w:tc>
        <w:tc>
          <w:tcPr>
            <w:tcW w:w="992" w:type="dxa"/>
            <w:tcBorders>
              <w:left w:val="nil"/>
              <w:right w:val="nil"/>
            </w:tcBorders>
          </w:tcPr>
          <w:p w14:paraId="3520252F" w14:textId="77777777" w:rsidR="005E1CA4" w:rsidRPr="00CE28E3" w:rsidRDefault="005E1CA4" w:rsidP="000A427B">
            <w:pPr>
              <w:pStyle w:val="TableHeading"/>
            </w:pPr>
          </w:p>
        </w:tc>
        <w:tc>
          <w:tcPr>
            <w:tcW w:w="3351" w:type="dxa"/>
            <w:tcBorders>
              <w:left w:val="nil"/>
            </w:tcBorders>
          </w:tcPr>
          <w:p w14:paraId="2D3F595D" w14:textId="77777777" w:rsidR="005E1CA4" w:rsidRPr="00CE28E3" w:rsidRDefault="005E1CA4" w:rsidP="000A427B">
            <w:pPr>
              <w:pStyle w:val="TableHeading"/>
            </w:pPr>
          </w:p>
        </w:tc>
      </w:tr>
      <w:tr w:rsidR="005E1CA4" w:rsidRPr="00CE28E3" w14:paraId="03C8C63A" w14:textId="77777777" w:rsidTr="000A427B">
        <w:tc>
          <w:tcPr>
            <w:tcW w:w="4673" w:type="dxa"/>
          </w:tcPr>
          <w:p w14:paraId="1B39CA93" w14:textId="77777777" w:rsidR="005E1CA4" w:rsidRPr="00CE28E3" w:rsidRDefault="005E1CA4" w:rsidP="000A427B">
            <w:pPr>
              <w:pStyle w:val="TableText"/>
              <w:keepNext/>
            </w:pPr>
            <w:r>
              <w:t>General practitioner review and follow-up</w:t>
            </w:r>
          </w:p>
        </w:tc>
        <w:tc>
          <w:tcPr>
            <w:tcW w:w="992" w:type="dxa"/>
          </w:tcPr>
          <w:p w14:paraId="131D2293" w14:textId="77777777" w:rsidR="005E1CA4" w:rsidRPr="00CE28E3" w:rsidRDefault="005E1CA4" w:rsidP="000A427B">
            <w:pPr>
              <w:pStyle w:val="TableText"/>
              <w:keepNext/>
            </w:pPr>
            <w:r>
              <w:t>41.20</w:t>
            </w:r>
          </w:p>
        </w:tc>
        <w:tc>
          <w:tcPr>
            <w:tcW w:w="3351" w:type="dxa"/>
          </w:tcPr>
          <w:p w14:paraId="5FC42B94" w14:textId="77777777" w:rsidR="005E1CA4" w:rsidRPr="00CE28E3" w:rsidRDefault="005E1CA4" w:rsidP="000A427B">
            <w:pPr>
              <w:pStyle w:val="TableText"/>
              <w:keepNext/>
            </w:pPr>
            <w:r>
              <w:t>MBS item 23, October 2023</w:t>
            </w:r>
          </w:p>
        </w:tc>
      </w:tr>
      <w:tr w:rsidR="005E1CA4" w:rsidRPr="00CE28E3" w14:paraId="082FB5F6" w14:textId="77777777" w:rsidTr="000A427B">
        <w:tc>
          <w:tcPr>
            <w:tcW w:w="4673" w:type="dxa"/>
          </w:tcPr>
          <w:p w14:paraId="48696368" w14:textId="77777777" w:rsidR="005E1CA4" w:rsidRPr="009E1712" w:rsidRDefault="005E1CA4" w:rsidP="000A427B">
            <w:pPr>
              <w:pStyle w:val="TableText"/>
            </w:pPr>
            <w:r w:rsidRPr="009E1712">
              <w:t>Specialist physician review, initial</w:t>
            </w:r>
          </w:p>
        </w:tc>
        <w:tc>
          <w:tcPr>
            <w:tcW w:w="992" w:type="dxa"/>
          </w:tcPr>
          <w:p w14:paraId="0E175970" w14:textId="77777777" w:rsidR="005E1CA4" w:rsidRPr="009E1712" w:rsidRDefault="005E1CA4" w:rsidP="000A427B">
            <w:pPr>
              <w:pStyle w:val="TableText"/>
            </w:pPr>
            <w:r w:rsidRPr="009E1712">
              <w:t>167.75</w:t>
            </w:r>
          </w:p>
        </w:tc>
        <w:tc>
          <w:tcPr>
            <w:tcW w:w="3351" w:type="dxa"/>
          </w:tcPr>
          <w:p w14:paraId="30CECA32" w14:textId="77777777" w:rsidR="005E1CA4" w:rsidRPr="009E1712" w:rsidRDefault="005E1CA4" w:rsidP="000A427B">
            <w:pPr>
              <w:pStyle w:val="TableText"/>
            </w:pPr>
            <w:r w:rsidRPr="009E1712">
              <w:t>MBS item 110, October 2023</w:t>
            </w:r>
          </w:p>
        </w:tc>
      </w:tr>
      <w:tr w:rsidR="005E1CA4" w:rsidRPr="00CE28E3" w14:paraId="75D42296" w14:textId="77777777" w:rsidTr="000A427B">
        <w:tc>
          <w:tcPr>
            <w:tcW w:w="4673" w:type="dxa"/>
          </w:tcPr>
          <w:p w14:paraId="29645105" w14:textId="77777777" w:rsidR="005E1CA4" w:rsidRPr="009E1712" w:rsidRDefault="005E1CA4" w:rsidP="000A427B">
            <w:pPr>
              <w:pStyle w:val="TableText"/>
            </w:pPr>
            <w:r w:rsidRPr="009E1712">
              <w:t>Specialist physician review, follow-up</w:t>
            </w:r>
          </w:p>
        </w:tc>
        <w:tc>
          <w:tcPr>
            <w:tcW w:w="992" w:type="dxa"/>
          </w:tcPr>
          <w:p w14:paraId="0884FE91" w14:textId="77777777" w:rsidR="005E1CA4" w:rsidRPr="009E1712" w:rsidRDefault="005E1CA4" w:rsidP="000A427B">
            <w:pPr>
              <w:pStyle w:val="TableText"/>
            </w:pPr>
            <w:r w:rsidRPr="009E1712">
              <w:t>83.95</w:t>
            </w:r>
          </w:p>
        </w:tc>
        <w:tc>
          <w:tcPr>
            <w:tcW w:w="3351" w:type="dxa"/>
          </w:tcPr>
          <w:p w14:paraId="7126BAAB" w14:textId="77777777" w:rsidR="005E1CA4" w:rsidRPr="009E1712" w:rsidRDefault="005E1CA4" w:rsidP="000A427B">
            <w:pPr>
              <w:pStyle w:val="TableText"/>
            </w:pPr>
            <w:r w:rsidRPr="009E1712">
              <w:t>MBS item 116, October 2023</w:t>
            </w:r>
          </w:p>
        </w:tc>
      </w:tr>
    </w:tbl>
    <w:p w14:paraId="663FC70E" w14:textId="77777777" w:rsidR="005E1CA4" w:rsidRPr="002A766A" w:rsidRDefault="005E1CA4" w:rsidP="005E1CA4">
      <w:pPr>
        <w:pStyle w:val="TableFigNoteLast"/>
      </w:pPr>
      <w:r>
        <w:t>CRP = cardiorespiratory polygraphy; MBS = Medicare Benefits Schedule; OSA = obstructive sleep apnoea; PSG = polysomnography.</w:t>
      </w:r>
    </w:p>
    <w:p w14:paraId="37C459F3" w14:textId="1FA819E6" w:rsidR="005E1CA4" w:rsidRPr="00CE28E3" w:rsidRDefault="00E91FB9" w:rsidP="00E91FB9">
      <w:pPr>
        <w:pStyle w:val="Heading2"/>
        <w:numPr>
          <w:ilvl w:val="0"/>
          <w:numId w:val="0"/>
        </w:numPr>
      </w:pPr>
      <w:bookmarkStart w:id="55" w:name="_Toc145678763"/>
      <w:bookmarkStart w:id="56" w:name="_Toc150172408"/>
      <w:bookmarkStart w:id="57" w:name="_Toc153462783"/>
      <w:r>
        <w:lastRenderedPageBreak/>
        <w:t>14.</w:t>
      </w:r>
      <w:r>
        <w:tab/>
      </w:r>
      <w:r w:rsidR="005E1CA4" w:rsidRPr="00CE28E3">
        <w:t>Financial/budgetary impacts</w:t>
      </w:r>
      <w:bookmarkEnd w:id="55"/>
      <w:bookmarkEnd w:id="56"/>
      <w:bookmarkEnd w:id="57"/>
    </w:p>
    <w:p w14:paraId="02BB8E68" w14:textId="77777777" w:rsidR="005E1CA4" w:rsidRPr="00395DB7" w:rsidRDefault="005E1CA4" w:rsidP="005E1CA4">
      <w:pPr>
        <w:rPr>
          <w:rFonts w:ascii="Franklin Gothic Book" w:hAnsi="Franklin Gothic Book"/>
        </w:rPr>
      </w:pPr>
      <w:r w:rsidRPr="00395DB7">
        <w:rPr>
          <w:rFonts w:ascii="Franklin Gothic Book" w:hAnsi="Franklin Gothic Book"/>
        </w:rPr>
        <w:t>A combined epidemiological and market-share approach was taken to estimate the use of paediatric out-of-laboratory sleep studies in Australia. Epidemiological information provides an estimate of the potential number of eligible patients, and market-share considerations explore the potential for currently listed MBS items for in-laboratory sleep studies (Level 1 PSG) to be replaced by the proposed out-of-laboratory MBS items.</w:t>
      </w:r>
    </w:p>
    <w:p w14:paraId="7052D810" w14:textId="77777777" w:rsidR="005E1CA4" w:rsidRPr="00395DB7" w:rsidRDefault="005E1CA4" w:rsidP="005E1CA4">
      <w:pPr>
        <w:rPr>
          <w:rFonts w:ascii="Franklin Gothic Book" w:hAnsi="Franklin Gothic Book"/>
        </w:rPr>
      </w:pPr>
      <w:r w:rsidRPr="00395DB7">
        <w:rPr>
          <w:rFonts w:ascii="Franklin Gothic Book" w:hAnsi="Franklin Gothic Book"/>
        </w:rPr>
        <w:t>For the paediatric population, the prevalent population with OSA in Australian children aged 3 to 11 years is estimated at 36,871 to 175,136</w:t>
      </w:r>
      <w:r w:rsidRPr="00395DB7">
        <w:rPr>
          <w:rStyle w:val="FootnoteReference"/>
          <w:rFonts w:ascii="Franklin Gothic Book" w:hAnsi="Franklin Gothic Book"/>
        </w:rPr>
        <w:footnoteReference w:id="27"/>
      </w:r>
      <w:r w:rsidRPr="00395DB7">
        <w:rPr>
          <w:rFonts w:ascii="Franklin Gothic Book" w:hAnsi="Franklin Gothic Book"/>
        </w:rPr>
        <w:t>, and the symptomatic population based on habitual snoring is estimated at 322,620 to 467,031</w:t>
      </w:r>
      <w:r w:rsidRPr="00395DB7">
        <w:rPr>
          <w:rStyle w:val="FootnoteReference"/>
          <w:rFonts w:ascii="Franklin Gothic Book" w:hAnsi="Franklin Gothic Book"/>
        </w:rPr>
        <w:footnoteReference w:id="28"/>
      </w:r>
      <w:r w:rsidRPr="00395DB7">
        <w:rPr>
          <w:rFonts w:ascii="Franklin Gothic Book" w:hAnsi="Franklin Gothic Book"/>
        </w:rPr>
        <w:t>. The utilisation of paediatric sleep study items on the MBS (7,115 claims in financial year 2017—2018) suggests a larger population of patients with SDB and OSA, and a much greater rate of surgical treatment for the condition, than the likely uptake of the proposed items.</w:t>
      </w:r>
    </w:p>
    <w:p w14:paraId="3537C511" w14:textId="77777777" w:rsidR="005E1CA4" w:rsidRPr="006529D2" w:rsidRDefault="005E1CA4" w:rsidP="005E1CA4">
      <w:pPr>
        <w:pStyle w:val="ESHeading3"/>
      </w:pPr>
      <w:r>
        <w:t>PICO Set 1</w:t>
      </w:r>
    </w:p>
    <w:p w14:paraId="378FF345" w14:textId="77777777" w:rsidR="005E1CA4" w:rsidRPr="00395DB7" w:rsidRDefault="005E1CA4" w:rsidP="005E1CA4">
      <w:pPr>
        <w:rPr>
          <w:rFonts w:ascii="Franklin Gothic Book" w:hAnsi="Franklin Gothic Book"/>
        </w:rPr>
      </w:pPr>
      <w:r w:rsidRPr="00395DB7">
        <w:rPr>
          <w:rFonts w:ascii="Franklin Gothic Book" w:hAnsi="Franklin Gothic Book"/>
        </w:rPr>
        <w:t>Assumptions based on data provided in the application form were used to estimate the rate of substitution in the market by the proposed Level 2 PSG services. The applicant estimated that 30% of wait-listed children and adolescents are likely to be eligible for Level 2 PSG. This value was applied to the pre-COVID-19 pandemic uptake of paediatric Level 1 PSG services and inflated by 10% to account for the expansion of uptake due to the introduction of out-of-laboratory sleep study services, anticipated based on analysis of adult services.</w:t>
      </w:r>
    </w:p>
    <w:p w14:paraId="28746C98" w14:textId="6590C27A" w:rsidR="005E1CA4" w:rsidRPr="00395DB7" w:rsidRDefault="005E1CA4" w:rsidP="005E1CA4">
      <w:pPr>
        <w:rPr>
          <w:rFonts w:ascii="Franklin Gothic Book" w:hAnsi="Franklin Gothic Book"/>
        </w:rPr>
      </w:pPr>
      <w:r w:rsidRPr="00395DB7">
        <w:rPr>
          <w:rFonts w:ascii="Franklin Gothic Book" w:hAnsi="Franklin Gothic Book"/>
        </w:rPr>
        <w:t xml:space="preserve">The financial implications to the MBS resulting from the proposed listing of out-of-laboratory Level 2 PSG services are summarised in </w:t>
      </w:r>
      <w:r w:rsidRPr="00395DB7">
        <w:rPr>
          <w:rFonts w:ascii="Franklin Gothic Book" w:hAnsi="Franklin Gothic Book"/>
        </w:rPr>
        <w:fldChar w:fldCharType="begin"/>
      </w:r>
      <w:r w:rsidRPr="00395DB7">
        <w:rPr>
          <w:rFonts w:ascii="Franklin Gothic Book" w:hAnsi="Franklin Gothic Book"/>
        </w:rPr>
        <w:instrText xml:space="preserve"> REF _Ref150269141 \h </w:instrText>
      </w:r>
      <w:r w:rsid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 xml:space="preserve">Table </w:t>
      </w:r>
      <w:r w:rsidRPr="00395DB7">
        <w:rPr>
          <w:rFonts w:ascii="Franklin Gothic Book" w:hAnsi="Franklin Gothic Book"/>
          <w:noProof/>
        </w:rPr>
        <w:t>18</w:t>
      </w:r>
      <w:r w:rsidRPr="00395DB7">
        <w:rPr>
          <w:rFonts w:ascii="Franklin Gothic Book" w:hAnsi="Franklin Gothic Book"/>
        </w:rPr>
        <w:fldChar w:fldCharType="end"/>
      </w:r>
      <w:r w:rsidRPr="00395DB7">
        <w:rPr>
          <w:rFonts w:ascii="Franklin Gothic Book" w:hAnsi="Franklin Gothic Book"/>
        </w:rPr>
        <w:t>. The net financial impact to the MBS is estimated to be a cost-saving of $461,109 in 2023-24 rising to an additional cost to the MBS of $306,739 in 2028—29 due to the greater growth rate of Level 2 compared to Level 1 services. If the growth rate is the same for Level 1 and Level 2 then the proposed service remains cost saving. The costs are predominately attributable to use of the items for children rather than adolescents.</w:t>
      </w:r>
    </w:p>
    <w:p w14:paraId="1576C47C" w14:textId="0405D668" w:rsidR="005E1CA4" w:rsidRDefault="005E1CA4" w:rsidP="005E1CA4">
      <w:pPr>
        <w:pStyle w:val="Caption"/>
      </w:pPr>
      <w:bookmarkStart w:id="58" w:name="_Ref150269141"/>
      <w:r>
        <w:t xml:space="preserve">Table </w:t>
      </w:r>
      <w:fldSimple w:instr=" SEQ Table \* ARABIC ">
        <w:r>
          <w:rPr>
            <w:noProof/>
          </w:rPr>
          <w:t>18</w:t>
        </w:r>
      </w:fldSimple>
      <w:bookmarkEnd w:id="58"/>
      <w:r>
        <w:tab/>
        <w:t>Net financial implications of PICO Set 1 out-of-laboratory Level 2 PSG to the MBS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t financial implications of PICO Set 1 out-of-laboratory Level 2 PSG to the MBS"/>
        <w:tblDescription w:val="Estimated use and costs of the proposed services, change in use and cost of other services, additional testing due to failed Level 2 tests, and net financial impact to the MBS are shown for the financial years 2023-24 through to 2028-29. "/>
      </w:tblPr>
      <w:tblGrid>
        <w:gridCol w:w="2460"/>
        <w:gridCol w:w="1092"/>
        <w:gridCol w:w="271"/>
        <w:gridCol w:w="141"/>
        <w:gridCol w:w="143"/>
        <w:gridCol w:w="142"/>
        <w:gridCol w:w="140"/>
        <w:gridCol w:w="256"/>
        <w:gridCol w:w="1097"/>
        <w:gridCol w:w="1093"/>
        <w:gridCol w:w="1093"/>
        <w:gridCol w:w="1092"/>
      </w:tblGrid>
      <w:tr w:rsidR="005E1CA4" w:rsidRPr="00C80414" w14:paraId="2C81052C" w14:textId="77777777" w:rsidTr="000A427B">
        <w:trPr>
          <w:trHeight w:val="290"/>
          <w:tblHeader/>
        </w:trPr>
        <w:tc>
          <w:tcPr>
            <w:tcW w:w="1364" w:type="pct"/>
            <w:tcBorders>
              <w:bottom w:val="single" w:sz="4" w:space="0" w:color="auto"/>
            </w:tcBorders>
            <w:shd w:val="clear" w:color="auto" w:fill="auto"/>
            <w:vAlign w:val="bottom"/>
            <w:hideMark/>
          </w:tcPr>
          <w:p w14:paraId="085C848B" w14:textId="77777777" w:rsidR="005E1CA4" w:rsidRPr="00C80414" w:rsidRDefault="005E1CA4" w:rsidP="000A427B">
            <w:pPr>
              <w:pStyle w:val="TableHeading0"/>
              <w:keepNext/>
              <w:rPr>
                <w:lang w:eastAsia="en-AU"/>
              </w:rPr>
            </w:pPr>
            <w:r w:rsidRPr="00C80414">
              <w:rPr>
                <w:lang w:eastAsia="en-AU"/>
              </w:rPr>
              <w:t>Parameter</w:t>
            </w:r>
          </w:p>
        </w:tc>
        <w:tc>
          <w:tcPr>
            <w:tcW w:w="605" w:type="pct"/>
            <w:tcBorders>
              <w:bottom w:val="single" w:sz="4" w:space="0" w:color="auto"/>
            </w:tcBorders>
            <w:shd w:val="clear" w:color="auto" w:fill="auto"/>
            <w:noWrap/>
            <w:vAlign w:val="bottom"/>
            <w:hideMark/>
          </w:tcPr>
          <w:p w14:paraId="60558483" w14:textId="77777777" w:rsidR="005E1CA4" w:rsidRPr="00C80414" w:rsidRDefault="005E1CA4" w:rsidP="000A427B">
            <w:pPr>
              <w:pStyle w:val="TableHeading0"/>
              <w:keepNext/>
              <w:jc w:val="right"/>
              <w:rPr>
                <w:lang w:eastAsia="en-AU"/>
              </w:rPr>
            </w:pPr>
            <w:r w:rsidRPr="00C80414">
              <w:rPr>
                <w:lang w:eastAsia="en-AU"/>
              </w:rPr>
              <w:t>2023</w:t>
            </w:r>
            <w:r>
              <w:rPr>
                <w:lang w:eastAsia="en-AU"/>
              </w:rPr>
              <w:t>—</w:t>
            </w:r>
            <w:r w:rsidRPr="00C80414">
              <w:rPr>
                <w:lang w:eastAsia="en-AU"/>
              </w:rPr>
              <w:t>24</w:t>
            </w:r>
          </w:p>
        </w:tc>
        <w:tc>
          <w:tcPr>
            <w:tcW w:w="606" w:type="pct"/>
            <w:gridSpan w:val="6"/>
            <w:tcBorders>
              <w:bottom w:val="single" w:sz="4" w:space="0" w:color="auto"/>
            </w:tcBorders>
            <w:shd w:val="clear" w:color="auto" w:fill="auto"/>
            <w:noWrap/>
            <w:vAlign w:val="bottom"/>
            <w:hideMark/>
          </w:tcPr>
          <w:p w14:paraId="4BC98263" w14:textId="77777777" w:rsidR="005E1CA4" w:rsidRPr="00C80414" w:rsidRDefault="005E1CA4" w:rsidP="000A427B">
            <w:pPr>
              <w:pStyle w:val="TableHeading0"/>
              <w:keepNext/>
              <w:jc w:val="right"/>
              <w:rPr>
                <w:lang w:eastAsia="en-AU"/>
              </w:rPr>
            </w:pPr>
            <w:r w:rsidRPr="00C80414">
              <w:rPr>
                <w:lang w:eastAsia="en-AU"/>
              </w:rPr>
              <w:t>2024</w:t>
            </w:r>
            <w:r>
              <w:rPr>
                <w:lang w:eastAsia="en-AU"/>
              </w:rPr>
              <w:t>—</w:t>
            </w:r>
            <w:r w:rsidRPr="00C80414">
              <w:rPr>
                <w:lang w:eastAsia="en-AU"/>
              </w:rPr>
              <w:t>25</w:t>
            </w:r>
          </w:p>
        </w:tc>
        <w:tc>
          <w:tcPr>
            <w:tcW w:w="608" w:type="pct"/>
            <w:tcBorders>
              <w:bottom w:val="single" w:sz="4" w:space="0" w:color="auto"/>
            </w:tcBorders>
            <w:shd w:val="clear" w:color="auto" w:fill="auto"/>
            <w:noWrap/>
            <w:vAlign w:val="bottom"/>
            <w:hideMark/>
          </w:tcPr>
          <w:p w14:paraId="0C9BDFEB" w14:textId="77777777" w:rsidR="005E1CA4" w:rsidRPr="00C80414" w:rsidRDefault="005E1CA4" w:rsidP="000A427B">
            <w:pPr>
              <w:pStyle w:val="TableHeading0"/>
              <w:keepNext/>
              <w:jc w:val="right"/>
              <w:rPr>
                <w:lang w:eastAsia="en-AU"/>
              </w:rPr>
            </w:pPr>
            <w:r w:rsidRPr="00C80414">
              <w:rPr>
                <w:lang w:eastAsia="en-AU"/>
              </w:rPr>
              <w:t>2025</w:t>
            </w:r>
            <w:r>
              <w:rPr>
                <w:lang w:eastAsia="en-AU"/>
              </w:rPr>
              <w:t>—</w:t>
            </w:r>
            <w:r w:rsidRPr="00C80414">
              <w:rPr>
                <w:lang w:eastAsia="en-AU"/>
              </w:rPr>
              <w:t>26</w:t>
            </w:r>
          </w:p>
        </w:tc>
        <w:tc>
          <w:tcPr>
            <w:tcW w:w="606" w:type="pct"/>
            <w:tcBorders>
              <w:bottom w:val="single" w:sz="4" w:space="0" w:color="auto"/>
            </w:tcBorders>
            <w:shd w:val="clear" w:color="auto" w:fill="auto"/>
            <w:noWrap/>
            <w:vAlign w:val="bottom"/>
            <w:hideMark/>
          </w:tcPr>
          <w:p w14:paraId="52E9E694" w14:textId="77777777" w:rsidR="005E1CA4" w:rsidRPr="00C80414" w:rsidRDefault="005E1CA4" w:rsidP="000A427B">
            <w:pPr>
              <w:pStyle w:val="TableHeading0"/>
              <w:keepNext/>
              <w:jc w:val="right"/>
              <w:rPr>
                <w:lang w:eastAsia="en-AU"/>
              </w:rPr>
            </w:pPr>
            <w:r w:rsidRPr="00C80414">
              <w:rPr>
                <w:lang w:eastAsia="en-AU"/>
              </w:rPr>
              <w:t>2026</w:t>
            </w:r>
            <w:r>
              <w:rPr>
                <w:lang w:eastAsia="en-AU"/>
              </w:rPr>
              <w:t>—</w:t>
            </w:r>
            <w:r w:rsidRPr="00C80414">
              <w:rPr>
                <w:lang w:eastAsia="en-AU"/>
              </w:rPr>
              <w:t>27</w:t>
            </w:r>
          </w:p>
        </w:tc>
        <w:tc>
          <w:tcPr>
            <w:tcW w:w="606" w:type="pct"/>
            <w:tcBorders>
              <w:bottom w:val="single" w:sz="4" w:space="0" w:color="auto"/>
            </w:tcBorders>
            <w:shd w:val="clear" w:color="auto" w:fill="auto"/>
            <w:noWrap/>
            <w:vAlign w:val="bottom"/>
            <w:hideMark/>
          </w:tcPr>
          <w:p w14:paraId="723F9C0C" w14:textId="77777777" w:rsidR="005E1CA4" w:rsidRPr="00C80414" w:rsidRDefault="005E1CA4" w:rsidP="000A427B">
            <w:pPr>
              <w:pStyle w:val="TableHeading0"/>
              <w:keepNext/>
              <w:jc w:val="right"/>
              <w:rPr>
                <w:lang w:eastAsia="en-AU"/>
              </w:rPr>
            </w:pPr>
            <w:r w:rsidRPr="00C80414">
              <w:rPr>
                <w:lang w:eastAsia="en-AU"/>
              </w:rPr>
              <w:t>2027</w:t>
            </w:r>
            <w:r>
              <w:rPr>
                <w:lang w:eastAsia="en-AU"/>
              </w:rPr>
              <w:t>—</w:t>
            </w:r>
            <w:r w:rsidRPr="00C80414">
              <w:rPr>
                <w:lang w:eastAsia="en-AU"/>
              </w:rPr>
              <w:t>28</w:t>
            </w:r>
          </w:p>
        </w:tc>
        <w:tc>
          <w:tcPr>
            <w:tcW w:w="605" w:type="pct"/>
            <w:tcBorders>
              <w:bottom w:val="single" w:sz="4" w:space="0" w:color="auto"/>
            </w:tcBorders>
            <w:shd w:val="clear" w:color="auto" w:fill="auto"/>
            <w:noWrap/>
            <w:vAlign w:val="bottom"/>
            <w:hideMark/>
          </w:tcPr>
          <w:p w14:paraId="0D5261DD" w14:textId="77777777" w:rsidR="005E1CA4" w:rsidRPr="00C80414" w:rsidRDefault="005E1CA4" w:rsidP="000A427B">
            <w:pPr>
              <w:pStyle w:val="TableHeading0"/>
              <w:keepNext/>
              <w:jc w:val="right"/>
              <w:rPr>
                <w:lang w:eastAsia="en-AU"/>
              </w:rPr>
            </w:pPr>
            <w:r w:rsidRPr="00C80414">
              <w:rPr>
                <w:lang w:eastAsia="en-AU"/>
              </w:rPr>
              <w:t>2028</w:t>
            </w:r>
            <w:r>
              <w:rPr>
                <w:lang w:eastAsia="en-AU"/>
              </w:rPr>
              <w:t>—29</w:t>
            </w:r>
          </w:p>
        </w:tc>
      </w:tr>
      <w:tr w:rsidR="005E1CA4" w:rsidRPr="00C80414" w14:paraId="2867F1D9" w14:textId="77777777" w:rsidTr="000A427B">
        <w:trPr>
          <w:trHeight w:val="430"/>
        </w:trPr>
        <w:tc>
          <w:tcPr>
            <w:tcW w:w="2276" w:type="pct"/>
            <w:gridSpan w:val="5"/>
            <w:tcBorders>
              <w:right w:val="nil"/>
            </w:tcBorders>
            <w:shd w:val="clear" w:color="auto" w:fill="auto"/>
            <w:vAlign w:val="bottom"/>
            <w:hideMark/>
          </w:tcPr>
          <w:p w14:paraId="6CB03110" w14:textId="77777777" w:rsidR="005E1CA4" w:rsidRPr="00C80414" w:rsidRDefault="005E1CA4" w:rsidP="000A427B">
            <w:pPr>
              <w:pStyle w:val="TableHeading0"/>
              <w:keepNext/>
              <w:rPr>
                <w:lang w:eastAsia="en-AU"/>
              </w:rPr>
            </w:pPr>
            <w:r w:rsidRPr="00C80414">
              <w:rPr>
                <w:lang w:eastAsia="en-AU"/>
              </w:rPr>
              <w:t xml:space="preserve">Estimated use and cost of the proposed </w:t>
            </w:r>
            <w:r>
              <w:rPr>
                <w:lang w:eastAsia="en-AU"/>
              </w:rPr>
              <w:t>services</w:t>
            </w:r>
          </w:p>
        </w:tc>
        <w:tc>
          <w:tcPr>
            <w:tcW w:w="157" w:type="pct"/>
            <w:gridSpan w:val="2"/>
            <w:tcBorders>
              <w:left w:val="nil"/>
              <w:right w:val="nil"/>
            </w:tcBorders>
            <w:shd w:val="clear" w:color="auto" w:fill="auto"/>
            <w:noWrap/>
            <w:vAlign w:val="bottom"/>
            <w:hideMark/>
          </w:tcPr>
          <w:p w14:paraId="3E5728FA" w14:textId="77777777" w:rsidR="005E1CA4" w:rsidRPr="00C80414" w:rsidRDefault="005E1CA4" w:rsidP="000A427B">
            <w:pPr>
              <w:pStyle w:val="TableHeading0"/>
              <w:keepNext/>
              <w:jc w:val="right"/>
              <w:rPr>
                <w:lang w:eastAsia="en-AU"/>
              </w:rPr>
            </w:pPr>
          </w:p>
        </w:tc>
        <w:tc>
          <w:tcPr>
            <w:tcW w:w="142" w:type="pct"/>
            <w:tcBorders>
              <w:left w:val="nil"/>
              <w:right w:val="nil"/>
            </w:tcBorders>
            <w:shd w:val="clear" w:color="auto" w:fill="auto"/>
            <w:noWrap/>
            <w:vAlign w:val="bottom"/>
            <w:hideMark/>
          </w:tcPr>
          <w:p w14:paraId="30CBC388" w14:textId="77777777" w:rsidR="005E1CA4" w:rsidRPr="00C80414" w:rsidRDefault="005E1CA4" w:rsidP="000A427B">
            <w:pPr>
              <w:pStyle w:val="TableHeading0"/>
              <w:keepNext/>
              <w:jc w:val="right"/>
              <w:rPr>
                <w:rFonts w:ascii="Times New Roman" w:hAnsi="Times New Roman" w:cs="Times New Roman"/>
                <w:szCs w:val="20"/>
                <w:lang w:eastAsia="en-AU"/>
              </w:rPr>
            </w:pPr>
          </w:p>
        </w:tc>
        <w:tc>
          <w:tcPr>
            <w:tcW w:w="608" w:type="pct"/>
            <w:tcBorders>
              <w:left w:val="nil"/>
              <w:right w:val="nil"/>
            </w:tcBorders>
            <w:shd w:val="clear" w:color="auto" w:fill="auto"/>
            <w:noWrap/>
            <w:vAlign w:val="bottom"/>
            <w:hideMark/>
          </w:tcPr>
          <w:p w14:paraId="1419018A" w14:textId="77777777" w:rsidR="005E1CA4" w:rsidRPr="00C80414" w:rsidRDefault="005E1CA4" w:rsidP="000A427B">
            <w:pPr>
              <w:pStyle w:val="TableHeading0"/>
              <w:keepNext/>
              <w:jc w:val="right"/>
              <w:rPr>
                <w:rFonts w:ascii="Times New Roman" w:hAnsi="Times New Roman" w:cs="Times New Roman"/>
                <w:szCs w:val="20"/>
                <w:lang w:eastAsia="en-AU"/>
              </w:rPr>
            </w:pPr>
          </w:p>
        </w:tc>
        <w:tc>
          <w:tcPr>
            <w:tcW w:w="606" w:type="pct"/>
            <w:tcBorders>
              <w:left w:val="nil"/>
              <w:right w:val="nil"/>
            </w:tcBorders>
            <w:shd w:val="clear" w:color="auto" w:fill="auto"/>
            <w:noWrap/>
            <w:vAlign w:val="bottom"/>
            <w:hideMark/>
          </w:tcPr>
          <w:p w14:paraId="1E5CC967" w14:textId="77777777" w:rsidR="005E1CA4" w:rsidRPr="00C80414" w:rsidRDefault="005E1CA4" w:rsidP="000A427B">
            <w:pPr>
              <w:pStyle w:val="TableHeading0"/>
              <w:keepNext/>
              <w:jc w:val="right"/>
              <w:rPr>
                <w:rFonts w:ascii="Times New Roman" w:hAnsi="Times New Roman" w:cs="Times New Roman"/>
                <w:szCs w:val="20"/>
                <w:lang w:eastAsia="en-AU"/>
              </w:rPr>
            </w:pPr>
          </w:p>
        </w:tc>
        <w:tc>
          <w:tcPr>
            <w:tcW w:w="606" w:type="pct"/>
            <w:tcBorders>
              <w:left w:val="nil"/>
              <w:right w:val="nil"/>
            </w:tcBorders>
            <w:shd w:val="clear" w:color="auto" w:fill="auto"/>
            <w:noWrap/>
            <w:vAlign w:val="bottom"/>
            <w:hideMark/>
          </w:tcPr>
          <w:p w14:paraId="68A725B8" w14:textId="77777777" w:rsidR="005E1CA4" w:rsidRPr="00C80414" w:rsidRDefault="005E1CA4" w:rsidP="000A427B">
            <w:pPr>
              <w:pStyle w:val="TableHeading0"/>
              <w:keepNext/>
              <w:jc w:val="right"/>
              <w:rPr>
                <w:rFonts w:ascii="Times New Roman" w:hAnsi="Times New Roman" w:cs="Times New Roman"/>
                <w:szCs w:val="20"/>
                <w:lang w:eastAsia="en-AU"/>
              </w:rPr>
            </w:pPr>
          </w:p>
        </w:tc>
        <w:tc>
          <w:tcPr>
            <w:tcW w:w="605" w:type="pct"/>
            <w:tcBorders>
              <w:left w:val="nil"/>
            </w:tcBorders>
            <w:shd w:val="clear" w:color="auto" w:fill="auto"/>
            <w:noWrap/>
            <w:vAlign w:val="bottom"/>
            <w:hideMark/>
          </w:tcPr>
          <w:p w14:paraId="6F5EF19C" w14:textId="77777777" w:rsidR="005E1CA4" w:rsidRPr="00C80414" w:rsidRDefault="005E1CA4" w:rsidP="000A427B">
            <w:pPr>
              <w:pStyle w:val="TableHeading0"/>
              <w:keepNext/>
              <w:jc w:val="right"/>
              <w:rPr>
                <w:rFonts w:ascii="Times New Roman" w:hAnsi="Times New Roman" w:cs="Times New Roman"/>
                <w:szCs w:val="20"/>
                <w:lang w:eastAsia="en-AU"/>
              </w:rPr>
            </w:pPr>
          </w:p>
        </w:tc>
      </w:tr>
      <w:tr w:rsidR="005E1CA4" w:rsidRPr="00C80414" w14:paraId="6CD8C8F3" w14:textId="77777777" w:rsidTr="000A427B">
        <w:trPr>
          <w:trHeight w:val="290"/>
        </w:trPr>
        <w:tc>
          <w:tcPr>
            <w:tcW w:w="1364" w:type="pct"/>
            <w:shd w:val="clear" w:color="auto" w:fill="auto"/>
            <w:vAlign w:val="bottom"/>
            <w:hideMark/>
          </w:tcPr>
          <w:p w14:paraId="36B5D532" w14:textId="77777777" w:rsidR="005E1CA4" w:rsidRPr="00C80414" w:rsidRDefault="005E1CA4" w:rsidP="000A427B">
            <w:pPr>
              <w:pStyle w:val="TableText"/>
              <w:rPr>
                <w:lang w:eastAsia="en-AU"/>
              </w:rPr>
            </w:pPr>
            <w:r w:rsidRPr="00C80414">
              <w:rPr>
                <w:lang w:eastAsia="en-AU"/>
              </w:rPr>
              <w:t>Number of proposed Level 2 services</w:t>
            </w:r>
            <w:r>
              <w:rPr>
                <w:lang w:eastAsia="en-AU"/>
              </w:rPr>
              <w:t xml:space="preserve"> (initial testing)</w:t>
            </w:r>
          </w:p>
        </w:tc>
        <w:tc>
          <w:tcPr>
            <w:tcW w:w="605" w:type="pct"/>
            <w:shd w:val="clear" w:color="auto" w:fill="auto"/>
            <w:noWrap/>
            <w:hideMark/>
          </w:tcPr>
          <w:p w14:paraId="78C09DF3" w14:textId="77777777" w:rsidR="005E1CA4" w:rsidRPr="00C80414" w:rsidRDefault="005E1CA4" w:rsidP="000A427B">
            <w:pPr>
              <w:pStyle w:val="TableText"/>
              <w:jc w:val="right"/>
              <w:rPr>
                <w:lang w:eastAsia="en-AU"/>
              </w:rPr>
            </w:pPr>
            <w:r w:rsidRPr="00C80414">
              <w:rPr>
                <w:lang w:eastAsia="en-AU"/>
              </w:rPr>
              <w:t>3,089</w:t>
            </w:r>
          </w:p>
        </w:tc>
        <w:tc>
          <w:tcPr>
            <w:tcW w:w="606" w:type="pct"/>
            <w:gridSpan w:val="6"/>
            <w:shd w:val="clear" w:color="auto" w:fill="auto"/>
            <w:noWrap/>
            <w:hideMark/>
          </w:tcPr>
          <w:p w14:paraId="10787BBA" w14:textId="77777777" w:rsidR="005E1CA4" w:rsidRPr="00C80414" w:rsidRDefault="005E1CA4" w:rsidP="000A427B">
            <w:pPr>
              <w:pStyle w:val="TableText"/>
              <w:jc w:val="right"/>
              <w:rPr>
                <w:lang w:eastAsia="en-AU"/>
              </w:rPr>
            </w:pPr>
            <w:r w:rsidRPr="00C80414">
              <w:rPr>
                <w:lang w:eastAsia="en-AU"/>
              </w:rPr>
              <w:t>3,552</w:t>
            </w:r>
          </w:p>
        </w:tc>
        <w:tc>
          <w:tcPr>
            <w:tcW w:w="608" w:type="pct"/>
            <w:shd w:val="clear" w:color="auto" w:fill="auto"/>
            <w:noWrap/>
            <w:hideMark/>
          </w:tcPr>
          <w:p w14:paraId="792F3934" w14:textId="77777777" w:rsidR="005E1CA4" w:rsidRPr="00C80414" w:rsidRDefault="005E1CA4" w:rsidP="000A427B">
            <w:pPr>
              <w:pStyle w:val="TableText"/>
              <w:jc w:val="right"/>
              <w:rPr>
                <w:lang w:eastAsia="en-AU"/>
              </w:rPr>
            </w:pPr>
            <w:r w:rsidRPr="00C80414">
              <w:rPr>
                <w:lang w:eastAsia="en-AU"/>
              </w:rPr>
              <w:t>4,085</w:t>
            </w:r>
          </w:p>
        </w:tc>
        <w:tc>
          <w:tcPr>
            <w:tcW w:w="606" w:type="pct"/>
            <w:shd w:val="clear" w:color="auto" w:fill="auto"/>
            <w:noWrap/>
            <w:hideMark/>
          </w:tcPr>
          <w:p w14:paraId="23B2674B" w14:textId="77777777" w:rsidR="005E1CA4" w:rsidRPr="00C80414" w:rsidRDefault="005E1CA4" w:rsidP="000A427B">
            <w:pPr>
              <w:pStyle w:val="TableText"/>
              <w:jc w:val="right"/>
              <w:rPr>
                <w:lang w:eastAsia="en-AU"/>
              </w:rPr>
            </w:pPr>
            <w:r w:rsidRPr="00C80414">
              <w:rPr>
                <w:lang w:eastAsia="en-AU"/>
              </w:rPr>
              <w:t>4,698</w:t>
            </w:r>
          </w:p>
        </w:tc>
        <w:tc>
          <w:tcPr>
            <w:tcW w:w="606" w:type="pct"/>
            <w:shd w:val="clear" w:color="auto" w:fill="auto"/>
            <w:noWrap/>
            <w:hideMark/>
          </w:tcPr>
          <w:p w14:paraId="0E317533" w14:textId="77777777" w:rsidR="005E1CA4" w:rsidRPr="00C80414" w:rsidRDefault="005E1CA4" w:rsidP="000A427B">
            <w:pPr>
              <w:pStyle w:val="TableText"/>
              <w:jc w:val="right"/>
              <w:rPr>
                <w:lang w:eastAsia="en-AU"/>
              </w:rPr>
            </w:pPr>
            <w:r w:rsidRPr="00C80414">
              <w:rPr>
                <w:lang w:eastAsia="en-AU"/>
              </w:rPr>
              <w:t>5,402</w:t>
            </w:r>
          </w:p>
        </w:tc>
        <w:tc>
          <w:tcPr>
            <w:tcW w:w="605" w:type="pct"/>
            <w:shd w:val="clear" w:color="auto" w:fill="auto"/>
            <w:noWrap/>
            <w:hideMark/>
          </w:tcPr>
          <w:p w14:paraId="1A69EDE9" w14:textId="77777777" w:rsidR="005E1CA4" w:rsidRPr="00C80414" w:rsidRDefault="005E1CA4" w:rsidP="000A427B">
            <w:pPr>
              <w:pStyle w:val="TableText"/>
              <w:jc w:val="right"/>
              <w:rPr>
                <w:lang w:eastAsia="en-AU"/>
              </w:rPr>
            </w:pPr>
            <w:r w:rsidRPr="00C80414">
              <w:rPr>
                <w:lang w:eastAsia="en-AU"/>
              </w:rPr>
              <w:t>6,213</w:t>
            </w:r>
          </w:p>
        </w:tc>
      </w:tr>
      <w:tr w:rsidR="005E1CA4" w:rsidRPr="00C80414" w14:paraId="4DFF9AAC" w14:textId="77777777" w:rsidTr="000A427B">
        <w:trPr>
          <w:trHeight w:val="290"/>
        </w:trPr>
        <w:tc>
          <w:tcPr>
            <w:tcW w:w="1364" w:type="pct"/>
            <w:shd w:val="clear" w:color="auto" w:fill="auto"/>
            <w:vAlign w:val="bottom"/>
            <w:hideMark/>
          </w:tcPr>
          <w:p w14:paraId="53A21327" w14:textId="77777777" w:rsidR="005E1CA4" w:rsidRPr="00C80414" w:rsidRDefault="005E1CA4" w:rsidP="000A427B">
            <w:pPr>
              <w:pStyle w:val="TableText"/>
              <w:rPr>
                <w:lang w:eastAsia="en-AU"/>
              </w:rPr>
            </w:pPr>
            <w:r w:rsidRPr="00C80414">
              <w:rPr>
                <w:lang w:eastAsia="en-AU"/>
              </w:rPr>
              <w:t xml:space="preserve">Growth </w:t>
            </w:r>
            <w:r>
              <w:rPr>
                <w:lang w:eastAsia="en-AU"/>
              </w:rPr>
              <w:t xml:space="preserve">in Level 2 services </w:t>
            </w:r>
            <w:r w:rsidRPr="00C80414">
              <w:rPr>
                <w:lang w:eastAsia="en-AU"/>
              </w:rPr>
              <w:t>per year</w:t>
            </w:r>
          </w:p>
        </w:tc>
        <w:tc>
          <w:tcPr>
            <w:tcW w:w="605" w:type="pct"/>
            <w:shd w:val="clear" w:color="auto" w:fill="auto"/>
            <w:noWrap/>
            <w:hideMark/>
          </w:tcPr>
          <w:p w14:paraId="0BC5A932" w14:textId="77777777" w:rsidR="005E1CA4" w:rsidRPr="00C80414" w:rsidRDefault="005E1CA4" w:rsidP="000A427B">
            <w:pPr>
              <w:pStyle w:val="TableText"/>
              <w:jc w:val="right"/>
              <w:rPr>
                <w:lang w:eastAsia="en-AU"/>
              </w:rPr>
            </w:pPr>
            <w:r w:rsidRPr="00C80414">
              <w:rPr>
                <w:lang w:eastAsia="en-AU"/>
              </w:rPr>
              <w:t>15%</w:t>
            </w:r>
          </w:p>
        </w:tc>
        <w:tc>
          <w:tcPr>
            <w:tcW w:w="606" w:type="pct"/>
            <w:gridSpan w:val="6"/>
            <w:shd w:val="clear" w:color="auto" w:fill="auto"/>
            <w:noWrap/>
            <w:hideMark/>
          </w:tcPr>
          <w:p w14:paraId="38F89777" w14:textId="77777777" w:rsidR="005E1CA4" w:rsidRPr="00C80414" w:rsidRDefault="005E1CA4" w:rsidP="000A427B">
            <w:pPr>
              <w:pStyle w:val="TableText"/>
              <w:jc w:val="right"/>
              <w:rPr>
                <w:lang w:eastAsia="en-AU"/>
              </w:rPr>
            </w:pPr>
            <w:r w:rsidRPr="00C80414">
              <w:rPr>
                <w:lang w:eastAsia="en-AU"/>
              </w:rPr>
              <w:t>15%</w:t>
            </w:r>
          </w:p>
        </w:tc>
        <w:tc>
          <w:tcPr>
            <w:tcW w:w="608" w:type="pct"/>
            <w:shd w:val="clear" w:color="auto" w:fill="auto"/>
            <w:noWrap/>
            <w:hideMark/>
          </w:tcPr>
          <w:p w14:paraId="33D781D4" w14:textId="77777777" w:rsidR="005E1CA4" w:rsidRPr="00C80414" w:rsidRDefault="005E1CA4" w:rsidP="000A427B">
            <w:pPr>
              <w:pStyle w:val="TableText"/>
              <w:jc w:val="right"/>
              <w:rPr>
                <w:lang w:eastAsia="en-AU"/>
              </w:rPr>
            </w:pPr>
            <w:r w:rsidRPr="00C80414">
              <w:rPr>
                <w:lang w:eastAsia="en-AU"/>
              </w:rPr>
              <w:t>15%</w:t>
            </w:r>
          </w:p>
        </w:tc>
        <w:tc>
          <w:tcPr>
            <w:tcW w:w="606" w:type="pct"/>
            <w:shd w:val="clear" w:color="auto" w:fill="auto"/>
            <w:noWrap/>
            <w:hideMark/>
          </w:tcPr>
          <w:p w14:paraId="6D9C746F" w14:textId="77777777" w:rsidR="005E1CA4" w:rsidRPr="00C80414" w:rsidRDefault="005E1CA4" w:rsidP="000A427B">
            <w:pPr>
              <w:pStyle w:val="TableText"/>
              <w:jc w:val="right"/>
              <w:rPr>
                <w:lang w:eastAsia="en-AU"/>
              </w:rPr>
            </w:pPr>
            <w:r w:rsidRPr="00C80414">
              <w:rPr>
                <w:lang w:eastAsia="en-AU"/>
              </w:rPr>
              <w:t>15%</w:t>
            </w:r>
          </w:p>
        </w:tc>
        <w:tc>
          <w:tcPr>
            <w:tcW w:w="606" w:type="pct"/>
            <w:shd w:val="clear" w:color="auto" w:fill="auto"/>
            <w:noWrap/>
            <w:hideMark/>
          </w:tcPr>
          <w:p w14:paraId="262BBF09" w14:textId="77777777" w:rsidR="005E1CA4" w:rsidRPr="00C80414" w:rsidRDefault="005E1CA4" w:rsidP="000A427B">
            <w:pPr>
              <w:pStyle w:val="TableText"/>
              <w:jc w:val="right"/>
              <w:rPr>
                <w:lang w:eastAsia="en-AU"/>
              </w:rPr>
            </w:pPr>
            <w:r w:rsidRPr="00C80414">
              <w:rPr>
                <w:lang w:eastAsia="en-AU"/>
              </w:rPr>
              <w:t>15%</w:t>
            </w:r>
          </w:p>
        </w:tc>
        <w:tc>
          <w:tcPr>
            <w:tcW w:w="605" w:type="pct"/>
            <w:shd w:val="clear" w:color="auto" w:fill="auto"/>
            <w:noWrap/>
            <w:hideMark/>
          </w:tcPr>
          <w:p w14:paraId="774C87B8" w14:textId="77777777" w:rsidR="005E1CA4" w:rsidRPr="00C80414" w:rsidRDefault="005E1CA4" w:rsidP="000A427B">
            <w:pPr>
              <w:pStyle w:val="TableText"/>
              <w:jc w:val="right"/>
              <w:rPr>
                <w:lang w:eastAsia="en-AU"/>
              </w:rPr>
            </w:pPr>
            <w:r w:rsidRPr="00C80414">
              <w:rPr>
                <w:lang w:eastAsia="en-AU"/>
              </w:rPr>
              <w:t>15%</w:t>
            </w:r>
          </w:p>
        </w:tc>
      </w:tr>
      <w:tr w:rsidR="005E1CA4" w:rsidRPr="00C80414" w14:paraId="5D1E3EEA" w14:textId="77777777" w:rsidTr="000A427B">
        <w:trPr>
          <w:trHeight w:val="60"/>
        </w:trPr>
        <w:tc>
          <w:tcPr>
            <w:tcW w:w="1364" w:type="pct"/>
            <w:tcBorders>
              <w:bottom w:val="single" w:sz="4" w:space="0" w:color="auto"/>
            </w:tcBorders>
            <w:shd w:val="clear" w:color="auto" w:fill="auto"/>
            <w:vAlign w:val="bottom"/>
            <w:hideMark/>
          </w:tcPr>
          <w:p w14:paraId="61DDAA00" w14:textId="77777777" w:rsidR="005E1CA4" w:rsidRPr="00C80414" w:rsidRDefault="005E1CA4" w:rsidP="000A427B">
            <w:pPr>
              <w:pStyle w:val="TableText"/>
              <w:rPr>
                <w:lang w:eastAsia="en-AU"/>
              </w:rPr>
            </w:pPr>
            <w:r w:rsidRPr="00C80414">
              <w:rPr>
                <w:lang w:eastAsia="en-AU"/>
              </w:rPr>
              <w:t xml:space="preserve">Total cost to the MBS </w:t>
            </w:r>
            <w:r>
              <w:rPr>
                <w:lang w:eastAsia="en-AU"/>
              </w:rPr>
              <w:t>of proposed Level 2 services</w:t>
            </w:r>
          </w:p>
        </w:tc>
        <w:tc>
          <w:tcPr>
            <w:tcW w:w="605" w:type="pct"/>
            <w:tcBorders>
              <w:bottom w:val="single" w:sz="4" w:space="0" w:color="auto"/>
            </w:tcBorders>
            <w:shd w:val="clear" w:color="auto" w:fill="auto"/>
            <w:noWrap/>
            <w:hideMark/>
          </w:tcPr>
          <w:p w14:paraId="0FCFA2F6" w14:textId="77777777" w:rsidR="005E1CA4" w:rsidRPr="00C80414" w:rsidRDefault="005E1CA4" w:rsidP="000A427B">
            <w:pPr>
              <w:pStyle w:val="TableText"/>
              <w:jc w:val="right"/>
              <w:rPr>
                <w:lang w:eastAsia="en-AU"/>
              </w:rPr>
            </w:pPr>
            <w:r w:rsidRPr="005F577F">
              <w:t>$1,067,964</w:t>
            </w:r>
          </w:p>
        </w:tc>
        <w:tc>
          <w:tcPr>
            <w:tcW w:w="606" w:type="pct"/>
            <w:gridSpan w:val="6"/>
            <w:tcBorders>
              <w:bottom w:val="single" w:sz="4" w:space="0" w:color="auto"/>
            </w:tcBorders>
            <w:shd w:val="clear" w:color="auto" w:fill="auto"/>
            <w:noWrap/>
            <w:hideMark/>
          </w:tcPr>
          <w:p w14:paraId="2BAB6C7E" w14:textId="77777777" w:rsidR="005E1CA4" w:rsidRPr="00C80414" w:rsidRDefault="005E1CA4" w:rsidP="000A427B">
            <w:pPr>
              <w:pStyle w:val="TableText"/>
              <w:jc w:val="right"/>
              <w:rPr>
                <w:lang w:eastAsia="en-AU"/>
              </w:rPr>
            </w:pPr>
            <w:r w:rsidRPr="005F577F">
              <w:t>$1,228,159</w:t>
            </w:r>
          </w:p>
        </w:tc>
        <w:tc>
          <w:tcPr>
            <w:tcW w:w="608" w:type="pct"/>
            <w:tcBorders>
              <w:bottom w:val="single" w:sz="4" w:space="0" w:color="auto"/>
            </w:tcBorders>
            <w:shd w:val="clear" w:color="auto" w:fill="auto"/>
            <w:noWrap/>
            <w:hideMark/>
          </w:tcPr>
          <w:p w14:paraId="6A6DEF4B" w14:textId="77777777" w:rsidR="005E1CA4" w:rsidRPr="00C80414" w:rsidRDefault="005E1CA4" w:rsidP="000A427B">
            <w:pPr>
              <w:pStyle w:val="TableText"/>
              <w:jc w:val="right"/>
              <w:rPr>
                <w:lang w:eastAsia="en-AU"/>
              </w:rPr>
            </w:pPr>
            <w:r w:rsidRPr="005F577F">
              <w:t>$1,412,382</w:t>
            </w:r>
          </w:p>
        </w:tc>
        <w:tc>
          <w:tcPr>
            <w:tcW w:w="606" w:type="pct"/>
            <w:tcBorders>
              <w:bottom w:val="single" w:sz="4" w:space="0" w:color="auto"/>
            </w:tcBorders>
            <w:shd w:val="clear" w:color="auto" w:fill="auto"/>
            <w:noWrap/>
            <w:hideMark/>
          </w:tcPr>
          <w:p w14:paraId="16820211" w14:textId="77777777" w:rsidR="005E1CA4" w:rsidRPr="00C80414" w:rsidRDefault="005E1CA4" w:rsidP="000A427B">
            <w:pPr>
              <w:pStyle w:val="TableText"/>
              <w:jc w:val="right"/>
              <w:rPr>
                <w:lang w:eastAsia="en-AU"/>
              </w:rPr>
            </w:pPr>
            <w:r w:rsidRPr="005F577F">
              <w:t>$1,624,240</w:t>
            </w:r>
          </w:p>
        </w:tc>
        <w:tc>
          <w:tcPr>
            <w:tcW w:w="606" w:type="pct"/>
            <w:tcBorders>
              <w:bottom w:val="single" w:sz="4" w:space="0" w:color="auto"/>
            </w:tcBorders>
            <w:shd w:val="clear" w:color="auto" w:fill="auto"/>
            <w:noWrap/>
            <w:hideMark/>
          </w:tcPr>
          <w:p w14:paraId="1495F648" w14:textId="77777777" w:rsidR="005E1CA4" w:rsidRPr="00C80414" w:rsidRDefault="005E1CA4" w:rsidP="000A427B">
            <w:pPr>
              <w:pStyle w:val="TableText"/>
              <w:jc w:val="right"/>
              <w:rPr>
                <w:lang w:eastAsia="en-AU"/>
              </w:rPr>
            </w:pPr>
            <w:r w:rsidRPr="005F577F">
              <w:t>$1,867,876</w:t>
            </w:r>
          </w:p>
        </w:tc>
        <w:tc>
          <w:tcPr>
            <w:tcW w:w="605" w:type="pct"/>
            <w:tcBorders>
              <w:bottom w:val="single" w:sz="4" w:space="0" w:color="auto"/>
            </w:tcBorders>
            <w:shd w:val="clear" w:color="auto" w:fill="auto"/>
            <w:noWrap/>
            <w:hideMark/>
          </w:tcPr>
          <w:p w14:paraId="5815F329" w14:textId="77777777" w:rsidR="005E1CA4" w:rsidRPr="00C80414" w:rsidRDefault="005E1CA4" w:rsidP="000A427B">
            <w:pPr>
              <w:pStyle w:val="TableText"/>
              <w:jc w:val="right"/>
              <w:rPr>
                <w:lang w:eastAsia="en-AU"/>
              </w:rPr>
            </w:pPr>
            <w:r w:rsidRPr="005F577F">
              <w:t>$2,148,057</w:t>
            </w:r>
          </w:p>
        </w:tc>
      </w:tr>
      <w:tr w:rsidR="005E1CA4" w:rsidRPr="00C80414" w14:paraId="79A6B645" w14:textId="77777777" w:rsidTr="000A427B">
        <w:trPr>
          <w:trHeight w:val="355"/>
        </w:trPr>
        <w:tc>
          <w:tcPr>
            <w:tcW w:w="1969" w:type="pct"/>
            <w:gridSpan w:val="2"/>
            <w:tcBorders>
              <w:right w:val="nil"/>
            </w:tcBorders>
            <w:shd w:val="clear" w:color="auto" w:fill="auto"/>
            <w:vAlign w:val="bottom"/>
            <w:hideMark/>
          </w:tcPr>
          <w:p w14:paraId="6C607ABC" w14:textId="77777777" w:rsidR="005E1CA4" w:rsidRPr="00C80414" w:rsidRDefault="005E1CA4" w:rsidP="000A427B">
            <w:pPr>
              <w:pStyle w:val="TableHeading0"/>
              <w:rPr>
                <w:lang w:eastAsia="en-AU"/>
              </w:rPr>
            </w:pPr>
            <w:r w:rsidRPr="00C80414">
              <w:rPr>
                <w:lang w:eastAsia="en-AU"/>
              </w:rPr>
              <w:t xml:space="preserve">Change in use and cost of other </w:t>
            </w:r>
            <w:r>
              <w:rPr>
                <w:lang w:eastAsia="en-AU"/>
              </w:rPr>
              <w:t>services</w:t>
            </w:r>
          </w:p>
        </w:tc>
        <w:tc>
          <w:tcPr>
            <w:tcW w:w="228" w:type="pct"/>
            <w:gridSpan w:val="2"/>
            <w:tcBorders>
              <w:left w:val="nil"/>
              <w:right w:val="nil"/>
            </w:tcBorders>
            <w:shd w:val="clear" w:color="auto" w:fill="auto"/>
            <w:noWrap/>
            <w:hideMark/>
          </w:tcPr>
          <w:p w14:paraId="4C51756F" w14:textId="77777777" w:rsidR="005E1CA4" w:rsidRPr="00C80414" w:rsidRDefault="005E1CA4" w:rsidP="000A427B">
            <w:pPr>
              <w:pStyle w:val="TableHeading0"/>
              <w:jc w:val="right"/>
              <w:rPr>
                <w:lang w:eastAsia="en-AU"/>
              </w:rPr>
            </w:pPr>
          </w:p>
        </w:tc>
        <w:tc>
          <w:tcPr>
            <w:tcW w:w="378" w:type="pct"/>
            <w:gridSpan w:val="4"/>
            <w:tcBorders>
              <w:left w:val="nil"/>
              <w:right w:val="nil"/>
            </w:tcBorders>
            <w:shd w:val="clear" w:color="auto" w:fill="auto"/>
            <w:noWrap/>
            <w:hideMark/>
          </w:tcPr>
          <w:p w14:paraId="6C12F5F8" w14:textId="77777777" w:rsidR="005E1CA4" w:rsidRPr="00C80414" w:rsidRDefault="005E1CA4" w:rsidP="000A427B">
            <w:pPr>
              <w:pStyle w:val="TableHeading0"/>
              <w:jc w:val="right"/>
              <w:rPr>
                <w:rFonts w:ascii="Times New Roman" w:hAnsi="Times New Roman" w:cs="Times New Roman"/>
                <w:szCs w:val="20"/>
                <w:lang w:eastAsia="en-AU"/>
              </w:rPr>
            </w:pPr>
          </w:p>
        </w:tc>
        <w:tc>
          <w:tcPr>
            <w:tcW w:w="608" w:type="pct"/>
            <w:tcBorders>
              <w:left w:val="nil"/>
              <w:right w:val="nil"/>
            </w:tcBorders>
            <w:shd w:val="clear" w:color="auto" w:fill="auto"/>
            <w:noWrap/>
            <w:hideMark/>
          </w:tcPr>
          <w:p w14:paraId="2E731259" w14:textId="77777777" w:rsidR="005E1CA4" w:rsidRPr="00C80414" w:rsidRDefault="005E1CA4" w:rsidP="000A427B">
            <w:pPr>
              <w:pStyle w:val="TableHeading0"/>
              <w:jc w:val="right"/>
              <w:rPr>
                <w:rFonts w:ascii="Times New Roman" w:hAnsi="Times New Roman" w:cs="Times New Roman"/>
                <w:szCs w:val="20"/>
                <w:lang w:eastAsia="en-AU"/>
              </w:rPr>
            </w:pPr>
          </w:p>
        </w:tc>
        <w:tc>
          <w:tcPr>
            <w:tcW w:w="606" w:type="pct"/>
            <w:tcBorders>
              <w:left w:val="nil"/>
              <w:right w:val="nil"/>
            </w:tcBorders>
            <w:shd w:val="clear" w:color="auto" w:fill="auto"/>
            <w:noWrap/>
            <w:hideMark/>
          </w:tcPr>
          <w:p w14:paraId="0F939F80" w14:textId="77777777" w:rsidR="005E1CA4" w:rsidRPr="00C80414" w:rsidRDefault="005E1CA4" w:rsidP="000A427B">
            <w:pPr>
              <w:pStyle w:val="TableHeading0"/>
              <w:jc w:val="right"/>
              <w:rPr>
                <w:rFonts w:ascii="Times New Roman" w:hAnsi="Times New Roman" w:cs="Times New Roman"/>
                <w:szCs w:val="20"/>
                <w:lang w:eastAsia="en-AU"/>
              </w:rPr>
            </w:pPr>
          </w:p>
        </w:tc>
        <w:tc>
          <w:tcPr>
            <w:tcW w:w="606" w:type="pct"/>
            <w:tcBorders>
              <w:left w:val="nil"/>
              <w:right w:val="nil"/>
            </w:tcBorders>
            <w:shd w:val="clear" w:color="auto" w:fill="auto"/>
            <w:noWrap/>
            <w:hideMark/>
          </w:tcPr>
          <w:p w14:paraId="2D5AA9B3" w14:textId="77777777" w:rsidR="005E1CA4" w:rsidRPr="00C80414" w:rsidRDefault="005E1CA4" w:rsidP="000A427B">
            <w:pPr>
              <w:pStyle w:val="TableHeading0"/>
              <w:jc w:val="right"/>
              <w:rPr>
                <w:rFonts w:ascii="Times New Roman" w:hAnsi="Times New Roman" w:cs="Times New Roman"/>
                <w:szCs w:val="20"/>
                <w:lang w:eastAsia="en-AU"/>
              </w:rPr>
            </w:pPr>
          </w:p>
        </w:tc>
        <w:tc>
          <w:tcPr>
            <w:tcW w:w="605" w:type="pct"/>
            <w:tcBorders>
              <w:left w:val="nil"/>
            </w:tcBorders>
            <w:shd w:val="clear" w:color="auto" w:fill="auto"/>
            <w:noWrap/>
            <w:hideMark/>
          </w:tcPr>
          <w:p w14:paraId="0A2CF459" w14:textId="77777777" w:rsidR="005E1CA4" w:rsidRPr="00C80414" w:rsidRDefault="005E1CA4" w:rsidP="000A427B">
            <w:pPr>
              <w:pStyle w:val="TableHeading0"/>
              <w:jc w:val="right"/>
              <w:rPr>
                <w:rFonts w:ascii="Times New Roman" w:hAnsi="Times New Roman" w:cs="Times New Roman"/>
                <w:szCs w:val="20"/>
                <w:lang w:eastAsia="en-AU"/>
              </w:rPr>
            </w:pPr>
          </w:p>
        </w:tc>
      </w:tr>
      <w:tr w:rsidR="005E1CA4" w:rsidRPr="00C80414" w14:paraId="4C91EAEB" w14:textId="77777777" w:rsidTr="000A427B">
        <w:trPr>
          <w:trHeight w:val="290"/>
        </w:trPr>
        <w:tc>
          <w:tcPr>
            <w:tcW w:w="1364" w:type="pct"/>
            <w:shd w:val="clear" w:color="auto" w:fill="auto"/>
            <w:vAlign w:val="bottom"/>
            <w:hideMark/>
          </w:tcPr>
          <w:p w14:paraId="0BAB8143" w14:textId="77777777" w:rsidR="005E1CA4" w:rsidRPr="00C80414" w:rsidRDefault="005E1CA4" w:rsidP="000A427B">
            <w:pPr>
              <w:pStyle w:val="TableText"/>
              <w:rPr>
                <w:lang w:eastAsia="en-AU"/>
              </w:rPr>
            </w:pPr>
            <w:r w:rsidRPr="00C80414">
              <w:rPr>
                <w:lang w:eastAsia="en-AU"/>
              </w:rPr>
              <w:t>Substitution of Level 1 services</w:t>
            </w:r>
          </w:p>
        </w:tc>
        <w:tc>
          <w:tcPr>
            <w:tcW w:w="605" w:type="pct"/>
            <w:shd w:val="clear" w:color="auto" w:fill="auto"/>
            <w:noWrap/>
            <w:hideMark/>
          </w:tcPr>
          <w:p w14:paraId="4D8A951F" w14:textId="77777777" w:rsidR="005E1CA4" w:rsidRPr="00C80414" w:rsidRDefault="005E1CA4" w:rsidP="000A427B">
            <w:pPr>
              <w:pStyle w:val="TableText"/>
              <w:jc w:val="right"/>
              <w:rPr>
                <w:lang w:eastAsia="en-AU"/>
              </w:rPr>
            </w:pPr>
            <w:r w:rsidRPr="00C80414">
              <w:rPr>
                <w:lang w:eastAsia="en-AU"/>
              </w:rPr>
              <w:t>-2,780</w:t>
            </w:r>
          </w:p>
        </w:tc>
        <w:tc>
          <w:tcPr>
            <w:tcW w:w="606" w:type="pct"/>
            <w:gridSpan w:val="6"/>
            <w:shd w:val="clear" w:color="auto" w:fill="auto"/>
            <w:noWrap/>
            <w:hideMark/>
          </w:tcPr>
          <w:p w14:paraId="58879F6D" w14:textId="77777777" w:rsidR="005E1CA4" w:rsidRPr="00C80414" w:rsidRDefault="005E1CA4" w:rsidP="000A427B">
            <w:pPr>
              <w:pStyle w:val="TableText"/>
              <w:jc w:val="right"/>
              <w:rPr>
                <w:lang w:eastAsia="en-AU"/>
              </w:rPr>
            </w:pPr>
            <w:r w:rsidRPr="00C80414">
              <w:rPr>
                <w:lang w:eastAsia="en-AU"/>
              </w:rPr>
              <w:t>-2,919</w:t>
            </w:r>
          </w:p>
        </w:tc>
        <w:tc>
          <w:tcPr>
            <w:tcW w:w="608" w:type="pct"/>
            <w:shd w:val="clear" w:color="auto" w:fill="auto"/>
            <w:noWrap/>
            <w:hideMark/>
          </w:tcPr>
          <w:p w14:paraId="65FBF847" w14:textId="77777777" w:rsidR="005E1CA4" w:rsidRPr="00C80414" w:rsidRDefault="005E1CA4" w:rsidP="000A427B">
            <w:pPr>
              <w:pStyle w:val="TableText"/>
              <w:jc w:val="right"/>
              <w:rPr>
                <w:lang w:eastAsia="en-AU"/>
              </w:rPr>
            </w:pPr>
            <w:r w:rsidRPr="00C80414">
              <w:rPr>
                <w:lang w:eastAsia="en-AU"/>
              </w:rPr>
              <w:t>-3,065</w:t>
            </w:r>
          </w:p>
        </w:tc>
        <w:tc>
          <w:tcPr>
            <w:tcW w:w="606" w:type="pct"/>
            <w:shd w:val="clear" w:color="auto" w:fill="auto"/>
            <w:noWrap/>
            <w:hideMark/>
          </w:tcPr>
          <w:p w14:paraId="0E70BA46" w14:textId="77777777" w:rsidR="005E1CA4" w:rsidRPr="00C80414" w:rsidRDefault="005E1CA4" w:rsidP="000A427B">
            <w:pPr>
              <w:pStyle w:val="TableText"/>
              <w:jc w:val="right"/>
              <w:rPr>
                <w:lang w:eastAsia="en-AU"/>
              </w:rPr>
            </w:pPr>
            <w:r w:rsidRPr="00C80414">
              <w:rPr>
                <w:lang w:eastAsia="en-AU"/>
              </w:rPr>
              <w:t>-3,218</w:t>
            </w:r>
          </w:p>
        </w:tc>
        <w:tc>
          <w:tcPr>
            <w:tcW w:w="606" w:type="pct"/>
            <w:shd w:val="clear" w:color="auto" w:fill="auto"/>
            <w:noWrap/>
            <w:hideMark/>
          </w:tcPr>
          <w:p w14:paraId="15A6DA49" w14:textId="77777777" w:rsidR="005E1CA4" w:rsidRPr="00C80414" w:rsidRDefault="005E1CA4" w:rsidP="000A427B">
            <w:pPr>
              <w:pStyle w:val="TableText"/>
              <w:jc w:val="right"/>
              <w:rPr>
                <w:lang w:eastAsia="en-AU"/>
              </w:rPr>
            </w:pPr>
            <w:r w:rsidRPr="00C80414">
              <w:rPr>
                <w:lang w:eastAsia="en-AU"/>
              </w:rPr>
              <w:t>-3,379</w:t>
            </w:r>
          </w:p>
        </w:tc>
        <w:tc>
          <w:tcPr>
            <w:tcW w:w="605" w:type="pct"/>
            <w:shd w:val="clear" w:color="auto" w:fill="auto"/>
            <w:noWrap/>
            <w:hideMark/>
          </w:tcPr>
          <w:p w14:paraId="3D10E79B" w14:textId="77777777" w:rsidR="005E1CA4" w:rsidRPr="00C80414" w:rsidRDefault="005E1CA4" w:rsidP="000A427B">
            <w:pPr>
              <w:pStyle w:val="TableText"/>
              <w:jc w:val="right"/>
              <w:rPr>
                <w:lang w:eastAsia="en-AU"/>
              </w:rPr>
            </w:pPr>
            <w:r w:rsidRPr="00C80414">
              <w:rPr>
                <w:lang w:eastAsia="en-AU"/>
              </w:rPr>
              <w:t>-3,548</w:t>
            </w:r>
          </w:p>
        </w:tc>
      </w:tr>
      <w:tr w:rsidR="005E1CA4" w:rsidRPr="00C80414" w14:paraId="52F2A800" w14:textId="77777777" w:rsidTr="000A427B">
        <w:trPr>
          <w:trHeight w:val="290"/>
        </w:trPr>
        <w:tc>
          <w:tcPr>
            <w:tcW w:w="1364" w:type="pct"/>
            <w:shd w:val="clear" w:color="auto" w:fill="auto"/>
            <w:vAlign w:val="bottom"/>
            <w:hideMark/>
          </w:tcPr>
          <w:p w14:paraId="14EE0966" w14:textId="77777777" w:rsidR="005E1CA4" w:rsidRPr="00C80414" w:rsidRDefault="005E1CA4" w:rsidP="000A427B">
            <w:pPr>
              <w:pStyle w:val="TableText"/>
              <w:rPr>
                <w:lang w:eastAsia="en-AU"/>
              </w:rPr>
            </w:pPr>
            <w:r w:rsidRPr="00C80414">
              <w:rPr>
                <w:lang w:eastAsia="en-AU"/>
              </w:rPr>
              <w:t xml:space="preserve">Growth </w:t>
            </w:r>
            <w:r>
              <w:rPr>
                <w:lang w:eastAsia="en-AU"/>
              </w:rPr>
              <w:t xml:space="preserve">in Level 1 services </w:t>
            </w:r>
            <w:r w:rsidRPr="00C80414">
              <w:rPr>
                <w:lang w:eastAsia="en-AU"/>
              </w:rPr>
              <w:t>per year</w:t>
            </w:r>
          </w:p>
        </w:tc>
        <w:tc>
          <w:tcPr>
            <w:tcW w:w="605" w:type="pct"/>
            <w:shd w:val="clear" w:color="auto" w:fill="auto"/>
            <w:noWrap/>
            <w:hideMark/>
          </w:tcPr>
          <w:p w14:paraId="0AEB413C" w14:textId="77777777" w:rsidR="005E1CA4" w:rsidRPr="00C80414" w:rsidRDefault="005E1CA4" w:rsidP="000A427B">
            <w:pPr>
              <w:pStyle w:val="TableText"/>
              <w:jc w:val="right"/>
              <w:rPr>
                <w:lang w:eastAsia="en-AU"/>
              </w:rPr>
            </w:pPr>
            <w:r w:rsidRPr="00C80414">
              <w:rPr>
                <w:lang w:eastAsia="en-AU"/>
              </w:rPr>
              <w:t>5%</w:t>
            </w:r>
          </w:p>
        </w:tc>
        <w:tc>
          <w:tcPr>
            <w:tcW w:w="606" w:type="pct"/>
            <w:gridSpan w:val="6"/>
            <w:shd w:val="clear" w:color="auto" w:fill="auto"/>
            <w:noWrap/>
            <w:hideMark/>
          </w:tcPr>
          <w:p w14:paraId="7E325098" w14:textId="77777777" w:rsidR="005E1CA4" w:rsidRPr="00C80414" w:rsidRDefault="005E1CA4" w:rsidP="000A427B">
            <w:pPr>
              <w:pStyle w:val="TableText"/>
              <w:jc w:val="right"/>
              <w:rPr>
                <w:lang w:eastAsia="en-AU"/>
              </w:rPr>
            </w:pPr>
            <w:r w:rsidRPr="00C80414">
              <w:rPr>
                <w:lang w:eastAsia="en-AU"/>
              </w:rPr>
              <w:t>5%</w:t>
            </w:r>
          </w:p>
        </w:tc>
        <w:tc>
          <w:tcPr>
            <w:tcW w:w="608" w:type="pct"/>
            <w:shd w:val="clear" w:color="auto" w:fill="auto"/>
            <w:noWrap/>
            <w:hideMark/>
          </w:tcPr>
          <w:p w14:paraId="6B4AC117" w14:textId="77777777" w:rsidR="005E1CA4" w:rsidRPr="00C80414" w:rsidRDefault="005E1CA4" w:rsidP="000A427B">
            <w:pPr>
              <w:pStyle w:val="TableText"/>
              <w:jc w:val="right"/>
              <w:rPr>
                <w:lang w:eastAsia="en-AU"/>
              </w:rPr>
            </w:pPr>
            <w:r w:rsidRPr="00C80414">
              <w:rPr>
                <w:lang w:eastAsia="en-AU"/>
              </w:rPr>
              <w:t>5%</w:t>
            </w:r>
          </w:p>
        </w:tc>
        <w:tc>
          <w:tcPr>
            <w:tcW w:w="606" w:type="pct"/>
            <w:shd w:val="clear" w:color="auto" w:fill="auto"/>
            <w:noWrap/>
            <w:hideMark/>
          </w:tcPr>
          <w:p w14:paraId="2DDE8286" w14:textId="77777777" w:rsidR="005E1CA4" w:rsidRPr="00C80414" w:rsidRDefault="005E1CA4" w:rsidP="000A427B">
            <w:pPr>
              <w:pStyle w:val="TableText"/>
              <w:jc w:val="right"/>
              <w:rPr>
                <w:lang w:eastAsia="en-AU"/>
              </w:rPr>
            </w:pPr>
            <w:r w:rsidRPr="00C80414">
              <w:rPr>
                <w:lang w:eastAsia="en-AU"/>
              </w:rPr>
              <w:t>5%</w:t>
            </w:r>
          </w:p>
        </w:tc>
        <w:tc>
          <w:tcPr>
            <w:tcW w:w="606" w:type="pct"/>
            <w:shd w:val="clear" w:color="auto" w:fill="auto"/>
            <w:noWrap/>
            <w:hideMark/>
          </w:tcPr>
          <w:p w14:paraId="4C420933" w14:textId="77777777" w:rsidR="005E1CA4" w:rsidRPr="00C80414" w:rsidRDefault="005E1CA4" w:rsidP="000A427B">
            <w:pPr>
              <w:pStyle w:val="TableText"/>
              <w:jc w:val="right"/>
              <w:rPr>
                <w:lang w:eastAsia="en-AU"/>
              </w:rPr>
            </w:pPr>
            <w:r w:rsidRPr="00C80414">
              <w:rPr>
                <w:lang w:eastAsia="en-AU"/>
              </w:rPr>
              <w:t>5%</w:t>
            </w:r>
          </w:p>
        </w:tc>
        <w:tc>
          <w:tcPr>
            <w:tcW w:w="605" w:type="pct"/>
            <w:shd w:val="clear" w:color="auto" w:fill="auto"/>
            <w:noWrap/>
            <w:hideMark/>
          </w:tcPr>
          <w:p w14:paraId="1C67BE0D" w14:textId="77777777" w:rsidR="005E1CA4" w:rsidRPr="00C80414" w:rsidRDefault="005E1CA4" w:rsidP="000A427B">
            <w:pPr>
              <w:pStyle w:val="TableText"/>
              <w:jc w:val="right"/>
              <w:rPr>
                <w:lang w:eastAsia="en-AU"/>
              </w:rPr>
            </w:pPr>
            <w:r w:rsidRPr="00C80414">
              <w:rPr>
                <w:lang w:eastAsia="en-AU"/>
              </w:rPr>
              <w:t>5%</w:t>
            </w:r>
          </w:p>
        </w:tc>
      </w:tr>
      <w:tr w:rsidR="005E1CA4" w:rsidRPr="00C80414" w14:paraId="6CE9A799" w14:textId="77777777" w:rsidTr="000A427B">
        <w:trPr>
          <w:trHeight w:val="329"/>
        </w:trPr>
        <w:tc>
          <w:tcPr>
            <w:tcW w:w="1364" w:type="pct"/>
            <w:tcBorders>
              <w:bottom w:val="single" w:sz="4" w:space="0" w:color="auto"/>
            </w:tcBorders>
            <w:shd w:val="clear" w:color="auto" w:fill="auto"/>
            <w:vAlign w:val="bottom"/>
            <w:hideMark/>
          </w:tcPr>
          <w:p w14:paraId="4223F971" w14:textId="77777777" w:rsidR="005E1CA4" w:rsidRPr="00C80414" w:rsidRDefault="005E1CA4" w:rsidP="000A427B">
            <w:pPr>
              <w:pStyle w:val="TableText"/>
              <w:rPr>
                <w:lang w:eastAsia="en-AU"/>
              </w:rPr>
            </w:pPr>
            <w:r w:rsidRPr="00C80414">
              <w:rPr>
                <w:lang w:eastAsia="en-AU"/>
              </w:rPr>
              <w:lastRenderedPageBreak/>
              <w:t xml:space="preserve">Total saving to the MBS </w:t>
            </w:r>
            <w:r>
              <w:rPr>
                <w:lang w:eastAsia="en-AU"/>
              </w:rPr>
              <w:t>of substituted Level 1 services</w:t>
            </w:r>
          </w:p>
        </w:tc>
        <w:tc>
          <w:tcPr>
            <w:tcW w:w="605" w:type="pct"/>
            <w:tcBorders>
              <w:bottom w:val="single" w:sz="4" w:space="0" w:color="auto"/>
            </w:tcBorders>
            <w:shd w:val="clear" w:color="auto" w:fill="auto"/>
            <w:noWrap/>
            <w:hideMark/>
          </w:tcPr>
          <w:p w14:paraId="79253E09" w14:textId="77777777" w:rsidR="005E1CA4" w:rsidRPr="00C80414" w:rsidRDefault="005E1CA4" w:rsidP="000A427B">
            <w:pPr>
              <w:pStyle w:val="TableText"/>
              <w:jc w:val="right"/>
              <w:rPr>
                <w:lang w:eastAsia="en-AU"/>
              </w:rPr>
            </w:pPr>
            <w:r w:rsidRPr="005F577F">
              <w:t xml:space="preserve">-$1,680,219 </w:t>
            </w:r>
          </w:p>
        </w:tc>
        <w:tc>
          <w:tcPr>
            <w:tcW w:w="606" w:type="pct"/>
            <w:gridSpan w:val="6"/>
            <w:tcBorders>
              <w:bottom w:val="single" w:sz="4" w:space="0" w:color="auto"/>
            </w:tcBorders>
            <w:shd w:val="clear" w:color="auto" w:fill="auto"/>
            <w:noWrap/>
            <w:hideMark/>
          </w:tcPr>
          <w:p w14:paraId="24C9E53E" w14:textId="77777777" w:rsidR="005E1CA4" w:rsidRPr="00C80414" w:rsidRDefault="005E1CA4" w:rsidP="000A427B">
            <w:pPr>
              <w:pStyle w:val="TableText"/>
              <w:jc w:val="right"/>
              <w:rPr>
                <w:lang w:eastAsia="en-AU"/>
              </w:rPr>
            </w:pPr>
            <w:r w:rsidRPr="005F577F">
              <w:t xml:space="preserve">-$1,764,230 </w:t>
            </w:r>
          </w:p>
        </w:tc>
        <w:tc>
          <w:tcPr>
            <w:tcW w:w="608" w:type="pct"/>
            <w:tcBorders>
              <w:bottom w:val="single" w:sz="4" w:space="0" w:color="auto"/>
            </w:tcBorders>
            <w:shd w:val="clear" w:color="auto" w:fill="auto"/>
            <w:noWrap/>
            <w:hideMark/>
          </w:tcPr>
          <w:p w14:paraId="706C4CAB" w14:textId="77777777" w:rsidR="005E1CA4" w:rsidRPr="00C80414" w:rsidRDefault="005E1CA4" w:rsidP="000A427B">
            <w:pPr>
              <w:pStyle w:val="TableText"/>
              <w:jc w:val="right"/>
              <w:rPr>
                <w:lang w:eastAsia="en-AU"/>
              </w:rPr>
            </w:pPr>
            <w:r w:rsidRPr="005F577F">
              <w:t xml:space="preserve">-$1,852,442 </w:t>
            </w:r>
          </w:p>
        </w:tc>
        <w:tc>
          <w:tcPr>
            <w:tcW w:w="606" w:type="pct"/>
            <w:tcBorders>
              <w:bottom w:val="single" w:sz="4" w:space="0" w:color="auto"/>
            </w:tcBorders>
            <w:shd w:val="clear" w:color="auto" w:fill="auto"/>
            <w:noWrap/>
            <w:hideMark/>
          </w:tcPr>
          <w:p w14:paraId="05C63176" w14:textId="77777777" w:rsidR="005E1CA4" w:rsidRPr="00C80414" w:rsidRDefault="005E1CA4" w:rsidP="000A427B">
            <w:pPr>
              <w:pStyle w:val="TableText"/>
              <w:jc w:val="right"/>
              <w:rPr>
                <w:lang w:eastAsia="en-AU"/>
              </w:rPr>
            </w:pPr>
            <w:r w:rsidRPr="005F577F">
              <w:t xml:space="preserve">-$1,945,064 </w:t>
            </w:r>
          </w:p>
        </w:tc>
        <w:tc>
          <w:tcPr>
            <w:tcW w:w="606" w:type="pct"/>
            <w:tcBorders>
              <w:bottom w:val="single" w:sz="4" w:space="0" w:color="auto"/>
            </w:tcBorders>
            <w:shd w:val="clear" w:color="auto" w:fill="auto"/>
            <w:noWrap/>
            <w:hideMark/>
          </w:tcPr>
          <w:p w14:paraId="1F6440BB" w14:textId="77777777" w:rsidR="005E1CA4" w:rsidRPr="00C80414" w:rsidRDefault="005E1CA4" w:rsidP="000A427B">
            <w:pPr>
              <w:pStyle w:val="TableText"/>
              <w:jc w:val="right"/>
              <w:rPr>
                <w:lang w:eastAsia="en-AU"/>
              </w:rPr>
            </w:pPr>
            <w:r w:rsidRPr="005F577F">
              <w:t xml:space="preserve">-$2,042,317 </w:t>
            </w:r>
          </w:p>
        </w:tc>
        <w:tc>
          <w:tcPr>
            <w:tcW w:w="605" w:type="pct"/>
            <w:tcBorders>
              <w:bottom w:val="single" w:sz="4" w:space="0" w:color="auto"/>
            </w:tcBorders>
            <w:shd w:val="clear" w:color="auto" w:fill="auto"/>
            <w:noWrap/>
            <w:hideMark/>
          </w:tcPr>
          <w:p w14:paraId="6413F6A3" w14:textId="77777777" w:rsidR="005E1CA4" w:rsidRPr="00C80414" w:rsidRDefault="005E1CA4" w:rsidP="000A427B">
            <w:pPr>
              <w:pStyle w:val="TableText"/>
              <w:jc w:val="right"/>
              <w:rPr>
                <w:lang w:eastAsia="en-AU"/>
              </w:rPr>
            </w:pPr>
            <w:r w:rsidRPr="005F577F">
              <w:t xml:space="preserve">-$2,144,433 </w:t>
            </w:r>
          </w:p>
        </w:tc>
      </w:tr>
      <w:tr w:rsidR="005E1CA4" w:rsidRPr="00C80414" w14:paraId="6073E75A" w14:textId="77777777" w:rsidTr="000A427B">
        <w:trPr>
          <w:trHeight w:val="274"/>
        </w:trPr>
        <w:tc>
          <w:tcPr>
            <w:tcW w:w="2119" w:type="pct"/>
            <w:gridSpan w:val="3"/>
            <w:tcBorders>
              <w:right w:val="nil"/>
            </w:tcBorders>
            <w:shd w:val="clear" w:color="auto" w:fill="auto"/>
            <w:vAlign w:val="bottom"/>
            <w:hideMark/>
          </w:tcPr>
          <w:p w14:paraId="5ACF975C" w14:textId="77777777" w:rsidR="005E1CA4" w:rsidRPr="00C80414" w:rsidRDefault="005E1CA4" w:rsidP="000A427B">
            <w:pPr>
              <w:pStyle w:val="TableHeading0"/>
              <w:keepNext/>
              <w:rPr>
                <w:lang w:eastAsia="en-AU"/>
              </w:rPr>
            </w:pPr>
            <w:r w:rsidRPr="00C80414">
              <w:rPr>
                <w:lang w:eastAsia="en-AU"/>
              </w:rPr>
              <w:t>Additional testing due to failed Level 2 tests</w:t>
            </w:r>
          </w:p>
        </w:tc>
        <w:tc>
          <w:tcPr>
            <w:tcW w:w="236" w:type="pct"/>
            <w:gridSpan w:val="3"/>
            <w:tcBorders>
              <w:left w:val="nil"/>
              <w:right w:val="nil"/>
            </w:tcBorders>
            <w:shd w:val="clear" w:color="auto" w:fill="auto"/>
            <w:noWrap/>
            <w:hideMark/>
          </w:tcPr>
          <w:p w14:paraId="68EE8B25" w14:textId="77777777" w:rsidR="005E1CA4" w:rsidRPr="00C80414" w:rsidRDefault="005E1CA4" w:rsidP="000A427B">
            <w:pPr>
              <w:pStyle w:val="TableHeading0"/>
              <w:jc w:val="right"/>
              <w:rPr>
                <w:lang w:eastAsia="en-AU"/>
              </w:rPr>
            </w:pPr>
          </w:p>
        </w:tc>
        <w:tc>
          <w:tcPr>
            <w:tcW w:w="220" w:type="pct"/>
            <w:gridSpan w:val="2"/>
            <w:tcBorders>
              <w:left w:val="nil"/>
              <w:right w:val="nil"/>
            </w:tcBorders>
            <w:shd w:val="clear" w:color="auto" w:fill="auto"/>
            <w:noWrap/>
            <w:hideMark/>
          </w:tcPr>
          <w:p w14:paraId="225D0BC5" w14:textId="77777777" w:rsidR="005E1CA4" w:rsidRPr="00C80414" w:rsidRDefault="005E1CA4" w:rsidP="000A427B">
            <w:pPr>
              <w:pStyle w:val="TableHeading0"/>
              <w:jc w:val="right"/>
              <w:rPr>
                <w:rFonts w:ascii="Times New Roman" w:hAnsi="Times New Roman" w:cs="Times New Roman"/>
                <w:lang w:eastAsia="en-AU"/>
              </w:rPr>
            </w:pPr>
          </w:p>
        </w:tc>
        <w:tc>
          <w:tcPr>
            <w:tcW w:w="608" w:type="pct"/>
            <w:tcBorders>
              <w:left w:val="nil"/>
              <w:right w:val="nil"/>
            </w:tcBorders>
            <w:shd w:val="clear" w:color="auto" w:fill="auto"/>
            <w:noWrap/>
            <w:hideMark/>
          </w:tcPr>
          <w:p w14:paraId="66994BAC" w14:textId="77777777" w:rsidR="005E1CA4" w:rsidRPr="00C80414" w:rsidRDefault="005E1CA4" w:rsidP="000A427B">
            <w:pPr>
              <w:pStyle w:val="TableHeading0"/>
              <w:jc w:val="right"/>
              <w:rPr>
                <w:rFonts w:ascii="Times New Roman" w:hAnsi="Times New Roman" w:cs="Times New Roman"/>
                <w:lang w:eastAsia="en-AU"/>
              </w:rPr>
            </w:pPr>
          </w:p>
        </w:tc>
        <w:tc>
          <w:tcPr>
            <w:tcW w:w="606" w:type="pct"/>
            <w:tcBorders>
              <w:left w:val="nil"/>
              <w:right w:val="nil"/>
            </w:tcBorders>
            <w:shd w:val="clear" w:color="auto" w:fill="auto"/>
            <w:noWrap/>
            <w:hideMark/>
          </w:tcPr>
          <w:p w14:paraId="21F8EDC9" w14:textId="77777777" w:rsidR="005E1CA4" w:rsidRPr="00C80414" w:rsidRDefault="005E1CA4" w:rsidP="000A427B">
            <w:pPr>
              <w:pStyle w:val="TableHeading0"/>
              <w:jc w:val="right"/>
              <w:rPr>
                <w:rFonts w:ascii="Times New Roman" w:hAnsi="Times New Roman" w:cs="Times New Roman"/>
                <w:lang w:eastAsia="en-AU"/>
              </w:rPr>
            </w:pPr>
          </w:p>
        </w:tc>
        <w:tc>
          <w:tcPr>
            <w:tcW w:w="606" w:type="pct"/>
            <w:tcBorders>
              <w:left w:val="nil"/>
              <w:right w:val="nil"/>
            </w:tcBorders>
            <w:shd w:val="clear" w:color="auto" w:fill="auto"/>
            <w:noWrap/>
            <w:hideMark/>
          </w:tcPr>
          <w:p w14:paraId="65C70BDD" w14:textId="77777777" w:rsidR="005E1CA4" w:rsidRPr="00C80414" w:rsidRDefault="005E1CA4" w:rsidP="000A427B">
            <w:pPr>
              <w:pStyle w:val="TableHeading0"/>
              <w:jc w:val="right"/>
              <w:rPr>
                <w:rFonts w:ascii="Times New Roman" w:hAnsi="Times New Roman" w:cs="Times New Roman"/>
                <w:lang w:eastAsia="en-AU"/>
              </w:rPr>
            </w:pPr>
          </w:p>
        </w:tc>
        <w:tc>
          <w:tcPr>
            <w:tcW w:w="605" w:type="pct"/>
            <w:tcBorders>
              <w:left w:val="nil"/>
            </w:tcBorders>
            <w:shd w:val="clear" w:color="auto" w:fill="auto"/>
            <w:noWrap/>
            <w:hideMark/>
          </w:tcPr>
          <w:p w14:paraId="201F00F1" w14:textId="77777777" w:rsidR="005E1CA4" w:rsidRPr="00C80414" w:rsidRDefault="005E1CA4" w:rsidP="000A427B">
            <w:pPr>
              <w:pStyle w:val="TableHeading0"/>
              <w:jc w:val="right"/>
              <w:rPr>
                <w:rFonts w:ascii="Times New Roman" w:hAnsi="Times New Roman" w:cs="Times New Roman"/>
                <w:lang w:eastAsia="en-AU"/>
              </w:rPr>
            </w:pPr>
          </w:p>
        </w:tc>
      </w:tr>
      <w:tr w:rsidR="005E1CA4" w:rsidRPr="00C80414" w14:paraId="2FD1A195" w14:textId="77777777" w:rsidTr="000A427B">
        <w:trPr>
          <w:trHeight w:val="60"/>
        </w:trPr>
        <w:tc>
          <w:tcPr>
            <w:tcW w:w="1364" w:type="pct"/>
            <w:shd w:val="clear" w:color="auto" w:fill="auto"/>
            <w:vAlign w:val="bottom"/>
            <w:hideMark/>
          </w:tcPr>
          <w:p w14:paraId="597F64AD" w14:textId="77777777" w:rsidR="005E1CA4" w:rsidRPr="00C80414" w:rsidRDefault="005E1CA4" w:rsidP="000A427B">
            <w:pPr>
              <w:pStyle w:val="TableText"/>
              <w:rPr>
                <w:lang w:eastAsia="en-AU"/>
              </w:rPr>
            </w:pPr>
            <w:r w:rsidRPr="00C80414">
              <w:rPr>
                <w:lang w:eastAsia="en-AU"/>
              </w:rPr>
              <w:t xml:space="preserve">Number of </w:t>
            </w:r>
            <w:r>
              <w:rPr>
                <w:lang w:eastAsia="en-AU"/>
              </w:rPr>
              <w:t xml:space="preserve">first </w:t>
            </w:r>
            <w:r w:rsidRPr="00C80414">
              <w:rPr>
                <w:lang w:eastAsia="en-AU"/>
              </w:rPr>
              <w:t>test failures for</w:t>
            </w:r>
            <w:r>
              <w:rPr>
                <w:lang w:eastAsia="en-AU"/>
              </w:rPr>
              <w:t xml:space="preserve"> </w:t>
            </w:r>
            <w:r w:rsidRPr="00C80414">
              <w:rPr>
                <w:lang w:eastAsia="en-AU"/>
              </w:rPr>
              <w:t>Level 2 PSG</w:t>
            </w:r>
          </w:p>
        </w:tc>
        <w:tc>
          <w:tcPr>
            <w:tcW w:w="605" w:type="pct"/>
            <w:shd w:val="clear" w:color="auto" w:fill="auto"/>
            <w:noWrap/>
            <w:hideMark/>
          </w:tcPr>
          <w:p w14:paraId="074619CB" w14:textId="77777777" w:rsidR="005E1CA4" w:rsidRPr="00C80414" w:rsidRDefault="005E1CA4" w:rsidP="000A427B">
            <w:pPr>
              <w:pStyle w:val="TableText"/>
              <w:jc w:val="right"/>
              <w:rPr>
                <w:lang w:eastAsia="en-AU"/>
              </w:rPr>
            </w:pPr>
            <w:r>
              <w:t>308</w:t>
            </w:r>
          </w:p>
        </w:tc>
        <w:tc>
          <w:tcPr>
            <w:tcW w:w="606" w:type="pct"/>
            <w:gridSpan w:val="6"/>
            <w:shd w:val="clear" w:color="auto" w:fill="auto"/>
            <w:noWrap/>
            <w:hideMark/>
          </w:tcPr>
          <w:p w14:paraId="2758252A" w14:textId="77777777" w:rsidR="005E1CA4" w:rsidRPr="00C80414" w:rsidRDefault="005E1CA4" w:rsidP="000A427B">
            <w:pPr>
              <w:pStyle w:val="TableText"/>
              <w:jc w:val="right"/>
              <w:rPr>
                <w:lang w:eastAsia="en-AU"/>
              </w:rPr>
            </w:pPr>
            <w:r>
              <w:t>355</w:t>
            </w:r>
          </w:p>
        </w:tc>
        <w:tc>
          <w:tcPr>
            <w:tcW w:w="608" w:type="pct"/>
            <w:shd w:val="clear" w:color="auto" w:fill="auto"/>
            <w:noWrap/>
            <w:hideMark/>
          </w:tcPr>
          <w:p w14:paraId="7B967A5F" w14:textId="77777777" w:rsidR="005E1CA4" w:rsidRPr="00C80414" w:rsidRDefault="005E1CA4" w:rsidP="000A427B">
            <w:pPr>
              <w:pStyle w:val="TableText"/>
              <w:jc w:val="right"/>
              <w:rPr>
                <w:lang w:eastAsia="en-AU"/>
              </w:rPr>
            </w:pPr>
            <w:r>
              <w:t>409</w:t>
            </w:r>
          </w:p>
        </w:tc>
        <w:tc>
          <w:tcPr>
            <w:tcW w:w="606" w:type="pct"/>
            <w:shd w:val="clear" w:color="auto" w:fill="auto"/>
            <w:noWrap/>
            <w:hideMark/>
          </w:tcPr>
          <w:p w14:paraId="56E17E9A" w14:textId="77777777" w:rsidR="005E1CA4" w:rsidRPr="00C80414" w:rsidRDefault="005E1CA4" w:rsidP="000A427B">
            <w:pPr>
              <w:pStyle w:val="TableText"/>
              <w:jc w:val="right"/>
              <w:rPr>
                <w:lang w:eastAsia="en-AU"/>
              </w:rPr>
            </w:pPr>
            <w:r>
              <w:t>469</w:t>
            </w:r>
          </w:p>
        </w:tc>
        <w:tc>
          <w:tcPr>
            <w:tcW w:w="606" w:type="pct"/>
            <w:shd w:val="clear" w:color="auto" w:fill="auto"/>
            <w:noWrap/>
            <w:hideMark/>
          </w:tcPr>
          <w:p w14:paraId="23C2CFF6" w14:textId="77777777" w:rsidR="005E1CA4" w:rsidRPr="00C80414" w:rsidRDefault="005E1CA4" w:rsidP="000A427B">
            <w:pPr>
              <w:pStyle w:val="TableText"/>
              <w:jc w:val="right"/>
              <w:rPr>
                <w:lang w:eastAsia="en-AU"/>
              </w:rPr>
            </w:pPr>
            <w:r>
              <w:t>540</w:t>
            </w:r>
          </w:p>
        </w:tc>
        <w:tc>
          <w:tcPr>
            <w:tcW w:w="605" w:type="pct"/>
            <w:shd w:val="clear" w:color="auto" w:fill="auto"/>
            <w:noWrap/>
            <w:hideMark/>
          </w:tcPr>
          <w:p w14:paraId="03B0C712" w14:textId="77777777" w:rsidR="005E1CA4" w:rsidRPr="00C80414" w:rsidRDefault="005E1CA4" w:rsidP="000A427B">
            <w:pPr>
              <w:pStyle w:val="TableText"/>
              <w:jc w:val="right"/>
            </w:pPr>
            <w:r>
              <w:t>621</w:t>
            </w:r>
          </w:p>
        </w:tc>
      </w:tr>
      <w:tr w:rsidR="005E1CA4" w:rsidRPr="00C80414" w14:paraId="59E98D96" w14:textId="77777777" w:rsidTr="000A427B">
        <w:trPr>
          <w:trHeight w:val="60"/>
        </w:trPr>
        <w:tc>
          <w:tcPr>
            <w:tcW w:w="1364" w:type="pct"/>
            <w:shd w:val="clear" w:color="auto" w:fill="auto"/>
            <w:vAlign w:val="bottom"/>
            <w:hideMark/>
          </w:tcPr>
          <w:p w14:paraId="183092C5" w14:textId="77777777" w:rsidR="005E1CA4" w:rsidRPr="00C80414" w:rsidRDefault="005E1CA4" w:rsidP="000A427B">
            <w:pPr>
              <w:pStyle w:val="TableText"/>
              <w:rPr>
                <w:lang w:eastAsia="en-AU"/>
              </w:rPr>
            </w:pPr>
            <w:r w:rsidRPr="00C80414">
              <w:rPr>
                <w:lang w:eastAsia="en-AU"/>
              </w:rPr>
              <w:t>Number of second test failures for Level 2 PSG</w:t>
            </w:r>
          </w:p>
        </w:tc>
        <w:tc>
          <w:tcPr>
            <w:tcW w:w="605" w:type="pct"/>
            <w:shd w:val="clear" w:color="auto" w:fill="auto"/>
            <w:noWrap/>
            <w:hideMark/>
          </w:tcPr>
          <w:p w14:paraId="1A7B478A" w14:textId="77777777" w:rsidR="005E1CA4" w:rsidRPr="00C80414" w:rsidRDefault="005E1CA4" w:rsidP="000A427B">
            <w:pPr>
              <w:pStyle w:val="TableText"/>
              <w:jc w:val="right"/>
              <w:rPr>
                <w:lang w:eastAsia="en-AU"/>
              </w:rPr>
            </w:pPr>
            <w:r>
              <w:rPr>
                <w:lang w:eastAsia="en-AU"/>
              </w:rPr>
              <w:t>10</w:t>
            </w:r>
          </w:p>
        </w:tc>
        <w:tc>
          <w:tcPr>
            <w:tcW w:w="606" w:type="pct"/>
            <w:gridSpan w:val="6"/>
            <w:shd w:val="clear" w:color="auto" w:fill="auto"/>
            <w:noWrap/>
            <w:hideMark/>
          </w:tcPr>
          <w:p w14:paraId="067446EA" w14:textId="77777777" w:rsidR="005E1CA4" w:rsidRPr="00C80414" w:rsidRDefault="005E1CA4" w:rsidP="000A427B">
            <w:pPr>
              <w:pStyle w:val="TableText"/>
              <w:jc w:val="right"/>
              <w:rPr>
                <w:lang w:eastAsia="en-AU"/>
              </w:rPr>
            </w:pPr>
            <w:r>
              <w:rPr>
                <w:lang w:eastAsia="en-AU"/>
              </w:rPr>
              <w:t>11</w:t>
            </w:r>
          </w:p>
        </w:tc>
        <w:tc>
          <w:tcPr>
            <w:tcW w:w="608" w:type="pct"/>
            <w:shd w:val="clear" w:color="auto" w:fill="auto"/>
            <w:noWrap/>
            <w:hideMark/>
          </w:tcPr>
          <w:p w14:paraId="35D120F4" w14:textId="77777777" w:rsidR="005E1CA4" w:rsidRPr="00C80414" w:rsidRDefault="005E1CA4" w:rsidP="000A427B">
            <w:pPr>
              <w:pStyle w:val="TableText"/>
              <w:jc w:val="right"/>
              <w:rPr>
                <w:lang w:eastAsia="en-AU"/>
              </w:rPr>
            </w:pPr>
            <w:r w:rsidRPr="00C80414">
              <w:rPr>
                <w:lang w:eastAsia="en-AU"/>
              </w:rPr>
              <w:t>1</w:t>
            </w:r>
            <w:r>
              <w:rPr>
                <w:lang w:eastAsia="en-AU"/>
              </w:rPr>
              <w:t>2</w:t>
            </w:r>
          </w:p>
        </w:tc>
        <w:tc>
          <w:tcPr>
            <w:tcW w:w="606" w:type="pct"/>
            <w:shd w:val="clear" w:color="auto" w:fill="auto"/>
            <w:noWrap/>
            <w:hideMark/>
          </w:tcPr>
          <w:p w14:paraId="32E9EEFB" w14:textId="77777777" w:rsidR="005E1CA4" w:rsidRPr="00C80414" w:rsidRDefault="005E1CA4" w:rsidP="000A427B">
            <w:pPr>
              <w:pStyle w:val="TableText"/>
              <w:jc w:val="right"/>
              <w:rPr>
                <w:lang w:eastAsia="en-AU"/>
              </w:rPr>
            </w:pPr>
            <w:r w:rsidRPr="005F577F">
              <w:t>1</w:t>
            </w:r>
            <w:r>
              <w:t>4</w:t>
            </w:r>
          </w:p>
        </w:tc>
        <w:tc>
          <w:tcPr>
            <w:tcW w:w="606" w:type="pct"/>
            <w:shd w:val="clear" w:color="auto" w:fill="auto"/>
            <w:noWrap/>
            <w:hideMark/>
          </w:tcPr>
          <w:p w14:paraId="5381F1D1" w14:textId="77777777" w:rsidR="005E1CA4" w:rsidRPr="00C80414" w:rsidRDefault="005E1CA4" w:rsidP="000A427B">
            <w:pPr>
              <w:pStyle w:val="TableText"/>
              <w:jc w:val="right"/>
              <w:rPr>
                <w:lang w:eastAsia="en-AU"/>
              </w:rPr>
            </w:pPr>
            <w:r w:rsidRPr="00C80414">
              <w:rPr>
                <w:lang w:eastAsia="en-AU"/>
              </w:rPr>
              <w:t>1</w:t>
            </w:r>
            <w:r>
              <w:rPr>
                <w:lang w:eastAsia="en-AU"/>
              </w:rPr>
              <w:t>6</w:t>
            </w:r>
          </w:p>
        </w:tc>
        <w:tc>
          <w:tcPr>
            <w:tcW w:w="605" w:type="pct"/>
            <w:shd w:val="clear" w:color="auto" w:fill="auto"/>
            <w:noWrap/>
            <w:hideMark/>
          </w:tcPr>
          <w:p w14:paraId="3B26C893" w14:textId="77777777" w:rsidR="005E1CA4" w:rsidRPr="00C80414" w:rsidRDefault="005E1CA4" w:rsidP="000A427B">
            <w:pPr>
              <w:pStyle w:val="TableText"/>
              <w:jc w:val="right"/>
              <w:rPr>
                <w:lang w:eastAsia="en-AU"/>
              </w:rPr>
            </w:pPr>
            <w:r w:rsidRPr="00C80414">
              <w:rPr>
                <w:lang w:eastAsia="en-AU"/>
              </w:rPr>
              <w:t>1</w:t>
            </w:r>
            <w:r>
              <w:rPr>
                <w:lang w:eastAsia="en-AU"/>
              </w:rPr>
              <w:t>8</w:t>
            </w:r>
          </w:p>
        </w:tc>
      </w:tr>
      <w:tr w:rsidR="005E1CA4" w:rsidRPr="00C80414" w14:paraId="125A6ED7" w14:textId="77777777" w:rsidTr="000A427B">
        <w:trPr>
          <w:trHeight w:val="60"/>
        </w:trPr>
        <w:tc>
          <w:tcPr>
            <w:tcW w:w="1364" w:type="pct"/>
            <w:shd w:val="clear" w:color="auto" w:fill="auto"/>
            <w:vAlign w:val="bottom"/>
            <w:hideMark/>
          </w:tcPr>
          <w:p w14:paraId="6FE999B1" w14:textId="77777777" w:rsidR="005E1CA4" w:rsidRPr="00C80414" w:rsidRDefault="005E1CA4" w:rsidP="000A427B">
            <w:pPr>
              <w:pStyle w:val="TableText"/>
              <w:rPr>
                <w:lang w:eastAsia="en-AU"/>
              </w:rPr>
            </w:pPr>
            <w:r w:rsidRPr="00C80414">
              <w:rPr>
                <w:lang w:eastAsia="en-AU"/>
              </w:rPr>
              <w:t xml:space="preserve">Total cost to the MBS </w:t>
            </w:r>
            <w:r>
              <w:rPr>
                <w:lang w:eastAsia="en-AU"/>
              </w:rPr>
              <w:t>for Level 2 PSG test failures</w:t>
            </w:r>
          </w:p>
        </w:tc>
        <w:tc>
          <w:tcPr>
            <w:tcW w:w="605" w:type="pct"/>
            <w:shd w:val="clear" w:color="auto" w:fill="auto"/>
            <w:noWrap/>
            <w:hideMark/>
          </w:tcPr>
          <w:p w14:paraId="6FBA1236" w14:textId="77777777" w:rsidR="005E1CA4" w:rsidRPr="00C80414" w:rsidRDefault="005E1CA4" w:rsidP="000A427B">
            <w:pPr>
              <w:pStyle w:val="TableText"/>
              <w:jc w:val="right"/>
              <w:rPr>
                <w:lang w:eastAsia="en-AU"/>
              </w:rPr>
            </w:pPr>
            <w:r w:rsidRPr="0092592F">
              <w:t>$151,146</w:t>
            </w:r>
          </w:p>
        </w:tc>
        <w:tc>
          <w:tcPr>
            <w:tcW w:w="606" w:type="pct"/>
            <w:gridSpan w:val="6"/>
            <w:shd w:val="clear" w:color="auto" w:fill="auto"/>
            <w:noWrap/>
            <w:hideMark/>
          </w:tcPr>
          <w:p w14:paraId="505985A5" w14:textId="77777777" w:rsidR="005E1CA4" w:rsidRPr="00C80414" w:rsidRDefault="005E1CA4" w:rsidP="000A427B">
            <w:pPr>
              <w:pStyle w:val="TableText"/>
              <w:jc w:val="right"/>
              <w:rPr>
                <w:lang w:eastAsia="en-AU"/>
              </w:rPr>
            </w:pPr>
            <w:r w:rsidRPr="0092592F">
              <w:t>$173,818</w:t>
            </w:r>
          </w:p>
        </w:tc>
        <w:tc>
          <w:tcPr>
            <w:tcW w:w="608" w:type="pct"/>
            <w:shd w:val="clear" w:color="auto" w:fill="auto"/>
            <w:noWrap/>
            <w:hideMark/>
          </w:tcPr>
          <w:p w14:paraId="1568F7AA" w14:textId="77777777" w:rsidR="005E1CA4" w:rsidRPr="00C80414" w:rsidRDefault="005E1CA4" w:rsidP="000A427B">
            <w:pPr>
              <w:pStyle w:val="TableText"/>
              <w:jc w:val="right"/>
              <w:rPr>
                <w:lang w:eastAsia="en-AU"/>
              </w:rPr>
            </w:pPr>
            <w:r w:rsidRPr="0092592F">
              <w:t>$199,891</w:t>
            </w:r>
          </w:p>
        </w:tc>
        <w:tc>
          <w:tcPr>
            <w:tcW w:w="606" w:type="pct"/>
            <w:shd w:val="clear" w:color="auto" w:fill="auto"/>
            <w:noWrap/>
            <w:hideMark/>
          </w:tcPr>
          <w:p w14:paraId="76F1FDBC" w14:textId="77777777" w:rsidR="005E1CA4" w:rsidRPr="00C80414" w:rsidRDefault="005E1CA4" w:rsidP="000A427B">
            <w:pPr>
              <w:pStyle w:val="TableText"/>
              <w:jc w:val="right"/>
              <w:rPr>
                <w:lang w:eastAsia="en-AU"/>
              </w:rPr>
            </w:pPr>
            <w:r w:rsidRPr="0092592F">
              <w:t>$229,874</w:t>
            </w:r>
          </w:p>
        </w:tc>
        <w:tc>
          <w:tcPr>
            <w:tcW w:w="606" w:type="pct"/>
            <w:shd w:val="clear" w:color="auto" w:fill="auto"/>
            <w:noWrap/>
            <w:hideMark/>
          </w:tcPr>
          <w:p w14:paraId="3CA0125A" w14:textId="77777777" w:rsidR="005E1CA4" w:rsidRPr="00C80414" w:rsidRDefault="005E1CA4" w:rsidP="000A427B">
            <w:pPr>
              <w:pStyle w:val="TableText"/>
              <w:jc w:val="right"/>
              <w:rPr>
                <w:lang w:eastAsia="en-AU"/>
              </w:rPr>
            </w:pPr>
            <w:r w:rsidRPr="0092592F">
              <w:t>$264,355</w:t>
            </w:r>
          </w:p>
        </w:tc>
        <w:tc>
          <w:tcPr>
            <w:tcW w:w="605" w:type="pct"/>
            <w:shd w:val="clear" w:color="auto" w:fill="auto"/>
            <w:noWrap/>
            <w:hideMark/>
          </w:tcPr>
          <w:p w14:paraId="63ECE6AD" w14:textId="77777777" w:rsidR="005E1CA4" w:rsidRPr="00C80414" w:rsidRDefault="005E1CA4" w:rsidP="000A427B">
            <w:pPr>
              <w:pStyle w:val="TableText"/>
              <w:jc w:val="right"/>
              <w:rPr>
                <w:lang w:eastAsia="en-AU"/>
              </w:rPr>
            </w:pPr>
            <w:r w:rsidRPr="0092592F">
              <w:t>$303,115</w:t>
            </w:r>
          </w:p>
        </w:tc>
      </w:tr>
      <w:tr w:rsidR="005E1CA4" w:rsidRPr="00B869EC" w14:paraId="166A3873" w14:textId="77777777" w:rsidTr="000A427B">
        <w:trPr>
          <w:trHeight w:val="290"/>
        </w:trPr>
        <w:tc>
          <w:tcPr>
            <w:tcW w:w="1364" w:type="pct"/>
            <w:shd w:val="clear" w:color="auto" w:fill="auto"/>
            <w:vAlign w:val="bottom"/>
            <w:hideMark/>
          </w:tcPr>
          <w:p w14:paraId="325AE87A" w14:textId="77777777" w:rsidR="005E1CA4" w:rsidRPr="00B869EC" w:rsidRDefault="005E1CA4" w:rsidP="000A427B">
            <w:pPr>
              <w:pStyle w:val="TableText"/>
              <w:rPr>
                <w:b/>
                <w:lang w:eastAsia="en-AU"/>
              </w:rPr>
            </w:pPr>
            <w:r w:rsidRPr="00B869EC">
              <w:rPr>
                <w:b/>
                <w:lang w:eastAsia="en-AU"/>
              </w:rPr>
              <w:t>Net financial impact to the MBS</w:t>
            </w:r>
          </w:p>
        </w:tc>
        <w:tc>
          <w:tcPr>
            <w:tcW w:w="605" w:type="pct"/>
            <w:shd w:val="clear" w:color="auto" w:fill="auto"/>
            <w:noWrap/>
            <w:hideMark/>
          </w:tcPr>
          <w:p w14:paraId="649556E7" w14:textId="77777777" w:rsidR="005E1CA4" w:rsidRPr="009F1593" w:rsidRDefault="005E1CA4" w:rsidP="000A427B">
            <w:pPr>
              <w:pStyle w:val="TableText"/>
              <w:jc w:val="right"/>
              <w:rPr>
                <w:b/>
                <w:bCs/>
                <w:lang w:eastAsia="en-AU"/>
              </w:rPr>
            </w:pPr>
            <w:r w:rsidRPr="00D04389">
              <w:rPr>
                <w:b/>
                <w:bCs/>
              </w:rPr>
              <w:t>-$461,109</w:t>
            </w:r>
          </w:p>
        </w:tc>
        <w:tc>
          <w:tcPr>
            <w:tcW w:w="606" w:type="pct"/>
            <w:gridSpan w:val="6"/>
            <w:shd w:val="clear" w:color="auto" w:fill="auto"/>
            <w:noWrap/>
            <w:hideMark/>
          </w:tcPr>
          <w:p w14:paraId="5033B9CD" w14:textId="77777777" w:rsidR="005E1CA4" w:rsidRPr="009F1593" w:rsidRDefault="005E1CA4" w:rsidP="000A427B">
            <w:pPr>
              <w:pStyle w:val="TableText"/>
              <w:jc w:val="right"/>
              <w:rPr>
                <w:b/>
                <w:bCs/>
                <w:lang w:eastAsia="en-AU"/>
              </w:rPr>
            </w:pPr>
            <w:r w:rsidRPr="00D04389">
              <w:rPr>
                <w:b/>
                <w:bCs/>
              </w:rPr>
              <w:t>-$362,254</w:t>
            </w:r>
          </w:p>
        </w:tc>
        <w:tc>
          <w:tcPr>
            <w:tcW w:w="608" w:type="pct"/>
            <w:shd w:val="clear" w:color="auto" w:fill="auto"/>
            <w:noWrap/>
            <w:hideMark/>
          </w:tcPr>
          <w:p w14:paraId="6B6BDE2A" w14:textId="77777777" w:rsidR="005E1CA4" w:rsidRPr="009F1593" w:rsidRDefault="005E1CA4" w:rsidP="000A427B">
            <w:pPr>
              <w:pStyle w:val="TableText"/>
              <w:jc w:val="right"/>
              <w:rPr>
                <w:b/>
                <w:bCs/>
                <w:lang w:eastAsia="en-AU"/>
              </w:rPr>
            </w:pPr>
            <w:r w:rsidRPr="00D04389">
              <w:rPr>
                <w:b/>
                <w:bCs/>
              </w:rPr>
              <w:t>-$240,169</w:t>
            </w:r>
          </w:p>
        </w:tc>
        <w:tc>
          <w:tcPr>
            <w:tcW w:w="606" w:type="pct"/>
            <w:shd w:val="clear" w:color="auto" w:fill="auto"/>
            <w:noWrap/>
            <w:hideMark/>
          </w:tcPr>
          <w:p w14:paraId="2436D24B" w14:textId="77777777" w:rsidR="005E1CA4" w:rsidRPr="009F1593" w:rsidRDefault="005E1CA4" w:rsidP="000A427B">
            <w:pPr>
              <w:pStyle w:val="TableText"/>
              <w:jc w:val="right"/>
              <w:rPr>
                <w:b/>
                <w:bCs/>
                <w:lang w:eastAsia="en-AU"/>
              </w:rPr>
            </w:pPr>
            <w:r w:rsidRPr="00D04389">
              <w:rPr>
                <w:b/>
                <w:bCs/>
              </w:rPr>
              <w:t>-$90,950</w:t>
            </w:r>
          </w:p>
        </w:tc>
        <w:tc>
          <w:tcPr>
            <w:tcW w:w="606" w:type="pct"/>
            <w:shd w:val="clear" w:color="auto" w:fill="auto"/>
            <w:noWrap/>
            <w:hideMark/>
          </w:tcPr>
          <w:p w14:paraId="662E4369" w14:textId="77777777" w:rsidR="005E1CA4" w:rsidRPr="009F1593" w:rsidRDefault="005E1CA4" w:rsidP="000A427B">
            <w:pPr>
              <w:pStyle w:val="TableText"/>
              <w:jc w:val="right"/>
              <w:rPr>
                <w:b/>
                <w:bCs/>
                <w:lang w:eastAsia="en-AU"/>
              </w:rPr>
            </w:pPr>
            <w:r w:rsidRPr="00D04389">
              <w:rPr>
                <w:b/>
                <w:bCs/>
              </w:rPr>
              <w:t>$89,914</w:t>
            </w:r>
          </w:p>
        </w:tc>
        <w:tc>
          <w:tcPr>
            <w:tcW w:w="605" w:type="pct"/>
            <w:shd w:val="clear" w:color="auto" w:fill="auto"/>
            <w:noWrap/>
            <w:hideMark/>
          </w:tcPr>
          <w:p w14:paraId="17DD0DE1" w14:textId="77777777" w:rsidR="005E1CA4" w:rsidRPr="009F1593" w:rsidRDefault="005E1CA4" w:rsidP="000A427B">
            <w:pPr>
              <w:pStyle w:val="TableText"/>
              <w:jc w:val="right"/>
              <w:rPr>
                <w:b/>
                <w:bCs/>
                <w:lang w:eastAsia="en-AU"/>
              </w:rPr>
            </w:pPr>
            <w:r w:rsidRPr="00D04389">
              <w:rPr>
                <w:b/>
                <w:bCs/>
              </w:rPr>
              <w:t>$306,739</w:t>
            </w:r>
          </w:p>
        </w:tc>
      </w:tr>
    </w:tbl>
    <w:p w14:paraId="040440BD" w14:textId="77777777" w:rsidR="005E1CA4" w:rsidRDefault="005E1CA4" w:rsidP="005E1CA4">
      <w:pPr>
        <w:pStyle w:val="TableFigNoteLast"/>
      </w:pPr>
      <w:r>
        <w:rPr>
          <w:szCs w:val="18"/>
        </w:rPr>
        <w:t>MBS = Medicare Benefits Schedule; PSG = polysomnography</w:t>
      </w:r>
    </w:p>
    <w:p w14:paraId="3234458A" w14:textId="77777777" w:rsidR="005E1CA4" w:rsidRPr="00D97EB7" w:rsidRDefault="005E1CA4" w:rsidP="005E1CA4">
      <w:pPr>
        <w:pStyle w:val="TableFigNoteLast"/>
      </w:pPr>
      <w:r w:rsidRPr="00BD1C71">
        <w:rPr>
          <w:vertAlign w:val="superscript"/>
        </w:rPr>
        <w:t>a</w:t>
      </w:r>
      <w:r w:rsidRPr="00694D83">
        <w:t xml:space="preserve"> Level</w:t>
      </w:r>
      <w:r>
        <w:t xml:space="preserve"> 1 PSG can be provided as either out-patient or in-patient services. The applicant advised that a greater proportion are in-patient in paediatrics than in adults; however, given the proportion is unknown, an 80% benefit has been applied as per MSAC guidelines (p214).</w:t>
      </w:r>
    </w:p>
    <w:p w14:paraId="1A5C7F6D" w14:textId="77777777" w:rsidR="005E1CA4" w:rsidRPr="00ED72A6" w:rsidRDefault="005E1CA4" w:rsidP="005E1CA4">
      <w:pPr>
        <w:pStyle w:val="TableFigNoteLast"/>
      </w:pPr>
      <w:r>
        <w:rPr>
          <w:vertAlign w:val="superscript"/>
        </w:rPr>
        <w:t xml:space="preserve">b </w:t>
      </w:r>
      <w:r>
        <w:t>It is assumed that half of Level 2 test failures repeat a Level 2 PSG and half have a Level 1 PSG, consistent with Section 3.</w:t>
      </w:r>
    </w:p>
    <w:p w14:paraId="6991263A" w14:textId="77777777" w:rsidR="005E1CA4" w:rsidRDefault="005E1CA4" w:rsidP="005E1CA4">
      <w:pPr>
        <w:pStyle w:val="ESHeading3"/>
      </w:pPr>
      <w:r>
        <w:t>PICO Set 2</w:t>
      </w:r>
    </w:p>
    <w:p w14:paraId="007470AA" w14:textId="77777777" w:rsidR="005E1CA4" w:rsidRPr="00395DB7" w:rsidRDefault="005E1CA4" w:rsidP="005E1CA4">
      <w:pPr>
        <w:rPr>
          <w:rFonts w:ascii="Franklin Gothic Book" w:hAnsi="Franklin Gothic Book"/>
        </w:rPr>
      </w:pPr>
      <w:r w:rsidRPr="00395DB7">
        <w:rPr>
          <w:rFonts w:ascii="Franklin Gothic Book" w:hAnsi="Franklin Gothic Book"/>
        </w:rPr>
        <w:t>The population for PICO Set 2 was estimated based on data provided in the application form that approximately 5% of patients on the waiting list for a sleep study would be suitable for a Level 3 CRP under PICO Set 2. This proportion was applied to the pre-COVID-19 pandemic uptake of paediatric Level 1 PSG services.</w:t>
      </w:r>
    </w:p>
    <w:p w14:paraId="0E12EB53" w14:textId="61B3F577" w:rsidR="005E1CA4" w:rsidRPr="00395DB7" w:rsidRDefault="005E1CA4" w:rsidP="005E1CA4">
      <w:pPr>
        <w:rPr>
          <w:rFonts w:ascii="Franklin Gothic Book" w:hAnsi="Franklin Gothic Book"/>
        </w:rPr>
      </w:pPr>
      <w:r w:rsidRPr="00395DB7">
        <w:rPr>
          <w:rFonts w:ascii="Franklin Gothic Book" w:hAnsi="Franklin Gothic Book"/>
        </w:rPr>
        <w:t xml:space="preserve">The financial implications to the MBS resulting from the proposed listing of out-of-laboratory Level 3 CRP services are summarised in </w:t>
      </w:r>
      <w:r w:rsidRPr="00395DB7">
        <w:rPr>
          <w:rFonts w:ascii="Franklin Gothic Book" w:hAnsi="Franklin Gothic Book"/>
        </w:rPr>
        <w:fldChar w:fldCharType="begin"/>
      </w:r>
      <w:r w:rsidRPr="00395DB7">
        <w:rPr>
          <w:rFonts w:ascii="Franklin Gothic Book" w:hAnsi="Franklin Gothic Book"/>
        </w:rPr>
        <w:instrText xml:space="preserve"> REF _Ref150270605 \h </w:instrText>
      </w:r>
      <w:r w:rsid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 xml:space="preserve">Table </w:t>
      </w:r>
      <w:r w:rsidRPr="00395DB7">
        <w:rPr>
          <w:rFonts w:ascii="Franklin Gothic Book" w:hAnsi="Franklin Gothic Book"/>
          <w:noProof/>
        </w:rPr>
        <w:t>19</w:t>
      </w:r>
      <w:r w:rsidRPr="00395DB7">
        <w:rPr>
          <w:rFonts w:ascii="Franklin Gothic Book" w:hAnsi="Franklin Gothic Book"/>
        </w:rPr>
        <w:fldChar w:fldCharType="end"/>
      </w:r>
      <w:r w:rsidRPr="00395DB7">
        <w:rPr>
          <w:rFonts w:ascii="Franklin Gothic Book" w:hAnsi="Franklin Gothic Book"/>
        </w:rPr>
        <w:t>. The net financial impact to the MBS is estimated to be $134,102 in 2023—24, rising to $269,728 in 2028—29. No Level 1 PSG studies are substituted as the comparator for this population is no sleep study. There is scope for the introduction of Level 3 CRP services to reduce the costs associated with adenotonsillectomy; however, this is not considered further in the financial analysis due to the very limited impact this is expected to have on the relevant health budgets. The annual rate of paediatric adenotonsillectomies for OSA in Australia is estimated at 33,376; this dwarfs the estimated eligible population for PICO Set 2 of whom fewer than half may avoid a tonsillectomy.</w:t>
      </w:r>
    </w:p>
    <w:p w14:paraId="06DA8029" w14:textId="0C825C64" w:rsidR="005E1CA4" w:rsidRDefault="005E1CA4" w:rsidP="005E1CA4">
      <w:pPr>
        <w:pStyle w:val="Caption"/>
      </w:pPr>
      <w:bookmarkStart w:id="59" w:name="_Ref150270605"/>
      <w:r>
        <w:t xml:space="preserve">Table </w:t>
      </w:r>
      <w:fldSimple w:instr=" SEQ Table \* ARABIC ">
        <w:r>
          <w:rPr>
            <w:noProof/>
          </w:rPr>
          <w:t>19</w:t>
        </w:r>
      </w:fldSimple>
      <w:bookmarkEnd w:id="59"/>
      <w:r>
        <w:tab/>
        <w:t>Net financial implications of PICO Set 2 diagnostic out-of-laboratory Level 3 CRP to the MBS</w:t>
      </w:r>
    </w:p>
    <w:tbl>
      <w:tblPr>
        <w:tblStyle w:val="TableGrid"/>
        <w:tblW w:w="5000" w:type="pct"/>
        <w:tblLook w:val="04A0" w:firstRow="1" w:lastRow="0" w:firstColumn="1" w:lastColumn="0" w:noHBand="0" w:noVBand="1"/>
        <w:tblCaption w:val="Net financial implications of PICO Set 2 diagnostic out-of-laboratory Level 3 CRP to the MBS"/>
        <w:tblDescription w:val="Estimated use and cost of the proposed services, additional testing due to failed Level 3 tests, and net financial impact to the MBS are shown for the financial years 2023-24 through to 2028-29. "/>
      </w:tblPr>
      <w:tblGrid>
        <w:gridCol w:w="3447"/>
        <w:gridCol w:w="658"/>
        <w:gridCol w:w="270"/>
        <w:gridCol w:w="928"/>
        <w:gridCol w:w="928"/>
        <w:gridCol w:w="928"/>
        <w:gridCol w:w="929"/>
        <w:gridCol w:w="928"/>
      </w:tblGrid>
      <w:tr w:rsidR="005E1CA4" w:rsidRPr="0058401D" w14:paraId="2C8876F9" w14:textId="77777777" w:rsidTr="000A427B">
        <w:trPr>
          <w:trHeight w:val="290"/>
          <w:tblHeader/>
        </w:trPr>
        <w:tc>
          <w:tcPr>
            <w:tcW w:w="1912" w:type="pct"/>
            <w:tcBorders>
              <w:bottom w:val="single" w:sz="4" w:space="0" w:color="auto"/>
            </w:tcBorders>
            <w:hideMark/>
          </w:tcPr>
          <w:p w14:paraId="07735BEF" w14:textId="77777777" w:rsidR="005E1CA4" w:rsidRPr="0058401D" w:rsidRDefault="005E1CA4" w:rsidP="000A427B">
            <w:pPr>
              <w:pStyle w:val="TableHeading0"/>
            </w:pPr>
            <w:r w:rsidRPr="0058401D">
              <w:t>Parameter</w:t>
            </w:r>
          </w:p>
        </w:tc>
        <w:tc>
          <w:tcPr>
            <w:tcW w:w="515" w:type="pct"/>
            <w:gridSpan w:val="2"/>
            <w:tcBorders>
              <w:bottom w:val="single" w:sz="4" w:space="0" w:color="auto"/>
            </w:tcBorders>
            <w:noWrap/>
            <w:hideMark/>
          </w:tcPr>
          <w:p w14:paraId="6F9A900A" w14:textId="77777777" w:rsidR="005E1CA4" w:rsidRPr="0058401D" w:rsidRDefault="005E1CA4" w:rsidP="000A427B">
            <w:pPr>
              <w:pStyle w:val="TableHeading0"/>
              <w:jc w:val="right"/>
            </w:pPr>
            <w:r w:rsidRPr="0058401D">
              <w:t>2023</w:t>
            </w:r>
            <w:r>
              <w:t>—</w:t>
            </w:r>
            <w:r w:rsidRPr="0058401D">
              <w:t>24</w:t>
            </w:r>
          </w:p>
        </w:tc>
        <w:tc>
          <w:tcPr>
            <w:tcW w:w="515" w:type="pct"/>
            <w:tcBorders>
              <w:bottom w:val="single" w:sz="4" w:space="0" w:color="auto"/>
            </w:tcBorders>
            <w:noWrap/>
            <w:hideMark/>
          </w:tcPr>
          <w:p w14:paraId="1794B846" w14:textId="77777777" w:rsidR="005E1CA4" w:rsidRPr="0058401D" w:rsidRDefault="005E1CA4" w:rsidP="000A427B">
            <w:pPr>
              <w:pStyle w:val="TableHeading0"/>
              <w:jc w:val="right"/>
            </w:pPr>
            <w:r w:rsidRPr="0058401D">
              <w:t>2024</w:t>
            </w:r>
            <w:r>
              <w:t>—</w:t>
            </w:r>
            <w:r w:rsidRPr="0058401D">
              <w:t>25</w:t>
            </w:r>
          </w:p>
        </w:tc>
        <w:tc>
          <w:tcPr>
            <w:tcW w:w="515" w:type="pct"/>
            <w:tcBorders>
              <w:bottom w:val="single" w:sz="4" w:space="0" w:color="auto"/>
            </w:tcBorders>
            <w:noWrap/>
            <w:hideMark/>
          </w:tcPr>
          <w:p w14:paraId="3F6E0F33" w14:textId="77777777" w:rsidR="005E1CA4" w:rsidRPr="0058401D" w:rsidRDefault="005E1CA4" w:rsidP="000A427B">
            <w:pPr>
              <w:pStyle w:val="TableHeading0"/>
              <w:jc w:val="right"/>
            </w:pPr>
            <w:r w:rsidRPr="0058401D">
              <w:t>2025</w:t>
            </w:r>
            <w:r>
              <w:t>—</w:t>
            </w:r>
            <w:r w:rsidRPr="0058401D">
              <w:t>26</w:t>
            </w:r>
          </w:p>
        </w:tc>
        <w:tc>
          <w:tcPr>
            <w:tcW w:w="515" w:type="pct"/>
            <w:tcBorders>
              <w:bottom w:val="single" w:sz="4" w:space="0" w:color="auto"/>
            </w:tcBorders>
            <w:noWrap/>
            <w:hideMark/>
          </w:tcPr>
          <w:p w14:paraId="7C49F316" w14:textId="77777777" w:rsidR="005E1CA4" w:rsidRPr="0058401D" w:rsidRDefault="005E1CA4" w:rsidP="000A427B">
            <w:pPr>
              <w:pStyle w:val="TableHeading0"/>
              <w:jc w:val="right"/>
            </w:pPr>
            <w:r w:rsidRPr="0058401D">
              <w:t>2026</w:t>
            </w:r>
            <w:r>
              <w:t>—</w:t>
            </w:r>
            <w:r w:rsidRPr="0058401D">
              <w:t>27</w:t>
            </w:r>
          </w:p>
        </w:tc>
        <w:tc>
          <w:tcPr>
            <w:tcW w:w="515" w:type="pct"/>
            <w:tcBorders>
              <w:bottom w:val="single" w:sz="4" w:space="0" w:color="auto"/>
            </w:tcBorders>
            <w:noWrap/>
            <w:hideMark/>
          </w:tcPr>
          <w:p w14:paraId="3BFF91D9" w14:textId="77777777" w:rsidR="005E1CA4" w:rsidRPr="0058401D" w:rsidRDefault="005E1CA4" w:rsidP="000A427B">
            <w:pPr>
              <w:pStyle w:val="TableHeading0"/>
              <w:jc w:val="right"/>
            </w:pPr>
            <w:r w:rsidRPr="0058401D">
              <w:t>2027</w:t>
            </w:r>
            <w:r>
              <w:t>—</w:t>
            </w:r>
            <w:r w:rsidRPr="0058401D">
              <w:t>28</w:t>
            </w:r>
          </w:p>
        </w:tc>
        <w:tc>
          <w:tcPr>
            <w:tcW w:w="515" w:type="pct"/>
            <w:tcBorders>
              <w:bottom w:val="single" w:sz="4" w:space="0" w:color="auto"/>
            </w:tcBorders>
            <w:noWrap/>
            <w:hideMark/>
          </w:tcPr>
          <w:p w14:paraId="568AF93D" w14:textId="77777777" w:rsidR="005E1CA4" w:rsidRPr="0058401D" w:rsidRDefault="005E1CA4" w:rsidP="000A427B">
            <w:pPr>
              <w:pStyle w:val="TableHeading0"/>
              <w:jc w:val="right"/>
            </w:pPr>
            <w:r w:rsidRPr="0058401D">
              <w:t>2028</w:t>
            </w:r>
            <w:r>
              <w:t>—</w:t>
            </w:r>
            <w:r w:rsidRPr="0058401D">
              <w:t>29</w:t>
            </w:r>
          </w:p>
        </w:tc>
      </w:tr>
      <w:tr w:rsidR="005E1CA4" w:rsidRPr="0058401D" w14:paraId="17246A74" w14:textId="77777777" w:rsidTr="000A427B">
        <w:trPr>
          <w:trHeight w:val="290"/>
        </w:trPr>
        <w:tc>
          <w:tcPr>
            <w:tcW w:w="2277" w:type="pct"/>
            <w:gridSpan w:val="2"/>
            <w:tcBorders>
              <w:right w:val="nil"/>
            </w:tcBorders>
            <w:hideMark/>
          </w:tcPr>
          <w:p w14:paraId="0A48F1D2" w14:textId="77777777" w:rsidR="005E1CA4" w:rsidRPr="0058401D" w:rsidRDefault="005E1CA4" w:rsidP="000A427B">
            <w:pPr>
              <w:pStyle w:val="TableHeading0"/>
            </w:pPr>
            <w:r w:rsidRPr="0058401D">
              <w:t xml:space="preserve">Estimated use and cost of the proposed </w:t>
            </w:r>
            <w:r>
              <w:t>services</w:t>
            </w:r>
          </w:p>
        </w:tc>
        <w:tc>
          <w:tcPr>
            <w:tcW w:w="150" w:type="pct"/>
            <w:tcBorders>
              <w:left w:val="nil"/>
              <w:right w:val="nil"/>
            </w:tcBorders>
            <w:noWrap/>
            <w:hideMark/>
          </w:tcPr>
          <w:p w14:paraId="2B71C415" w14:textId="77777777" w:rsidR="005E1CA4" w:rsidRPr="0058401D" w:rsidRDefault="005E1CA4" w:rsidP="000A427B">
            <w:pPr>
              <w:pStyle w:val="TableHeading0"/>
              <w:jc w:val="right"/>
            </w:pPr>
            <w:r w:rsidRPr="0058401D">
              <w:t> </w:t>
            </w:r>
          </w:p>
        </w:tc>
        <w:tc>
          <w:tcPr>
            <w:tcW w:w="515" w:type="pct"/>
            <w:tcBorders>
              <w:left w:val="nil"/>
              <w:right w:val="nil"/>
            </w:tcBorders>
            <w:noWrap/>
            <w:hideMark/>
          </w:tcPr>
          <w:p w14:paraId="467C1559" w14:textId="77777777" w:rsidR="005E1CA4" w:rsidRPr="0058401D" w:rsidRDefault="005E1CA4" w:rsidP="000A427B">
            <w:pPr>
              <w:pStyle w:val="TableHeading0"/>
              <w:jc w:val="right"/>
            </w:pPr>
            <w:r w:rsidRPr="0058401D">
              <w:t> </w:t>
            </w:r>
          </w:p>
        </w:tc>
        <w:tc>
          <w:tcPr>
            <w:tcW w:w="515" w:type="pct"/>
            <w:tcBorders>
              <w:left w:val="nil"/>
              <w:right w:val="nil"/>
            </w:tcBorders>
            <w:noWrap/>
            <w:hideMark/>
          </w:tcPr>
          <w:p w14:paraId="214BC842" w14:textId="77777777" w:rsidR="005E1CA4" w:rsidRPr="0058401D" w:rsidRDefault="005E1CA4" w:rsidP="000A427B">
            <w:pPr>
              <w:pStyle w:val="TableHeading0"/>
              <w:jc w:val="right"/>
            </w:pPr>
            <w:r w:rsidRPr="0058401D">
              <w:t> </w:t>
            </w:r>
          </w:p>
        </w:tc>
        <w:tc>
          <w:tcPr>
            <w:tcW w:w="515" w:type="pct"/>
            <w:tcBorders>
              <w:left w:val="nil"/>
              <w:right w:val="nil"/>
            </w:tcBorders>
            <w:noWrap/>
            <w:hideMark/>
          </w:tcPr>
          <w:p w14:paraId="734E460B" w14:textId="77777777" w:rsidR="005E1CA4" w:rsidRPr="0058401D" w:rsidRDefault="005E1CA4" w:rsidP="000A427B">
            <w:pPr>
              <w:pStyle w:val="TableHeading0"/>
              <w:jc w:val="right"/>
            </w:pPr>
            <w:r w:rsidRPr="0058401D">
              <w:t> </w:t>
            </w:r>
          </w:p>
        </w:tc>
        <w:tc>
          <w:tcPr>
            <w:tcW w:w="515" w:type="pct"/>
            <w:tcBorders>
              <w:left w:val="nil"/>
              <w:right w:val="nil"/>
            </w:tcBorders>
            <w:noWrap/>
            <w:hideMark/>
          </w:tcPr>
          <w:p w14:paraId="1CE20B6F" w14:textId="77777777" w:rsidR="005E1CA4" w:rsidRPr="0058401D" w:rsidRDefault="005E1CA4" w:rsidP="000A427B">
            <w:pPr>
              <w:pStyle w:val="TableHeading0"/>
              <w:jc w:val="right"/>
            </w:pPr>
            <w:r w:rsidRPr="0058401D">
              <w:t> </w:t>
            </w:r>
          </w:p>
        </w:tc>
        <w:tc>
          <w:tcPr>
            <w:tcW w:w="515" w:type="pct"/>
            <w:tcBorders>
              <w:left w:val="nil"/>
            </w:tcBorders>
            <w:noWrap/>
            <w:hideMark/>
          </w:tcPr>
          <w:p w14:paraId="26DD697B" w14:textId="77777777" w:rsidR="005E1CA4" w:rsidRPr="0058401D" w:rsidRDefault="005E1CA4" w:rsidP="000A427B">
            <w:pPr>
              <w:pStyle w:val="TableHeading0"/>
              <w:jc w:val="right"/>
            </w:pPr>
            <w:r w:rsidRPr="0058401D">
              <w:t> </w:t>
            </w:r>
          </w:p>
        </w:tc>
      </w:tr>
      <w:tr w:rsidR="005E1CA4" w:rsidRPr="0058401D" w14:paraId="1F11E810" w14:textId="77777777" w:rsidTr="000A427B">
        <w:trPr>
          <w:trHeight w:val="290"/>
        </w:trPr>
        <w:tc>
          <w:tcPr>
            <w:tcW w:w="1912" w:type="pct"/>
            <w:hideMark/>
          </w:tcPr>
          <w:p w14:paraId="6B14A4A7" w14:textId="77777777" w:rsidR="005E1CA4" w:rsidRPr="0058401D" w:rsidRDefault="005E1CA4" w:rsidP="000A427B">
            <w:pPr>
              <w:pStyle w:val="TableText"/>
            </w:pPr>
            <w:r w:rsidRPr="0058401D">
              <w:t>Number of proposed Level 3 services</w:t>
            </w:r>
            <w:r>
              <w:t xml:space="preserve"> (initial testing)</w:t>
            </w:r>
          </w:p>
        </w:tc>
        <w:tc>
          <w:tcPr>
            <w:tcW w:w="515" w:type="pct"/>
            <w:gridSpan w:val="2"/>
            <w:noWrap/>
            <w:hideMark/>
          </w:tcPr>
          <w:p w14:paraId="11FD8392" w14:textId="77777777" w:rsidR="005E1CA4" w:rsidRPr="0058401D" w:rsidRDefault="005E1CA4" w:rsidP="000A427B">
            <w:pPr>
              <w:pStyle w:val="TableText"/>
              <w:jc w:val="right"/>
            </w:pPr>
            <w:r w:rsidRPr="00731153">
              <w:t>515</w:t>
            </w:r>
          </w:p>
        </w:tc>
        <w:tc>
          <w:tcPr>
            <w:tcW w:w="515" w:type="pct"/>
            <w:noWrap/>
            <w:hideMark/>
          </w:tcPr>
          <w:p w14:paraId="45AD36E7" w14:textId="77777777" w:rsidR="005E1CA4" w:rsidRPr="0058401D" w:rsidRDefault="005E1CA4" w:rsidP="000A427B">
            <w:pPr>
              <w:pStyle w:val="TableText"/>
              <w:jc w:val="right"/>
            </w:pPr>
            <w:r w:rsidRPr="00731153">
              <w:t>592</w:t>
            </w:r>
          </w:p>
        </w:tc>
        <w:tc>
          <w:tcPr>
            <w:tcW w:w="515" w:type="pct"/>
            <w:noWrap/>
            <w:hideMark/>
          </w:tcPr>
          <w:p w14:paraId="212024F8" w14:textId="77777777" w:rsidR="005E1CA4" w:rsidRPr="0058401D" w:rsidRDefault="005E1CA4" w:rsidP="000A427B">
            <w:pPr>
              <w:pStyle w:val="TableText"/>
              <w:jc w:val="right"/>
            </w:pPr>
            <w:r w:rsidRPr="00731153">
              <w:t>681</w:t>
            </w:r>
          </w:p>
        </w:tc>
        <w:tc>
          <w:tcPr>
            <w:tcW w:w="515" w:type="pct"/>
            <w:noWrap/>
            <w:hideMark/>
          </w:tcPr>
          <w:p w14:paraId="69370AE5" w14:textId="77777777" w:rsidR="005E1CA4" w:rsidRPr="0058401D" w:rsidRDefault="005E1CA4" w:rsidP="000A427B">
            <w:pPr>
              <w:pStyle w:val="TableText"/>
              <w:jc w:val="right"/>
            </w:pPr>
            <w:r w:rsidRPr="00731153">
              <w:t>783</w:t>
            </w:r>
          </w:p>
        </w:tc>
        <w:tc>
          <w:tcPr>
            <w:tcW w:w="515" w:type="pct"/>
            <w:noWrap/>
            <w:hideMark/>
          </w:tcPr>
          <w:p w14:paraId="7FA9D3FF" w14:textId="77777777" w:rsidR="005E1CA4" w:rsidRPr="0058401D" w:rsidRDefault="005E1CA4" w:rsidP="000A427B">
            <w:pPr>
              <w:pStyle w:val="TableText"/>
              <w:jc w:val="right"/>
            </w:pPr>
            <w:r w:rsidRPr="00731153">
              <w:t>900</w:t>
            </w:r>
          </w:p>
        </w:tc>
        <w:tc>
          <w:tcPr>
            <w:tcW w:w="515" w:type="pct"/>
            <w:noWrap/>
            <w:hideMark/>
          </w:tcPr>
          <w:p w14:paraId="3136D18D" w14:textId="77777777" w:rsidR="005E1CA4" w:rsidRPr="0058401D" w:rsidRDefault="005E1CA4" w:rsidP="000A427B">
            <w:pPr>
              <w:pStyle w:val="TableText"/>
              <w:jc w:val="right"/>
            </w:pPr>
            <w:r w:rsidRPr="00731153">
              <w:t>1035</w:t>
            </w:r>
          </w:p>
        </w:tc>
      </w:tr>
      <w:tr w:rsidR="005E1CA4" w:rsidRPr="0058401D" w14:paraId="34F786B1" w14:textId="77777777" w:rsidTr="000A427B">
        <w:trPr>
          <w:trHeight w:val="290"/>
        </w:trPr>
        <w:tc>
          <w:tcPr>
            <w:tcW w:w="1912" w:type="pct"/>
            <w:hideMark/>
          </w:tcPr>
          <w:p w14:paraId="0D007F7D" w14:textId="77777777" w:rsidR="005E1CA4" w:rsidRPr="0058401D" w:rsidRDefault="005E1CA4" w:rsidP="000A427B">
            <w:pPr>
              <w:pStyle w:val="TableText"/>
            </w:pPr>
            <w:r w:rsidRPr="0058401D">
              <w:t xml:space="preserve">Growth </w:t>
            </w:r>
            <w:r>
              <w:t xml:space="preserve">in Level 3 services </w:t>
            </w:r>
            <w:r w:rsidRPr="0058401D">
              <w:t>per year</w:t>
            </w:r>
          </w:p>
        </w:tc>
        <w:tc>
          <w:tcPr>
            <w:tcW w:w="515" w:type="pct"/>
            <w:gridSpan w:val="2"/>
            <w:noWrap/>
            <w:hideMark/>
          </w:tcPr>
          <w:p w14:paraId="6727916F" w14:textId="77777777" w:rsidR="005E1CA4" w:rsidRPr="0058401D" w:rsidRDefault="005E1CA4" w:rsidP="000A427B">
            <w:pPr>
              <w:pStyle w:val="TableText"/>
              <w:jc w:val="right"/>
            </w:pPr>
            <w:r w:rsidRPr="00731153">
              <w:t>15%</w:t>
            </w:r>
          </w:p>
        </w:tc>
        <w:tc>
          <w:tcPr>
            <w:tcW w:w="515" w:type="pct"/>
            <w:noWrap/>
            <w:hideMark/>
          </w:tcPr>
          <w:p w14:paraId="740343E9" w14:textId="77777777" w:rsidR="005E1CA4" w:rsidRPr="0058401D" w:rsidRDefault="005E1CA4" w:rsidP="000A427B">
            <w:pPr>
              <w:pStyle w:val="TableText"/>
              <w:jc w:val="right"/>
            </w:pPr>
            <w:r w:rsidRPr="00731153">
              <w:t>15%</w:t>
            </w:r>
          </w:p>
        </w:tc>
        <w:tc>
          <w:tcPr>
            <w:tcW w:w="515" w:type="pct"/>
            <w:noWrap/>
            <w:hideMark/>
          </w:tcPr>
          <w:p w14:paraId="3C5133C3" w14:textId="77777777" w:rsidR="005E1CA4" w:rsidRPr="0058401D" w:rsidRDefault="005E1CA4" w:rsidP="000A427B">
            <w:pPr>
              <w:pStyle w:val="TableText"/>
              <w:jc w:val="right"/>
            </w:pPr>
            <w:r w:rsidRPr="00731153">
              <w:t>15%</w:t>
            </w:r>
          </w:p>
        </w:tc>
        <w:tc>
          <w:tcPr>
            <w:tcW w:w="515" w:type="pct"/>
            <w:noWrap/>
            <w:hideMark/>
          </w:tcPr>
          <w:p w14:paraId="123B8BE5" w14:textId="77777777" w:rsidR="005E1CA4" w:rsidRPr="0058401D" w:rsidRDefault="005E1CA4" w:rsidP="000A427B">
            <w:pPr>
              <w:pStyle w:val="TableText"/>
              <w:jc w:val="right"/>
            </w:pPr>
            <w:r w:rsidRPr="00731153">
              <w:t>15%</w:t>
            </w:r>
          </w:p>
        </w:tc>
        <w:tc>
          <w:tcPr>
            <w:tcW w:w="515" w:type="pct"/>
            <w:noWrap/>
            <w:hideMark/>
          </w:tcPr>
          <w:p w14:paraId="117291AF" w14:textId="77777777" w:rsidR="005E1CA4" w:rsidRPr="0058401D" w:rsidRDefault="005E1CA4" w:rsidP="000A427B">
            <w:pPr>
              <w:pStyle w:val="TableText"/>
              <w:jc w:val="right"/>
            </w:pPr>
            <w:r w:rsidRPr="00731153">
              <w:t>15%</w:t>
            </w:r>
          </w:p>
        </w:tc>
        <w:tc>
          <w:tcPr>
            <w:tcW w:w="515" w:type="pct"/>
            <w:noWrap/>
            <w:hideMark/>
          </w:tcPr>
          <w:p w14:paraId="734B909B" w14:textId="77777777" w:rsidR="005E1CA4" w:rsidRPr="0058401D" w:rsidRDefault="005E1CA4" w:rsidP="000A427B">
            <w:pPr>
              <w:pStyle w:val="TableText"/>
              <w:jc w:val="right"/>
            </w:pPr>
            <w:r w:rsidRPr="00731153">
              <w:t>15%</w:t>
            </w:r>
          </w:p>
        </w:tc>
      </w:tr>
      <w:tr w:rsidR="005E1CA4" w:rsidRPr="0058401D" w14:paraId="32E70B03" w14:textId="77777777" w:rsidTr="000A427B">
        <w:trPr>
          <w:trHeight w:val="290"/>
        </w:trPr>
        <w:tc>
          <w:tcPr>
            <w:tcW w:w="1912" w:type="pct"/>
            <w:tcBorders>
              <w:bottom w:val="single" w:sz="4" w:space="0" w:color="auto"/>
            </w:tcBorders>
            <w:hideMark/>
          </w:tcPr>
          <w:p w14:paraId="16F6FBDC" w14:textId="77777777" w:rsidR="005E1CA4" w:rsidRPr="0058401D" w:rsidRDefault="005E1CA4" w:rsidP="000A427B">
            <w:pPr>
              <w:pStyle w:val="TableText"/>
            </w:pPr>
            <w:r w:rsidRPr="0058401D">
              <w:t xml:space="preserve">Total cost to the MBS </w:t>
            </w:r>
            <w:r>
              <w:t>of proposed Level 3 services</w:t>
            </w:r>
          </w:p>
        </w:tc>
        <w:tc>
          <w:tcPr>
            <w:tcW w:w="515" w:type="pct"/>
            <w:gridSpan w:val="2"/>
            <w:tcBorders>
              <w:bottom w:val="single" w:sz="4" w:space="0" w:color="auto"/>
            </w:tcBorders>
            <w:noWrap/>
            <w:hideMark/>
          </w:tcPr>
          <w:p w14:paraId="1C28EC4F" w14:textId="77777777" w:rsidR="005E1CA4" w:rsidRPr="0058401D" w:rsidRDefault="005E1CA4" w:rsidP="000A427B">
            <w:pPr>
              <w:pStyle w:val="TableText"/>
              <w:jc w:val="right"/>
            </w:pPr>
            <w:r w:rsidRPr="00731153">
              <w:t>$124,356</w:t>
            </w:r>
          </w:p>
        </w:tc>
        <w:tc>
          <w:tcPr>
            <w:tcW w:w="515" w:type="pct"/>
            <w:tcBorders>
              <w:bottom w:val="single" w:sz="4" w:space="0" w:color="auto"/>
            </w:tcBorders>
            <w:noWrap/>
            <w:hideMark/>
          </w:tcPr>
          <w:p w14:paraId="68FE4DD1" w14:textId="77777777" w:rsidR="005E1CA4" w:rsidRPr="0058401D" w:rsidRDefault="005E1CA4" w:rsidP="000A427B">
            <w:pPr>
              <w:pStyle w:val="TableText"/>
              <w:jc w:val="right"/>
            </w:pPr>
            <w:r w:rsidRPr="00731153">
              <w:t>$143,009</w:t>
            </w:r>
          </w:p>
        </w:tc>
        <w:tc>
          <w:tcPr>
            <w:tcW w:w="515" w:type="pct"/>
            <w:tcBorders>
              <w:bottom w:val="single" w:sz="4" w:space="0" w:color="auto"/>
            </w:tcBorders>
            <w:noWrap/>
            <w:hideMark/>
          </w:tcPr>
          <w:p w14:paraId="7EFC30D3" w14:textId="77777777" w:rsidR="005E1CA4" w:rsidRPr="0058401D" w:rsidRDefault="005E1CA4" w:rsidP="000A427B">
            <w:pPr>
              <w:pStyle w:val="TableText"/>
              <w:jc w:val="right"/>
            </w:pPr>
            <w:r w:rsidRPr="00731153">
              <w:t>$164,461</w:t>
            </w:r>
          </w:p>
        </w:tc>
        <w:tc>
          <w:tcPr>
            <w:tcW w:w="515" w:type="pct"/>
            <w:tcBorders>
              <w:bottom w:val="single" w:sz="4" w:space="0" w:color="auto"/>
            </w:tcBorders>
            <w:noWrap/>
            <w:hideMark/>
          </w:tcPr>
          <w:p w14:paraId="2BEA100E" w14:textId="77777777" w:rsidR="005E1CA4" w:rsidRPr="0058401D" w:rsidRDefault="005E1CA4" w:rsidP="000A427B">
            <w:pPr>
              <w:pStyle w:val="TableText"/>
              <w:jc w:val="right"/>
            </w:pPr>
            <w:r w:rsidRPr="00731153">
              <w:t>$189,130</w:t>
            </w:r>
          </w:p>
        </w:tc>
        <w:tc>
          <w:tcPr>
            <w:tcW w:w="515" w:type="pct"/>
            <w:tcBorders>
              <w:bottom w:val="single" w:sz="4" w:space="0" w:color="auto"/>
            </w:tcBorders>
            <w:noWrap/>
            <w:hideMark/>
          </w:tcPr>
          <w:p w14:paraId="4D76B73C" w14:textId="77777777" w:rsidR="005E1CA4" w:rsidRPr="0058401D" w:rsidRDefault="005E1CA4" w:rsidP="000A427B">
            <w:pPr>
              <w:pStyle w:val="TableText"/>
              <w:jc w:val="right"/>
            </w:pPr>
            <w:r w:rsidRPr="00731153">
              <w:t>$217,499</w:t>
            </w:r>
          </w:p>
        </w:tc>
        <w:tc>
          <w:tcPr>
            <w:tcW w:w="515" w:type="pct"/>
            <w:tcBorders>
              <w:bottom w:val="single" w:sz="4" w:space="0" w:color="auto"/>
            </w:tcBorders>
            <w:noWrap/>
            <w:hideMark/>
          </w:tcPr>
          <w:p w14:paraId="5E6063F1" w14:textId="77777777" w:rsidR="005E1CA4" w:rsidRPr="0058401D" w:rsidRDefault="005E1CA4" w:rsidP="000A427B">
            <w:pPr>
              <w:pStyle w:val="TableText"/>
              <w:jc w:val="right"/>
            </w:pPr>
            <w:r w:rsidRPr="00731153">
              <w:t>$250,124</w:t>
            </w:r>
          </w:p>
        </w:tc>
      </w:tr>
      <w:tr w:rsidR="005E1CA4" w:rsidRPr="0058401D" w14:paraId="21CDF83D" w14:textId="77777777" w:rsidTr="000A427B">
        <w:trPr>
          <w:trHeight w:val="290"/>
        </w:trPr>
        <w:tc>
          <w:tcPr>
            <w:tcW w:w="2277" w:type="pct"/>
            <w:gridSpan w:val="2"/>
            <w:tcBorders>
              <w:right w:val="nil"/>
            </w:tcBorders>
            <w:hideMark/>
          </w:tcPr>
          <w:p w14:paraId="649E5298" w14:textId="77777777" w:rsidR="005E1CA4" w:rsidRPr="0058401D" w:rsidRDefault="005E1CA4" w:rsidP="000A427B">
            <w:pPr>
              <w:pStyle w:val="TableHeading0"/>
            </w:pPr>
            <w:r w:rsidRPr="0058401D">
              <w:t xml:space="preserve">Additional testing due to failed Level </w:t>
            </w:r>
            <w:r>
              <w:t>3</w:t>
            </w:r>
            <w:r w:rsidRPr="0058401D">
              <w:t xml:space="preserve"> tests</w:t>
            </w:r>
          </w:p>
        </w:tc>
        <w:tc>
          <w:tcPr>
            <w:tcW w:w="149" w:type="pct"/>
            <w:tcBorders>
              <w:left w:val="nil"/>
              <w:right w:val="nil"/>
            </w:tcBorders>
            <w:noWrap/>
            <w:hideMark/>
          </w:tcPr>
          <w:p w14:paraId="28D38FA0" w14:textId="77777777" w:rsidR="005E1CA4" w:rsidRPr="0058401D" w:rsidRDefault="005E1CA4" w:rsidP="000A427B">
            <w:pPr>
              <w:pStyle w:val="TableHeading0"/>
              <w:jc w:val="right"/>
            </w:pPr>
          </w:p>
        </w:tc>
        <w:tc>
          <w:tcPr>
            <w:tcW w:w="515" w:type="pct"/>
            <w:tcBorders>
              <w:left w:val="nil"/>
              <w:right w:val="nil"/>
            </w:tcBorders>
            <w:noWrap/>
            <w:hideMark/>
          </w:tcPr>
          <w:p w14:paraId="5739B102" w14:textId="77777777" w:rsidR="005E1CA4" w:rsidRPr="0058401D" w:rsidRDefault="005E1CA4" w:rsidP="000A427B">
            <w:pPr>
              <w:pStyle w:val="TableHeading0"/>
              <w:jc w:val="right"/>
            </w:pPr>
          </w:p>
        </w:tc>
        <w:tc>
          <w:tcPr>
            <w:tcW w:w="515" w:type="pct"/>
            <w:tcBorders>
              <w:left w:val="nil"/>
              <w:right w:val="nil"/>
            </w:tcBorders>
            <w:noWrap/>
            <w:hideMark/>
          </w:tcPr>
          <w:p w14:paraId="5B48894B" w14:textId="77777777" w:rsidR="005E1CA4" w:rsidRPr="0058401D" w:rsidRDefault="005E1CA4" w:rsidP="000A427B">
            <w:pPr>
              <w:pStyle w:val="TableHeading0"/>
              <w:jc w:val="right"/>
            </w:pPr>
          </w:p>
        </w:tc>
        <w:tc>
          <w:tcPr>
            <w:tcW w:w="515" w:type="pct"/>
            <w:tcBorders>
              <w:left w:val="nil"/>
              <w:right w:val="nil"/>
            </w:tcBorders>
            <w:noWrap/>
            <w:hideMark/>
          </w:tcPr>
          <w:p w14:paraId="08C7EDD9" w14:textId="77777777" w:rsidR="005E1CA4" w:rsidRPr="0058401D" w:rsidRDefault="005E1CA4" w:rsidP="000A427B">
            <w:pPr>
              <w:pStyle w:val="TableHeading0"/>
              <w:jc w:val="right"/>
            </w:pPr>
          </w:p>
        </w:tc>
        <w:tc>
          <w:tcPr>
            <w:tcW w:w="515" w:type="pct"/>
            <w:tcBorders>
              <w:left w:val="nil"/>
              <w:right w:val="nil"/>
            </w:tcBorders>
            <w:noWrap/>
            <w:hideMark/>
          </w:tcPr>
          <w:p w14:paraId="78FC4B03" w14:textId="77777777" w:rsidR="005E1CA4" w:rsidRPr="0058401D" w:rsidRDefault="005E1CA4" w:rsidP="000A427B">
            <w:pPr>
              <w:pStyle w:val="TableHeading0"/>
              <w:jc w:val="right"/>
            </w:pPr>
          </w:p>
        </w:tc>
        <w:tc>
          <w:tcPr>
            <w:tcW w:w="515" w:type="pct"/>
            <w:tcBorders>
              <w:left w:val="nil"/>
            </w:tcBorders>
            <w:noWrap/>
            <w:hideMark/>
          </w:tcPr>
          <w:p w14:paraId="01D6A03D" w14:textId="77777777" w:rsidR="005E1CA4" w:rsidRPr="0058401D" w:rsidRDefault="005E1CA4" w:rsidP="000A427B">
            <w:pPr>
              <w:pStyle w:val="TableHeading0"/>
              <w:jc w:val="right"/>
            </w:pPr>
          </w:p>
        </w:tc>
      </w:tr>
      <w:tr w:rsidR="005E1CA4" w:rsidRPr="0058401D" w14:paraId="2AF9A7BD" w14:textId="77777777" w:rsidTr="000A427B">
        <w:trPr>
          <w:trHeight w:val="290"/>
        </w:trPr>
        <w:tc>
          <w:tcPr>
            <w:tcW w:w="1912" w:type="pct"/>
            <w:hideMark/>
          </w:tcPr>
          <w:p w14:paraId="75B8F8DA" w14:textId="77777777" w:rsidR="005E1CA4" w:rsidRPr="0058401D" w:rsidRDefault="005E1CA4" w:rsidP="000A427B">
            <w:pPr>
              <w:pStyle w:val="TableText"/>
            </w:pPr>
            <w:r w:rsidRPr="0058401D">
              <w:t xml:space="preserve">Number of first repeat Level 3 </w:t>
            </w:r>
            <w:proofErr w:type="spellStart"/>
            <w:r>
              <w:t>CRP</w:t>
            </w:r>
            <w:r w:rsidRPr="00CC7723">
              <w:rPr>
                <w:vertAlign w:val="superscript"/>
              </w:rPr>
              <w:t>a</w:t>
            </w:r>
            <w:proofErr w:type="spellEnd"/>
          </w:p>
        </w:tc>
        <w:tc>
          <w:tcPr>
            <w:tcW w:w="515" w:type="pct"/>
            <w:gridSpan w:val="2"/>
            <w:noWrap/>
            <w:hideMark/>
          </w:tcPr>
          <w:p w14:paraId="542FB8FB" w14:textId="77777777" w:rsidR="005E1CA4" w:rsidRPr="0058401D" w:rsidRDefault="005E1CA4" w:rsidP="000A427B">
            <w:pPr>
              <w:pStyle w:val="TableText"/>
              <w:jc w:val="right"/>
            </w:pPr>
            <w:r w:rsidRPr="00731153">
              <w:t>3</w:t>
            </w:r>
            <w:r>
              <w:t>9</w:t>
            </w:r>
          </w:p>
        </w:tc>
        <w:tc>
          <w:tcPr>
            <w:tcW w:w="515" w:type="pct"/>
            <w:noWrap/>
            <w:hideMark/>
          </w:tcPr>
          <w:p w14:paraId="45D863B4" w14:textId="77777777" w:rsidR="005E1CA4" w:rsidRPr="0058401D" w:rsidRDefault="005E1CA4" w:rsidP="000A427B">
            <w:pPr>
              <w:pStyle w:val="TableText"/>
              <w:jc w:val="right"/>
            </w:pPr>
            <w:r>
              <w:t>45</w:t>
            </w:r>
          </w:p>
        </w:tc>
        <w:tc>
          <w:tcPr>
            <w:tcW w:w="515" w:type="pct"/>
            <w:noWrap/>
            <w:hideMark/>
          </w:tcPr>
          <w:p w14:paraId="1975C729" w14:textId="77777777" w:rsidR="005E1CA4" w:rsidRPr="0058401D" w:rsidRDefault="005E1CA4" w:rsidP="000A427B">
            <w:pPr>
              <w:pStyle w:val="TableText"/>
              <w:jc w:val="right"/>
            </w:pPr>
            <w:r>
              <w:t>51</w:t>
            </w:r>
          </w:p>
        </w:tc>
        <w:tc>
          <w:tcPr>
            <w:tcW w:w="515" w:type="pct"/>
            <w:noWrap/>
            <w:hideMark/>
          </w:tcPr>
          <w:p w14:paraId="56663068" w14:textId="77777777" w:rsidR="005E1CA4" w:rsidRPr="0058401D" w:rsidRDefault="005E1CA4" w:rsidP="000A427B">
            <w:pPr>
              <w:pStyle w:val="TableText"/>
              <w:jc w:val="right"/>
            </w:pPr>
            <w:r>
              <w:t>5</w:t>
            </w:r>
            <w:r w:rsidRPr="00731153">
              <w:t>9</w:t>
            </w:r>
          </w:p>
        </w:tc>
        <w:tc>
          <w:tcPr>
            <w:tcW w:w="515" w:type="pct"/>
            <w:noWrap/>
            <w:hideMark/>
          </w:tcPr>
          <w:p w14:paraId="295BEEAF" w14:textId="77777777" w:rsidR="005E1CA4" w:rsidRPr="0058401D" w:rsidRDefault="005E1CA4" w:rsidP="000A427B">
            <w:pPr>
              <w:pStyle w:val="TableText"/>
              <w:jc w:val="right"/>
            </w:pPr>
            <w:r>
              <w:t>68</w:t>
            </w:r>
          </w:p>
        </w:tc>
        <w:tc>
          <w:tcPr>
            <w:tcW w:w="515" w:type="pct"/>
            <w:noWrap/>
            <w:hideMark/>
          </w:tcPr>
          <w:p w14:paraId="46E06E70" w14:textId="77777777" w:rsidR="005E1CA4" w:rsidRPr="0058401D" w:rsidRDefault="005E1CA4" w:rsidP="000A427B">
            <w:pPr>
              <w:pStyle w:val="TableText"/>
              <w:jc w:val="right"/>
            </w:pPr>
            <w:r>
              <w:t>77</w:t>
            </w:r>
          </w:p>
        </w:tc>
      </w:tr>
      <w:tr w:rsidR="005E1CA4" w:rsidRPr="0058401D" w14:paraId="3F4ED249" w14:textId="77777777" w:rsidTr="000A427B">
        <w:trPr>
          <w:trHeight w:val="290"/>
        </w:trPr>
        <w:tc>
          <w:tcPr>
            <w:tcW w:w="1912" w:type="pct"/>
            <w:hideMark/>
          </w:tcPr>
          <w:p w14:paraId="46A4CA76" w14:textId="77777777" w:rsidR="005E1CA4" w:rsidRPr="0058401D" w:rsidRDefault="005E1CA4" w:rsidP="000A427B">
            <w:pPr>
              <w:pStyle w:val="TableText"/>
            </w:pPr>
            <w:r w:rsidRPr="0058401D">
              <w:t xml:space="preserve">Number of second repeat Level 3 </w:t>
            </w:r>
            <w:proofErr w:type="spellStart"/>
            <w:r>
              <w:t>CRP</w:t>
            </w:r>
            <w:r w:rsidRPr="00CC7723">
              <w:rPr>
                <w:vertAlign w:val="superscript"/>
              </w:rPr>
              <w:t>a</w:t>
            </w:r>
            <w:proofErr w:type="spellEnd"/>
          </w:p>
        </w:tc>
        <w:tc>
          <w:tcPr>
            <w:tcW w:w="515" w:type="pct"/>
            <w:gridSpan w:val="2"/>
            <w:noWrap/>
            <w:hideMark/>
          </w:tcPr>
          <w:p w14:paraId="3AF7F1AD" w14:textId="77777777" w:rsidR="005E1CA4" w:rsidRPr="0058401D" w:rsidRDefault="005E1CA4" w:rsidP="000A427B">
            <w:pPr>
              <w:pStyle w:val="TableText"/>
              <w:jc w:val="right"/>
            </w:pPr>
            <w:r w:rsidRPr="00731153">
              <w:t>0</w:t>
            </w:r>
          </w:p>
        </w:tc>
        <w:tc>
          <w:tcPr>
            <w:tcW w:w="515" w:type="pct"/>
            <w:noWrap/>
            <w:hideMark/>
          </w:tcPr>
          <w:p w14:paraId="54FF4766" w14:textId="77777777" w:rsidR="005E1CA4" w:rsidRPr="0058401D" w:rsidRDefault="005E1CA4" w:rsidP="000A427B">
            <w:pPr>
              <w:pStyle w:val="TableText"/>
              <w:jc w:val="right"/>
            </w:pPr>
            <w:r w:rsidRPr="00731153">
              <w:t>0</w:t>
            </w:r>
          </w:p>
        </w:tc>
        <w:tc>
          <w:tcPr>
            <w:tcW w:w="515" w:type="pct"/>
            <w:noWrap/>
            <w:hideMark/>
          </w:tcPr>
          <w:p w14:paraId="6062EDD1" w14:textId="77777777" w:rsidR="005E1CA4" w:rsidRPr="0058401D" w:rsidRDefault="005E1CA4" w:rsidP="000A427B">
            <w:pPr>
              <w:pStyle w:val="TableText"/>
              <w:jc w:val="right"/>
            </w:pPr>
            <w:r w:rsidRPr="00731153">
              <w:t>0</w:t>
            </w:r>
          </w:p>
        </w:tc>
        <w:tc>
          <w:tcPr>
            <w:tcW w:w="515" w:type="pct"/>
            <w:noWrap/>
            <w:hideMark/>
          </w:tcPr>
          <w:p w14:paraId="4E4A5BFE" w14:textId="77777777" w:rsidR="005E1CA4" w:rsidRPr="0058401D" w:rsidRDefault="005E1CA4" w:rsidP="000A427B">
            <w:pPr>
              <w:pStyle w:val="TableText"/>
              <w:jc w:val="right"/>
            </w:pPr>
            <w:r w:rsidRPr="00731153">
              <w:t>0</w:t>
            </w:r>
          </w:p>
        </w:tc>
        <w:tc>
          <w:tcPr>
            <w:tcW w:w="515" w:type="pct"/>
            <w:noWrap/>
            <w:hideMark/>
          </w:tcPr>
          <w:p w14:paraId="15B7FCC9" w14:textId="77777777" w:rsidR="005E1CA4" w:rsidRPr="0058401D" w:rsidRDefault="005E1CA4" w:rsidP="000A427B">
            <w:pPr>
              <w:pStyle w:val="TableText"/>
              <w:jc w:val="right"/>
            </w:pPr>
            <w:r w:rsidRPr="00731153">
              <w:t>0</w:t>
            </w:r>
          </w:p>
        </w:tc>
        <w:tc>
          <w:tcPr>
            <w:tcW w:w="515" w:type="pct"/>
            <w:noWrap/>
            <w:hideMark/>
          </w:tcPr>
          <w:p w14:paraId="4E6978DF" w14:textId="77777777" w:rsidR="005E1CA4" w:rsidRPr="0058401D" w:rsidRDefault="005E1CA4" w:rsidP="000A427B">
            <w:pPr>
              <w:pStyle w:val="TableText"/>
              <w:jc w:val="right"/>
            </w:pPr>
            <w:r w:rsidRPr="00731153">
              <w:t>0</w:t>
            </w:r>
          </w:p>
        </w:tc>
      </w:tr>
      <w:tr w:rsidR="005E1CA4" w:rsidRPr="0058401D" w14:paraId="0B9B0809" w14:textId="77777777" w:rsidTr="000A427B">
        <w:trPr>
          <w:trHeight w:val="290"/>
        </w:trPr>
        <w:tc>
          <w:tcPr>
            <w:tcW w:w="1912" w:type="pct"/>
            <w:hideMark/>
          </w:tcPr>
          <w:p w14:paraId="4DE61B1A" w14:textId="77777777" w:rsidR="005E1CA4" w:rsidRPr="0058401D" w:rsidRDefault="005E1CA4" w:rsidP="000A427B">
            <w:pPr>
              <w:pStyle w:val="TableText"/>
            </w:pPr>
            <w:r w:rsidRPr="0058401D">
              <w:t xml:space="preserve">Total cost to the MBS </w:t>
            </w:r>
            <w:r>
              <w:t>of Level 3 repeat testing</w:t>
            </w:r>
          </w:p>
        </w:tc>
        <w:tc>
          <w:tcPr>
            <w:tcW w:w="515" w:type="pct"/>
            <w:gridSpan w:val="2"/>
            <w:noWrap/>
            <w:hideMark/>
          </w:tcPr>
          <w:p w14:paraId="0FAA9375" w14:textId="77777777" w:rsidR="005E1CA4" w:rsidRPr="0058401D" w:rsidRDefault="005E1CA4" w:rsidP="000A427B">
            <w:pPr>
              <w:pStyle w:val="TableText"/>
              <w:jc w:val="right"/>
            </w:pPr>
            <w:r w:rsidRPr="00E27BB8">
              <w:t>$9,746</w:t>
            </w:r>
          </w:p>
        </w:tc>
        <w:tc>
          <w:tcPr>
            <w:tcW w:w="515" w:type="pct"/>
            <w:noWrap/>
            <w:hideMark/>
          </w:tcPr>
          <w:p w14:paraId="1DE7AF45" w14:textId="77777777" w:rsidR="005E1CA4" w:rsidRPr="0058401D" w:rsidRDefault="005E1CA4" w:rsidP="000A427B">
            <w:pPr>
              <w:pStyle w:val="TableText"/>
              <w:jc w:val="right"/>
            </w:pPr>
            <w:r w:rsidRPr="00E27BB8">
              <w:t>$11,208</w:t>
            </w:r>
          </w:p>
        </w:tc>
        <w:tc>
          <w:tcPr>
            <w:tcW w:w="515" w:type="pct"/>
            <w:noWrap/>
            <w:hideMark/>
          </w:tcPr>
          <w:p w14:paraId="5C3BB3A5" w14:textId="77777777" w:rsidR="005E1CA4" w:rsidRPr="0058401D" w:rsidRDefault="005E1CA4" w:rsidP="000A427B">
            <w:pPr>
              <w:pStyle w:val="TableText"/>
              <w:jc w:val="right"/>
            </w:pPr>
            <w:r w:rsidRPr="00E27BB8">
              <w:t>$12,890</w:t>
            </w:r>
          </w:p>
        </w:tc>
        <w:tc>
          <w:tcPr>
            <w:tcW w:w="515" w:type="pct"/>
            <w:noWrap/>
            <w:hideMark/>
          </w:tcPr>
          <w:p w14:paraId="7967A903" w14:textId="77777777" w:rsidR="005E1CA4" w:rsidRPr="0058401D" w:rsidRDefault="005E1CA4" w:rsidP="000A427B">
            <w:pPr>
              <w:pStyle w:val="TableText"/>
              <w:jc w:val="right"/>
            </w:pPr>
            <w:r w:rsidRPr="00E27BB8">
              <w:t>$14,823</w:t>
            </w:r>
          </w:p>
        </w:tc>
        <w:tc>
          <w:tcPr>
            <w:tcW w:w="515" w:type="pct"/>
            <w:noWrap/>
            <w:hideMark/>
          </w:tcPr>
          <w:p w14:paraId="18CBE3C2" w14:textId="77777777" w:rsidR="005E1CA4" w:rsidRPr="0058401D" w:rsidRDefault="005E1CA4" w:rsidP="000A427B">
            <w:pPr>
              <w:pStyle w:val="TableText"/>
              <w:jc w:val="right"/>
            </w:pPr>
            <w:r w:rsidRPr="00E27BB8">
              <w:t>$17,046</w:t>
            </w:r>
          </w:p>
        </w:tc>
        <w:tc>
          <w:tcPr>
            <w:tcW w:w="515" w:type="pct"/>
            <w:noWrap/>
            <w:hideMark/>
          </w:tcPr>
          <w:p w14:paraId="60ED5321" w14:textId="77777777" w:rsidR="005E1CA4" w:rsidRPr="0058401D" w:rsidRDefault="005E1CA4" w:rsidP="000A427B">
            <w:pPr>
              <w:pStyle w:val="TableText"/>
              <w:jc w:val="right"/>
            </w:pPr>
            <w:r w:rsidRPr="00E27BB8">
              <w:t>$19,603</w:t>
            </w:r>
          </w:p>
        </w:tc>
      </w:tr>
      <w:tr w:rsidR="005E1CA4" w:rsidRPr="00A47798" w14:paraId="7DC66489" w14:textId="77777777" w:rsidTr="000A427B">
        <w:trPr>
          <w:trHeight w:val="290"/>
        </w:trPr>
        <w:tc>
          <w:tcPr>
            <w:tcW w:w="1912" w:type="pct"/>
            <w:hideMark/>
          </w:tcPr>
          <w:p w14:paraId="558FFC16" w14:textId="77777777" w:rsidR="005E1CA4" w:rsidRPr="00A47798" w:rsidRDefault="005E1CA4" w:rsidP="000A427B">
            <w:pPr>
              <w:pStyle w:val="TableText"/>
              <w:rPr>
                <w:b/>
                <w:bCs/>
              </w:rPr>
            </w:pPr>
            <w:r w:rsidRPr="00A47798">
              <w:rPr>
                <w:b/>
                <w:bCs/>
              </w:rPr>
              <w:t>Net financial impact to the MBS</w:t>
            </w:r>
          </w:p>
        </w:tc>
        <w:tc>
          <w:tcPr>
            <w:tcW w:w="515" w:type="pct"/>
            <w:gridSpan w:val="2"/>
            <w:noWrap/>
            <w:hideMark/>
          </w:tcPr>
          <w:p w14:paraId="0FC6C863" w14:textId="77777777" w:rsidR="005E1CA4" w:rsidRPr="007657B5" w:rsidRDefault="005E1CA4" w:rsidP="000A427B">
            <w:pPr>
              <w:pStyle w:val="TableText"/>
              <w:jc w:val="right"/>
              <w:rPr>
                <w:b/>
                <w:bCs/>
              </w:rPr>
            </w:pPr>
            <w:r w:rsidRPr="007657B5">
              <w:rPr>
                <w:b/>
                <w:bCs/>
              </w:rPr>
              <w:t>$134,102</w:t>
            </w:r>
          </w:p>
        </w:tc>
        <w:tc>
          <w:tcPr>
            <w:tcW w:w="515" w:type="pct"/>
            <w:noWrap/>
            <w:hideMark/>
          </w:tcPr>
          <w:p w14:paraId="5802431F" w14:textId="77777777" w:rsidR="005E1CA4" w:rsidRPr="007657B5" w:rsidRDefault="005E1CA4" w:rsidP="000A427B">
            <w:pPr>
              <w:pStyle w:val="TableText"/>
              <w:jc w:val="right"/>
              <w:rPr>
                <w:b/>
                <w:bCs/>
              </w:rPr>
            </w:pPr>
            <w:r w:rsidRPr="007657B5">
              <w:rPr>
                <w:b/>
                <w:bCs/>
              </w:rPr>
              <w:t>$154,218</w:t>
            </w:r>
          </w:p>
        </w:tc>
        <w:tc>
          <w:tcPr>
            <w:tcW w:w="515" w:type="pct"/>
            <w:noWrap/>
            <w:hideMark/>
          </w:tcPr>
          <w:p w14:paraId="69D5EF33" w14:textId="77777777" w:rsidR="005E1CA4" w:rsidRPr="007657B5" w:rsidRDefault="005E1CA4" w:rsidP="000A427B">
            <w:pPr>
              <w:pStyle w:val="TableText"/>
              <w:jc w:val="right"/>
              <w:rPr>
                <w:b/>
                <w:bCs/>
              </w:rPr>
            </w:pPr>
            <w:r w:rsidRPr="007657B5">
              <w:rPr>
                <w:b/>
                <w:bCs/>
              </w:rPr>
              <w:t>$177,350</w:t>
            </w:r>
          </w:p>
        </w:tc>
        <w:tc>
          <w:tcPr>
            <w:tcW w:w="515" w:type="pct"/>
            <w:noWrap/>
            <w:hideMark/>
          </w:tcPr>
          <w:p w14:paraId="4F4669CB" w14:textId="77777777" w:rsidR="005E1CA4" w:rsidRPr="007657B5" w:rsidRDefault="005E1CA4" w:rsidP="000A427B">
            <w:pPr>
              <w:pStyle w:val="TableText"/>
              <w:jc w:val="right"/>
              <w:rPr>
                <w:b/>
                <w:bCs/>
              </w:rPr>
            </w:pPr>
            <w:r w:rsidRPr="007657B5">
              <w:rPr>
                <w:b/>
                <w:bCs/>
              </w:rPr>
              <w:t>$203,953</w:t>
            </w:r>
          </w:p>
        </w:tc>
        <w:tc>
          <w:tcPr>
            <w:tcW w:w="515" w:type="pct"/>
            <w:noWrap/>
            <w:hideMark/>
          </w:tcPr>
          <w:p w14:paraId="5B556AA9" w14:textId="77777777" w:rsidR="005E1CA4" w:rsidRPr="007657B5" w:rsidRDefault="005E1CA4" w:rsidP="000A427B">
            <w:pPr>
              <w:pStyle w:val="TableText"/>
              <w:jc w:val="right"/>
              <w:rPr>
                <w:b/>
                <w:bCs/>
              </w:rPr>
            </w:pPr>
            <w:r w:rsidRPr="007657B5">
              <w:rPr>
                <w:b/>
                <w:bCs/>
              </w:rPr>
              <w:t>$234,546</w:t>
            </w:r>
          </w:p>
        </w:tc>
        <w:tc>
          <w:tcPr>
            <w:tcW w:w="515" w:type="pct"/>
            <w:noWrap/>
            <w:hideMark/>
          </w:tcPr>
          <w:p w14:paraId="76E9AE08" w14:textId="77777777" w:rsidR="005E1CA4" w:rsidRPr="007657B5" w:rsidRDefault="005E1CA4" w:rsidP="000A427B">
            <w:pPr>
              <w:pStyle w:val="TableText"/>
              <w:jc w:val="right"/>
              <w:rPr>
                <w:b/>
                <w:bCs/>
              </w:rPr>
            </w:pPr>
            <w:r w:rsidRPr="007657B5">
              <w:rPr>
                <w:b/>
                <w:bCs/>
              </w:rPr>
              <w:t>$269,728</w:t>
            </w:r>
          </w:p>
        </w:tc>
      </w:tr>
    </w:tbl>
    <w:p w14:paraId="3F0BD0E2" w14:textId="77777777" w:rsidR="005E1CA4" w:rsidRDefault="005E1CA4" w:rsidP="005E1CA4">
      <w:pPr>
        <w:pStyle w:val="TableFigNoteLast"/>
      </w:pPr>
      <w:r>
        <w:lastRenderedPageBreak/>
        <w:t>CRP=cardiorespiratory polygraphy; MBS = Medicare Benefits Schedule.</w:t>
      </w:r>
    </w:p>
    <w:p w14:paraId="43594458" w14:textId="77777777" w:rsidR="005E1CA4" w:rsidRDefault="005E1CA4" w:rsidP="005E1CA4">
      <w:pPr>
        <w:pStyle w:val="TableFigNoteLast"/>
      </w:pPr>
      <w:proofErr w:type="spellStart"/>
      <w:r w:rsidRPr="00CC7723">
        <w:rPr>
          <w:vertAlign w:val="superscript"/>
        </w:rPr>
        <w:t>a</w:t>
      </w:r>
      <w:proofErr w:type="spellEnd"/>
      <w:r>
        <w:t xml:space="preserve"> It is assumed that half of Level 3 test failures repeat a Level 2 CRP and half have no further testing. The same assumption is applied following a second test failure, however a third test failure is assumed to not undergo further testing. The same test failure rate as used in the economic analysis has been applied.</w:t>
      </w:r>
    </w:p>
    <w:p w14:paraId="529FC06E" w14:textId="77777777" w:rsidR="005E1CA4" w:rsidRDefault="005E1CA4" w:rsidP="005E1CA4">
      <w:pPr>
        <w:pStyle w:val="ESHeading3"/>
      </w:pPr>
      <w:r>
        <w:t>PICO Set 3</w:t>
      </w:r>
    </w:p>
    <w:p w14:paraId="55A61B58" w14:textId="58C3EC6D" w:rsidR="005E1CA4" w:rsidRPr="00395DB7" w:rsidRDefault="005E1CA4" w:rsidP="005E1CA4">
      <w:pPr>
        <w:rPr>
          <w:rFonts w:ascii="Franklin Gothic Book" w:hAnsi="Franklin Gothic Book"/>
        </w:rPr>
      </w:pPr>
      <w:r w:rsidRPr="00395DB7">
        <w:rPr>
          <w:rFonts w:ascii="Franklin Gothic Book" w:hAnsi="Franklin Gothic Book"/>
        </w:rPr>
        <w:t>The size of the population for PICO Set 2 has been informed by data provided by the applicant estimating 1,045 children and adolescents required breathing support in Australia in 2019. This is consistent with Australian epidemiological data, which estimated 538 paediatric patients required non-invasive ventilation in Australia in 2007—08, a substantial increase from 156 in 1997— 98 (Edwards &amp; Nixon 2013</w:t>
      </w:r>
      <w:r w:rsidR="00267BF2">
        <w:rPr>
          <w:rStyle w:val="FootnoteReference"/>
          <w:rFonts w:ascii="Franklin Gothic Book" w:hAnsi="Franklin Gothic Book"/>
        </w:rPr>
        <w:footnoteReference w:id="29"/>
      </w:r>
      <w:r w:rsidRPr="00395DB7">
        <w:rPr>
          <w:rFonts w:ascii="Franklin Gothic Book" w:hAnsi="Franklin Gothic Book"/>
        </w:rPr>
        <w:t>). Half of these were estimated to be suitable for out-of-laboratory monitoring.</w:t>
      </w:r>
    </w:p>
    <w:p w14:paraId="6073E193" w14:textId="4717D3EA" w:rsidR="005E1CA4" w:rsidRPr="00395DB7" w:rsidRDefault="005E1CA4" w:rsidP="005E1CA4">
      <w:pPr>
        <w:rPr>
          <w:rFonts w:ascii="Franklin Gothic Book" w:hAnsi="Franklin Gothic Book"/>
        </w:rPr>
      </w:pPr>
      <w:r w:rsidRPr="00395DB7">
        <w:rPr>
          <w:rFonts w:ascii="Franklin Gothic Book" w:hAnsi="Franklin Gothic Book"/>
        </w:rPr>
        <w:t xml:space="preserve">The financial implications to the MBS resulting from the proposed listing of out-of-laboratory Level 3 CRP services for monitoring are summarised in </w:t>
      </w:r>
      <w:r w:rsidRPr="00395DB7">
        <w:rPr>
          <w:rFonts w:ascii="Franklin Gothic Book" w:hAnsi="Franklin Gothic Book"/>
        </w:rPr>
        <w:fldChar w:fldCharType="begin"/>
      </w:r>
      <w:r w:rsidRPr="00395DB7">
        <w:rPr>
          <w:rFonts w:ascii="Franklin Gothic Book" w:hAnsi="Franklin Gothic Book"/>
        </w:rPr>
        <w:instrText xml:space="preserve"> REF _Ref150271279 \h </w:instrText>
      </w:r>
      <w:r w:rsidR="00395DB7">
        <w:rPr>
          <w:rFonts w:ascii="Franklin Gothic Book" w:hAnsi="Franklin Gothic Book"/>
        </w:rPr>
        <w:instrText xml:space="preserve"> \* MERGEFORMAT </w:instrText>
      </w:r>
      <w:r w:rsidRPr="00395DB7">
        <w:rPr>
          <w:rFonts w:ascii="Franklin Gothic Book" w:hAnsi="Franklin Gothic Book"/>
        </w:rPr>
      </w:r>
      <w:r w:rsidRPr="00395DB7">
        <w:rPr>
          <w:rFonts w:ascii="Franklin Gothic Book" w:hAnsi="Franklin Gothic Book"/>
        </w:rPr>
        <w:fldChar w:fldCharType="separate"/>
      </w:r>
      <w:r w:rsidRPr="00395DB7">
        <w:rPr>
          <w:rFonts w:ascii="Franklin Gothic Book" w:hAnsi="Franklin Gothic Book"/>
        </w:rPr>
        <w:t xml:space="preserve">Table </w:t>
      </w:r>
      <w:r w:rsidRPr="00395DB7">
        <w:rPr>
          <w:rFonts w:ascii="Franklin Gothic Book" w:hAnsi="Franklin Gothic Book"/>
          <w:noProof/>
        </w:rPr>
        <w:t>20</w:t>
      </w:r>
      <w:r w:rsidRPr="00395DB7">
        <w:rPr>
          <w:rFonts w:ascii="Franklin Gothic Book" w:hAnsi="Franklin Gothic Book"/>
        </w:rPr>
        <w:fldChar w:fldCharType="end"/>
      </w:r>
      <w:r w:rsidRPr="00395DB7">
        <w:rPr>
          <w:rFonts w:ascii="Franklin Gothic Book" w:hAnsi="Franklin Gothic Book"/>
        </w:rPr>
        <w:t>. The net financial impact to the MBS is a cost saving due to the substitution of Level 3 for Level 1 monitoring studies; estimated to be $364,624 in 2023—24, rising to a saving of $465,362 in financial year 2028—29.</w:t>
      </w:r>
    </w:p>
    <w:p w14:paraId="58A19FBD" w14:textId="77777777" w:rsidR="005E1CA4" w:rsidRPr="00395DB7" w:rsidRDefault="005E1CA4" w:rsidP="005E1CA4">
      <w:pPr>
        <w:rPr>
          <w:rFonts w:ascii="Franklin Gothic Book" w:hAnsi="Franklin Gothic Book"/>
        </w:rPr>
      </w:pPr>
      <w:r w:rsidRPr="00395DB7">
        <w:rPr>
          <w:rFonts w:ascii="Franklin Gothic Book" w:hAnsi="Franklin Gothic Book"/>
        </w:rPr>
        <w:t>The main source of uncertainty is the number of monitoring tests that would be undertaken each year in the intervention and comparator scenarios and whether these would differ. If currently half of recommended monitoring visits are undertaken but the introduction of Level 3 CRP monitoring results in all patients undergoing recommended monitoring, then the substitution rate would be two Level 3 CRPs for every one Level 1 PSG, thereby reducing the cost saving to $56,096 in 2023—24 to $71,594 in 2028—29.</w:t>
      </w:r>
    </w:p>
    <w:p w14:paraId="4B79FF9C" w14:textId="618B9FBC" w:rsidR="005E1CA4" w:rsidRDefault="005E1CA4" w:rsidP="005E1CA4">
      <w:pPr>
        <w:pStyle w:val="Caption"/>
      </w:pPr>
      <w:bookmarkStart w:id="60" w:name="_Ref150271279"/>
      <w:r>
        <w:t xml:space="preserve">Table </w:t>
      </w:r>
      <w:fldSimple w:instr=" SEQ Table \* ARABIC ">
        <w:r>
          <w:rPr>
            <w:noProof/>
          </w:rPr>
          <w:t>20</w:t>
        </w:r>
      </w:fldSimple>
      <w:bookmarkEnd w:id="60"/>
      <w:r>
        <w:tab/>
        <w:t>Net financial implications of PICO Set 3 monitoring out-of-laboratory Level 3 CRP to the MBS</w:t>
      </w:r>
    </w:p>
    <w:tbl>
      <w:tblPr>
        <w:tblStyle w:val="TableGrid"/>
        <w:tblW w:w="0" w:type="auto"/>
        <w:tblLayout w:type="fixed"/>
        <w:tblLook w:val="04A0" w:firstRow="1" w:lastRow="0" w:firstColumn="1" w:lastColumn="0" w:noHBand="0" w:noVBand="1"/>
        <w:tblCaption w:val="Net financial implications of PICO Set 3 monitoring out-of-laboratory Level 3 CRP to the MBS"/>
        <w:tblDescription w:val="Estimated use and cost of the proposed services, change in use and cost of other services, and net financial impact to the MBS are shown for the financial years 2023-24 through to 2028-29. "/>
      </w:tblPr>
      <w:tblGrid>
        <w:gridCol w:w="2947"/>
        <w:gridCol w:w="592"/>
        <w:gridCol w:w="419"/>
        <w:gridCol w:w="148"/>
        <w:gridCol w:w="567"/>
        <w:gridCol w:w="297"/>
        <w:gridCol w:w="1011"/>
        <w:gridCol w:w="1012"/>
        <w:gridCol w:w="1011"/>
        <w:gridCol w:w="1012"/>
      </w:tblGrid>
      <w:tr w:rsidR="005E1CA4" w:rsidRPr="005F78C7" w14:paraId="07F439D5" w14:textId="77777777" w:rsidTr="000A427B">
        <w:trPr>
          <w:trHeight w:val="290"/>
          <w:tblHeader/>
        </w:trPr>
        <w:tc>
          <w:tcPr>
            <w:tcW w:w="2947" w:type="dxa"/>
            <w:tcBorders>
              <w:bottom w:val="single" w:sz="4" w:space="0" w:color="auto"/>
            </w:tcBorders>
            <w:hideMark/>
          </w:tcPr>
          <w:p w14:paraId="224FD75E" w14:textId="77777777" w:rsidR="005E1CA4" w:rsidRPr="005F78C7" w:rsidRDefault="005E1CA4" w:rsidP="000A427B">
            <w:pPr>
              <w:pStyle w:val="TableHeading0"/>
              <w:keepNext/>
            </w:pPr>
            <w:r w:rsidRPr="005F78C7">
              <w:t>Parameter</w:t>
            </w:r>
          </w:p>
        </w:tc>
        <w:tc>
          <w:tcPr>
            <w:tcW w:w="1011" w:type="dxa"/>
            <w:gridSpan w:val="2"/>
            <w:tcBorders>
              <w:bottom w:val="single" w:sz="4" w:space="0" w:color="auto"/>
            </w:tcBorders>
            <w:noWrap/>
            <w:hideMark/>
          </w:tcPr>
          <w:p w14:paraId="6C0606DD" w14:textId="77777777" w:rsidR="005E1CA4" w:rsidRPr="005F78C7" w:rsidRDefault="005E1CA4" w:rsidP="000A427B">
            <w:pPr>
              <w:pStyle w:val="TableHeading0"/>
              <w:keepNext/>
              <w:jc w:val="right"/>
            </w:pPr>
            <w:r w:rsidRPr="005F78C7">
              <w:t>2023</w:t>
            </w:r>
            <w:r>
              <w:t>—</w:t>
            </w:r>
            <w:r w:rsidRPr="005F78C7">
              <w:t>24</w:t>
            </w:r>
          </w:p>
        </w:tc>
        <w:tc>
          <w:tcPr>
            <w:tcW w:w="1012" w:type="dxa"/>
            <w:gridSpan w:val="3"/>
            <w:tcBorders>
              <w:bottom w:val="single" w:sz="4" w:space="0" w:color="auto"/>
            </w:tcBorders>
            <w:noWrap/>
            <w:hideMark/>
          </w:tcPr>
          <w:p w14:paraId="3E4244B2" w14:textId="77777777" w:rsidR="005E1CA4" w:rsidRPr="005F78C7" w:rsidRDefault="005E1CA4" w:rsidP="000A427B">
            <w:pPr>
              <w:pStyle w:val="TableHeading0"/>
              <w:keepNext/>
              <w:jc w:val="right"/>
            </w:pPr>
            <w:r w:rsidRPr="005F78C7">
              <w:t>2024</w:t>
            </w:r>
            <w:r>
              <w:t>—</w:t>
            </w:r>
            <w:r w:rsidRPr="005F78C7">
              <w:t>25</w:t>
            </w:r>
          </w:p>
        </w:tc>
        <w:tc>
          <w:tcPr>
            <w:tcW w:w="1011" w:type="dxa"/>
            <w:tcBorders>
              <w:bottom w:val="single" w:sz="4" w:space="0" w:color="auto"/>
            </w:tcBorders>
            <w:noWrap/>
            <w:hideMark/>
          </w:tcPr>
          <w:p w14:paraId="0F52369C" w14:textId="77777777" w:rsidR="005E1CA4" w:rsidRPr="005F78C7" w:rsidRDefault="005E1CA4" w:rsidP="000A427B">
            <w:pPr>
              <w:pStyle w:val="TableHeading0"/>
              <w:keepNext/>
              <w:jc w:val="right"/>
            </w:pPr>
            <w:r w:rsidRPr="005F78C7">
              <w:t>2025</w:t>
            </w:r>
            <w:r>
              <w:t>—</w:t>
            </w:r>
            <w:r w:rsidRPr="005F78C7">
              <w:t>26</w:t>
            </w:r>
          </w:p>
        </w:tc>
        <w:tc>
          <w:tcPr>
            <w:tcW w:w="1012" w:type="dxa"/>
            <w:tcBorders>
              <w:bottom w:val="single" w:sz="4" w:space="0" w:color="auto"/>
            </w:tcBorders>
            <w:noWrap/>
            <w:hideMark/>
          </w:tcPr>
          <w:p w14:paraId="6005BF42" w14:textId="77777777" w:rsidR="005E1CA4" w:rsidRPr="005F78C7" w:rsidRDefault="005E1CA4" w:rsidP="000A427B">
            <w:pPr>
              <w:pStyle w:val="TableHeading0"/>
              <w:keepNext/>
              <w:jc w:val="right"/>
            </w:pPr>
            <w:r w:rsidRPr="005F78C7">
              <w:t>2026</w:t>
            </w:r>
            <w:r>
              <w:t>—</w:t>
            </w:r>
            <w:r w:rsidRPr="005F78C7">
              <w:t>27</w:t>
            </w:r>
          </w:p>
        </w:tc>
        <w:tc>
          <w:tcPr>
            <w:tcW w:w="1011" w:type="dxa"/>
            <w:tcBorders>
              <w:bottom w:val="single" w:sz="4" w:space="0" w:color="auto"/>
            </w:tcBorders>
            <w:noWrap/>
            <w:hideMark/>
          </w:tcPr>
          <w:p w14:paraId="578736D8" w14:textId="77777777" w:rsidR="005E1CA4" w:rsidRPr="005F78C7" w:rsidRDefault="005E1CA4" w:rsidP="000A427B">
            <w:pPr>
              <w:pStyle w:val="TableHeading0"/>
              <w:keepNext/>
              <w:jc w:val="right"/>
            </w:pPr>
            <w:r w:rsidRPr="005F78C7">
              <w:t>2027</w:t>
            </w:r>
            <w:r>
              <w:t>—</w:t>
            </w:r>
            <w:r w:rsidRPr="005F78C7">
              <w:t>28</w:t>
            </w:r>
          </w:p>
        </w:tc>
        <w:tc>
          <w:tcPr>
            <w:tcW w:w="1012" w:type="dxa"/>
            <w:tcBorders>
              <w:bottom w:val="single" w:sz="4" w:space="0" w:color="auto"/>
            </w:tcBorders>
            <w:noWrap/>
            <w:hideMark/>
          </w:tcPr>
          <w:p w14:paraId="794FDD93" w14:textId="77777777" w:rsidR="005E1CA4" w:rsidRPr="005F78C7" w:rsidRDefault="005E1CA4" w:rsidP="000A427B">
            <w:pPr>
              <w:pStyle w:val="TableHeading0"/>
              <w:keepNext/>
              <w:jc w:val="right"/>
            </w:pPr>
            <w:r w:rsidRPr="005F78C7">
              <w:t>2028</w:t>
            </w:r>
            <w:r>
              <w:t>—</w:t>
            </w:r>
            <w:r w:rsidRPr="005F78C7">
              <w:t>29</w:t>
            </w:r>
          </w:p>
        </w:tc>
      </w:tr>
      <w:tr w:rsidR="005E1CA4" w:rsidRPr="005F78C7" w14:paraId="289C7255" w14:textId="77777777" w:rsidTr="000A427B">
        <w:trPr>
          <w:trHeight w:val="290"/>
        </w:trPr>
        <w:tc>
          <w:tcPr>
            <w:tcW w:w="4106" w:type="dxa"/>
            <w:gridSpan w:val="4"/>
            <w:tcBorders>
              <w:right w:val="nil"/>
            </w:tcBorders>
            <w:hideMark/>
          </w:tcPr>
          <w:p w14:paraId="3F5B435F" w14:textId="77777777" w:rsidR="005E1CA4" w:rsidRPr="005F78C7" w:rsidRDefault="005E1CA4" w:rsidP="000A427B">
            <w:pPr>
              <w:pStyle w:val="TableHeading0"/>
              <w:keepNext/>
            </w:pPr>
            <w:r w:rsidRPr="005F78C7">
              <w:t xml:space="preserve">Estimated use and cost of the proposed </w:t>
            </w:r>
            <w:r>
              <w:t>services</w:t>
            </w:r>
          </w:p>
        </w:tc>
        <w:tc>
          <w:tcPr>
            <w:tcW w:w="567" w:type="dxa"/>
            <w:tcBorders>
              <w:left w:val="nil"/>
              <w:right w:val="nil"/>
            </w:tcBorders>
            <w:noWrap/>
            <w:hideMark/>
          </w:tcPr>
          <w:p w14:paraId="2B3466AF" w14:textId="77777777" w:rsidR="005E1CA4" w:rsidRPr="005F78C7" w:rsidRDefault="005E1CA4" w:rsidP="000A427B">
            <w:pPr>
              <w:pStyle w:val="TableHeading0"/>
              <w:keepNext/>
              <w:jc w:val="right"/>
            </w:pPr>
            <w:r w:rsidRPr="005F78C7">
              <w:t> </w:t>
            </w:r>
          </w:p>
        </w:tc>
        <w:tc>
          <w:tcPr>
            <w:tcW w:w="297" w:type="dxa"/>
            <w:tcBorders>
              <w:left w:val="nil"/>
              <w:right w:val="nil"/>
            </w:tcBorders>
            <w:noWrap/>
            <w:hideMark/>
          </w:tcPr>
          <w:p w14:paraId="145412E1" w14:textId="77777777" w:rsidR="005E1CA4" w:rsidRPr="005F78C7" w:rsidRDefault="005E1CA4" w:rsidP="000A427B">
            <w:pPr>
              <w:pStyle w:val="TableHeading0"/>
              <w:keepNext/>
              <w:jc w:val="right"/>
            </w:pPr>
            <w:r w:rsidRPr="005F78C7">
              <w:t> </w:t>
            </w:r>
          </w:p>
        </w:tc>
        <w:tc>
          <w:tcPr>
            <w:tcW w:w="1011" w:type="dxa"/>
            <w:tcBorders>
              <w:left w:val="nil"/>
              <w:right w:val="nil"/>
            </w:tcBorders>
            <w:noWrap/>
            <w:hideMark/>
          </w:tcPr>
          <w:p w14:paraId="78650A44" w14:textId="77777777" w:rsidR="005E1CA4" w:rsidRPr="005F78C7" w:rsidRDefault="005E1CA4" w:rsidP="000A427B">
            <w:pPr>
              <w:pStyle w:val="TableHeading0"/>
              <w:keepNext/>
              <w:jc w:val="right"/>
            </w:pPr>
            <w:r w:rsidRPr="005F78C7">
              <w:t> </w:t>
            </w:r>
          </w:p>
        </w:tc>
        <w:tc>
          <w:tcPr>
            <w:tcW w:w="1012" w:type="dxa"/>
            <w:tcBorders>
              <w:left w:val="nil"/>
              <w:right w:val="nil"/>
            </w:tcBorders>
            <w:noWrap/>
            <w:hideMark/>
          </w:tcPr>
          <w:p w14:paraId="5747CC50" w14:textId="77777777" w:rsidR="005E1CA4" w:rsidRPr="005F78C7" w:rsidRDefault="005E1CA4" w:rsidP="000A427B">
            <w:pPr>
              <w:pStyle w:val="TableHeading0"/>
              <w:keepNext/>
              <w:jc w:val="right"/>
            </w:pPr>
            <w:r w:rsidRPr="005F78C7">
              <w:t> </w:t>
            </w:r>
          </w:p>
        </w:tc>
        <w:tc>
          <w:tcPr>
            <w:tcW w:w="1011" w:type="dxa"/>
            <w:tcBorders>
              <w:left w:val="nil"/>
              <w:right w:val="nil"/>
            </w:tcBorders>
            <w:noWrap/>
            <w:hideMark/>
          </w:tcPr>
          <w:p w14:paraId="7875EB68" w14:textId="77777777" w:rsidR="005E1CA4" w:rsidRPr="005F78C7" w:rsidRDefault="005E1CA4" w:rsidP="000A427B">
            <w:pPr>
              <w:pStyle w:val="TableHeading0"/>
              <w:keepNext/>
              <w:jc w:val="right"/>
            </w:pPr>
            <w:r w:rsidRPr="005F78C7">
              <w:t> </w:t>
            </w:r>
          </w:p>
        </w:tc>
        <w:tc>
          <w:tcPr>
            <w:tcW w:w="1012" w:type="dxa"/>
            <w:tcBorders>
              <w:left w:val="nil"/>
            </w:tcBorders>
            <w:noWrap/>
            <w:hideMark/>
          </w:tcPr>
          <w:p w14:paraId="5ED4E685" w14:textId="77777777" w:rsidR="005E1CA4" w:rsidRPr="005F78C7" w:rsidRDefault="005E1CA4" w:rsidP="000A427B">
            <w:pPr>
              <w:pStyle w:val="TableHeading0"/>
              <w:keepNext/>
              <w:jc w:val="right"/>
            </w:pPr>
            <w:r w:rsidRPr="005F78C7">
              <w:t> </w:t>
            </w:r>
          </w:p>
        </w:tc>
      </w:tr>
      <w:tr w:rsidR="005E1CA4" w:rsidRPr="005F78C7" w14:paraId="78B487C4" w14:textId="77777777" w:rsidTr="000A427B">
        <w:trPr>
          <w:trHeight w:val="290"/>
        </w:trPr>
        <w:tc>
          <w:tcPr>
            <w:tcW w:w="2947" w:type="dxa"/>
            <w:hideMark/>
          </w:tcPr>
          <w:p w14:paraId="14DADD94" w14:textId="77777777" w:rsidR="005E1CA4" w:rsidRPr="005F78C7" w:rsidRDefault="005E1CA4" w:rsidP="000A427B">
            <w:pPr>
              <w:pStyle w:val="TableText"/>
              <w:keepNext/>
            </w:pPr>
            <w:r w:rsidRPr="005F78C7">
              <w:t>Estimated eligible population</w:t>
            </w:r>
            <w:r>
              <w:t xml:space="preserve"> for Level 3 monitoring services</w:t>
            </w:r>
          </w:p>
        </w:tc>
        <w:tc>
          <w:tcPr>
            <w:tcW w:w="1011" w:type="dxa"/>
            <w:gridSpan w:val="2"/>
            <w:noWrap/>
            <w:hideMark/>
          </w:tcPr>
          <w:p w14:paraId="2B73412C" w14:textId="77777777" w:rsidR="005E1CA4" w:rsidRPr="005F78C7" w:rsidRDefault="005E1CA4" w:rsidP="000A427B">
            <w:pPr>
              <w:pStyle w:val="TableText"/>
              <w:keepNext/>
              <w:jc w:val="right"/>
            </w:pPr>
            <w:r w:rsidRPr="005F78C7">
              <w:t>523</w:t>
            </w:r>
          </w:p>
        </w:tc>
        <w:tc>
          <w:tcPr>
            <w:tcW w:w="1012" w:type="dxa"/>
            <w:gridSpan w:val="3"/>
            <w:noWrap/>
            <w:hideMark/>
          </w:tcPr>
          <w:p w14:paraId="7F97F69E" w14:textId="77777777" w:rsidR="005E1CA4" w:rsidRPr="005F78C7" w:rsidRDefault="005E1CA4" w:rsidP="000A427B">
            <w:pPr>
              <w:pStyle w:val="TableText"/>
              <w:keepNext/>
              <w:jc w:val="right"/>
            </w:pPr>
            <w:r w:rsidRPr="005F78C7">
              <w:t>549</w:t>
            </w:r>
          </w:p>
        </w:tc>
        <w:tc>
          <w:tcPr>
            <w:tcW w:w="1011" w:type="dxa"/>
            <w:noWrap/>
            <w:hideMark/>
          </w:tcPr>
          <w:p w14:paraId="03DD101A" w14:textId="77777777" w:rsidR="005E1CA4" w:rsidRPr="005F78C7" w:rsidRDefault="005E1CA4" w:rsidP="000A427B">
            <w:pPr>
              <w:pStyle w:val="TableText"/>
              <w:keepNext/>
              <w:jc w:val="right"/>
            </w:pPr>
            <w:r w:rsidRPr="005F78C7">
              <w:t>576</w:t>
            </w:r>
          </w:p>
        </w:tc>
        <w:tc>
          <w:tcPr>
            <w:tcW w:w="1012" w:type="dxa"/>
            <w:noWrap/>
            <w:hideMark/>
          </w:tcPr>
          <w:p w14:paraId="52BF5CEF" w14:textId="77777777" w:rsidR="005E1CA4" w:rsidRPr="005F78C7" w:rsidRDefault="005E1CA4" w:rsidP="000A427B">
            <w:pPr>
              <w:pStyle w:val="TableText"/>
              <w:keepNext/>
              <w:jc w:val="right"/>
            </w:pPr>
            <w:r w:rsidRPr="005F78C7">
              <w:t>605</w:t>
            </w:r>
          </w:p>
        </w:tc>
        <w:tc>
          <w:tcPr>
            <w:tcW w:w="1011" w:type="dxa"/>
            <w:noWrap/>
            <w:hideMark/>
          </w:tcPr>
          <w:p w14:paraId="125D0C1A" w14:textId="77777777" w:rsidR="005E1CA4" w:rsidRPr="005F78C7" w:rsidRDefault="005E1CA4" w:rsidP="000A427B">
            <w:pPr>
              <w:pStyle w:val="TableText"/>
              <w:keepNext/>
              <w:jc w:val="right"/>
            </w:pPr>
            <w:r w:rsidRPr="005F78C7">
              <w:t>635</w:t>
            </w:r>
          </w:p>
        </w:tc>
        <w:tc>
          <w:tcPr>
            <w:tcW w:w="1012" w:type="dxa"/>
            <w:noWrap/>
            <w:hideMark/>
          </w:tcPr>
          <w:p w14:paraId="16A5FBAB" w14:textId="77777777" w:rsidR="005E1CA4" w:rsidRPr="005F78C7" w:rsidRDefault="005E1CA4" w:rsidP="000A427B">
            <w:pPr>
              <w:pStyle w:val="TableText"/>
              <w:keepNext/>
              <w:jc w:val="right"/>
            </w:pPr>
            <w:r w:rsidRPr="005F78C7">
              <w:t>667</w:t>
            </w:r>
          </w:p>
        </w:tc>
      </w:tr>
      <w:tr w:rsidR="005E1CA4" w:rsidRPr="005F78C7" w14:paraId="11A468F3" w14:textId="77777777" w:rsidTr="000A427B">
        <w:trPr>
          <w:trHeight w:val="290"/>
        </w:trPr>
        <w:tc>
          <w:tcPr>
            <w:tcW w:w="2947" w:type="dxa"/>
            <w:noWrap/>
            <w:hideMark/>
          </w:tcPr>
          <w:p w14:paraId="40C95055" w14:textId="77777777" w:rsidR="005E1CA4" w:rsidRPr="005F78C7" w:rsidRDefault="005E1CA4" w:rsidP="000A427B">
            <w:pPr>
              <w:pStyle w:val="TableText"/>
            </w:pPr>
            <w:r w:rsidRPr="005F78C7">
              <w:t xml:space="preserve">Growth </w:t>
            </w:r>
            <w:r>
              <w:t xml:space="preserve">in Level 3 monitoring services </w:t>
            </w:r>
            <w:r w:rsidRPr="005F78C7">
              <w:t>per year</w:t>
            </w:r>
          </w:p>
        </w:tc>
        <w:tc>
          <w:tcPr>
            <w:tcW w:w="1011" w:type="dxa"/>
            <w:gridSpan w:val="2"/>
            <w:noWrap/>
            <w:hideMark/>
          </w:tcPr>
          <w:p w14:paraId="061B968A" w14:textId="77777777" w:rsidR="005E1CA4" w:rsidRPr="005F78C7" w:rsidRDefault="005E1CA4" w:rsidP="000A427B">
            <w:pPr>
              <w:pStyle w:val="TableText"/>
              <w:jc w:val="right"/>
            </w:pPr>
            <w:r w:rsidRPr="005F78C7">
              <w:t>5%</w:t>
            </w:r>
          </w:p>
        </w:tc>
        <w:tc>
          <w:tcPr>
            <w:tcW w:w="1012" w:type="dxa"/>
            <w:gridSpan w:val="3"/>
            <w:noWrap/>
            <w:hideMark/>
          </w:tcPr>
          <w:p w14:paraId="6B6ACE73" w14:textId="77777777" w:rsidR="005E1CA4" w:rsidRPr="005F78C7" w:rsidRDefault="005E1CA4" w:rsidP="000A427B">
            <w:pPr>
              <w:pStyle w:val="TableText"/>
              <w:jc w:val="right"/>
            </w:pPr>
            <w:r w:rsidRPr="005F78C7">
              <w:t>5%</w:t>
            </w:r>
          </w:p>
        </w:tc>
        <w:tc>
          <w:tcPr>
            <w:tcW w:w="1011" w:type="dxa"/>
            <w:noWrap/>
            <w:hideMark/>
          </w:tcPr>
          <w:p w14:paraId="7B7EF2F5" w14:textId="77777777" w:rsidR="005E1CA4" w:rsidRPr="005F78C7" w:rsidRDefault="005E1CA4" w:rsidP="000A427B">
            <w:pPr>
              <w:pStyle w:val="TableText"/>
              <w:jc w:val="right"/>
            </w:pPr>
            <w:r w:rsidRPr="005F78C7">
              <w:t>5%</w:t>
            </w:r>
          </w:p>
        </w:tc>
        <w:tc>
          <w:tcPr>
            <w:tcW w:w="1012" w:type="dxa"/>
            <w:noWrap/>
            <w:hideMark/>
          </w:tcPr>
          <w:p w14:paraId="503B9178" w14:textId="77777777" w:rsidR="005E1CA4" w:rsidRPr="005F78C7" w:rsidRDefault="005E1CA4" w:rsidP="000A427B">
            <w:pPr>
              <w:pStyle w:val="TableText"/>
              <w:jc w:val="right"/>
            </w:pPr>
            <w:r w:rsidRPr="005F78C7">
              <w:t>5%</w:t>
            </w:r>
          </w:p>
        </w:tc>
        <w:tc>
          <w:tcPr>
            <w:tcW w:w="1011" w:type="dxa"/>
            <w:noWrap/>
            <w:hideMark/>
          </w:tcPr>
          <w:p w14:paraId="18489B29" w14:textId="77777777" w:rsidR="005E1CA4" w:rsidRPr="005F78C7" w:rsidRDefault="005E1CA4" w:rsidP="000A427B">
            <w:pPr>
              <w:pStyle w:val="TableText"/>
              <w:jc w:val="right"/>
            </w:pPr>
            <w:r w:rsidRPr="005F78C7">
              <w:t>5%</w:t>
            </w:r>
          </w:p>
        </w:tc>
        <w:tc>
          <w:tcPr>
            <w:tcW w:w="1012" w:type="dxa"/>
            <w:noWrap/>
            <w:hideMark/>
          </w:tcPr>
          <w:p w14:paraId="34754352" w14:textId="77777777" w:rsidR="005E1CA4" w:rsidRPr="005F78C7" w:rsidRDefault="005E1CA4" w:rsidP="000A427B">
            <w:pPr>
              <w:pStyle w:val="TableText"/>
              <w:jc w:val="right"/>
            </w:pPr>
            <w:r w:rsidRPr="005F78C7">
              <w:t>5%</w:t>
            </w:r>
          </w:p>
        </w:tc>
      </w:tr>
      <w:tr w:rsidR="005E1CA4" w:rsidRPr="005F78C7" w14:paraId="41AF264C" w14:textId="77777777" w:rsidTr="000A427B">
        <w:trPr>
          <w:trHeight w:val="290"/>
        </w:trPr>
        <w:tc>
          <w:tcPr>
            <w:tcW w:w="2947" w:type="dxa"/>
            <w:hideMark/>
          </w:tcPr>
          <w:p w14:paraId="6B5AE2AE" w14:textId="77777777" w:rsidR="005E1CA4" w:rsidRPr="005F78C7" w:rsidRDefault="005E1CA4" w:rsidP="000A427B">
            <w:pPr>
              <w:pStyle w:val="TableText"/>
            </w:pPr>
            <w:r w:rsidRPr="005F78C7">
              <w:t xml:space="preserve">Number of proposed Level 3 </w:t>
            </w:r>
            <w:r>
              <w:t xml:space="preserve">monitoring </w:t>
            </w:r>
            <w:r w:rsidRPr="005F78C7">
              <w:t>services (2 per year)</w:t>
            </w:r>
          </w:p>
        </w:tc>
        <w:tc>
          <w:tcPr>
            <w:tcW w:w="1011" w:type="dxa"/>
            <w:gridSpan w:val="2"/>
            <w:noWrap/>
            <w:hideMark/>
          </w:tcPr>
          <w:p w14:paraId="18B71417" w14:textId="77777777" w:rsidR="005E1CA4" w:rsidRPr="005F78C7" w:rsidRDefault="005E1CA4" w:rsidP="000A427B">
            <w:pPr>
              <w:pStyle w:val="TableText"/>
              <w:jc w:val="right"/>
            </w:pPr>
            <w:r w:rsidRPr="005F78C7">
              <w:t>1045</w:t>
            </w:r>
          </w:p>
        </w:tc>
        <w:tc>
          <w:tcPr>
            <w:tcW w:w="1012" w:type="dxa"/>
            <w:gridSpan w:val="3"/>
            <w:noWrap/>
            <w:hideMark/>
          </w:tcPr>
          <w:p w14:paraId="428A78F8" w14:textId="77777777" w:rsidR="005E1CA4" w:rsidRPr="005F78C7" w:rsidRDefault="005E1CA4" w:rsidP="000A427B">
            <w:pPr>
              <w:pStyle w:val="TableText"/>
              <w:jc w:val="right"/>
            </w:pPr>
            <w:r w:rsidRPr="005F78C7">
              <w:t>1097</w:t>
            </w:r>
          </w:p>
        </w:tc>
        <w:tc>
          <w:tcPr>
            <w:tcW w:w="1011" w:type="dxa"/>
            <w:noWrap/>
            <w:hideMark/>
          </w:tcPr>
          <w:p w14:paraId="554F87ED" w14:textId="77777777" w:rsidR="005E1CA4" w:rsidRPr="005F78C7" w:rsidRDefault="005E1CA4" w:rsidP="000A427B">
            <w:pPr>
              <w:pStyle w:val="TableText"/>
              <w:jc w:val="right"/>
            </w:pPr>
            <w:r w:rsidRPr="005F78C7">
              <w:t>1152</w:t>
            </w:r>
          </w:p>
        </w:tc>
        <w:tc>
          <w:tcPr>
            <w:tcW w:w="1012" w:type="dxa"/>
            <w:noWrap/>
            <w:hideMark/>
          </w:tcPr>
          <w:p w14:paraId="671E7406" w14:textId="77777777" w:rsidR="005E1CA4" w:rsidRPr="005F78C7" w:rsidRDefault="005E1CA4" w:rsidP="000A427B">
            <w:pPr>
              <w:pStyle w:val="TableText"/>
              <w:jc w:val="right"/>
            </w:pPr>
            <w:r w:rsidRPr="005F78C7">
              <w:t>1210</w:t>
            </w:r>
          </w:p>
        </w:tc>
        <w:tc>
          <w:tcPr>
            <w:tcW w:w="1011" w:type="dxa"/>
            <w:noWrap/>
            <w:hideMark/>
          </w:tcPr>
          <w:p w14:paraId="1655FDB9" w14:textId="77777777" w:rsidR="005E1CA4" w:rsidRPr="005F78C7" w:rsidRDefault="005E1CA4" w:rsidP="000A427B">
            <w:pPr>
              <w:pStyle w:val="TableText"/>
              <w:jc w:val="right"/>
            </w:pPr>
            <w:r w:rsidRPr="005F78C7">
              <w:t>1270</w:t>
            </w:r>
          </w:p>
        </w:tc>
        <w:tc>
          <w:tcPr>
            <w:tcW w:w="1012" w:type="dxa"/>
            <w:noWrap/>
            <w:hideMark/>
          </w:tcPr>
          <w:p w14:paraId="7BF35920" w14:textId="77777777" w:rsidR="005E1CA4" w:rsidRPr="005F78C7" w:rsidRDefault="005E1CA4" w:rsidP="000A427B">
            <w:pPr>
              <w:pStyle w:val="TableText"/>
              <w:jc w:val="right"/>
            </w:pPr>
            <w:r w:rsidRPr="005F78C7">
              <w:t>1334</w:t>
            </w:r>
          </w:p>
        </w:tc>
      </w:tr>
      <w:tr w:rsidR="005E1CA4" w:rsidRPr="005F78C7" w14:paraId="0828A0A6" w14:textId="77777777" w:rsidTr="000A427B">
        <w:trPr>
          <w:trHeight w:val="290"/>
        </w:trPr>
        <w:tc>
          <w:tcPr>
            <w:tcW w:w="2947" w:type="dxa"/>
            <w:tcBorders>
              <w:bottom w:val="single" w:sz="4" w:space="0" w:color="auto"/>
            </w:tcBorders>
            <w:hideMark/>
          </w:tcPr>
          <w:p w14:paraId="775D0D3E" w14:textId="77777777" w:rsidR="005E1CA4" w:rsidRPr="005F78C7" w:rsidRDefault="005E1CA4" w:rsidP="000A427B">
            <w:pPr>
              <w:pStyle w:val="TableText"/>
            </w:pPr>
            <w:r w:rsidRPr="005F78C7">
              <w:t xml:space="preserve">Total cost to the MBS </w:t>
            </w:r>
            <w:r>
              <w:t>of proposed Level 3 monitoring services</w:t>
            </w:r>
          </w:p>
        </w:tc>
        <w:tc>
          <w:tcPr>
            <w:tcW w:w="1011" w:type="dxa"/>
            <w:gridSpan w:val="2"/>
            <w:tcBorders>
              <w:bottom w:val="single" w:sz="4" w:space="0" w:color="auto"/>
            </w:tcBorders>
            <w:noWrap/>
            <w:hideMark/>
          </w:tcPr>
          <w:p w14:paraId="47D20958" w14:textId="77777777" w:rsidR="005E1CA4" w:rsidRPr="00A21D93" w:rsidRDefault="005E1CA4" w:rsidP="000A427B">
            <w:pPr>
              <w:pStyle w:val="TableText"/>
              <w:jc w:val="right"/>
            </w:pPr>
            <w:r w:rsidRPr="00A21D93">
              <w:t>$252,432</w:t>
            </w:r>
          </w:p>
        </w:tc>
        <w:tc>
          <w:tcPr>
            <w:tcW w:w="1012" w:type="dxa"/>
            <w:gridSpan w:val="3"/>
            <w:tcBorders>
              <w:bottom w:val="single" w:sz="4" w:space="0" w:color="auto"/>
            </w:tcBorders>
            <w:noWrap/>
            <w:hideMark/>
          </w:tcPr>
          <w:p w14:paraId="5FBD5EB1" w14:textId="77777777" w:rsidR="005E1CA4" w:rsidRPr="00A21D93" w:rsidRDefault="005E1CA4" w:rsidP="000A427B">
            <w:pPr>
              <w:pStyle w:val="TableText"/>
              <w:jc w:val="right"/>
            </w:pPr>
            <w:r w:rsidRPr="00A21D93">
              <w:t>$265,053</w:t>
            </w:r>
          </w:p>
        </w:tc>
        <w:tc>
          <w:tcPr>
            <w:tcW w:w="1011" w:type="dxa"/>
            <w:tcBorders>
              <w:bottom w:val="single" w:sz="4" w:space="0" w:color="auto"/>
            </w:tcBorders>
            <w:noWrap/>
            <w:hideMark/>
          </w:tcPr>
          <w:p w14:paraId="7EE69173" w14:textId="77777777" w:rsidR="005E1CA4" w:rsidRPr="00A21D93" w:rsidRDefault="005E1CA4" w:rsidP="000A427B">
            <w:pPr>
              <w:pStyle w:val="TableText"/>
              <w:jc w:val="right"/>
            </w:pPr>
            <w:r w:rsidRPr="00A21D93">
              <w:t>$278,306</w:t>
            </w:r>
          </w:p>
        </w:tc>
        <w:tc>
          <w:tcPr>
            <w:tcW w:w="1012" w:type="dxa"/>
            <w:tcBorders>
              <w:bottom w:val="single" w:sz="4" w:space="0" w:color="auto"/>
            </w:tcBorders>
            <w:noWrap/>
            <w:hideMark/>
          </w:tcPr>
          <w:p w14:paraId="6E66F138" w14:textId="77777777" w:rsidR="005E1CA4" w:rsidRPr="00A21D93" w:rsidRDefault="005E1CA4" w:rsidP="000A427B">
            <w:pPr>
              <w:pStyle w:val="TableText"/>
              <w:jc w:val="right"/>
            </w:pPr>
            <w:r w:rsidRPr="00A21D93">
              <w:t>$292,221</w:t>
            </w:r>
          </w:p>
        </w:tc>
        <w:tc>
          <w:tcPr>
            <w:tcW w:w="1011" w:type="dxa"/>
            <w:tcBorders>
              <w:bottom w:val="single" w:sz="4" w:space="0" w:color="auto"/>
            </w:tcBorders>
            <w:noWrap/>
            <w:hideMark/>
          </w:tcPr>
          <w:p w14:paraId="7E40E8B3" w14:textId="77777777" w:rsidR="005E1CA4" w:rsidRPr="00A21D93" w:rsidRDefault="005E1CA4" w:rsidP="000A427B">
            <w:pPr>
              <w:pStyle w:val="TableText"/>
              <w:jc w:val="right"/>
            </w:pPr>
            <w:r w:rsidRPr="00A21D93">
              <w:t>$306,832</w:t>
            </w:r>
          </w:p>
        </w:tc>
        <w:tc>
          <w:tcPr>
            <w:tcW w:w="1012" w:type="dxa"/>
            <w:tcBorders>
              <w:bottom w:val="single" w:sz="4" w:space="0" w:color="auto"/>
            </w:tcBorders>
            <w:noWrap/>
            <w:hideMark/>
          </w:tcPr>
          <w:p w14:paraId="1B2C28DF" w14:textId="77777777" w:rsidR="005E1CA4" w:rsidRPr="00A21D93" w:rsidRDefault="005E1CA4" w:rsidP="000A427B">
            <w:pPr>
              <w:pStyle w:val="TableText"/>
              <w:jc w:val="right"/>
            </w:pPr>
            <w:r w:rsidRPr="00A21D93">
              <w:t>$322,174</w:t>
            </w:r>
          </w:p>
        </w:tc>
      </w:tr>
      <w:tr w:rsidR="005E1CA4" w:rsidRPr="005F78C7" w14:paraId="743BECCE" w14:textId="77777777" w:rsidTr="000A427B">
        <w:trPr>
          <w:trHeight w:val="290"/>
        </w:trPr>
        <w:tc>
          <w:tcPr>
            <w:tcW w:w="3539" w:type="dxa"/>
            <w:gridSpan w:val="2"/>
            <w:tcBorders>
              <w:right w:val="nil"/>
            </w:tcBorders>
            <w:hideMark/>
          </w:tcPr>
          <w:p w14:paraId="19A7A52C" w14:textId="77777777" w:rsidR="005E1CA4" w:rsidRPr="005F78C7" w:rsidRDefault="005E1CA4" w:rsidP="000A427B">
            <w:pPr>
              <w:pStyle w:val="TableHeading0"/>
            </w:pPr>
            <w:r w:rsidRPr="005F78C7">
              <w:t xml:space="preserve">Change in use and cost of other </w:t>
            </w:r>
            <w:r>
              <w:t>services</w:t>
            </w:r>
          </w:p>
        </w:tc>
        <w:tc>
          <w:tcPr>
            <w:tcW w:w="419" w:type="dxa"/>
            <w:tcBorders>
              <w:left w:val="nil"/>
              <w:right w:val="nil"/>
            </w:tcBorders>
            <w:noWrap/>
            <w:hideMark/>
          </w:tcPr>
          <w:p w14:paraId="4F784A8C" w14:textId="77777777" w:rsidR="005E1CA4" w:rsidRPr="005F78C7" w:rsidRDefault="005E1CA4" w:rsidP="000A427B">
            <w:pPr>
              <w:pStyle w:val="TableHeading0"/>
              <w:jc w:val="right"/>
            </w:pPr>
            <w:r w:rsidRPr="005F78C7">
              <w:t> </w:t>
            </w:r>
          </w:p>
        </w:tc>
        <w:tc>
          <w:tcPr>
            <w:tcW w:w="1012" w:type="dxa"/>
            <w:gridSpan w:val="3"/>
            <w:tcBorders>
              <w:left w:val="nil"/>
              <w:right w:val="nil"/>
            </w:tcBorders>
            <w:noWrap/>
            <w:hideMark/>
          </w:tcPr>
          <w:p w14:paraId="54D0B43A" w14:textId="77777777" w:rsidR="005E1CA4" w:rsidRPr="005F78C7" w:rsidRDefault="005E1CA4" w:rsidP="000A427B">
            <w:pPr>
              <w:pStyle w:val="TableHeading0"/>
              <w:jc w:val="right"/>
            </w:pPr>
            <w:r w:rsidRPr="005F78C7">
              <w:t> </w:t>
            </w:r>
          </w:p>
        </w:tc>
        <w:tc>
          <w:tcPr>
            <w:tcW w:w="1011" w:type="dxa"/>
            <w:tcBorders>
              <w:left w:val="nil"/>
              <w:right w:val="nil"/>
            </w:tcBorders>
            <w:noWrap/>
            <w:hideMark/>
          </w:tcPr>
          <w:p w14:paraId="659EE6F7" w14:textId="77777777" w:rsidR="005E1CA4" w:rsidRPr="005F78C7" w:rsidRDefault="005E1CA4" w:rsidP="000A427B">
            <w:pPr>
              <w:pStyle w:val="TableHeading0"/>
              <w:jc w:val="right"/>
            </w:pPr>
            <w:r w:rsidRPr="005F78C7">
              <w:t> </w:t>
            </w:r>
          </w:p>
        </w:tc>
        <w:tc>
          <w:tcPr>
            <w:tcW w:w="1012" w:type="dxa"/>
            <w:tcBorders>
              <w:left w:val="nil"/>
              <w:right w:val="nil"/>
            </w:tcBorders>
            <w:noWrap/>
            <w:hideMark/>
          </w:tcPr>
          <w:p w14:paraId="1C0F8007" w14:textId="77777777" w:rsidR="005E1CA4" w:rsidRPr="005F78C7" w:rsidRDefault="005E1CA4" w:rsidP="000A427B">
            <w:pPr>
              <w:pStyle w:val="TableHeading0"/>
              <w:jc w:val="right"/>
            </w:pPr>
            <w:r w:rsidRPr="005F78C7">
              <w:t> </w:t>
            </w:r>
          </w:p>
        </w:tc>
        <w:tc>
          <w:tcPr>
            <w:tcW w:w="1011" w:type="dxa"/>
            <w:tcBorders>
              <w:left w:val="nil"/>
              <w:right w:val="nil"/>
            </w:tcBorders>
            <w:noWrap/>
            <w:hideMark/>
          </w:tcPr>
          <w:p w14:paraId="19AF4E68" w14:textId="77777777" w:rsidR="005E1CA4" w:rsidRPr="005F78C7" w:rsidRDefault="005E1CA4" w:rsidP="000A427B">
            <w:pPr>
              <w:pStyle w:val="TableHeading0"/>
              <w:jc w:val="right"/>
            </w:pPr>
            <w:r w:rsidRPr="005F78C7">
              <w:t> </w:t>
            </w:r>
          </w:p>
        </w:tc>
        <w:tc>
          <w:tcPr>
            <w:tcW w:w="1012" w:type="dxa"/>
            <w:tcBorders>
              <w:left w:val="nil"/>
            </w:tcBorders>
            <w:noWrap/>
            <w:hideMark/>
          </w:tcPr>
          <w:p w14:paraId="755FB8A8" w14:textId="77777777" w:rsidR="005E1CA4" w:rsidRPr="005F78C7" w:rsidRDefault="005E1CA4" w:rsidP="000A427B">
            <w:pPr>
              <w:pStyle w:val="TableHeading0"/>
              <w:jc w:val="right"/>
            </w:pPr>
            <w:r w:rsidRPr="005F78C7">
              <w:t> </w:t>
            </w:r>
          </w:p>
        </w:tc>
      </w:tr>
      <w:tr w:rsidR="005E1CA4" w:rsidRPr="005F78C7" w14:paraId="01E87A26" w14:textId="77777777" w:rsidTr="000A427B">
        <w:trPr>
          <w:trHeight w:val="290"/>
        </w:trPr>
        <w:tc>
          <w:tcPr>
            <w:tcW w:w="2947" w:type="dxa"/>
            <w:hideMark/>
          </w:tcPr>
          <w:p w14:paraId="39F88AB4" w14:textId="77777777" w:rsidR="005E1CA4" w:rsidRPr="005F78C7" w:rsidRDefault="005E1CA4" w:rsidP="000A427B">
            <w:pPr>
              <w:pStyle w:val="TableText"/>
            </w:pPr>
            <w:r w:rsidRPr="005F78C7">
              <w:t xml:space="preserve">Substitution of Level 1 </w:t>
            </w:r>
            <w:r>
              <w:t xml:space="preserve">monitoring </w:t>
            </w:r>
            <w:r w:rsidRPr="005F78C7">
              <w:t>services</w:t>
            </w:r>
          </w:p>
        </w:tc>
        <w:tc>
          <w:tcPr>
            <w:tcW w:w="1011" w:type="dxa"/>
            <w:gridSpan w:val="2"/>
            <w:noWrap/>
            <w:hideMark/>
          </w:tcPr>
          <w:p w14:paraId="0EEDFC93" w14:textId="77777777" w:rsidR="005E1CA4" w:rsidRPr="005F78C7" w:rsidRDefault="005E1CA4" w:rsidP="000A427B">
            <w:pPr>
              <w:pStyle w:val="TableText"/>
              <w:jc w:val="right"/>
            </w:pPr>
            <w:r w:rsidRPr="005F78C7">
              <w:t>100%</w:t>
            </w:r>
          </w:p>
        </w:tc>
        <w:tc>
          <w:tcPr>
            <w:tcW w:w="1012" w:type="dxa"/>
            <w:gridSpan w:val="3"/>
            <w:noWrap/>
            <w:hideMark/>
          </w:tcPr>
          <w:p w14:paraId="5AFF5D6E" w14:textId="77777777" w:rsidR="005E1CA4" w:rsidRPr="005F78C7" w:rsidRDefault="005E1CA4" w:rsidP="000A427B">
            <w:pPr>
              <w:pStyle w:val="TableText"/>
              <w:jc w:val="right"/>
            </w:pPr>
            <w:r w:rsidRPr="005F78C7">
              <w:t>100%</w:t>
            </w:r>
          </w:p>
        </w:tc>
        <w:tc>
          <w:tcPr>
            <w:tcW w:w="1011" w:type="dxa"/>
            <w:noWrap/>
            <w:hideMark/>
          </w:tcPr>
          <w:p w14:paraId="11B0307C" w14:textId="77777777" w:rsidR="005E1CA4" w:rsidRPr="005F78C7" w:rsidRDefault="005E1CA4" w:rsidP="000A427B">
            <w:pPr>
              <w:pStyle w:val="TableText"/>
              <w:jc w:val="right"/>
            </w:pPr>
            <w:r w:rsidRPr="005F78C7">
              <w:t>100%</w:t>
            </w:r>
          </w:p>
        </w:tc>
        <w:tc>
          <w:tcPr>
            <w:tcW w:w="1012" w:type="dxa"/>
            <w:noWrap/>
            <w:hideMark/>
          </w:tcPr>
          <w:p w14:paraId="2F40D1A0" w14:textId="77777777" w:rsidR="005E1CA4" w:rsidRPr="005F78C7" w:rsidRDefault="005E1CA4" w:rsidP="000A427B">
            <w:pPr>
              <w:pStyle w:val="TableText"/>
              <w:jc w:val="right"/>
            </w:pPr>
            <w:r w:rsidRPr="005F78C7">
              <w:t>100%</w:t>
            </w:r>
          </w:p>
        </w:tc>
        <w:tc>
          <w:tcPr>
            <w:tcW w:w="1011" w:type="dxa"/>
            <w:noWrap/>
            <w:hideMark/>
          </w:tcPr>
          <w:p w14:paraId="64B6B307" w14:textId="77777777" w:rsidR="005E1CA4" w:rsidRPr="005F78C7" w:rsidRDefault="005E1CA4" w:rsidP="000A427B">
            <w:pPr>
              <w:pStyle w:val="TableText"/>
              <w:jc w:val="right"/>
            </w:pPr>
            <w:r w:rsidRPr="005F78C7">
              <w:t>100%</w:t>
            </w:r>
          </w:p>
        </w:tc>
        <w:tc>
          <w:tcPr>
            <w:tcW w:w="1012" w:type="dxa"/>
            <w:noWrap/>
            <w:hideMark/>
          </w:tcPr>
          <w:p w14:paraId="4FFEED75" w14:textId="77777777" w:rsidR="005E1CA4" w:rsidRPr="005F78C7" w:rsidRDefault="005E1CA4" w:rsidP="000A427B">
            <w:pPr>
              <w:pStyle w:val="TableText"/>
              <w:jc w:val="right"/>
            </w:pPr>
            <w:r w:rsidRPr="005F78C7">
              <w:t>100%</w:t>
            </w:r>
          </w:p>
        </w:tc>
      </w:tr>
      <w:tr w:rsidR="005E1CA4" w:rsidRPr="005F78C7" w14:paraId="1FBE7648" w14:textId="77777777" w:rsidTr="000A427B">
        <w:trPr>
          <w:trHeight w:val="290"/>
        </w:trPr>
        <w:tc>
          <w:tcPr>
            <w:tcW w:w="2947" w:type="dxa"/>
            <w:hideMark/>
          </w:tcPr>
          <w:p w14:paraId="4EA2B2B6" w14:textId="77777777" w:rsidR="005E1CA4" w:rsidRPr="005F78C7" w:rsidRDefault="005E1CA4" w:rsidP="000A427B">
            <w:pPr>
              <w:pStyle w:val="TableText"/>
            </w:pPr>
            <w:r w:rsidRPr="005F78C7">
              <w:t xml:space="preserve">Number of proposed Level 1 </w:t>
            </w:r>
            <w:r>
              <w:t>monitoring</w:t>
            </w:r>
            <w:r w:rsidRPr="005F78C7">
              <w:t xml:space="preserve"> </w:t>
            </w:r>
            <w:r>
              <w:t>s</w:t>
            </w:r>
            <w:r w:rsidRPr="005F78C7">
              <w:t>ervices substituted</w:t>
            </w:r>
          </w:p>
        </w:tc>
        <w:tc>
          <w:tcPr>
            <w:tcW w:w="1011" w:type="dxa"/>
            <w:gridSpan w:val="2"/>
            <w:noWrap/>
            <w:hideMark/>
          </w:tcPr>
          <w:p w14:paraId="52AEBEB8" w14:textId="77777777" w:rsidR="005E1CA4" w:rsidRPr="005F78C7" w:rsidRDefault="005E1CA4" w:rsidP="000A427B">
            <w:pPr>
              <w:pStyle w:val="TableText"/>
              <w:jc w:val="right"/>
            </w:pPr>
            <w:r w:rsidRPr="005F78C7">
              <w:t>1045</w:t>
            </w:r>
          </w:p>
        </w:tc>
        <w:tc>
          <w:tcPr>
            <w:tcW w:w="1012" w:type="dxa"/>
            <w:gridSpan w:val="3"/>
            <w:noWrap/>
            <w:hideMark/>
          </w:tcPr>
          <w:p w14:paraId="14D77815" w14:textId="77777777" w:rsidR="005E1CA4" w:rsidRPr="005F78C7" w:rsidRDefault="005E1CA4" w:rsidP="000A427B">
            <w:pPr>
              <w:pStyle w:val="TableText"/>
              <w:jc w:val="right"/>
            </w:pPr>
            <w:r w:rsidRPr="005F78C7">
              <w:t>109</w:t>
            </w:r>
            <w:r>
              <w:t>8</w:t>
            </w:r>
          </w:p>
        </w:tc>
        <w:tc>
          <w:tcPr>
            <w:tcW w:w="1011" w:type="dxa"/>
            <w:noWrap/>
            <w:hideMark/>
          </w:tcPr>
          <w:p w14:paraId="29266BF0" w14:textId="77777777" w:rsidR="005E1CA4" w:rsidRPr="005F78C7" w:rsidRDefault="005E1CA4" w:rsidP="000A427B">
            <w:pPr>
              <w:pStyle w:val="TableText"/>
              <w:jc w:val="right"/>
            </w:pPr>
            <w:r w:rsidRPr="005F78C7">
              <w:t>115</w:t>
            </w:r>
            <w:r>
              <w:t>3</w:t>
            </w:r>
          </w:p>
        </w:tc>
        <w:tc>
          <w:tcPr>
            <w:tcW w:w="1012" w:type="dxa"/>
            <w:noWrap/>
            <w:hideMark/>
          </w:tcPr>
          <w:p w14:paraId="42079367" w14:textId="77777777" w:rsidR="005E1CA4" w:rsidRPr="005F78C7" w:rsidRDefault="005E1CA4" w:rsidP="000A427B">
            <w:pPr>
              <w:pStyle w:val="TableText"/>
              <w:jc w:val="right"/>
            </w:pPr>
            <w:r w:rsidRPr="005F78C7">
              <w:t>1210</w:t>
            </w:r>
          </w:p>
        </w:tc>
        <w:tc>
          <w:tcPr>
            <w:tcW w:w="1011" w:type="dxa"/>
            <w:noWrap/>
            <w:hideMark/>
          </w:tcPr>
          <w:p w14:paraId="37AEBF9E" w14:textId="77777777" w:rsidR="005E1CA4" w:rsidRPr="005F78C7" w:rsidRDefault="005E1CA4" w:rsidP="000A427B">
            <w:pPr>
              <w:pStyle w:val="TableText"/>
              <w:jc w:val="right"/>
            </w:pPr>
            <w:r w:rsidRPr="005F78C7">
              <w:t>1270</w:t>
            </w:r>
          </w:p>
        </w:tc>
        <w:tc>
          <w:tcPr>
            <w:tcW w:w="1012" w:type="dxa"/>
            <w:noWrap/>
            <w:hideMark/>
          </w:tcPr>
          <w:p w14:paraId="45F9EB23" w14:textId="77777777" w:rsidR="005E1CA4" w:rsidRPr="005F78C7" w:rsidRDefault="005E1CA4" w:rsidP="000A427B">
            <w:pPr>
              <w:pStyle w:val="TableText"/>
              <w:jc w:val="right"/>
            </w:pPr>
            <w:r w:rsidRPr="005F78C7">
              <w:t>1334</w:t>
            </w:r>
          </w:p>
        </w:tc>
      </w:tr>
      <w:tr w:rsidR="005E1CA4" w:rsidRPr="005F78C7" w14:paraId="3DE6822B" w14:textId="77777777" w:rsidTr="000A427B">
        <w:trPr>
          <w:trHeight w:val="290"/>
        </w:trPr>
        <w:tc>
          <w:tcPr>
            <w:tcW w:w="2947" w:type="dxa"/>
            <w:hideMark/>
          </w:tcPr>
          <w:p w14:paraId="68CC7674" w14:textId="77777777" w:rsidR="005E1CA4" w:rsidRPr="005F78C7" w:rsidRDefault="005E1CA4" w:rsidP="000A427B">
            <w:pPr>
              <w:pStyle w:val="TableText"/>
            </w:pPr>
            <w:r w:rsidRPr="005F78C7">
              <w:t xml:space="preserve">Total saving to the MBS </w:t>
            </w:r>
            <w:r>
              <w:t>of substituted Level 1 monitoring services</w:t>
            </w:r>
          </w:p>
        </w:tc>
        <w:tc>
          <w:tcPr>
            <w:tcW w:w="1011" w:type="dxa"/>
            <w:gridSpan w:val="2"/>
            <w:noWrap/>
            <w:hideMark/>
          </w:tcPr>
          <w:p w14:paraId="06E9393B" w14:textId="77777777" w:rsidR="005E1CA4" w:rsidRPr="00227574" w:rsidRDefault="005E1CA4" w:rsidP="000A427B">
            <w:pPr>
              <w:pStyle w:val="TableText"/>
              <w:jc w:val="right"/>
            </w:pPr>
            <w:r w:rsidRPr="00FA68FB">
              <w:t>-$617,055</w:t>
            </w:r>
          </w:p>
        </w:tc>
        <w:tc>
          <w:tcPr>
            <w:tcW w:w="1012" w:type="dxa"/>
            <w:gridSpan w:val="3"/>
            <w:noWrap/>
            <w:hideMark/>
          </w:tcPr>
          <w:p w14:paraId="3C452DED" w14:textId="77777777" w:rsidR="005E1CA4" w:rsidRPr="00227574" w:rsidRDefault="005E1CA4" w:rsidP="000A427B">
            <w:pPr>
              <w:pStyle w:val="TableText"/>
              <w:jc w:val="right"/>
            </w:pPr>
            <w:r w:rsidRPr="00FA68FB">
              <w:t>-$647,908</w:t>
            </w:r>
          </w:p>
        </w:tc>
        <w:tc>
          <w:tcPr>
            <w:tcW w:w="1011" w:type="dxa"/>
            <w:noWrap/>
            <w:hideMark/>
          </w:tcPr>
          <w:p w14:paraId="44FFBE5B" w14:textId="77777777" w:rsidR="005E1CA4" w:rsidRPr="00227574" w:rsidRDefault="005E1CA4" w:rsidP="000A427B">
            <w:pPr>
              <w:pStyle w:val="TableText"/>
              <w:jc w:val="right"/>
            </w:pPr>
            <w:r w:rsidRPr="00FA68FB">
              <w:t>-$680,304</w:t>
            </w:r>
          </w:p>
        </w:tc>
        <w:tc>
          <w:tcPr>
            <w:tcW w:w="1012" w:type="dxa"/>
            <w:noWrap/>
            <w:hideMark/>
          </w:tcPr>
          <w:p w14:paraId="22367A0F" w14:textId="77777777" w:rsidR="005E1CA4" w:rsidRPr="00227574" w:rsidRDefault="005E1CA4" w:rsidP="000A427B">
            <w:pPr>
              <w:pStyle w:val="TableText"/>
              <w:jc w:val="right"/>
            </w:pPr>
            <w:r w:rsidRPr="00FA68FB">
              <w:t>-$714,319</w:t>
            </w:r>
          </w:p>
        </w:tc>
        <w:tc>
          <w:tcPr>
            <w:tcW w:w="1011" w:type="dxa"/>
            <w:noWrap/>
            <w:hideMark/>
          </w:tcPr>
          <w:p w14:paraId="1EF5527D" w14:textId="77777777" w:rsidR="005E1CA4" w:rsidRPr="00227574" w:rsidRDefault="005E1CA4" w:rsidP="000A427B">
            <w:pPr>
              <w:pStyle w:val="TableText"/>
              <w:jc w:val="right"/>
            </w:pPr>
            <w:r w:rsidRPr="00FA68FB">
              <w:t>-$750,035</w:t>
            </w:r>
          </w:p>
        </w:tc>
        <w:tc>
          <w:tcPr>
            <w:tcW w:w="1012" w:type="dxa"/>
            <w:noWrap/>
            <w:hideMark/>
          </w:tcPr>
          <w:p w14:paraId="446A525D" w14:textId="77777777" w:rsidR="005E1CA4" w:rsidRPr="00227574" w:rsidRDefault="005E1CA4" w:rsidP="000A427B">
            <w:pPr>
              <w:pStyle w:val="TableText"/>
              <w:jc w:val="right"/>
            </w:pPr>
            <w:r w:rsidRPr="00FA68FB">
              <w:t>-$787,536</w:t>
            </w:r>
          </w:p>
        </w:tc>
      </w:tr>
      <w:tr w:rsidR="005E1CA4" w:rsidRPr="0035058F" w14:paraId="6EAF7527" w14:textId="77777777" w:rsidTr="000A427B">
        <w:trPr>
          <w:trHeight w:val="290"/>
        </w:trPr>
        <w:tc>
          <w:tcPr>
            <w:tcW w:w="2947" w:type="dxa"/>
            <w:hideMark/>
          </w:tcPr>
          <w:p w14:paraId="4F1C70EE" w14:textId="77777777" w:rsidR="005E1CA4" w:rsidRPr="0035058F" w:rsidRDefault="005E1CA4" w:rsidP="000A427B">
            <w:pPr>
              <w:pStyle w:val="TableText"/>
              <w:rPr>
                <w:b/>
                <w:bCs/>
              </w:rPr>
            </w:pPr>
            <w:r w:rsidRPr="0035058F">
              <w:rPr>
                <w:b/>
                <w:bCs/>
              </w:rPr>
              <w:t>Net financial impact to the MBS</w:t>
            </w:r>
          </w:p>
        </w:tc>
        <w:tc>
          <w:tcPr>
            <w:tcW w:w="1011" w:type="dxa"/>
            <w:gridSpan w:val="2"/>
            <w:noWrap/>
            <w:hideMark/>
          </w:tcPr>
          <w:p w14:paraId="112534FA" w14:textId="77777777" w:rsidR="005E1CA4" w:rsidRPr="00FE65AB" w:rsidRDefault="005E1CA4" w:rsidP="000A427B">
            <w:pPr>
              <w:pStyle w:val="TableText"/>
              <w:jc w:val="right"/>
              <w:rPr>
                <w:b/>
                <w:bCs/>
              </w:rPr>
            </w:pPr>
            <w:r w:rsidRPr="00312E17">
              <w:rPr>
                <w:b/>
                <w:bCs/>
              </w:rPr>
              <w:t>-$364,624</w:t>
            </w:r>
          </w:p>
        </w:tc>
        <w:tc>
          <w:tcPr>
            <w:tcW w:w="1012" w:type="dxa"/>
            <w:gridSpan w:val="3"/>
            <w:noWrap/>
            <w:hideMark/>
          </w:tcPr>
          <w:p w14:paraId="5B6E1E7B" w14:textId="77777777" w:rsidR="005E1CA4" w:rsidRPr="00FE65AB" w:rsidRDefault="005E1CA4" w:rsidP="000A427B">
            <w:pPr>
              <w:pStyle w:val="TableText"/>
              <w:jc w:val="right"/>
              <w:rPr>
                <w:b/>
                <w:bCs/>
              </w:rPr>
            </w:pPr>
            <w:r w:rsidRPr="00312E17">
              <w:rPr>
                <w:b/>
                <w:bCs/>
              </w:rPr>
              <w:t>-$382,855</w:t>
            </w:r>
          </w:p>
        </w:tc>
        <w:tc>
          <w:tcPr>
            <w:tcW w:w="1011" w:type="dxa"/>
            <w:noWrap/>
            <w:hideMark/>
          </w:tcPr>
          <w:p w14:paraId="2A942F59" w14:textId="77777777" w:rsidR="005E1CA4" w:rsidRPr="00FE65AB" w:rsidRDefault="005E1CA4" w:rsidP="000A427B">
            <w:pPr>
              <w:pStyle w:val="TableText"/>
              <w:jc w:val="right"/>
              <w:rPr>
                <w:b/>
                <w:bCs/>
              </w:rPr>
            </w:pPr>
            <w:r w:rsidRPr="00312E17">
              <w:rPr>
                <w:b/>
                <w:bCs/>
              </w:rPr>
              <w:t>-$401,998</w:t>
            </w:r>
          </w:p>
        </w:tc>
        <w:tc>
          <w:tcPr>
            <w:tcW w:w="1012" w:type="dxa"/>
            <w:noWrap/>
            <w:hideMark/>
          </w:tcPr>
          <w:p w14:paraId="11E93AEF" w14:textId="77777777" w:rsidR="005E1CA4" w:rsidRPr="00FE65AB" w:rsidRDefault="005E1CA4" w:rsidP="000A427B">
            <w:pPr>
              <w:pStyle w:val="TableText"/>
              <w:jc w:val="right"/>
              <w:rPr>
                <w:b/>
                <w:bCs/>
              </w:rPr>
            </w:pPr>
            <w:r w:rsidRPr="00312E17">
              <w:rPr>
                <w:b/>
                <w:bCs/>
              </w:rPr>
              <w:t>-$422,097</w:t>
            </w:r>
          </w:p>
        </w:tc>
        <w:tc>
          <w:tcPr>
            <w:tcW w:w="1011" w:type="dxa"/>
            <w:noWrap/>
            <w:hideMark/>
          </w:tcPr>
          <w:p w14:paraId="3B868EE2" w14:textId="77777777" w:rsidR="005E1CA4" w:rsidRPr="00FE65AB" w:rsidRDefault="005E1CA4" w:rsidP="000A427B">
            <w:pPr>
              <w:pStyle w:val="TableText"/>
              <w:jc w:val="right"/>
              <w:rPr>
                <w:b/>
                <w:bCs/>
              </w:rPr>
            </w:pPr>
            <w:r w:rsidRPr="00312E17">
              <w:rPr>
                <w:b/>
                <w:bCs/>
              </w:rPr>
              <w:t>-$443,202</w:t>
            </w:r>
          </w:p>
        </w:tc>
        <w:tc>
          <w:tcPr>
            <w:tcW w:w="1012" w:type="dxa"/>
            <w:noWrap/>
            <w:hideMark/>
          </w:tcPr>
          <w:p w14:paraId="34244673" w14:textId="77777777" w:rsidR="005E1CA4" w:rsidRPr="00FE65AB" w:rsidRDefault="005E1CA4" w:rsidP="000A427B">
            <w:pPr>
              <w:pStyle w:val="TableText"/>
              <w:jc w:val="right"/>
              <w:rPr>
                <w:b/>
                <w:bCs/>
              </w:rPr>
            </w:pPr>
            <w:r w:rsidRPr="00312E17">
              <w:rPr>
                <w:b/>
                <w:bCs/>
              </w:rPr>
              <w:t>-$465,362</w:t>
            </w:r>
          </w:p>
        </w:tc>
      </w:tr>
    </w:tbl>
    <w:p w14:paraId="5C2E4F07" w14:textId="77777777" w:rsidR="005E1CA4" w:rsidRDefault="005E1CA4" w:rsidP="005E1CA4">
      <w:pPr>
        <w:pStyle w:val="TableFigNoteLast"/>
      </w:pPr>
      <w:r>
        <w:t>FY = financial year; MBS = Medicare Benefits Schedule</w:t>
      </w:r>
    </w:p>
    <w:p w14:paraId="4F9EB98B" w14:textId="1C77152A" w:rsidR="004276B8" w:rsidRPr="00E91FB9" w:rsidRDefault="005E1CA4" w:rsidP="005E1CA4">
      <w:pPr>
        <w:pStyle w:val="TableFigNoteLast"/>
      </w:pPr>
      <w:r w:rsidRPr="000866A1">
        <w:rPr>
          <w:vertAlign w:val="superscript"/>
        </w:rPr>
        <w:lastRenderedPageBreak/>
        <w:t>a</w:t>
      </w:r>
      <w:r>
        <w:t xml:space="preserve"> </w:t>
      </w:r>
      <w:r w:rsidRPr="00694D83">
        <w:t>Level</w:t>
      </w:r>
      <w:r>
        <w:t xml:space="preserve"> 1 PSG can be provided as either out-patient or in-patient services. The applicant advised that a greater proportion are in-patients in paediatric populations than in adult populations; however, given the proportion is unknown, an 80% benefit has been applied as per MSAC guidelines (p214).</w:t>
      </w:r>
    </w:p>
    <w:p w14:paraId="65B09045" w14:textId="51DC150E" w:rsidR="004A5BC3" w:rsidRDefault="004A5BC3" w:rsidP="004A5BC3">
      <w:pPr>
        <w:pStyle w:val="ESHeading3"/>
      </w:pPr>
      <w:r>
        <w:t xml:space="preserve">Combined </w:t>
      </w:r>
      <w:r w:rsidR="006D28EF">
        <w:t>F</w:t>
      </w:r>
      <w:r>
        <w:t xml:space="preserve">inancial </w:t>
      </w:r>
      <w:r w:rsidR="006D28EF">
        <w:t>I</w:t>
      </w:r>
      <w:r>
        <w:t>mpact for PICO Set 1, 2 &amp; 3</w:t>
      </w:r>
    </w:p>
    <w:p w14:paraId="2B13286B" w14:textId="012E9F6A" w:rsidR="00B85F34" w:rsidRPr="00B85F34" w:rsidRDefault="00B85F34" w:rsidP="005E1CA4">
      <w:pPr>
        <w:pStyle w:val="TableFigNoteLast"/>
        <w:rPr>
          <w:sz w:val="22"/>
        </w:rPr>
      </w:pPr>
      <w:r w:rsidRPr="00AB455D">
        <w:rPr>
          <w:rFonts w:ascii="Franklin Gothic Book" w:hAnsi="Franklin Gothic Book" w:cstheme="minorHAnsi"/>
          <w:sz w:val="22"/>
        </w:rPr>
        <w:t xml:space="preserve">Table 21 reports the total costs to the MBS for all three populations. There was a very large </w:t>
      </w:r>
      <w:r w:rsidR="00951F44">
        <w:rPr>
          <w:rFonts w:ascii="Franklin Gothic Book" w:hAnsi="Franklin Gothic Book" w:cstheme="minorHAnsi"/>
          <w:sz w:val="22"/>
        </w:rPr>
        <w:t>change</w:t>
      </w:r>
      <w:r w:rsidRPr="00AB455D">
        <w:rPr>
          <w:rFonts w:ascii="Franklin Gothic Book" w:hAnsi="Franklin Gothic Book" w:cstheme="minorHAnsi"/>
          <w:sz w:val="22"/>
        </w:rPr>
        <w:t xml:space="preserve"> between years 1</w:t>
      </w:r>
      <w:r w:rsidR="004039E2">
        <w:rPr>
          <w:rFonts w:ascii="Franklin Gothic Book" w:hAnsi="Franklin Gothic Book" w:cstheme="minorHAnsi"/>
          <w:sz w:val="22"/>
        </w:rPr>
        <w:t xml:space="preserve"> (net savings of $691,631)</w:t>
      </w:r>
      <w:r w:rsidRPr="00AB455D">
        <w:rPr>
          <w:rFonts w:ascii="Franklin Gothic Book" w:hAnsi="Franklin Gothic Book" w:cstheme="minorHAnsi"/>
          <w:sz w:val="22"/>
        </w:rPr>
        <w:t xml:space="preserve"> and 6</w:t>
      </w:r>
      <w:r w:rsidR="004039E2">
        <w:rPr>
          <w:rFonts w:ascii="Franklin Gothic Book" w:hAnsi="Franklin Gothic Book" w:cstheme="minorHAnsi"/>
          <w:sz w:val="22"/>
        </w:rPr>
        <w:t xml:space="preserve"> (net costs of $111,105).</w:t>
      </w:r>
    </w:p>
    <w:p w14:paraId="5294CB10" w14:textId="56DDF7C5" w:rsidR="00B85F34" w:rsidRPr="00E91FB9" w:rsidRDefault="00CC3189" w:rsidP="00E91FB9">
      <w:pPr>
        <w:pStyle w:val="Caption"/>
      </w:pPr>
      <w:bookmarkStart w:id="61" w:name="_Ref160046086"/>
      <w:r>
        <w:t xml:space="preserve">Table </w:t>
      </w:r>
      <w:fldSimple w:instr=" SEQ Table \* ARABIC ">
        <w:r w:rsidR="003D22E5">
          <w:rPr>
            <w:noProof/>
          </w:rPr>
          <w:t>21</w:t>
        </w:r>
      </w:fldSimple>
      <w:bookmarkEnd w:id="61"/>
      <w:r w:rsidR="00B85F34">
        <w:tab/>
        <w:t>Net financial implications of PICO Sets 1-3 to the MBS</w:t>
      </w:r>
    </w:p>
    <w:tbl>
      <w:tblPr>
        <w:tblStyle w:val="TableGrid"/>
        <w:tblW w:w="9258" w:type="dxa"/>
        <w:tblLook w:val="04A0" w:firstRow="1" w:lastRow="0" w:firstColumn="1" w:lastColumn="0" w:noHBand="0" w:noVBand="1"/>
      </w:tblPr>
      <w:tblGrid>
        <w:gridCol w:w="932"/>
        <w:gridCol w:w="1335"/>
        <w:gridCol w:w="1335"/>
        <w:gridCol w:w="1335"/>
        <w:gridCol w:w="1335"/>
        <w:gridCol w:w="1335"/>
        <w:gridCol w:w="1651"/>
      </w:tblGrid>
      <w:tr w:rsidR="00B85F34" w:rsidRPr="00B85F34" w14:paraId="673659D8" w14:textId="77777777" w:rsidTr="00AB455D">
        <w:tc>
          <w:tcPr>
            <w:tcW w:w="988" w:type="dxa"/>
            <w:tcBorders>
              <w:top w:val="single" w:sz="4" w:space="0" w:color="auto"/>
              <w:left w:val="single" w:sz="4" w:space="0" w:color="auto"/>
              <w:bottom w:val="single" w:sz="4" w:space="0" w:color="auto"/>
              <w:right w:val="single" w:sz="4" w:space="0" w:color="auto"/>
            </w:tcBorders>
          </w:tcPr>
          <w:p w14:paraId="313EFEA7" w14:textId="77777777" w:rsidR="00B85F34" w:rsidRPr="00AB455D" w:rsidRDefault="00B85F34" w:rsidP="006F067B">
            <w:pPr>
              <w:pStyle w:val="TableHeading"/>
              <w:rPr>
                <w:rFonts w:cstheme="minorHAnsi"/>
                <w:szCs w:val="20"/>
              </w:rPr>
            </w:pPr>
          </w:p>
        </w:tc>
        <w:tc>
          <w:tcPr>
            <w:tcW w:w="1303" w:type="dxa"/>
            <w:tcBorders>
              <w:top w:val="single" w:sz="4" w:space="0" w:color="auto"/>
              <w:left w:val="single" w:sz="4" w:space="0" w:color="auto"/>
              <w:bottom w:val="single" w:sz="4" w:space="0" w:color="auto"/>
              <w:right w:val="single" w:sz="4" w:space="0" w:color="auto"/>
            </w:tcBorders>
            <w:hideMark/>
          </w:tcPr>
          <w:p w14:paraId="58BC1E57" w14:textId="77777777" w:rsidR="00B85F34" w:rsidRPr="00AB455D" w:rsidRDefault="00B85F34" w:rsidP="006F067B">
            <w:pPr>
              <w:pStyle w:val="TableHeadingCA0"/>
              <w:rPr>
                <w:rFonts w:ascii="Arial Narrow" w:hAnsi="Arial Narrow" w:cstheme="minorHAnsi"/>
                <w:sz w:val="20"/>
                <w:szCs w:val="20"/>
              </w:rPr>
            </w:pPr>
            <w:r w:rsidRPr="00AB455D">
              <w:rPr>
                <w:rFonts w:ascii="Arial Narrow" w:hAnsi="Arial Narrow" w:cstheme="minorHAnsi"/>
                <w:sz w:val="20"/>
                <w:szCs w:val="20"/>
              </w:rPr>
              <w:t xml:space="preserve">Year 1 </w:t>
            </w:r>
          </w:p>
        </w:tc>
        <w:tc>
          <w:tcPr>
            <w:tcW w:w="1303" w:type="dxa"/>
            <w:tcBorders>
              <w:top w:val="single" w:sz="4" w:space="0" w:color="auto"/>
              <w:left w:val="single" w:sz="4" w:space="0" w:color="auto"/>
              <w:bottom w:val="single" w:sz="4" w:space="0" w:color="auto"/>
              <w:right w:val="single" w:sz="4" w:space="0" w:color="auto"/>
            </w:tcBorders>
            <w:hideMark/>
          </w:tcPr>
          <w:p w14:paraId="43E4C8FF" w14:textId="77777777" w:rsidR="00B85F34" w:rsidRPr="00AB455D" w:rsidRDefault="00B85F34" w:rsidP="006F067B">
            <w:pPr>
              <w:pStyle w:val="TableHeadingCA0"/>
              <w:rPr>
                <w:rFonts w:ascii="Arial Narrow" w:hAnsi="Arial Narrow" w:cstheme="minorHAnsi"/>
                <w:sz w:val="20"/>
                <w:szCs w:val="20"/>
              </w:rPr>
            </w:pPr>
            <w:r w:rsidRPr="00AB455D">
              <w:rPr>
                <w:rFonts w:ascii="Arial Narrow" w:hAnsi="Arial Narrow" w:cstheme="minorHAnsi"/>
                <w:sz w:val="20"/>
                <w:szCs w:val="20"/>
              </w:rPr>
              <w:t>Year 2</w:t>
            </w:r>
          </w:p>
        </w:tc>
        <w:tc>
          <w:tcPr>
            <w:tcW w:w="1303" w:type="dxa"/>
            <w:tcBorders>
              <w:top w:val="single" w:sz="4" w:space="0" w:color="auto"/>
              <w:left w:val="single" w:sz="4" w:space="0" w:color="auto"/>
              <w:bottom w:val="single" w:sz="4" w:space="0" w:color="auto"/>
              <w:right w:val="single" w:sz="4" w:space="0" w:color="auto"/>
            </w:tcBorders>
            <w:hideMark/>
          </w:tcPr>
          <w:p w14:paraId="3AFFACDD" w14:textId="77777777" w:rsidR="00B85F34" w:rsidRPr="00AB455D" w:rsidRDefault="00B85F34" w:rsidP="006F067B">
            <w:pPr>
              <w:pStyle w:val="TableHeadingCA0"/>
              <w:rPr>
                <w:rFonts w:ascii="Arial Narrow" w:hAnsi="Arial Narrow" w:cstheme="minorHAnsi"/>
                <w:sz w:val="20"/>
                <w:szCs w:val="20"/>
              </w:rPr>
            </w:pPr>
            <w:r w:rsidRPr="00AB455D">
              <w:rPr>
                <w:rFonts w:ascii="Arial Narrow" w:hAnsi="Arial Narrow" w:cstheme="minorHAnsi"/>
                <w:sz w:val="20"/>
                <w:szCs w:val="20"/>
              </w:rPr>
              <w:t>Year 3</w:t>
            </w:r>
          </w:p>
        </w:tc>
        <w:tc>
          <w:tcPr>
            <w:tcW w:w="1303" w:type="dxa"/>
            <w:tcBorders>
              <w:top w:val="single" w:sz="4" w:space="0" w:color="auto"/>
              <w:left w:val="single" w:sz="4" w:space="0" w:color="auto"/>
              <w:bottom w:val="single" w:sz="4" w:space="0" w:color="auto"/>
              <w:right w:val="single" w:sz="4" w:space="0" w:color="auto"/>
            </w:tcBorders>
            <w:hideMark/>
          </w:tcPr>
          <w:p w14:paraId="7D976609" w14:textId="77777777" w:rsidR="00B85F34" w:rsidRPr="00AB455D" w:rsidRDefault="00B85F34" w:rsidP="006F067B">
            <w:pPr>
              <w:pStyle w:val="TableHeadingCA0"/>
              <w:rPr>
                <w:rFonts w:ascii="Arial Narrow" w:hAnsi="Arial Narrow" w:cstheme="minorHAnsi"/>
                <w:sz w:val="20"/>
                <w:szCs w:val="20"/>
              </w:rPr>
            </w:pPr>
            <w:r w:rsidRPr="00AB455D">
              <w:rPr>
                <w:rFonts w:ascii="Arial Narrow" w:hAnsi="Arial Narrow" w:cstheme="minorHAnsi"/>
                <w:sz w:val="20"/>
                <w:szCs w:val="20"/>
              </w:rPr>
              <w:t>Year 4</w:t>
            </w:r>
          </w:p>
        </w:tc>
        <w:tc>
          <w:tcPr>
            <w:tcW w:w="1303" w:type="dxa"/>
            <w:tcBorders>
              <w:top w:val="single" w:sz="4" w:space="0" w:color="auto"/>
              <w:left w:val="single" w:sz="4" w:space="0" w:color="auto"/>
              <w:bottom w:val="single" w:sz="4" w:space="0" w:color="auto"/>
              <w:right w:val="single" w:sz="4" w:space="0" w:color="auto"/>
            </w:tcBorders>
            <w:hideMark/>
          </w:tcPr>
          <w:p w14:paraId="3432599C" w14:textId="77777777" w:rsidR="00B85F34" w:rsidRPr="00AB455D" w:rsidRDefault="00B85F34" w:rsidP="006F067B">
            <w:pPr>
              <w:pStyle w:val="TableHeadingCA0"/>
              <w:rPr>
                <w:rFonts w:ascii="Arial Narrow" w:hAnsi="Arial Narrow" w:cstheme="minorHAnsi"/>
                <w:sz w:val="20"/>
                <w:szCs w:val="20"/>
              </w:rPr>
            </w:pPr>
            <w:r w:rsidRPr="00AB455D">
              <w:rPr>
                <w:rFonts w:ascii="Arial Narrow" w:hAnsi="Arial Narrow" w:cstheme="minorHAnsi"/>
                <w:sz w:val="20"/>
                <w:szCs w:val="20"/>
              </w:rPr>
              <w:t>Year 5</w:t>
            </w:r>
          </w:p>
        </w:tc>
        <w:tc>
          <w:tcPr>
            <w:tcW w:w="1755" w:type="dxa"/>
            <w:tcBorders>
              <w:top w:val="single" w:sz="4" w:space="0" w:color="auto"/>
              <w:left w:val="single" w:sz="4" w:space="0" w:color="auto"/>
              <w:bottom w:val="single" w:sz="4" w:space="0" w:color="auto"/>
              <w:right w:val="single" w:sz="4" w:space="0" w:color="auto"/>
            </w:tcBorders>
            <w:hideMark/>
          </w:tcPr>
          <w:p w14:paraId="0AA496B5" w14:textId="77777777" w:rsidR="00B85F34" w:rsidRPr="00AB455D" w:rsidRDefault="00B85F34" w:rsidP="006F067B">
            <w:pPr>
              <w:pStyle w:val="TableHeadingCA0"/>
              <w:rPr>
                <w:rFonts w:ascii="Arial Narrow" w:hAnsi="Arial Narrow" w:cstheme="minorHAnsi"/>
                <w:sz w:val="20"/>
                <w:szCs w:val="20"/>
              </w:rPr>
            </w:pPr>
            <w:r w:rsidRPr="00AB455D">
              <w:rPr>
                <w:rFonts w:ascii="Arial Narrow" w:hAnsi="Arial Narrow" w:cstheme="minorHAnsi"/>
                <w:sz w:val="20"/>
                <w:szCs w:val="20"/>
              </w:rPr>
              <w:t>Year 6</w:t>
            </w:r>
          </w:p>
        </w:tc>
      </w:tr>
      <w:tr w:rsidR="00B85F34" w:rsidRPr="00B85F34" w14:paraId="06947DB0" w14:textId="77777777" w:rsidTr="00AB455D">
        <w:tc>
          <w:tcPr>
            <w:tcW w:w="988" w:type="dxa"/>
            <w:tcBorders>
              <w:top w:val="single" w:sz="4" w:space="0" w:color="auto"/>
              <w:left w:val="single" w:sz="4" w:space="0" w:color="auto"/>
              <w:bottom w:val="single" w:sz="4" w:space="0" w:color="auto"/>
              <w:right w:val="single" w:sz="4" w:space="0" w:color="auto"/>
            </w:tcBorders>
            <w:hideMark/>
          </w:tcPr>
          <w:p w14:paraId="2B21A73C" w14:textId="77777777" w:rsidR="00B85F34" w:rsidRPr="00AB455D" w:rsidRDefault="00B85F34" w:rsidP="006F067B">
            <w:pPr>
              <w:pStyle w:val="TableText1"/>
              <w:rPr>
                <w:rFonts w:cstheme="minorHAnsi"/>
                <w:sz w:val="20"/>
                <w:szCs w:val="20"/>
              </w:rPr>
            </w:pPr>
            <w:r w:rsidRPr="00AB455D">
              <w:rPr>
                <w:rFonts w:cstheme="minorHAnsi"/>
                <w:sz w:val="20"/>
                <w:szCs w:val="20"/>
              </w:rPr>
              <w:t>PICO 1</w:t>
            </w:r>
          </w:p>
        </w:tc>
        <w:tc>
          <w:tcPr>
            <w:tcW w:w="1303" w:type="dxa"/>
            <w:tcBorders>
              <w:top w:val="single" w:sz="4" w:space="0" w:color="auto"/>
              <w:left w:val="single" w:sz="4" w:space="0" w:color="auto"/>
              <w:bottom w:val="single" w:sz="4" w:space="0" w:color="auto"/>
              <w:right w:val="single" w:sz="4" w:space="0" w:color="auto"/>
            </w:tcBorders>
            <w:hideMark/>
          </w:tcPr>
          <w:p w14:paraId="451974A0"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–$461,109</w:t>
            </w:r>
          </w:p>
        </w:tc>
        <w:tc>
          <w:tcPr>
            <w:tcW w:w="1303" w:type="dxa"/>
            <w:tcBorders>
              <w:top w:val="single" w:sz="4" w:space="0" w:color="auto"/>
              <w:left w:val="single" w:sz="4" w:space="0" w:color="auto"/>
              <w:bottom w:val="single" w:sz="4" w:space="0" w:color="auto"/>
              <w:right w:val="single" w:sz="4" w:space="0" w:color="auto"/>
            </w:tcBorders>
            <w:hideMark/>
          </w:tcPr>
          <w:p w14:paraId="7C9BF111"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–$362,254</w:t>
            </w:r>
          </w:p>
        </w:tc>
        <w:tc>
          <w:tcPr>
            <w:tcW w:w="1303" w:type="dxa"/>
            <w:tcBorders>
              <w:top w:val="single" w:sz="4" w:space="0" w:color="auto"/>
              <w:left w:val="single" w:sz="4" w:space="0" w:color="auto"/>
              <w:bottom w:val="single" w:sz="4" w:space="0" w:color="auto"/>
              <w:right w:val="single" w:sz="4" w:space="0" w:color="auto"/>
            </w:tcBorders>
            <w:hideMark/>
          </w:tcPr>
          <w:p w14:paraId="057C1C4E"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–$240,169</w:t>
            </w:r>
          </w:p>
        </w:tc>
        <w:tc>
          <w:tcPr>
            <w:tcW w:w="1303" w:type="dxa"/>
            <w:tcBorders>
              <w:top w:val="single" w:sz="4" w:space="0" w:color="auto"/>
              <w:left w:val="single" w:sz="4" w:space="0" w:color="auto"/>
              <w:bottom w:val="single" w:sz="4" w:space="0" w:color="auto"/>
              <w:right w:val="single" w:sz="4" w:space="0" w:color="auto"/>
            </w:tcBorders>
            <w:hideMark/>
          </w:tcPr>
          <w:p w14:paraId="05568B05"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–$90,950</w:t>
            </w:r>
          </w:p>
        </w:tc>
        <w:tc>
          <w:tcPr>
            <w:tcW w:w="1303" w:type="dxa"/>
            <w:tcBorders>
              <w:top w:val="single" w:sz="4" w:space="0" w:color="auto"/>
              <w:left w:val="single" w:sz="4" w:space="0" w:color="auto"/>
              <w:bottom w:val="single" w:sz="4" w:space="0" w:color="auto"/>
              <w:right w:val="single" w:sz="4" w:space="0" w:color="auto"/>
            </w:tcBorders>
            <w:hideMark/>
          </w:tcPr>
          <w:p w14:paraId="641FF882"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$89,914</w:t>
            </w:r>
          </w:p>
        </w:tc>
        <w:tc>
          <w:tcPr>
            <w:tcW w:w="1755" w:type="dxa"/>
            <w:tcBorders>
              <w:top w:val="single" w:sz="4" w:space="0" w:color="auto"/>
              <w:left w:val="single" w:sz="4" w:space="0" w:color="auto"/>
              <w:bottom w:val="single" w:sz="4" w:space="0" w:color="auto"/>
              <w:right w:val="single" w:sz="4" w:space="0" w:color="auto"/>
            </w:tcBorders>
            <w:hideMark/>
          </w:tcPr>
          <w:p w14:paraId="398D8E2F"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$306,739</w:t>
            </w:r>
          </w:p>
        </w:tc>
      </w:tr>
      <w:tr w:rsidR="00B85F34" w:rsidRPr="00B85F34" w14:paraId="5E3201DE" w14:textId="77777777" w:rsidTr="00AB455D">
        <w:tc>
          <w:tcPr>
            <w:tcW w:w="988" w:type="dxa"/>
            <w:tcBorders>
              <w:top w:val="single" w:sz="4" w:space="0" w:color="auto"/>
              <w:left w:val="single" w:sz="4" w:space="0" w:color="auto"/>
              <w:bottom w:val="single" w:sz="4" w:space="0" w:color="auto"/>
              <w:right w:val="single" w:sz="4" w:space="0" w:color="auto"/>
            </w:tcBorders>
            <w:hideMark/>
          </w:tcPr>
          <w:p w14:paraId="09A68FE6" w14:textId="77777777" w:rsidR="00B85F34" w:rsidRPr="00AB455D" w:rsidRDefault="00B85F34" w:rsidP="006F067B">
            <w:pPr>
              <w:pStyle w:val="TableText1"/>
              <w:rPr>
                <w:rFonts w:cstheme="minorHAnsi"/>
                <w:sz w:val="20"/>
                <w:szCs w:val="20"/>
              </w:rPr>
            </w:pPr>
            <w:r w:rsidRPr="00AB455D">
              <w:rPr>
                <w:rFonts w:cstheme="minorHAnsi"/>
                <w:sz w:val="20"/>
                <w:szCs w:val="20"/>
              </w:rPr>
              <w:t>PICO 2</w:t>
            </w:r>
          </w:p>
        </w:tc>
        <w:tc>
          <w:tcPr>
            <w:tcW w:w="1303" w:type="dxa"/>
            <w:tcBorders>
              <w:top w:val="single" w:sz="4" w:space="0" w:color="auto"/>
              <w:left w:val="single" w:sz="4" w:space="0" w:color="auto"/>
              <w:bottom w:val="single" w:sz="4" w:space="0" w:color="auto"/>
              <w:right w:val="single" w:sz="4" w:space="0" w:color="auto"/>
            </w:tcBorders>
            <w:hideMark/>
          </w:tcPr>
          <w:p w14:paraId="55EB1E8E"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$134,102</w:t>
            </w:r>
          </w:p>
        </w:tc>
        <w:tc>
          <w:tcPr>
            <w:tcW w:w="1303" w:type="dxa"/>
            <w:tcBorders>
              <w:top w:val="single" w:sz="4" w:space="0" w:color="auto"/>
              <w:left w:val="single" w:sz="4" w:space="0" w:color="auto"/>
              <w:bottom w:val="single" w:sz="4" w:space="0" w:color="auto"/>
              <w:right w:val="single" w:sz="4" w:space="0" w:color="auto"/>
            </w:tcBorders>
            <w:hideMark/>
          </w:tcPr>
          <w:p w14:paraId="380009AC"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$154,218</w:t>
            </w:r>
          </w:p>
        </w:tc>
        <w:tc>
          <w:tcPr>
            <w:tcW w:w="1303" w:type="dxa"/>
            <w:tcBorders>
              <w:top w:val="single" w:sz="4" w:space="0" w:color="auto"/>
              <w:left w:val="single" w:sz="4" w:space="0" w:color="auto"/>
              <w:bottom w:val="single" w:sz="4" w:space="0" w:color="auto"/>
              <w:right w:val="single" w:sz="4" w:space="0" w:color="auto"/>
            </w:tcBorders>
            <w:hideMark/>
          </w:tcPr>
          <w:p w14:paraId="747FEE63"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$177,350</w:t>
            </w:r>
          </w:p>
        </w:tc>
        <w:tc>
          <w:tcPr>
            <w:tcW w:w="1303" w:type="dxa"/>
            <w:tcBorders>
              <w:top w:val="single" w:sz="4" w:space="0" w:color="auto"/>
              <w:left w:val="single" w:sz="4" w:space="0" w:color="auto"/>
              <w:bottom w:val="single" w:sz="4" w:space="0" w:color="auto"/>
              <w:right w:val="single" w:sz="4" w:space="0" w:color="auto"/>
            </w:tcBorders>
            <w:hideMark/>
          </w:tcPr>
          <w:p w14:paraId="6AE9432C"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$203,953</w:t>
            </w:r>
          </w:p>
        </w:tc>
        <w:tc>
          <w:tcPr>
            <w:tcW w:w="1303" w:type="dxa"/>
            <w:tcBorders>
              <w:top w:val="single" w:sz="4" w:space="0" w:color="auto"/>
              <w:left w:val="single" w:sz="4" w:space="0" w:color="auto"/>
              <w:bottom w:val="single" w:sz="4" w:space="0" w:color="auto"/>
              <w:right w:val="single" w:sz="4" w:space="0" w:color="auto"/>
            </w:tcBorders>
            <w:hideMark/>
          </w:tcPr>
          <w:p w14:paraId="11C2EEE4"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$234,546</w:t>
            </w:r>
          </w:p>
        </w:tc>
        <w:tc>
          <w:tcPr>
            <w:tcW w:w="1755" w:type="dxa"/>
            <w:tcBorders>
              <w:top w:val="single" w:sz="4" w:space="0" w:color="auto"/>
              <w:left w:val="single" w:sz="4" w:space="0" w:color="auto"/>
              <w:bottom w:val="single" w:sz="4" w:space="0" w:color="auto"/>
              <w:right w:val="single" w:sz="4" w:space="0" w:color="auto"/>
            </w:tcBorders>
            <w:hideMark/>
          </w:tcPr>
          <w:p w14:paraId="7E5356B3"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$269,728</w:t>
            </w:r>
          </w:p>
        </w:tc>
      </w:tr>
      <w:tr w:rsidR="00B85F34" w:rsidRPr="00B85F34" w14:paraId="2A3CDF78" w14:textId="77777777" w:rsidTr="00AB455D">
        <w:tc>
          <w:tcPr>
            <w:tcW w:w="988" w:type="dxa"/>
            <w:tcBorders>
              <w:top w:val="single" w:sz="4" w:space="0" w:color="auto"/>
              <w:left w:val="single" w:sz="4" w:space="0" w:color="auto"/>
              <w:bottom w:val="single" w:sz="4" w:space="0" w:color="auto"/>
              <w:right w:val="single" w:sz="4" w:space="0" w:color="auto"/>
            </w:tcBorders>
            <w:hideMark/>
          </w:tcPr>
          <w:p w14:paraId="3F7E90C4" w14:textId="77777777" w:rsidR="00B85F34" w:rsidRPr="00AB455D" w:rsidRDefault="00B85F34" w:rsidP="006F067B">
            <w:pPr>
              <w:pStyle w:val="TableText1"/>
              <w:rPr>
                <w:rFonts w:cstheme="minorHAnsi"/>
                <w:sz w:val="20"/>
                <w:szCs w:val="20"/>
              </w:rPr>
            </w:pPr>
            <w:r w:rsidRPr="00AB455D">
              <w:rPr>
                <w:rFonts w:cstheme="minorHAnsi"/>
                <w:sz w:val="20"/>
                <w:szCs w:val="20"/>
              </w:rPr>
              <w:t>PICO 3</w:t>
            </w:r>
          </w:p>
        </w:tc>
        <w:tc>
          <w:tcPr>
            <w:tcW w:w="1303" w:type="dxa"/>
            <w:tcBorders>
              <w:top w:val="single" w:sz="4" w:space="0" w:color="auto"/>
              <w:left w:val="single" w:sz="4" w:space="0" w:color="auto"/>
              <w:bottom w:val="single" w:sz="4" w:space="0" w:color="auto"/>
              <w:right w:val="single" w:sz="4" w:space="0" w:color="auto"/>
            </w:tcBorders>
            <w:hideMark/>
          </w:tcPr>
          <w:p w14:paraId="7584975A"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–$364,624</w:t>
            </w:r>
          </w:p>
        </w:tc>
        <w:tc>
          <w:tcPr>
            <w:tcW w:w="1303" w:type="dxa"/>
            <w:tcBorders>
              <w:top w:val="single" w:sz="4" w:space="0" w:color="auto"/>
              <w:left w:val="single" w:sz="4" w:space="0" w:color="auto"/>
              <w:bottom w:val="single" w:sz="4" w:space="0" w:color="auto"/>
              <w:right w:val="single" w:sz="4" w:space="0" w:color="auto"/>
            </w:tcBorders>
            <w:hideMark/>
          </w:tcPr>
          <w:p w14:paraId="7AAF43F7"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–$382,855</w:t>
            </w:r>
          </w:p>
        </w:tc>
        <w:tc>
          <w:tcPr>
            <w:tcW w:w="1303" w:type="dxa"/>
            <w:tcBorders>
              <w:top w:val="single" w:sz="4" w:space="0" w:color="auto"/>
              <w:left w:val="single" w:sz="4" w:space="0" w:color="auto"/>
              <w:bottom w:val="single" w:sz="4" w:space="0" w:color="auto"/>
              <w:right w:val="single" w:sz="4" w:space="0" w:color="auto"/>
            </w:tcBorders>
            <w:hideMark/>
          </w:tcPr>
          <w:p w14:paraId="30CF46B4"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–$401,996</w:t>
            </w:r>
          </w:p>
        </w:tc>
        <w:tc>
          <w:tcPr>
            <w:tcW w:w="1303" w:type="dxa"/>
            <w:tcBorders>
              <w:top w:val="single" w:sz="4" w:space="0" w:color="auto"/>
              <w:left w:val="single" w:sz="4" w:space="0" w:color="auto"/>
              <w:bottom w:val="single" w:sz="4" w:space="0" w:color="auto"/>
              <w:right w:val="single" w:sz="4" w:space="0" w:color="auto"/>
            </w:tcBorders>
            <w:hideMark/>
          </w:tcPr>
          <w:p w14:paraId="1AD8377E"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–$422,097</w:t>
            </w:r>
          </w:p>
        </w:tc>
        <w:tc>
          <w:tcPr>
            <w:tcW w:w="1303" w:type="dxa"/>
            <w:tcBorders>
              <w:top w:val="single" w:sz="4" w:space="0" w:color="auto"/>
              <w:left w:val="single" w:sz="4" w:space="0" w:color="auto"/>
              <w:bottom w:val="single" w:sz="4" w:space="0" w:color="auto"/>
              <w:right w:val="single" w:sz="4" w:space="0" w:color="auto"/>
            </w:tcBorders>
            <w:hideMark/>
          </w:tcPr>
          <w:p w14:paraId="73D596EA"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–$443,202</w:t>
            </w:r>
          </w:p>
        </w:tc>
        <w:tc>
          <w:tcPr>
            <w:tcW w:w="1755" w:type="dxa"/>
            <w:tcBorders>
              <w:top w:val="single" w:sz="4" w:space="0" w:color="auto"/>
              <w:left w:val="single" w:sz="4" w:space="0" w:color="auto"/>
              <w:bottom w:val="single" w:sz="4" w:space="0" w:color="auto"/>
              <w:right w:val="single" w:sz="4" w:space="0" w:color="auto"/>
            </w:tcBorders>
            <w:hideMark/>
          </w:tcPr>
          <w:p w14:paraId="640B8D69" w14:textId="77777777" w:rsidR="00B85F34" w:rsidRPr="00AB455D" w:rsidRDefault="00B85F34" w:rsidP="006F067B">
            <w:pPr>
              <w:pStyle w:val="TableTextDecimalAlign"/>
              <w:rPr>
                <w:rFonts w:ascii="Arial Narrow" w:hAnsi="Arial Narrow" w:cstheme="minorHAnsi"/>
                <w:sz w:val="20"/>
                <w:szCs w:val="20"/>
              </w:rPr>
            </w:pPr>
            <w:r w:rsidRPr="00AB455D">
              <w:rPr>
                <w:rFonts w:ascii="Arial Narrow" w:hAnsi="Arial Narrow" w:cstheme="minorHAnsi"/>
                <w:sz w:val="20"/>
                <w:szCs w:val="20"/>
              </w:rPr>
              <w:t>–$465,362</w:t>
            </w:r>
          </w:p>
        </w:tc>
      </w:tr>
      <w:tr w:rsidR="00B85F34" w:rsidRPr="00B85F34" w14:paraId="734C5D74" w14:textId="77777777" w:rsidTr="00AB455D">
        <w:tc>
          <w:tcPr>
            <w:tcW w:w="988" w:type="dxa"/>
            <w:tcBorders>
              <w:top w:val="single" w:sz="4" w:space="0" w:color="auto"/>
              <w:left w:val="single" w:sz="4" w:space="0" w:color="auto"/>
              <w:bottom w:val="single" w:sz="4" w:space="0" w:color="auto"/>
              <w:right w:val="single" w:sz="4" w:space="0" w:color="auto"/>
            </w:tcBorders>
            <w:hideMark/>
          </w:tcPr>
          <w:p w14:paraId="7C55CEC3" w14:textId="77777777" w:rsidR="00B85F34" w:rsidRPr="00AB455D" w:rsidRDefault="00B85F34" w:rsidP="006F067B">
            <w:pPr>
              <w:pStyle w:val="TableText1"/>
              <w:rPr>
                <w:rFonts w:cstheme="minorHAnsi"/>
                <w:b/>
                <w:bCs/>
                <w:sz w:val="20"/>
                <w:szCs w:val="20"/>
              </w:rPr>
            </w:pPr>
            <w:r w:rsidRPr="00AB455D">
              <w:rPr>
                <w:rFonts w:cstheme="minorHAnsi"/>
                <w:b/>
                <w:bCs/>
                <w:sz w:val="20"/>
                <w:szCs w:val="20"/>
              </w:rPr>
              <w:t>TOTAL</w:t>
            </w:r>
          </w:p>
        </w:tc>
        <w:tc>
          <w:tcPr>
            <w:tcW w:w="1303" w:type="dxa"/>
            <w:tcBorders>
              <w:top w:val="single" w:sz="4" w:space="0" w:color="auto"/>
              <w:left w:val="single" w:sz="4" w:space="0" w:color="auto"/>
              <w:bottom w:val="single" w:sz="4" w:space="0" w:color="auto"/>
              <w:right w:val="single" w:sz="4" w:space="0" w:color="auto"/>
            </w:tcBorders>
            <w:hideMark/>
          </w:tcPr>
          <w:p w14:paraId="02EA1CAF" w14:textId="77777777" w:rsidR="00B85F34" w:rsidRPr="00AB455D" w:rsidRDefault="00B85F34" w:rsidP="006F067B">
            <w:pPr>
              <w:pStyle w:val="TableTextDecimalAlign"/>
              <w:rPr>
                <w:rFonts w:ascii="Arial Narrow" w:hAnsi="Arial Narrow" w:cstheme="minorHAnsi"/>
                <w:b/>
                <w:bCs/>
                <w:sz w:val="20"/>
                <w:szCs w:val="20"/>
              </w:rPr>
            </w:pPr>
            <w:r w:rsidRPr="00AB455D">
              <w:rPr>
                <w:rFonts w:ascii="Arial Narrow" w:hAnsi="Arial Narrow" w:cstheme="minorHAnsi"/>
                <w:b/>
                <w:bCs/>
                <w:sz w:val="20"/>
                <w:szCs w:val="20"/>
              </w:rPr>
              <w:t>–$691,631</w:t>
            </w:r>
          </w:p>
        </w:tc>
        <w:tc>
          <w:tcPr>
            <w:tcW w:w="1303" w:type="dxa"/>
            <w:tcBorders>
              <w:top w:val="single" w:sz="4" w:space="0" w:color="auto"/>
              <w:left w:val="single" w:sz="4" w:space="0" w:color="auto"/>
              <w:bottom w:val="single" w:sz="4" w:space="0" w:color="auto"/>
              <w:right w:val="single" w:sz="4" w:space="0" w:color="auto"/>
            </w:tcBorders>
            <w:hideMark/>
          </w:tcPr>
          <w:p w14:paraId="6A5B1334" w14:textId="77777777" w:rsidR="00B85F34" w:rsidRPr="00AB455D" w:rsidRDefault="00B85F34" w:rsidP="006F067B">
            <w:pPr>
              <w:pStyle w:val="TableTextDecimalAlign"/>
              <w:rPr>
                <w:rFonts w:ascii="Arial Narrow" w:hAnsi="Arial Narrow" w:cstheme="minorHAnsi"/>
                <w:b/>
                <w:bCs/>
                <w:sz w:val="20"/>
                <w:szCs w:val="20"/>
              </w:rPr>
            </w:pPr>
            <w:r w:rsidRPr="00AB455D">
              <w:rPr>
                <w:rFonts w:ascii="Arial Narrow" w:hAnsi="Arial Narrow" w:cstheme="minorHAnsi"/>
                <w:b/>
                <w:bCs/>
                <w:sz w:val="20"/>
                <w:szCs w:val="20"/>
              </w:rPr>
              <w:t>–$590,891</w:t>
            </w:r>
          </w:p>
        </w:tc>
        <w:tc>
          <w:tcPr>
            <w:tcW w:w="1303" w:type="dxa"/>
            <w:tcBorders>
              <w:top w:val="single" w:sz="4" w:space="0" w:color="auto"/>
              <w:left w:val="single" w:sz="4" w:space="0" w:color="auto"/>
              <w:bottom w:val="single" w:sz="4" w:space="0" w:color="auto"/>
              <w:right w:val="single" w:sz="4" w:space="0" w:color="auto"/>
            </w:tcBorders>
            <w:hideMark/>
          </w:tcPr>
          <w:p w14:paraId="42FCA37C" w14:textId="77777777" w:rsidR="00B85F34" w:rsidRPr="00AB455D" w:rsidRDefault="00B85F34" w:rsidP="006F067B">
            <w:pPr>
              <w:pStyle w:val="TableTextDecimalAlign"/>
              <w:rPr>
                <w:rFonts w:ascii="Arial Narrow" w:hAnsi="Arial Narrow" w:cstheme="minorHAnsi"/>
                <w:b/>
                <w:bCs/>
                <w:sz w:val="20"/>
                <w:szCs w:val="20"/>
              </w:rPr>
            </w:pPr>
            <w:r w:rsidRPr="00AB455D">
              <w:rPr>
                <w:rFonts w:ascii="Arial Narrow" w:hAnsi="Arial Narrow" w:cstheme="minorHAnsi"/>
                <w:b/>
                <w:bCs/>
                <w:sz w:val="20"/>
                <w:szCs w:val="20"/>
              </w:rPr>
              <w:t>–$464,815</w:t>
            </w:r>
          </w:p>
        </w:tc>
        <w:tc>
          <w:tcPr>
            <w:tcW w:w="1303" w:type="dxa"/>
            <w:tcBorders>
              <w:top w:val="single" w:sz="4" w:space="0" w:color="auto"/>
              <w:left w:val="single" w:sz="4" w:space="0" w:color="auto"/>
              <w:bottom w:val="single" w:sz="4" w:space="0" w:color="auto"/>
              <w:right w:val="single" w:sz="4" w:space="0" w:color="auto"/>
            </w:tcBorders>
            <w:hideMark/>
          </w:tcPr>
          <w:p w14:paraId="7118A49C" w14:textId="77777777" w:rsidR="00B85F34" w:rsidRPr="00AB455D" w:rsidRDefault="00B85F34" w:rsidP="006F067B">
            <w:pPr>
              <w:pStyle w:val="TableTextDecimalAlign"/>
              <w:rPr>
                <w:rFonts w:ascii="Arial Narrow" w:hAnsi="Arial Narrow" w:cstheme="minorHAnsi"/>
                <w:b/>
                <w:bCs/>
                <w:sz w:val="20"/>
                <w:szCs w:val="20"/>
              </w:rPr>
            </w:pPr>
            <w:r w:rsidRPr="00AB455D">
              <w:rPr>
                <w:rFonts w:ascii="Arial Narrow" w:hAnsi="Arial Narrow" w:cstheme="minorHAnsi"/>
                <w:b/>
                <w:bCs/>
                <w:sz w:val="20"/>
                <w:szCs w:val="20"/>
              </w:rPr>
              <w:t>–$309,094</w:t>
            </w:r>
          </w:p>
        </w:tc>
        <w:tc>
          <w:tcPr>
            <w:tcW w:w="1303" w:type="dxa"/>
            <w:tcBorders>
              <w:top w:val="single" w:sz="4" w:space="0" w:color="auto"/>
              <w:left w:val="single" w:sz="4" w:space="0" w:color="auto"/>
              <w:bottom w:val="single" w:sz="4" w:space="0" w:color="auto"/>
              <w:right w:val="single" w:sz="4" w:space="0" w:color="auto"/>
            </w:tcBorders>
            <w:hideMark/>
          </w:tcPr>
          <w:p w14:paraId="596FE956" w14:textId="77777777" w:rsidR="00B85F34" w:rsidRPr="00AB455D" w:rsidRDefault="00B85F34" w:rsidP="006F067B">
            <w:pPr>
              <w:pStyle w:val="TableTextDecimalAlign"/>
              <w:rPr>
                <w:rFonts w:ascii="Arial Narrow" w:hAnsi="Arial Narrow" w:cstheme="minorHAnsi"/>
                <w:b/>
                <w:bCs/>
                <w:sz w:val="20"/>
                <w:szCs w:val="20"/>
              </w:rPr>
            </w:pPr>
            <w:r w:rsidRPr="00AB455D">
              <w:rPr>
                <w:rFonts w:ascii="Arial Narrow" w:hAnsi="Arial Narrow" w:cstheme="minorHAnsi"/>
                <w:b/>
                <w:bCs/>
                <w:sz w:val="20"/>
                <w:szCs w:val="20"/>
              </w:rPr>
              <w:t>–$118,742</w:t>
            </w:r>
          </w:p>
        </w:tc>
        <w:tc>
          <w:tcPr>
            <w:tcW w:w="1755" w:type="dxa"/>
            <w:tcBorders>
              <w:top w:val="single" w:sz="4" w:space="0" w:color="auto"/>
              <w:left w:val="single" w:sz="4" w:space="0" w:color="auto"/>
              <w:bottom w:val="single" w:sz="4" w:space="0" w:color="auto"/>
              <w:right w:val="single" w:sz="4" w:space="0" w:color="auto"/>
            </w:tcBorders>
            <w:hideMark/>
          </w:tcPr>
          <w:p w14:paraId="35575B0A" w14:textId="77777777" w:rsidR="00B85F34" w:rsidRPr="00AB455D" w:rsidRDefault="00B85F34" w:rsidP="006F067B">
            <w:pPr>
              <w:pStyle w:val="TableTextDecimalAlign"/>
              <w:rPr>
                <w:rFonts w:ascii="Arial Narrow" w:hAnsi="Arial Narrow" w:cstheme="minorHAnsi"/>
                <w:b/>
                <w:bCs/>
                <w:sz w:val="20"/>
                <w:szCs w:val="20"/>
              </w:rPr>
            </w:pPr>
            <w:r w:rsidRPr="00AB455D">
              <w:rPr>
                <w:rFonts w:ascii="Arial Narrow" w:hAnsi="Arial Narrow" w:cstheme="minorHAnsi"/>
                <w:b/>
                <w:bCs/>
                <w:sz w:val="20"/>
                <w:szCs w:val="20"/>
              </w:rPr>
              <w:t>$111,105</w:t>
            </w:r>
          </w:p>
        </w:tc>
      </w:tr>
    </w:tbl>
    <w:p w14:paraId="0522A66D" w14:textId="765FDE3E" w:rsidR="005E1CA4" w:rsidRPr="00CE28E3" w:rsidRDefault="00E91FB9" w:rsidP="00E91FB9">
      <w:pPr>
        <w:pStyle w:val="Heading2"/>
        <w:numPr>
          <w:ilvl w:val="0"/>
          <w:numId w:val="0"/>
        </w:numPr>
      </w:pPr>
      <w:bookmarkStart w:id="62" w:name="_Toc145678764"/>
      <w:bookmarkStart w:id="63" w:name="_Toc150172409"/>
      <w:bookmarkStart w:id="64" w:name="_Toc153462784"/>
      <w:r>
        <w:t>15.</w:t>
      </w:r>
      <w:r>
        <w:tab/>
      </w:r>
      <w:r w:rsidR="005E1CA4" w:rsidRPr="00CE28E3">
        <w:t xml:space="preserve">Other relevant </w:t>
      </w:r>
      <w:r w:rsidR="005E1CA4">
        <w:t>information</w:t>
      </w:r>
      <w:bookmarkEnd w:id="62"/>
      <w:bookmarkEnd w:id="63"/>
      <w:bookmarkEnd w:id="64"/>
    </w:p>
    <w:p w14:paraId="1D57605E" w14:textId="77777777" w:rsidR="005E1CA4" w:rsidRPr="005E21A8" w:rsidRDefault="005E1CA4" w:rsidP="005E1CA4">
      <w:pPr>
        <w:pStyle w:val="ESHeading3"/>
      </w:pPr>
      <w:r w:rsidRPr="005E21A8">
        <w:t>NATA Accreditation of paediatric sleep service providers</w:t>
      </w:r>
    </w:p>
    <w:p w14:paraId="3C18B58A" w14:textId="61E57EA3" w:rsidR="005E1CA4" w:rsidRPr="00395DB7" w:rsidRDefault="005E1CA4" w:rsidP="005E1CA4">
      <w:pPr>
        <w:rPr>
          <w:rFonts w:ascii="Franklin Gothic Book" w:hAnsi="Franklin Gothic Book"/>
        </w:rPr>
      </w:pPr>
      <w:r w:rsidRPr="00395DB7">
        <w:rPr>
          <w:rFonts w:ascii="Franklin Gothic Book" w:hAnsi="Franklin Gothic Book"/>
        </w:rPr>
        <w:t>The applicant has requested that service providers for the requested items be limited to those sleep laboratories with NATA accreditation according to</w:t>
      </w:r>
      <w:r w:rsidR="004039E2">
        <w:rPr>
          <w:rFonts w:ascii="Franklin Gothic Book" w:hAnsi="Franklin Gothic Book"/>
        </w:rPr>
        <w:t xml:space="preserve"> Table 22</w:t>
      </w:r>
      <w:r w:rsidRPr="00395DB7">
        <w:rPr>
          <w:rFonts w:ascii="Franklin Gothic Book" w:hAnsi="Franklin Gothic Book"/>
        </w:rPr>
        <w:t>.</w:t>
      </w:r>
    </w:p>
    <w:p w14:paraId="1AF93C3D" w14:textId="27E1021E" w:rsidR="005E1CA4" w:rsidRDefault="003D22E5" w:rsidP="005E1CA4">
      <w:pPr>
        <w:pStyle w:val="Caption"/>
      </w:pPr>
      <w:bookmarkStart w:id="65" w:name="_Ref150327623"/>
      <w:r>
        <w:t xml:space="preserve">Table </w:t>
      </w:r>
      <w:fldSimple w:instr=" SEQ Table \* ARABIC ">
        <w:r>
          <w:rPr>
            <w:noProof/>
          </w:rPr>
          <w:t>22</w:t>
        </w:r>
      </w:fldSimple>
      <w:bookmarkEnd w:id="65"/>
      <w:r w:rsidR="005E1CA4">
        <w:tab/>
        <w:t>NATA accreditation requirements requested for the service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NATA accreditation requirements requested for the service provided"/>
        <w:tblDescription w:val="The table summarises the NATA accreditation requirements requested by the applicant for the proposed MBS items."/>
      </w:tblPr>
      <w:tblGrid>
        <w:gridCol w:w="2406"/>
        <w:gridCol w:w="3260"/>
        <w:gridCol w:w="3350"/>
      </w:tblGrid>
      <w:tr w:rsidR="005E1CA4" w:rsidRPr="00CE28E3" w14:paraId="7F060C40" w14:textId="77777777" w:rsidTr="000A427B">
        <w:trPr>
          <w:tblHeader/>
        </w:trPr>
        <w:tc>
          <w:tcPr>
            <w:tcW w:w="1334" w:type="pct"/>
            <w:tcMar>
              <w:top w:w="0" w:type="dxa"/>
              <w:left w:w="108" w:type="dxa"/>
              <w:bottom w:w="0" w:type="dxa"/>
              <w:right w:w="108" w:type="dxa"/>
            </w:tcMar>
          </w:tcPr>
          <w:p w14:paraId="6688A01D" w14:textId="77777777" w:rsidR="005E1CA4" w:rsidRPr="00CE28E3" w:rsidRDefault="005E1CA4" w:rsidP="000A427B">
            <w:pPr>
              <w:pStyle w:val="TableHeading"/>
              <w:spacing w:before="110" w:after="55"/>
            </w:pPr>
            <w:r>
              <w:t>Responsibility</w:t>
            </w:r>
          </w:p>
        </w:tc>
        <w:tc>
          <w:tcPr>
            <w:tcW w:w="1808" w:type="pct"/>
            <w:tcBorders>
              <w:bottom w:val="single" w:sz="4" w:space="0" w:color="auto"/>
            </w:tcBorders>
            <w:tcMar>
              <w:top w:w="0" w:type="dxa"/>
              <w:left w:w="108" w:type="dxa"/>
              <w:bottom w:w="0" w:type="dxa"/>
              <w:right w:w="108" w:type="dxa"/>
            </w:tcMar>
            <w:hideMark/>
          </w:tcPr>
          <w:p w14:paraId="22735BF8" w14:textId="77777777" w:rsidR="005E1CA4" w:rsidRPr="00CE28E3" w:rsidRDefault="005E1CA4" w:rsidP="000A427B">
            <w:pPr>
              <w:pStyle w:val="TableHeading"/>
              <w:spacing w:before="110" w:after="55"/>
            </w:pPr>
            <w:r>
              <w:t>Studies in children aged 3 to &gt;12 years</w:t>
            </w:r>
          </w:p>
        </w:tc>
        <w:tc>
          <w:tcPr>
            <w:tcW w:w="1858" w:type="pct"/>
            <w:tcBorders>
              <w:bottom w:val="single" w:sz="4" w:space="0" w:color="auto"/>
            </w:tcBorders>
            <w:tcMar>
              <w:top w:w="0" w:type="dxa"/>
              <w:left w:w="108" w:type="dxa"/>
              <w:bottom w:w="0" w:type="dxa"/>
              <w:right w:w="108" w:type="dxa"/>
            </w:tcMar>
            <w:hideMark/>
          </w:tcPr>
          <w:p w14:paraId="3E9BEDFE" w14:textId="77777777" w:rsidR="005E1CA4" w:rsidRPr="00CE28E3" w:rsidRDefault="005E1CA4" w:rsidP="000A427B">
            <w:pPr>
              <w:pStyle w:val="TableHeading"/>
              <w:spacing w:before="110" w:after="55"/>
            </w:pPr>
            <w:r>
              <w:t>Studies in children aged 12 to &lt;18 years</w:t>
            </w:r>
          </w:p>
        </w:tc>
      </w:tr>
      <w:tr w:rsidR="005E1CA4" w:rsidRPr="00CE28E3" w14:paraId="1244278B" w14:textId="77777777" w:rsidTr="000A427B">
        <w:tc>
          <w:tcPr>
            <w:tcW w:w="1334" w:type="pct"/>
            <w:tcMar>
              <w:top w:w="0" w:type="dxa"/>
              <w:left w:w="108" w:type="dxa"/>
              <w:bottom w:w="0" w:type="dxa"/>
              <w:right w:w="108" w:type="dxa"/>
            </w:tcMar>
            <w:hideMark/>
          </w:tcPr>
          <w:p w14:paraId="2610F16E" w14:textId="77777777" w:rsidR="005E1CA4" w:rsidRPr="00CD62BB" w:rsidRDefault="005E1CA4" w:rsidP="000A427B">
            <w:pPr>
              <w:pStyle w:val="TableText"/>
              <w:spacing w:before="36" w:after="36"/>
            </w:pPr>
            <w:r>
              <w:t xml:space="preserve">Study supervision, including determination of whether </w:t>
            </w:r>
            <w:r w:rsidRPr="0005203F">
              <w:t>CO</w:t>
            </w:r>
            <w:r w:rsidRPr="00DA6D33">
              <w:rPr>
                <w:vertAlign w:val="subscript"/>
              </w:rPr>
              <w:t>2</w:t>
            </w:r>
            <w:r w:rsidRPr="0005203F">
              <w:t xml:space="preserve"> </w:t>
            </w:r>
            <w:r>
              <w:t>recording is required</w:t>
            </w:r>
          </w:p>
        </w:tc>
        <w:tc>
          <w:tcPr>
            <w:tcW w:w="1808" w:type="pct"/>
            <w:tcBorders>
              <w:bottom w:val="nil"/>
            </w:tcBorders>
            <w:tcMar>
              <w:top w:w="0" w:type="dxa"/>
              <w:left w:w="108" w:type="dxa"/>
              <w:bottom w:w="0" w:type="dxa"/>
              <w:right w:w="108" w:type="dxa"/>
            </w:tcMar>
          </w:tcPr>
          <w:p w14:paraId="730ADE4D" w14:textId="77777777" w:rsidR="005E1CA4" w:rsidRPr="00A20921" w:rsidRDefault="005E1CA4" w:rsidP="000A427B">
            <w:pPr>
              <w:pStyle w:val="TableText"/>
              <w:spacing w:before="36" w:after="36"/>
            </w:pPr>
            <w:r w:rsidRPr="00A20921">
              <w:t xml:space="preserve">A qualified paediatric sleep medicine practitioner listed on the staff of a </w:t>
            </w:r>
            <w:r w:rsidRPr="00A20921">
              <w:rPr>
                <w:i/>
                <w:iCs/>
              </w:rPr>
              <w:t>paediatric sleep laboratory</w:t>
            </w:r>
            <w:r w:rsidRPr="00A20921">
              <w:t xml:space="preserve"> accredited under the NATA/ASA Sleep Disorders Service Accreditation Program</w:t>
            </w:r>
          </w:p>
        </w:tc>
        <w:tc>
          <w:tcPr>
            <w:tcW w:w="1858" w:type="pct"/>
            <w:tcBorders>
              <w:bottom w:val="nil"/>
            </w:tcBorders>
            <w:tcMar>
              <w:top w:w="0" w:type="dxa"/>
              <w:left w:w="108" w:type="dxa"/>
              <w:bottom w:w="0" w:type="dxa"/>
              <w:right w:w="108" w:type="dxa"/>
            </w:tcMar>
          </w:tcPr>
          <w:p w14:paraId="02FF2BE8" w14:textId="77777777" w:rsidR="005E1CA4" w:rsidRPr="00CD62BB" w:rsidRDefault="005E1CA4" w:rsidP="000A427B">
            <w:pPr>
              <w:pStyle w:val="TableText"/>
              <w:spacing w:before="36" w:after="36"/>
            </w:pPr>
            <w:r>
              <w:t>A</w:t>
            </w:r>
            <w:r w:rsidRPr="0005203F">
              <w:t xml:space="preserve"> qualified paediatric or adult sleep medicine practitioner who is listed on the staff list </w:t>
            </w:r>
            <w:r w:rsidRPr="00563998">
              <w:t xml:space="preserve">of a </w:t>
            </w:r>
            <w:r w:rsidRPr="000440DC">
              <w:rPr>
                <w:i/>
                <w:iCs/>
              </w:rPr>
              <w:t>paediatric or adult sleep laboratory</w:t>
            </w:r>
            <w:r w:rsidRPr="00563998">
              <w:t xml:space="preserve"> accredited under the NATA/ASA Sleep Disorders Service Accreditation Program</w:t>
            </w:r>
            <w:r>
              <w:t xml:space="preserve"> </w:t>
            </w:r>
            <w:r w:rsidRPr="000440DC">
              <w:rPr>
                <w:i/>
                <w:iCs/>
              </w:rPr>
              <w:t>for this age group</w:t>
            </w:r>
          </w:p>
        </w:tc>
      </w:tr>
      <w:tr w:rsidR="005E1CA4" w:rsidRPr="00CE28E3" w14:paraId="6380602B" w14:textId="77777777" w:rsidTr="000A427B">
        <w:tc>
          <w:tcPr>
            <w:tcW w:w="1334" w:type="pct"/>
            <w:tcMar>
              <w:top w:w="0" w:type="dxa"/>
              <w:left w:w="108" w:type="dxa"/>
              <w:bottom w:w="0" w:type="dxa"/>
              <w:right w:w="108" w:type="dxa"/>
            </w:tcMar>
            <w:hideMark/>
          </w:tcPr>
          <w:p w14:paraId="5BADC52E" w14:textId="77777777" w:rsidR="005E1CA4" w:rsidRPr="00CD62BB" w:rsidRDefault="005E1CA4" w:rsidP="000A427B">
            <w:pPr>
              <w:pStyle w:val="TableText"/>
              <w:spacing w:before="36" w:after="36"/>
            </w:pPr>
            <w:r>
              <w:t xml:space="preserve">Interpretation and preparation of the report including review of the raw </w:t>
            </w:r>
            <w:proofErr w:type="spellStart"/>
            <w:r>
              <w:t>polygraphic</w:t>
            </w:r>
            <w:proofErr w:type="spellEnd"/>
            <w:r>
              <w:t xml:space="preserve"> data</w:t>
            </w:r>
          </w:p>
        </w:tc>
        <w:tc>
          <w:tcPr>
            <w:tcW w:w="1808" w:type="pct"/>
            <w:tcBorders>
              <w:top w:val="nil"/>
            </w:tcBorders>
            <w:tcMar>
              <w:top w:w="0" w:type="dxa"/>
              <w:left w:w="108" w:type="dxa"/>
              <w:bottom w:w="0" w:type="dxa"/>
              <w:right w:w="108" w:type="dxa"/>
            </w:tcMar>
          </w:tcPr>
          <w:p w14:paraId="347263B5" w14:textId="77777777" w:rsidR="005E1CA4" w:rsidRPr="00CD62BB" w:rsidRDefault="005E1CA4" w:rsidP="000A427B">
            <w:pPr>
              <w:pStyle w:val="TableText"/>
              <w:spacing w:before="36" w:after="36"/>
            </w:pPr>
          </w:p>
        </w:tc>
        <w:tc>
          <w:tcPr>
            <w:tcW w:w="1858" w:type="pct"/>
            <w:tcBorders>
              <w:top w:val="nil"/>
            </w:tcBorders>
            <w:tcMar>
              <w:top w:w="0" w:type="dxa"/>
              <w:left w:w="108" w:type="dxa"/>
              <w:bottom w:w="0" w:type="dxa"/>
              <w:right w:w="108" w:type="dxa"/>
            </w:tcMar>
          </w:tcPr>
          <w:p w14:paraId="2367E31C" w14:textId="77777777" w:rsidR="005E1CA4" w:rsidRPr="00CD62BB" w:rsidRDefault="005E1CA4" w:rsidP="000A427B">
            <w:pPr>
              <w:pStyle w:val="TableText"/>
              <w:spacing w:before="36" w:after="36"/>
            </w:pPr>
          </w:p>
        </w:tc>
      </w:tr>
    </w:tbl>
    <w:p w14:paraId="4EF637E6" w14:textId="77777777" w:rsidR="005E1CA4" w:rsidRPr="00CB0B92" w:rsidRDefault="005E1CA4" w:rsidP="005E1CA4">
      <w:pPr>
        <w:pStyle w:val="TableFigNoteLast"/>
      </w:pPr>
      <w:r w:rsidRPr="00D1184D">
        <w:t xml:space="preserve">ASA = Australasian Sleep Association; </w:t>
      </w:r>
      <w:r w:rsidRPr="00CB0B92">
        <w:t xml:space="preserve">NATA = National Association of Testing </w:t>
      </w:r>
      <w:proofErr w:type="spellStart"/>
      <w:r w:rsidRPr="00CB0B92">
        <w:t>Authorities.Source</w:t>
      </w:r>
      <w:proofErr w:type="spellEnd"/>
      <w:r w:rsidRPr="00CB0B92">
        <w:t>: Application form for MSAC application 1712 (February 2022)</w:t>
      </w:r>
    </w:p>
    <w:p w14:paraId="56CB4A12" w14:textId="77777777" w:rsidR="005E1CA4" w:rsidRPr="00395DB7" w:rsidRDefault="005E1CA4" w:rsidP="005E1CA4">
      <w:pPr>
        <w:rPr>
          <w:rFonts w:ascii="Franklin Gothic Book" w:hAnsi="Franklin Gothic Book"/>
        </w:rPr>
      </w:pPr>
      <w:r w:rsidRPr="00395DB7">
        <w:rPr>
          <w:rFonts w:ascii="Franklin Gothic Book" w:hAnsi="Franklin Gothic Book"/>
        </w:rPr>
        <w:t>Recording of carbon dioxide (capnography) is relevant to children with underlying conditions putting them at higher risk of central apnoea, or otherwise more complex than suspected obstructive sleep apnoea alone.</w:t>
      </w:r>
    </w:p>
    <w:p w14:paraId="4FE5745F" w14:textId="6AF92463" w:rsidR="005E1CA4" w:rsidRPr="00395DB7" w:rsidRDefault="005E1CA4" w:rsidP="005E1CA4">
      <w:pPr>
        <w:rPr>
          <w:rFonts w:ascii="Franklin Gothic Book" w:hAnsi="Franklin Gothic Book"/>
        </w:rPr>
      </w:pPr>
      <w:r w:rsidRPr="00395DB7">
        <w:rPr>
          <w:rFonts w:ascii="Franklin Gothic Book" w:hAnsi="Franklin Gothic Book"/>
        </w:rPr>
        <w:t>A requirement for paediatric sleep studies to be delivered by a NATA accredited laboratory (for both age groups) would help manage a range of clinical, quality and compliance issues summarised in</w:t>
      </w:r>
      <w:r w:rsidR="004039E2">
        <w:rPr>
          <w:rFonts w:ascii="Franklin Gothic Book" w:hAnsi="Franklin Gothic Book"/>
        </w:rPr>
        <w:t xml:space="preserve"> Table 23</w:t>
      </w:r>
      <w:r w:rsidRPr="00395DB7">
        <w:rPr>
          <w:rFonts w:ascii="Franklin Gothic Book" w:hAnsi="Franklin Gothic Book"/>
        </w:rPr>
        <w:t>.</w:t>
      </w:r>
    </w:p>
    <w:p w14:paraId="30AE4691" w14:textId="6EF524D8" w:rsidR="005E1CA4" w:rsidRPr="00CE28E3" w:rsidRDefault="003D22E5" w:rsidP="005E1CA4">
      <w:pPr>
        <w:pStyle w:val="Caption"/>
      </w:pPr>
      <w:bookmarkStart w:id="66" w:name="_Ref150275101"/>
      <w:r>
        <w:lastRenderedPageBreak/>
        <w:t xml:space="preserve">Table </w:t>
      </w:r>
      <w:fldSimple w:instr=" SEQ Table \* ARABIC ">
        <w:r>
          <w:rPr>
            <w:noProof/>
          </w:rPr>
          <w:t>23</w:t>
        </w:r>
      </w:fldSimple>
      <w:bookmarkEnd w:id="66"/>
      <w:r w:rsidR="005E1CA4" w:rsidRPr="00CE28E3">
        <w:tab/>
      </w:r>
      <w:r w:rsidR="005E1CA4">
        <w:t>Issues addressed by a requirement for NATA accreditation of paediatric sleep laboratories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Issues addressed by a requirement for NATA accreditation of paediatric sleep laboratories"/>
        <w:tblDescription w:val="This table describes issues that would be addressed by requiring NATA accreditation of the paediatric sleep laboratories providing the proposed services. "/>
      </w:tblPr>
      <w:tblGrid>
        <w:gridCol w:w="1980"/>
        <w:gridCol w:w="7036"/>
      </w:tblGrid>
      <w:tr w:rsidR="005E1CA4" w:rsidRPr="00CE28E3" w14:paraId="50EFC068" w14:textId="77777777" w:rsidTr="00AB455D">
        <w:trPr>
          <w:tblHeader/>
        </w:trPr>
        <w:tc>
          <w:tcPr>
            <w:tcW w:w="1098" w:type="pct"/>
            <w:tcMar>
              <w:top w:w="0" w:type="dxa"/>
              <w:left w:w="108" w:type="dxa"/>
              <w:bottom w:w="0" w:type="dxa"/>
              <w:right w:w="108" w:type="dxa"/>
            </w:tcMar>
          </w:tcPr>
          <w:p w14:paraId="28D5EB4A" w14:textId="77777777" w:rsidR="005E1CA4" w:rsidRPr="00181902" w:rsidRDefault="005E1CA4" w:rsidP="000A427B">
            <w:pPr>
              <w:pStyle w:val="TableHeading"/>
              <w:spacing w:before="110" w:after="55"/>
            </w:pPr>
            <w:r>
              <w:t>Area</w:t>
            </w:r>
          </w:p>
        </w:tc>
        <w:tc>
          <w:tcPr>
            <w:tcW w:w="3902" w:type="pct"/>
            <w:tcMar>
              <w:top w:w="0" w:type="dxa"/>
              <w:left w:w="108" w:type="dxa"/>
              <w:bottom w:w="0" w:type="dxa"/>
              <w:right w:w="108" w:type="dxa"/>
            </w:tcMar>
            <w:hideMark/>
          </w:tcPr>
          <w:p w14:paraId="31B03BB8" w14:textId="77777777" w:rsidR="005E1CA4" w:rsidRPr="00181902" w:rsidRDefault="005E1CA4" w:rsidP="000A427B">
            <w:pPr>
              <w:pStyle w:val="TableHeading"/>
              <w:spacing w:before="110" w:after="55"/>
            </w:pPr>
            <w:r>
              <w:t>Rationale/comment</w:t>
            </w:r>
          </w:p>
        </w:tc>
      </w:tr>
      <w:tr w:rsidR="005E1CA4" w:rsidRPr="00CE28E3" w14:paraId="7E37D740" w14:textId="77777777" w:rsidTr="00AB455D">
        <w:tc>
          <w:tcPr>
            <w:tcW w:w="1098" w:type="pct"/>
            <w:tcMar>
              <w:top w:w="0" w:type="dxa"/>
              <w:left w:w="108" w:type="dxa"/>
              <w:bottom w:w="0" w:type="dxa"/>
              <w:right w:w="108" w:type="dxa"/>
            </w:tcMar>
          </w:tcPr>
          <w:p w14:paraId="18B54953" w14:textId="77777777" w:rsidR="005E1CA4" w:rsidRDefault="005E1CA4" w:rsidP="000A427B">
            <w:pPr>
              <w:pStyle w:val="TableText"/>
              <w:spacing w:before="36" w:after="36"/>
            </w:pPr>
            <w:r>
              <w:t>Clinical care</w:t>
            </w:r>
          </w:p>
        </w:tc>
        <w:tc>
          <w:tcPr>
            <w:tcW w:w="3902" w:type="pct"/>
            <w:tcMar>
              <w:top w:w="0" w:type="dxa"/>
              <w:left w:w="108" w:type="dxa"/>
              <w:bottom w:w="0" w:type="dxa"/>
              <w:right w:w="108" w:type="dxa"/>
            </w:tcMar>
          </w:tcPr>
          <w:p w14:paraId="7DCAAC12" w14:textId="77777777" w:rsidR="005E1CA4" w:rsidRDefault="005E1CA4" w:rsidP="000A427B">
            <w:pPr>
              <w:pStyle w:val="TableText"/>
              <w:spacing w:before="36" w:after="36"/>
            </w:pPr>
            <w:r>
              <w:t>Children receive appropriate specialist clinical assessment and care in addition to the sleep study itself.</w:t>
            </w:r>
          </w:p>
          <w:p w14:paraId="63383436" w14:textId="77777777" w:rsidR="005E1CA4" w:rsidRPr="00CD62BB" w:rsidRDefault="005E1CA4" w:rsidP="000A427B">
            <w:pPr>
              <w:pStyle w:val="TableText"/>
              <w:spacing w:before="36" w:after="36"/>
            </w:pPr>
            <w:r>
              <w:t>Children are assessed by a specialist to determine whether capnography should be included in the sleep study and whether an out-of-laboratory study is appropriate.</w:t>
            </w:r>
          </w:p>
        </w:tc>
      </w:tr>
      <w:tr w:rsidR="005E1CA4" w:rsidRPr="00CE28E3" w14:paraId="15B2A31F" w14:textId="77777777" w:rsidTr="00AB455D">
        <w:tc>
          <w:tcPr>
            <w:tcW w:w="1098" w:type="pct"/>
            <w:tcMar>
              <w:top w:w="0" w:type="dxa"/>
              <w:left w:w="108" w:type="dxa"/>
              <w:bottom w:w="0" w:type="dxa"/>
              <w:right w:w="108" w:type="dxa"/>
            </w:tcMar>
          </w:tcPr>
          <w:p w14:paraId="3F49B813" w14:textId="77777777" w:rsidR="005E1CA4" w:rsidRDefault="005E1CA4" w:rsidP="000A427B">
            <w:pPr>
              <w:pStyle w:val="TableText"/>
              <w:spacing w:before="36" w:after="36"/>
            </w:pPr>
            <w:r>
              <w:t>Quality standards</w:t>
            </w:r>
          </w:p>
        </w:tc>
        <w:tc>
          <w:tcPr>
            <w:tcW w:w="3902" w:type="pct"/>
            <w:tcMar>
              <w:top w:w="0" w:type="dxa"/>
              <w:left w:w="108" w:type="dxa"/>
              <w:bottom w:w="0" w:type="dxa"/>
              <w:right w:w="108" w:type="dxa"/>
            </w:tcMar>
          </w:tcPr>
          <w:p w14:paraId="0A277444" w14:textId="77777777" w:rsidR="005E1CA4" w:rsidRDefault="005E1CA4" w:rsidP="000A427B">
            <w:pPr>
              <w:pStyle w:val="TableText"/>
              <w:spacing w:before="36" w:after="36"/>
            </w:pPr>
            <w:r>
              <w:t>Only laboratories with appropriately trained staff offer these services.</w:t>
            </w:r>
          </w:p>
          <w:p w14:paraId="26A4137F" w14:textId="77777777" w:rsidR="005E1CA4" w:rsidRDefault="005E1CA4" w:rsidP="000A427B">
            <w:pPr>
              <w:pStyle w:val="TableText"/>
              <w:spacing w:before="36" w:after="36"/>
            </w:pPr>
            <w:r>
              <w:t>Accreditation to cover conduct of sleep studies in the home environment.</w:t>
            </w:r>
          </w:p>
          <w:p w14:paraId="7F8CAADA" w14:textId="77777777" w:rsidR="005E1CA4" w:rsidRDefault="005E1CA4" w:rsidP="000A427B">
            <w:pPr>
              <w:pStyle w:val="TableText"/>
              <w:spacing w:before="36" w:after="36"/>
            </w:pPr>
            <w:r>
              <w:t>Conduct of regular audits to ensure the more complex scoring and interpretation of study polygraphs and other data required for children is being performed to an appropriate standard.</w:t>
            </w:r>
          </w:p>
          <w:p w14:paraId="5283647B" w14:textId="77777777" w:rsidR="005E1CA4" w:rsidRPr="00CD62BB" w:rsidRDefault="005E1CA4" w:rsidP="000A427B">
            <w:pPr>
              <w:pStyle w:val="TableText"/>
              <w:spacing w:before="36" w:after="36"/>
            </w:pPr>
            <w:r>
              <w:t>Quality program oversight of sleep study ordering and conduct.</w:t>
            </w:r>
          </w:p>
        </w:tc>
      </w:tr>
      <w:tr w:rsidR="005E1CA4" w:rsidRPr="00CE28E3" w14:paraId="39A08C10" w14:textId="77777777" w:rsidTr="00AB455D">
        <w:tc>
          <w:tcPr>
            <w:tcW w:w="1098" w:type="pct"/>
            <w:tcMar>
              <w:top w:w="0" w:type="dxa"/>
              <w:left w:w="108" w:type="dxa"/>
              <w:bottom w:w="0" w:type="dxa"/>
              <w:right w:w="108" w:type="dxa"/>
            </w:tcMar>
          </w:tcPr>
          <w:p w14:paraId="012886FA" w14:textId="2C3962E8" w:rsidR="005E1CA4" w:rsidRDefault="005E1CA4" w:rsidP="000A427B">
            <w:pPr>
              <w:pStyle w:val="TableText"/>
              <w:spacing w:before="36" w:after="36"/>
            </w:pPr>
            <w:r>
              <w:t xml:space="preserve">Compliance and item </w:t>
            </w:r>
            <w:r w:rsidR="007F5484">
              <w:t>use outside the intended population</w:t>
            </w:r>
          </w:p>
        </w:tc>
        <w:tc>
          <w:tcPr>
            <w:tcW w:w="3902" w:type="pct"/>
            <w:tcMar>
              <w:top w:w="0" w:type="dxa"/>
              <w:left w:w="108" w:type="dxa"/>
              <w:bottom w:w="0" w:type="dxa"/>
              <w:right w:w="108" w:type="dxa"/>
            </w:tcMar>
          </w:tcPr>
          <w:p w14:paraId="0ACEC677" w14:textId="77777777" w:rsidR="005E1CA4" w:rsidRPr="00CD62BB" w:rsidRDefault="005E1CA4" w:rsidP="000A427B">
            <w:pPr>
              <w:pStyle w:val="TableText"/>
              <w:spacing w:before="36" w:after="36"/>
            </w:pPr>
            <w:r>
              <w:t>The pattern of utilisation adopted by certain sleep disorder businesses for adult out-of-laboratory studies is not repeated for children.</w:t>
            </w:r>
          </w:p>
        </w:tc>
      </w:tr>
    </w:tbl>
    <w:p w14:paraId="5F2A1611" w14:textId="77777777" w:rsidR="005E1CA4" w:rsidRDefault="005E1CA4" w:rsidP="005E1CA4">
      <w:pPr>
        <w:pStyle w:val="TableFigNoteLast"/>
      </w:pPr>
      <w:r>
        <w:t xml:space="preserve">NATA = </w:t>
      </w:r>
      <w:r w:rsidRPr="007017B1">
        <w:t>National Association of Testing Authorities</w:t>
      </w:r>
      <w:r>
        <w:t>.</w:t>
      </w:r>
    </w:p>
    <w:p w14:paraId="6C9D8102" w14:textId="77777777" w:rsidR="005E1CA4" w:rsidRDefault="005E1CA4" w:rsidP="005E1CA4">
      <w:pPr>
        <w:pStyle w:val="TableFigNoteLast"/>
      </w:pPr>
      <w:r>
        <w:t>Source: compiled for this assessment report.</w:t>
      </w:r>
    </w:p>
    <w:p w14:paraId="716B2D13" w14:textId="77777777" w:rsidR="005E1CA4" w:rsidRPr="00395DB7" w:rsidRDefault="005E1CA4" w:rsidP="005E1CA4">
      <w:pPr>
        <w:rPr>
          <w:rFonts w:ascii="Franklin Gothic Book" w:hAnsi="Franklin Gothic Book"/>
        </w:rPr>
      </w:pPr>
      <w:r w:rsidRPr="00395DB7">
        <w:rPr>
          <w:rFonts w:ascii="Franklin Gothic Book" w:hAnsi="Franklin Gothic Book"/>
        </w:rPr>
        <w:t>If NATA accreditation is recommended, the MBS listing of paediatric sleep study items could be accompanied by a note regarding accreditation requirements along similar lines to those for pathology and diagnostic imaging services (see MBS Schedule explanatory notes IN.0.4 and PN.8.2, respectively). This could also simplify the item descriptor text as restrictions or clinical criteria could be managed within the scope of the audit program (where appropriate).</w:t>
      </w:r>
    </w:p>
    <w:p w14:paraId="37AD1BC7" w14:textId="77777777" w:rsidR="005E1CA4" w:rsidRPr="00395DB7" w:rsidRDefault="005E1CA4" w:rsidP="005E1CA4">
      <w:pPr>
        <w:rPr>
          <w:rFonts w:ascii="Franklin Gothic Book" w:hAnsi="Franklin Gothic Book"/>
        </w:rPr>
      </w:pPr>
      <w:r w:rsidRPr="00395DB7">
        <w:rPr>
          <w:rFonts w:ascii="Franklin Gothic Book" w:hAnsi="Franklin Gothic Book"/>
        </w:rPr>
        <w:t>The main benefits for such a restriction would be in ensuring that sleep study data are interpreted by a technician with appropriate training, Additionally, quality assurance and audit processes would ensure the studies are conducted to an appropriate standard. Although NATA accreditation may not fully address appropriate patient selection for out-of-laboratory sleep studies at an individual clinician level, it would assist in ensuring that those working at the sleep laboratory adhere to good practice regarding patient selection.</w:t>
      </w:r>
    </w:p>
    <w:p w14:paraId="070F6E19" w14:textId="30C9F02C" w:rsidR="005E1CA4" w:rsidRPr="00A117E5" w:rsidRDefault="005E1CA4" w:rsidP="005E1CA4">
      <w:pPr>
        <w:pStyle w:val="ESHeading3"/>
        <w:rPr>
          <w:color w:val="auto"/>
        </w:rPr>
      </w:pPr>
      <w:r w:rsidRPr="00A117E5">
        <w:rPr>
          <w:color w:val="auto"/>
        </w:rPr>
        <w:t>Evidence for out-of-laboratory sleep studies in adolescents</w:t>
      </w:r>
    </w:p>
    <w:p w14:paraId="75FF6F86" w14:textId="77777777" w:rsidR="005E1CA4" w:rsidRPr="00395DB7" w:rsidRDefault="005E1CA4" w:rsidP="005E1CA4">
      <w:pPr>
        <w:rPr>
          <w:rFonts w:ascii="Franklin Gothic Book" w:hAnsi="Franklin Gothic Book"/>
        </w:rPr>
      </w:pPr>
      <w:proofErr w:type="spellStart"/>
      <w:r w:rsidRPr="00395DB7">
        <w:rPr>
          <w:rFonts w:ascii="Franklin Gothic Book" w:hAnsi="Franklin Gothic Book"/>
        </w:rPr>
        <w:t>Adenotonsillar</w:t>
      </w:r>
      <w:proofErr w:type="spellEnd"/>
      <w:r w:rsidRPr="00395DB7">
        <w:rPr>
          <w:rFonts w:ascii="Franklin Gothic Book" w:hAnsi="Franklin Gothic Book"/>
        </w:rPr>
        <w:t xml:space="preserve"> hypertrophy as the underlying cause of OSA is predominantly a condition of pre-school and primary school aged children. This was reflected in the age groups studied in paediatric sleep studies. Adolescents, in comparison, share more characteristics with adults in their OSA features than with children under 12 years (due to higher incidence of obesity and emergence of adult features of the upper respiratory tract) (Marcus et al. 2017). Adolescents referred for sleep studies are also more likely to have chronic or congenital illnesses requiring long-term management, such as muscular dystrophy or obesity.</w:t>
      </w:r>
    </w:p>
    <w:p w14:paraId="63665B98" w14:textId="77777777" w:rsidR="005E1CA4" w:rsidRPr="00395DB7" w:rsidRDefault="005E1CA4" w:rsidP="005E1CA4">
      <w:pPr>
        <w:rPr>
          <w:rFonts w:ascii="Franklin Gothic Book" w:hAnsi="Franklin Gothic Book"/>
        </w:rPr>
      </w:pPr>
      <w:r w:rsidRPr="00395DB7">
        <w:rPr>
          <w:rFonts w:ascii="Franklin Gothic Book" w:hAnsi="Franklin Gothic Book"/>
        </w:rPr>
        <w:t>There is correspondingly much less evidence for the proposed items in adolescents, which was acknowledged by both the applicant and the PASC in the ratified PICO confirmation. Support for use of the proposed sleep studies in adolescents has relied on extrapolation of conclusions made from studies primarily in children under 12 years old. An alternative argument could be made for considering sleep studies for adolescents as an extension of the adult sleep study items, but this was out of scope for this assessment.</w:t>
      </w:r>
    </w:p>
    <w:p w14:paraId="68D4B00E" w14:textId="77777777" w:rsidR="005E1CA4" w:rsidRDefault="005E1CA4" w:rsidP="005E1CA4">
      <w:pPr>
        <w:pStyle w:val="ESHeading3"/>
      </w:pPr>
      <w:r>
        <w:t>Sleep studies in the context of first line surgery for OSA</w:t>
      </w:r>
    </w:p>
    <w:p w14:paraId="4273011F" w14:textId="4D75CB95" w:rsidR="005E1CA4" w:rsidRPr="00395DB7" w:rsidRDefault="005E1CA4" w:rsidP="005E1CA4">
      <w:pPr>
        <w:rPr>
          <w:rFonts w:ascii="Franklin Gothic Book" w:hAnsi="Franklin Gothic Book"/>
        </w:rPr>
      </w:pPr>
      <w:r w:rsidRPr="00395DB7">
        <w:rPr>
          <w:rFonts w:ascii="Franklin Gothic Book" w:hAnsi="Franklin Gothic Book"/>
        </w:rPr>
        <w:t xml:space="preserve">Surgery is the first line treatment for children and adolescents with OSA, comprising tonsillectomy, adenoidectomy, or tonsillectomy with adenoidectomy (referred to herein as </w:t>
      </w:r>
      <w:r w:rsidRPr="00395DB7">
        <w:rPr>
          <w:rFonts w:ascii="Franklin Gothic Book" w:hAnsi="Franklin Gothic Book"/>
        </w:rPr>
        <w:lastRenderedPageBreak/>
        <w:t xml:space="preserve">adenotonsillectomy) </w:t>
      </w:r>
      <w:r w:rsidR="00302AD0" w:rsidRPr="0026799F">
        <w:rPr>
          <w:rFonts w:ascii="Franklin Gothic Book" w:hAnsi="Franklin Gothic Book" w:cs="Calibri"/>
        </w:rPr>
        <w:t>(Nixon &amp; Davey, 2015</w:t>
      </w:r>
      <w:r w:rsidR="00302AD0">
        <w:rPr>
          <w:rStyle w:val="FootnoteReference"/>
          <w:rFonts w:ascii="Franklin Gothic Book" w:hAnsi="Franklin Gothic Book" w:cs="Calibri"/>
        </w:rPr>
        <w:footnoteReference w:id="30"/>
      </w:r>
      <w:r w:rsidR="00302AD0" w:rsidRPr="0026799F">
        <w:rPr>
          <w:rFonts w:ascii="Franklin Gothic Book" w:hAnsi="Franklin Gothic Book" w:cs="Calibri"/>
        </w:rPr>
        <w:t>; McGahan &amp; Scott, 2015</w:t>
      </w:r>
      <w:r w:rsidR="003D0127">
        <w:rPr>
          <w:rStyle w:val="FootnoteReference"/>
          <w:rFonts w:ascii="Franklin Gothic Book" w:hAnsi="Franklin Gothic Book" w:cs="Calibri"/>
        </w:rPr>
        <w:footnoteReference w:id="31"/>
      </w:r>
      <w:r w:rsidR="00302AD0" w:rsidRPr="0026799F">
        <w:rPr>
          <w:rFonts w:ascii="Franklin Gothic Book" w:hAnsi="Franklin Gothic Book" w:cs="Calibri"/>
        </w:rPr>
        <w:t>; ACSQHC 2021</w:t>
      </w:r>
      <w:r w:rsidR="004B20FC">
        <w:rPr>
          <w:rStyle w:val="FootnoteReference"/>
          <w:rFonts w:ascii="Franklin Gothic Book" w:hAnsi="Franklin Gothic Book" w:cs="Calibri"/>
        </w:rPr>
        <w:footnoteReference w:id="32"/>
      </w:r>
      <w:r w:rsidRPr="00395DB7">
        <w:rPr>
          <w:rFonts w:ascii="Franklin Gothic Book" w:hAnsi="Franklin Gothic Book" w:cs="Calibri"/>
          <w:color w:val="008080"/>
          <w:u w:val="single"/>
        </w:rPr>
        <w:t>)</w:t>
      </w:r>
      <w:r w:rsidRPr="00395DB7">
        <w:rPr>
          <w:rFonts w:ascii="Franklin Gothic Book" w:hAnsi="Franklin Gothic Book"/>
        </w:rPr>
        <w:t>. As part of the assessment, a total number was estimated of adenotonsillectomy surgeries in Australia due to OSA of 33,376 per annum. This provides context for the number of paediatric sleep studies undertaken to investigate treatments for OSA.</w:t>
      </w:r>
    </w:p>
    <w:p w14:paraId="4654CC68" w14:textId="77777777" w:rsidR="00691254" w:rsidRDefault="00691254" w:rsidP="00691254">
      <w:pPr>
        <w:pStyle w:val="Heading2"/>
        <w:numPr>
          <w:ilvl w:val="0"/>
          <w:numId w:val="0"/>
        </w:numPr>
      </w:pPr>
      <w:bookmarkStart w:id="67" w:name="_Toc145678765"/>
      <w:bookmarkStart w:id="68" w:name="_Toc150172410"/>
      <w:bookmarkStart w:id="69" w:name="_Toc153462785"/>
      <w:r>
        <w:t>16.</w:t>
      </w:r>
      <w:r>
        <w:tab/>
        <w:t>Key issues from ESC to MSAC</w:t>
      </w:r>
    </w:p>
    <w:bookmarkEnd w:id="67"/>
    <w:bookmarkEnd w:id="68"/>
    <w:bookmarkEnd w:id="69"/>
    <w:p w14:paraId="72C8037C" w14:textId="77777777" w:rsidR="00642CDC" w:rsidRDefault="00642CDC" w:rsidP="00642CDC">
      <w:pPr>
        <w:pStyle w:val="BoxName0"/>
      </w:pPr>
      <w:r>
        <w:t>Main issues for MSAC consideration</w:t>
      </w:r>
    </w:p>
    <w:p w14:paraId="7E3AA92C" w14:textId="77777777" w:rsidR="00642CDC" w:rsidRDefault="00642CDC" w:rsidP="00642CDC">
      <w:pPr>
        <w:pStyle w:val="BoxHeading"/>
      </w:pPr>
      <w:r>
        <w:t>Clinical issues:</w:t>
      </w:r>
    </w:p>
    <w:p w14:paraId="2B790A60" w14:textId="1EF7BB91" w:rsidR="00642CDC" w:rsidRDefault="00642CDC" w:rsidP="00642CDC">
      <w:pPr>
        <w:pStyle w:val="BoxBullet"/>
        <w:rPr>
          <w:b/>
          <w:bCs/>
        </w:rPr>
      </w:pPr>
      <w:r>
        <w:t xml:space="preserve">The claim that out-of-laboratory sleep studies would decrease the number of adenotonsillectomies being performed is not supported by evidence. </w:t>
      </w:r>
    </w:p>
    <w:p w14:paraId="5D8FD56C" w14:textId="77777777" w:rsidR="00642CDC" w:rsidRDefault="00642CDC" w:rsidP="00642CDC">
      <w:pPr>
        <w:pStyle w:val="BoxBullet"/>
      </w:pPr>
      <w:r>
        <w:t>The current clinical management algorithm is unclear in terms of when a sleep study is required/beneficial for deciding management, and what the drivers are for sleep study waiting lists. ESC suggested seeking expert advice to clarify when sleep studies are required to make clinical management decisions, and understand what are the most common indications for a sleep study for children on waiting lists. Data on the following may be useful for MSAC decision-making:</w:t>
      </w:r>
    </w:p>
    <w:p w14:paraId="71FB7430" w14:textId="77777777" w:rsidR="00642CDC" w:rsidRDefault="00642CDC" w:rsidP="00642CDC">
      <w:pPr>
        <w:pStyle w:val="BoxDash"/>
      </w:pPr>
      <w:r>
        <w:t>how many children with sleep disordered breathing (SDB) are managed with continuous positive airway pressure/bilevel positive airway pressure (CPAP/BiPAP) (sleep study likely needed)</w:t>
      </w:r>
    </w:p>
    <w:p w14:paraId="56A53B1D" w14:textId="77777777" w:rsidR="00642CDC" w:rsidRDefault="00642CDC" w:rsidP="00642CDC">
      <w:pPr>
        <w:pStyle w:val="BoxDash"/>
      </w:pPr>
      <w:r>
        <w:t>how many children considered for adenotonsillectomy are at high risk of</w:t>
      </w:r>
      <w:r w:rsidRPr="006F067B">
        <w:t xml:space="preserve"> anaesthesia, surgery or post operative complications </w:t>
      </w:r>
      <w:r>
        <w:t xml:space="preserve">(sleep study recommended) </w:t>
      </w:r>
    </w:p>
    <w:p w14:paraId="1BD9B41C" w14:textId="77777777" w:rsidR="00642CDC" w:rsidRDefault="00642CDC" w:rsidP="00642CDC">
      <w:pPr>
        <w:pStyle w:val="BoxDash"/>
      </w:pPr>
      <w:r>
        <w:t>how many children on current waiting lists for Level 1 studies have no high-risk or complicating factors (aged ≥3 years, low risk of hypoventilation, no other potential sleep disorders, no severe behavioural issues) and are therefore representative of the proposed population for PICO set 1 and would be eligible for Level 2 p</w:t>
      </w:r>
      <w:r w:rsidRPr="00DA7173">
        <w:t>olysomnography</w:t>
      </w:r>
      <w:r>
        <w:t xml:space="preserve"> (PSG).</w:t>
      </w:r>
    </w:p>
    <w:p w14:paraId="09DF5138" w14:textId="77777777" w:rsidR="00642CDC" w:rsidRDefault="00642CDC" w:rsidP="00642CDC">
      <w:pPr>
        <w:pStyle w:val="BoxHeading"/>
      </w:pPr>
      <w:r>
        <w:t>Economic issues:</w:t>
      </w:r>
    </w:p>
    <w:p w14:paraId="573B89EA" w14:textId="77777777" w:rsidR="00642CDC" w:rsidRDefault="00642CDC" w:rsidP="00642CDC">
      <w:pPr>
        <w:pStyle w:val="BoxBullet"/>
        <w:rPr>
          <w:b/>
          <w:bCs/>
        </w:rPr>
      </w:pPr>
      <w:r>
        <w:t xml:space="preserve">For population 1 (low-risk uncomplicated patients), a cost-minimisation analysis reporting  favourable cost savings may not be acceptable given the lower accuracy of the intervention (Level 2 PSG) compared to Level 1 studies. </w:t>
      </w:r>
    </w:p>
    <w:p w14:paraId="2226B52B" w14:textId="77777777" w:rsidR="00642CDC" w:rsidRDefault="00642CDC" w:rsidP="00642CDC">
      <w:pPr>
        <w:pStyle w:val="BoxBullet"/>
      </w:pPr>
      <w:r>
        <w:t>There are uncertainties associated with the PICO set 2 economic evaluation. The results in favour of a Level 3 cardiorespiratory polygraphy (CRP) test may not be reasonable given no evidence was provided on test accuracy or effectiveness and whether adenotonsillectomies will be avoided or unaffected by use of the test. The cost-effectiveness was also based on very sparse data (n = 34 from a trial excluding failures/losses).</w:t>
      </w:r>
    </w:p>
    <w:p w14:paraId="42010052" w14:textId="77777777" w:rsidR="00642CDC" w:rsidRDefault="00642CDC" w:rsidP="00642CDC">
      <w:pPr>
        <w:pStyle w:val="BoxBullet"/>
        <w:rPr>
          <w:b/>
          <w:bCs/>
        </w:rPr>
      </w:pPr>
      <w:r>
        <w:t xml:space="preserve">The cost-effectiveness analysis for PICO Set 2 used the cost of tonsillectomy as a willingness-to-pay threshold (i.e. assumed cost-effective if the incremental cost per tonsillectomy avoided was less than the cost of a tonsillectomy). ESC acknowledged the data limitations but emphasised neither this specific approach to cost effectiveness analysis nor cost </w:t>
      </w:r>
      <w:r>
        <w:lastRenderedPageBreak/>
        <w:t>effectiveness analysis in general is the preferred method for MSAC decision-making, which is to use a cost-utility analysis when the clinical claim is of superiority.</w:t>
      </w:r>
    </w:p>
    <w:p w14:paraId="3B76317E" w14:textId="77777777" w:rsidR="00642CDC" w:rsidRDefault="00642CDC" w:rsidP="00642CDC">
      <w:pPr>
        <w:pStyle w:val="BoxHeading"/>
      </w:pPr>
      <w:r>
        <w:t>Financial issues:</w:t>
      </w:r>
    </w:p>
    <w:p w14:paraId="4055713C" w14:textId="77777777" w:rsidR="00642CDC" w:rsidRDefault="00642CDC" w:rsidP="00642CDC">
      <w:pPr>
        <w:pStyle w:val="BoxBullet"/>
      </w:pPr>
      <w:r>
        <w:t>Risk for use outside the intended population</w:t>
      </w:r>
      <w:r w:rsidRPr="00437BDD">
        <w:t xml:space="preserve"> for populations 1 and 3 </w:t>
      </w:r>
      <w:r>
        <w:t>which could</w:t>
      </w:r>
      <w:r w:rsidRPr="00437BDD">
        <w:t xml:space="preserve"> result in larger </w:t>
      </w:r>
      <w:r>
        <w:t>utilisation</w:t>
      </w:r>
      <w:r w:rsidRPr="00437BDD">
        <w:t xml:space="preserve"> than estimated </w:t>
      </w:r>
      <w:r>
        <w:t>in the financial analysis. The utilisation may also be higher</w:t>
      </w:r>
      <w:r w:rsidRPr="00437BDD">
        <w:t xml:space="preserve"> if </w:t>
      </w:r>
      <w:r>
        <w:t xml:space="preserve">the assumed replacement of Level 1 </w:t>
      </w:r>
      <w:r w:rsidRPr="00437BDD">
        <w:t>sleep stud</w:t>
      </w:r>
      <w:r>
        <w:t xml:space="preserve">ies does </w:t>
      </w:r>
      <w:r w:rsidRPr="00437BDD">
        <w:t>not occur and services are additional or grow at a faster rate than predicte</w:t>
      </w:r>
      <w:r>
        <w:t xml:space="preserve">d. </w:t>
      </w:r>
    </w:p>
    <w:p w14:paraId="28E5E90F" w14:textId="77777777" w:rsidR="00642CDC" w:rsidRDefault="00642CDC" w:rsidP="00642CDC">
      <w:pPr>
        <w:pStyle w:val="BoxHeading"/>
      </w:pPr>
      <w:r>
        <w:t>Other relevant information:</w:t>
      </w:r>
    </w:p>
    <w:p w14:paraId="172AAB42" w14:textId="77777777" w:rsidR="00642CDC" w:rsidRDefault="00642CDC" w:rsidP="00642CDC">
      <w:pPr>
        <w:pStyle w:val="BoxBullet"/>
      </w:pPr>
      <w:r>
        <w:t>It appears that the decisions to perform some adenotonsillectomies in Australia may not be supported by evidence. ESC suggested that it may be appropriate to refer a review of MBS item 41789 to the Medicare Benefits Schedule Review Advisory Committee (MRAC).</w:t>
      </w:r>
    </w:p>
    <w:p w14:paraId="5AF8CF67" w14:textId="77777777" w:rsidR="00642CDC" w:rsidRPr="00B20856" w:rsidRDefault="00642CDC" w:rsidP="00642CDC">
      <w:pPr>
        <w:pStyle w:val="BoxBullet"/>
      </w:pPr>
      <w:r w:rsidRPr="00B20856">
        <w:t>Out-of-pocket costs after taking account of the costs of equipment, delivery set up and return of equipment may be significant and may offset the claims of improved access and convenience (compared to no sleep studies or Level 1 in-hospital studies incurring travel costs).</w:t>
      </w:r>
    </w:p>
    <w:p w14:paraId="163986C0" w14:textId="77777777" w:rsidR="00642CDC" w:rsidRPr="00A60667" w:rsidRDefault="00642CDC" w:rsidP="00642CDC">
      <w:pPr>
        <w:pStyle w:val="BoxBullet"/>
      </w:pPr>
      <w:r>
        <w:t>The proposed MBS listing of out of laboratory sleep studies may have the following unintended consequences: (i) There is a risk that  sleep laboratory sites may not maintain current skills in accommodating children with disability or sensory support needs; (ii) There is a risk that access to current State based schemes that provide transport subsidies to remote patients (such as NSW’s Isolated Patient Travel and Accommodation Assistance Scheme) may be compromised if patients and their carers preferred to have a sleep study at a sleep laboratory, but home-based options became available..</w:t>
      </w:r>
    </w:p>
    <w:p w14:paraId="0773BF64" w14:textId="77777777" w:rsidR="00642CDC" w:rsidRPr="006B4E4A" w:rsidRDefault="00642CDC" w:rsidP="00642CDC">
      <w:pPr>
        <w:keepNext/>
        <w:spacing w:before="240"/>
        <w:outlineLvl w:val="1"/>
        <w:rPr>
          <w:rFonts w:ascii="Franklin Gothic Book" w:hAnsi="Franklin Gothic Book" w:cs="Arial"/>
          <w:b/>
          <w:bCs/>
          <w:iCs/>
          <w:sz w:val="24"/>
          <w:szCs w:val="28"/>
          <w:lang w:eastAsia="en-AU"/>
        </w:rPr>
      </w:pPr>
      <w:r w:rsidRPr="006B4E4A">
        <w:rPr>
          <w:rFonts w:ascii="Franklin Gothic Book" w:hAnsi="Franklin Gothic Book" w:cs="Arial"/>
          <w:b/>
          <w:bCs/>
          <w:iCs/>
          <w:sz w:val="24"/>
          <w:szCs w:val="28"/>
          <w:lang w:eastAsia="en-AU"/>
        </w:rPr>
        <w:t>ESC discussion</w:t>
      </w:r>
    </w:p>
    <w:p w14:paraId="7E821546" w14:textId="77777777" w:rsidR="00642CDC" w:rsidRPr="007408F1" w:rsidRDefault="00642CDC" w:rsidP="00642CDC">
      <w:pPr>
        <w:rPr>
          <w:rFonts w:ascii="Franklin Gothic Book" w:hAnsi="Franklin Gothic Book" w:cstheme="minorHAnsi"/>
        </w:rPr>
      </w:pPr>
      <w:r w:rsidRPr="007408F1">
        <w:rPr>
          <w:rFonts w:ascii="Franklin Gothic Book" w:hAnsi="Franklin Gothic Book" w:cstheme="minorHAnsi"/>
        </w:rPr>
        <w:t>ESC noted that this application from the Australasian Sleep Association was for the Medicare Benefits Schedule (MBS) listing of out-of-laboratory sleep studies (Levels 2 and 3) for the investigation of sleep disordered breathing (SDB) in children and adolescents (ages 3 to &lt;18 years).</w:t>
      </w:r>
    </w:p>
    <w:p w14:paraId="5F77163D" w14:textId="77777777" w:rsidR="00642CDC" w:rsidRDefault="00642CDC" w:rsidP="00642CDC">
      <w:pPr>
        <w:rPr>
          <w:rFonts w:ascii="Franklin Gothic Book" w:hAnsi="Franklin Gothic Book" w:cstheme="minorHAnsi"/>
        </w:rPr>
      </w:pPr>
      <w:r w:rsidRPr="007408F1">
        <w:rPr>
          <w:rFonts w:ascii="Franklin Gothic Book" w:hAnsi="Franklin Gothic Book" w:cstheme="minorHAnsi"/>
        </w:rPr>
        <w:t>ESC recalled that, in 2010, MSAC supported funding Level 2 sleep studies for obstructive sleep apnoea (OSA) in adults (application 1130). At the time, MSAC did not support Level 3 and 4 sleep studies, nor any unattended paediatric sleep studies. ESC recalled that MSAC acknowledged there was a lack of comparative evidence and sparse linked evidence to indicate the effectiveness of unattended sleep studies for a paediatric population, relative to Level 1 sleep studies (</w:t>
      </w:r>
      <w:hyperlink r:id="rId14" w:history="1">
        <w:r w:rsidRPr="007408F1">
          <w:rPr>
            <w:rStyle w:val="Hyperlink"/>
            <w:rFonts w:ascii="Franklin Gothic Book" w:hAnsi="Franklin Gothic Book" w:cstheme="minorHAnsi"/>
          </w:rPr>
          <w:t>public summary document, p.4</w:t>
        </w:r>
      </w:hyperlink>
      <w:r w:rsidRPr="007408F1">
        <w:rPr>
          <w:rFonts w:ascii="Franklin Gothic Book" w:hAnsi="Franklin Gothic Book" w:cstheme="minorHAnsi"/>
        </w:rPr>
        <w:t xml:space="preserve">). </w:t>
      </w:r>
      <w:r>
        <w:rPr>
          <w:rFonts w:ascii="Franklin Gothic Book" w:hAnsi="Franklin Gothic Book" w:cstheme="minorHAnsi"/>
        </w:rPr>
        <w:t>ESC considered t</w:t>
      </w:r>
      <w:r w:rsidRPr="007408F1">
        <w:rPr>
          <w:rFonts w:ascii="Franklin Gothic Book" w:hAnsi="Franklin Gothic Book" w:cstheme="minorHAnsi"/>
        </w:rPr>
        <w:t xml:space="preserve">he evidence remains sparse for this application 1712; although diagnostic accuracy studies were identified for both Level 2 polysomnography (PSG) and Level 3 cardiorespiratory polygraphy (CRP), these studies are small, and it is unlikely that larger studies will be available for a paediatric indication. </w:t>
      </w:r>
      <w:r>
        <w:rPr>
          <w:rFonts w:ascii="Franklin Gothic Book" w:hAnsi="Franklin Gothic Book" w:cstheme="minorHAnsi"/>
        </w:rPr>
        <w:t>ESC noted that a</w:t>
      </w:r>
      <w:r w:rsidRPr="007408F1">
        <w:rPr>
          <w:rFonts w:ascii="Franklin Gothic Book" w:hAnsi="Franklin Gothic Book" w:cstheme="minorHAnsi"/>
        </w:rPr>
        <w:t>dditional sources of supporting evidence were used to address gaps in evidence for this application.</w:t>
      </w:r>
    </w:p>
    <w:p w14:paraId="769D0D14" w14:textId="77777777" w:rsidR="00642CDC" w:rsidRDefault="00642CDC" w:rsidP="00642CDC">
      <w:pPr>
        <w:rPr>
          <w:rStyle w:val="Strong"/>
          <w:rFonts w:ascii="Franklin Gothic Book" w:hAnsi="Franklin Gothic Book" w:cstheme="minorHAnsi"/>
          <w:b w:val="0"/>
          <w:bCs w:val="0"/>
        </w:rPr>
      </w:pPr>
      <w:r w:rsidRPr="007408F1">
        <w:rPr>
          <w:rStyle w:val="Strong"/>
          <w:rFonts w:ascii="Franklin Gothic Book" w:hAnsi="Franklin Gothic Book" w:cstheme="minorHAnsi"/>
          <w:b w:val="0"/>
          <w:bCs w:val="0"/>
        </w:rPr>
        <w:t xml:space="preserve">ESC noted the six proposed MBS items, differing in cost depending on patient age and purpose (diagnosis versus monitoring). All items had a maximum claiming frequency of three in one year of any combination of MBS items proposed. ESC noted that </w:t>
      </w:r>
      <w:r>
        <w:rPr>
          <w:rStyle w:val="Strong"/>
          <w:rFonts w:ascii="Franklin Gothic Book" w:hAnsi="Franklin Gothic Book" w:cstheme="minorHAnsi"/>
          <w:b w:val="0"/>
          <w:bCs w:val="0"/>
        </w:rPr>
        <w:t>the department commissioned assessment report (DCAR) did not provide</w:t>
      </w:r>
      <w:r w:rsidRPr="007408F1">
        <w:rPr>
          <w:rStyle w:val="Strong"/>
          <w:rFonts w:ascii="Franklin Gothic Book" w:hAnsi="Franklin Gothic Book" w:cstheme="minorHAnsi"/>
          <w:b w:val="0"/>
          <w:bCs w:val="0"/>
        </w:rPr>
        <w:t xml:space="preserve"> justification or comparison of the </w:t>
      </w:r>
      <w:r>
        <w:rPr>
          <w:rStyle w:val="Strong"/>
          <w:rFonts w:ascii="Franklin Gothic Book" w:hAnsi="Franklin Gothic Book" w:cstheme="minorHAnsi"/>
          <w:b w:val="0"/>
          <w:bCs w:val="0"/>
        </w:rPr>
        <w:t xml:space="preserve">proposed MBS </w:t>
      </w:r>
      <w:r w:rsidRPr="007408F1">
        <w:rPr>
          <w:rStyle w:val="Strong"/>
          <w:rFonts w:ascii="Franklin Gothic Book" w:hAnsi="Franklin Gothic Book" w:cstheme="minorHAnsi"/>
          <w:b w:val="0"/>
          <w:bCs w:val="0"/>
        </w:rPr>
        <w:t>fees, so ESC could not comment on their appropriateness</w:t>
      </w:r>
      <w:r>
        <w:rPr>
          <w:rStyle w:val="Strong"/>
          <w:rFonts w:ascii="Franklin Gothic Book" w:hAnsi="Franklin Gothic Book" w:cstheme="minorHAnsi"/>
          <w:b w:val="0"/>
          <w:bCs w:val="0"/>
        </w:rPr>
        <w:t xml:space="preserve"> though ESC also noted that the level of fees proposed was consistent with the exclusion of a respiratory scientist in continuous attendance</w:t>
      </w:r>
      <w:r w:rsidRPr="007408F1">
        <w:rPr>
          <w:rStyle w:val="Strong"/>
          <w:rFonts w:ascii="Franklin Gothic Book" w:hAnsi="Franklin Gothic Book" w:cstheme="minorHAnsi"/>
          <w:b w:val="0"/>
          <w:bCs w:val="0"/>
        </w:rPr>
        <w:t>.</w:t>
      </w:r>
      <w:r>
        <w:rPr>
          <w:rStyle w:val="Strong"/>
          <w:rFonts w:ascii="Franklin Gothic Book" w:hAnsi="Franklin Gothic Book" w:cstheme="minorHAnsi"/>
          <w:b w:val="0"/>
          <w:bCs w:val="0"/>
        </w:rPr>
        <w:t xml:space="preserve"> </w:t>
      </w:r>
    </w:p>
    <w:p w14:paraId="020BC031" w14:textId="77777777" w:rsidR="00642CDC" w:rsidRPr="007408F1" w:rsidRDefault="00642CDC" w:rsidP="00642CDC">
      <w:pPr>
        <w:rPr>
          <w:rStyle w:val="Strong"/>
          <w:rFonts w:ascii="Franklin Gothic Book" w:hAnsi="Franklin Gothic Book" w:cstheme="minorHAnsi"/>
          <w:b w:val="0"/>
          <w:bCs w:val="0"/>
        </w:rPr>
      </w:pPr>
      <w:r>
        <w:rPr>
          <w:rStyle w:val="Strong"/>
          <w:rFonts w:ascii="Franklin Gothic Book" w:hAnsi="Franklin Gothic Book" w:cstheme="minorHAnsi"/>
          <w:b w:val="0"/>
          <w:bCs w:val="0"/>
        </w:rPr>
        <w:t xml:space="preserve">ESC noted that the Department questioned whether </w:t>
      </w:r>
      <w:r w:rsidRPr="00485271">
        <w:rPr>
          <w:rFonts w:ascii="Franklin Gothic Book" w:hAnsi="Franklin Gothic Book" w:cstheme="minorHAnsi"/>
        </w:rPr>
        <w:t>two new Level 3 MBS items, i.e. both investigation and monitoring of sleep items for children and adolescents</w:t>
      </w:r>
      <w:r>
        <w:rPr>
          <w:rFonts w:ascii="Franklin Gothic Book" w:hAnsi="Franklin Gothic Book" w:cstheme="minorHAnsi"/>
        </w:rPr>
        <w:t xml:space="preserve"> needed to be created </w:t>
      </w:r>
      <w:r>
        <w:rPr>
          <w:rFonts w:ascii="Franklin Gothic Book" w:hAnsi="Franklin Gothic Book" w:cstheme="minorHAnsi"/>
        </w:rPr>
        <w:lastRenderedPageBreak/>
        <w:t xml:space="preserve">for PICO sets 2 and 3. ESC noted that having separate items would better facilitate ease of monitoring use of each of these specified services. </w:t>
      </w:r>
    </w:p>
    <w:p w14:paraId="17D8B819" w14:textId="77777777" w:rsidR="00642CDC" w:rsidRDefault="00642CDC" w:rsidP="00642CDC">
      <w:pPr>
        <w:rPr>
          <w:rStyle w:val="Strong"/>
          <w:rFonts w:ascii="Franklin Gothic Book" w:hAnsi="Franklin Gothic Book" w:cstheme="minorHAnsi"/>
          <w:b w:val="0"/>
          <w:bCs w:val="0"/>
        </w:rPr>
      </w:pPr>
      <w:r w:rsidRPr="007408F1">
        <w:rPr>
          <w:rStyle w:val="Strong"/>
          <w:rFonts w:ascii="Franklin Gothic Book" w:hAnsi="Franklin Gothic Book" w:cstheme="minorHAnsi"/>
          <w:b w:val="0"/>
          <w:bCs w:val="0"/>
        </w:rPr>
        <w:t>ESC considered it inappropriate to include costs for telehealth consultations in the MBS items, as these costs may differ for different patients</w:t>
      </w:r>
      <w:r>
        <w:rPr>
          <w:rStyle w:val="Strong"/>
          <w:rFonts w:ascii="Franklin Gothic Book" w:hAnsi="Franklin Gothic Book" w:cstheme="minorHAnsi"/>
          <w:b w:val="0"/>
          <w:bCs w:val="0"/>
        </w:rPr>
        <w:t xml:space="preserve"> and proposed that instead these telehealth services could be claimed separately. </w:t>
      </w:r>
      <w:r w:rsidRPr="54660376">
        <w:rPr>
          <w:rStyle w:val="Strong"/>
          <w:rFonts w:ascii="Franklin Gothic Book" w:hAnsi="Franklin Gothic Book"/>
          <w:b w:val="0"/>
          <w:bCs w:val="0"/>
        </w:rPr>
        <w:t>ESC</w:t>
      </w:r>
      <w:r w:rsidRPr="54660376">
        <w:rPr>
          <w:rStyle w:val="Strong"/>
          <w:rFonts w:ascii="Franklin Gothic Book" w:hAnsi="Franklin Gothic Book"/>
          <w:b w:val="0"/>
        </w:rPr>
        <w:t xml:space="preserve"> also noted potential telehealth accessibility issues for rural families, such as poor internet access</w:t>
      </w:r>
      <w:r>
        <w:rPr>
          <w:rStyle w:val="Strong"/>
          <w:rFonts w:ascii="Franklin Gothic Book" w:hAnsi="Franklin Gothic Book"/>
          <w:b w:val="0"/>
        </w:rPr>
        <w:t>,</w:t>
      </w:r>
      <w:r>
        <w:t xml:space="preserve"> </w:t>
      </w:r>
      <w:r w:rsidRPr="004E4B00">
        <w:rPr>
          <w:rFonts w:ascii="Franklin Gothic Book" w:hAnsi="Franklin Gothic Book"/>
        </w:rPr>
        <w:t>although it considered that</w:t>
      </w:r>
      <w:r>
        <w:t xml:space="preserve"> </w:t>
      </w:r>
      <w:r w:rsidRPr="000F2B36">
        <w:rPr>
          <w:rStyle w:val="Strong"/>
          <w:rFonts w:ascii="Franklin Gothic Book" w:hAnsi="Franklin Gothic Book" w:cstheme="minorHAnsi"/>
          <w:b w:val="0"/>
          <w:bCs w:val="0"/>
        </w:rPr>
        <w:t>this should not preclude telehealth from being offered</w:t>
      </w:r>
      <w:r>
        <w:rPr>
          <w:rStyle w:val="Strong"/>
          <w:rFonts w:ascii="Franklin Gothic Book" w:hAnsi="Franklin Gothic Book" w:cstheme="minorHAnsi"/>
          <w:b w:val="0"/>
          <w:bCs w:val="0"/>
        </w:rPr>
        <w:t xml:space="preserve"> to rural patients</w:t>
      </w:r>
      <w:r w:rsidRPr="000F2B36">
        <w:rPr>
          <w:rStyle w:val="Strong"/>
          <w:rFonts w:ascii="Franklin Gothic Book" w:hAnsi="Franklin Gothic Book" w:cstheme="minorHAnsi"/>
          <w:b w:val="0"/>
          <w:bCs w:val="0"/>
        </w:rPr>
        <w:t>.</w:t>
      </w:r>
    </w:p>
    <w:p w14:paraId="701B5592" w14:textId="77777777" w:rsidR="00642CDC" w:rsidRPr="00EA45FE" w:rsidRDefault="00642CDC" w:rsidP="00642CDC">
      <w:pPr>
        <w:rPr>
          <w:rStyle w:val="Strong"/>
          <w:rFonts w:ascii="Franklin Gothic Book" w:hAnsi="Franklin Gothic Book"/>
          <w:b w:val="0"/>
          <w:bCs w:val="0"/>
        </w:rPr>
      </w:pPr>
      <w:r>
        <w:rPr>
          <w:rStyle w:val="Strong"/>
          <w:rFonts w:ascii="Franklin Gothic Book" w:hAnsi="Franklin Gothic Book" w:cstheme="minorHAnsi"/>
          <w:b w:val="0"/>
          <w:bCs w:val="0"/>
        </w:rPr>
        <w:t xml:space="preserve">However, the Department noted that there may be significant challenges in implementing telehealth components of this service separate from the proposed item numbers, </w:t>
      </w:r>
      <w:r w:rsidRPr="54660376">
        <w:rPr>
          <w:rStyle w:val="Strong"/>
          <w:rFonts w:ascii="Franklin Gothic Book" w:hAnsi="Franklin Gothic Book"/>
          <w:b w:val="0"/>
          <w:bCs w:val="0"/>
        </w:rPr>
        <w:t>as MBS telehealth items can currently only be claimed by Medicare eligible practitioners, and require specific circumstances to be met. Sleep technicians are not eligible to claim Medicare</w:t>
      </w:r>
      <w:r>
        <w:rPr>
          <w:rStyle w:val="Strong"/>
          <w:rFonts w:ascii="Franklin Gothic Book" w:hAnsi="Franklin Gothic Book"/>
          <w:b w:val="0"/>
          <w:bCs w:val="0"/>
        </w:rPr>
        <w:t xml:space="preserve"> items</w:t>
      </w:r>
      <w:r w:rsidRPr="54660376">
        <w:rPr>
          <w:rStyle w:val="Strong"/>
          <w:rFonts w:ascii="Franklin Gothic Book" w:hAnsi="Franklin Gothic Book"/>
          <w:b w:val="0"/>
          <w:bCs w:val="0"/>
        </w:rPr>
        <w:t>, therefore claiming a separate MBS item for telehealth services delivered solely by a technician is unlikely to be possible. The department advised the Medical Benefits Schedule Review Advisory Commit</w:t>
      </w:r>
      <w:r>
        <w:rPr>
          <w:rStyle w:val="Strong"/>
          <w:rFonts w:ascii="Franklin Gothic Book" w:hAnsi="Franklin Gothic Book"/>
          <w:b w:val="0"/>
          <w:bCs w:val="0"/>
        </w:rPr>
        <w:t>t</w:t>
      </w:r>
      <w:r w:rsidRPr="54660376">
        <w:rPr>
          <w:rStyle w:val="Strong"/>
          <w:rFonts w:ascii="Franklin Gothic Book" w:hAnsi="Franklin Gothic Book"/>
          <w:b w:val="0"/>
          <w:bCs w:val="0"/>
        </w:rPr>
        <w:t xml:space="preserve">ee (MRAC) is currently finalising the Telehealth post-implementation review and that the outcomes of this review will impact any future telehealth items. </w:t>
      </w:r>
    </w:p>
    <w:p w14:paraId="63AEC59C" w14:textId="77777777" w:rsidR="00642CDC" w:rsidRDefault="00642CDC" w:rsidP="00642CDC">
      <w:pPr>
        <w:rPr>
          <w:rFonts w:ascii="Franklin Gothic Book" w:hAnsi="Franklin Gothic Book" w:cstheme="minorHAnsi"/>
        </w:rPr>
      </w:pPr>
      <w:r>
        <w:rPr>
          <w:rFonts w:ascii="Franklin Gothic Book" w:hAnsi="Franklin Gothic Book" w:cstheme="minorHAnsi"/>
        </w:rPr>
        <w:t xml:space="preserve">ESC noted the Department queried whether there was </w:t>
      </w:r>
      <w:r w:rsidRPr="008541A5">
        <w:rPr>
          <w:rFonts w:ascii="Franklin Gothic Book" w:hAnsi="Franklin Gothic Book" w:cstheme="minorHAnsi"/>
        </w:rPr>
        <w:t xml:space="preserve">sufficient justification to require the patient </w:t>
      </w:r>
      <w:r>
        <w:rPr>
          <w:rFonts w:ascii="Franklin Gothic Book" w:hAnsi="Franklin Gothic Book" w:cstheme="minorHAnsi"/>
        </w:rPr>
        <w:t xml:space="preserve">to </w:t>
      </w:r>
      <w:r w:rsidRPr="008541A5">
        <w:rPr>
          <w:rFonts w:ascii="Franklin Gothic Book" w:hAnsi="Franklin Gothic Book" w:cstheme="minorHAnsi"/>
        </w:rPr>
        <w:t>be referred to a p</w:t>
      </w:r>
      <w:r>
        <w:rPr>
          <w:rFonts w:ascii="Franklin Gothic Book" w:hAnsi="Franklin Gothic Book" w:cstheme="minorHAnsi"/>
        </w:rPr>
        <w:t>a</w:t>
      </w:r>
      <w:r w:rsidRPr="008541A5">
        <w:rPr>
          <w:rFonts w:ascii="Franklin Gothic Book" w:hAnsi="Franklin Gothic Book" w:cstheme="minorHAnsi"/>
        </w:rPr>
        <w:t xml:space="preserve">ediatric sleep physician </w:t>
      </w:r>
      <w:r>
        <w:rPr>
          <w:rFonts w:ascii="Franklin Gothic Book" w:hAnsi="Franklin Gothic Book" w:cstheme="minorHAnsi"/>
        </w:rPr>
        <w:t>given</w:t>
      </w:r>
      <w:r w:rsidRPr="008541A5">
        <w:rPr>
          <w:rFonts w:ascii="Franklin Gothic Book" w:hAnsi="Franklin Gothic Book" w:cstheme="minorHAnsi"/>
        </w:rPr>
        <w:t xml:space="preserve"> concerns with </w:t>
      </w:r>
      <w:r>
        <w:rPr>
          <w:rFonts w:ascii="Franklin Gothic Book" w:hAnsi="Franklin Gothic Book" w:cstheme="minorHAnsi"/>
        </w:rPr>
        <w:t xml:space="preserve">current </w:t>
      </w:r>
      <w:r w:rsidRPr="008541A5">
        <w:rPr>
          <w:rFonts w:ascii="Franklin Gothic Book" w:hAnsi="Franklin Gothic Book" w:cstheme="minorHAnsi"/>
        </w:rPr>
        <w:t>access to paediatric sleep physicians</w:t>
      </w:r>
      <w:r>
        <w:rPr>
          <w:rFonts w:ascii="Franklin Gothic Book" w:hAnsi="Franklin Gothic Book" w:cstheme="minorHAnsi"/>
        </w:rPr>
        <w:t>. ESC also considered whether a</w:t>
      </w:r>
      <w:r w:rsidRPr="00682A26">
        <w:rPr>
          <w:rFonts w:ascii="Franklin Gothic Book" w:hAnsi="Franklin Gothic Book" w:cstheme="minorHAnsi"/>
        </w:rPr>
        <w:t xml:space="preserve">ccess for children who live in </w:t>
      </w:r>
      <w:r>
        <w:rPr>
          <w:rFonts w:ascii="Franklin Gothic Book" w:hAnsi="Franklin Gothic Book" w:cstheme="minorHAnsi"/>
        </w:rPr>
        <w:t xml:space="preserve">Tasmania and the Northern Territory </w:t>
      </w:r>
      <w:r w:rsidRPr="00682A26">
        <w:rPr>
          <w:rFonts w:ascii="Franklin Gothic Book" w:hAnsi="Franklin Gothic Book" w:cstheme="minorHAnsi"/>
        </w:rPr>
        <w:t>where there are no</w:t>
      </w:r>
      <w:r>
        <w:rPr>
          <w:rFonts w:ascii="Franklin Gothic Book" w:hAnsi="Franklin Gothic Book" w:cstheme="minorHAnsi"/>
        </w:rPr>
        <w:t xml:space="preserve"> permanent</w:t>
      </w:r>
      <w:r w:rsidRPr="00682A26">
        <w:rPr>
          <w:rFonts w:ascii="Franklin Gothic Book" w:hAnsi="Franklin Gothic Book" w:cstheme="minorHAnsi"/>
        </w:rPr>
        <w:t xml:space="preserve"> sleep specialists</w:t>
      </w:r>
      <w:r>
        <w:rPr>
          <w:rFonts w:ascii="Franklin Gothic Book" w:hAnsi="Franklin Gothic Book" w:cstheme="minorHAnsi"/>
        </w:rPr>
        <w:t xml:space="preserve"> may be another limiting factor but noted that these patients were typically referred to specialists in larger mainland states. ESC queried whether in these circumstances, </w:t>
      </w:r>
      <w:r w:rsidRPr="00682A26">
        <w:rPr>
          <w:rFonts w:ascii="Franklin Gothic Book" w:hAnsi="Franklin Gothic Book" w:cstheme="minorHAnsi"/>
        </w:rPr>
        <w:t xml:space="preserve">access to home tests with telehealth support from larger sites in mainland states </w:t>
      </w:r>
      <w:r>
        <w:rPr>
          <w:rFonts w:ascii="Franklin Gothic Book" w:hAnsi="Franklin Gothic Book" w:cstheme="minorHAnsi"/>
        </w:rPr>
        <w:t>could be</w:t>
      </w:r>
      <w:r w:rsidRPr="00682A26">
        <w:rPr>
          <w:rFonts w:ascii="Franklin Gothic Book" w:hAnsi="Franklin Gothic Book" w:cstheme="minorHAnsi"/>
        </w:rPr>
        <w:t xml:space="preserve"> possible</w:t>
      </w:r>
      <w:r>
        <w:rPr>
          <w:rFonts w:ascii="Franklin Gothic Book" w:hAnsi="Franklin Gothic Book" w:cstheme="minorHAnsi"/>
        </w:rPr>
        <w:t>.</w:t>
      </w:r>
      <w:r w:rsidRPr="00FC5728">
        <w:rPr>
          <w:rFonts w:ascii="Franklin Gothic Book" w:hAnsi="Franklin Gothic Book" w:cstheme="minorHAnsi"/>
        </w:rPr>
        <w:t xml:space="preserve"> </w:t>
      </w:r>
      <w:r>
        <w:rPr>
          <w:rFonts w:ascii="Franklin Gothic Book" w:hAnsi="Franklin Gothic Book" w:cstheme="minorHAnsi"/>
        </w:rPr>
        <w:t>However, overall ESC considered that a</w:t>
      </w:r>
      <w:r w:rsidRPr="00FC5728">
        <w:rPr>
          <w:rFonts w:ascii="Franklin Gothic Book" w:hAnsi="Franklin Gothic Book" w:cstheme="minorHAnsi"/>
        </w:rPr>
        <w:t>ccess issues need</w:t>
      </w:r>
      <w:r>
        <w:rPr>
          <w:rFonts w:ascii="Franklin Gothic Book" w:hAnsi="Franklin Gothic Book" w:cstheme="minorHAnsi"/>
        </w:rPr>
        <w:t>ed</w:t>
      </w:r>
      <w:r w:rsidRPr="00FC5728">
        <w:rPr>
          <w:rFonts w:ascii="Franklin Gothic Book" w:hAnsi="Franklin Gothic Book" w:cstheme="minorHAnsi"/>
        </w:rPr>
        <w:t xml:space="preserve"> to be balanced against </w:t>
      </w:r>
      <w:r>
        <w:rPr>
          <w:rFonts w:ascii="Franklin Gothic Book" w:hAnsi="Franklin Gothic Book" w:cstheme="minorHAnsi"/>
        </w:rPr>
        <w:t xml:space="preserve">the risk for use in </w:t>
      </w:r>
      <w:r w:rsidRPr="00FC5728">
        <w:rPr>
          <w:rFonts w:ascii="Franklin Gothic Book" w:hAnsi="Franklin Gothic Book" w:cstheme="minorHAnsi"/>
        </w:rPr>
        <w:t xml:space="preserve">other </w:t>
      </w:r>
      <w:r>
        <w:rPr>
          <w:rFonts w:ascii="Franklin Gothic Book" w:hAnsi="Franklin Gothic Book" w:cstheme="minorHAnsi"/>
        </w:rPr>
        <w:t xml:space="preserve">unintended </w:t>
      </w:r>
      <w:r w:rsidRPr="00FC5728">
        <w:rPr>
          <w:rFonts w:ascii="Franklin Gothic Book" w:hAnsi="Franklin Gothic Book" w:cstheme="minorHAnsi"/>
        </w:rPr>
        <w:t>populations if</w:t>
      </w:r>
      <w:r>
        <w:rPr>
          <w:rFonts w:ascii="Franklin Gothic Book" w:hAnsi="Franklin Gothic Book" w:cstheme="minorHAnsi"/>
        </w:rPr>
        <w:t xml:space="preserve"> referrals were made inappropriately</w:t>
      </w:r>
      <w:r w:rsidRPr="00FC5728">
        <w:rPr>
          <w:rFonts w:ascii="Franklin Gothic Book" w:hAnsi="Franklin Gothic Book" w:cstheme="minorHAnsi"/>
        </w:rPr>
        <w:t>.</w:t>
      </w:r>
      <w:r w:rsidRPr="00682A26">
        <w:t xml:space="preserve"> </w:t>
      </w:r>
      <w:r>
        <w:rPr>
          <w:rFonts w:ascii="Franklin Gothic Book" w:hAnsi="Franklin Gothic Book" w:cstheme="minorHAnsi"/>
        </w:rPr>
        <w:t>ESC considered that t</w:t>
      </w:r>
      <w:r w:rsidRPr="00FC5728">
        <w:rPr>
          <w:rFonts w:ascii="Franklin Gothic Book" w:hAnsi="Franklin Gothic Book" w:cstheme="minorHAnsi"/>
        </w:rPr>
        <w:t xml:space="preserve">here may be </w:t>
      </w:r>
      <w:r>
        <w:rPr>
          <w:rFonts w:ascii="Franklin Gothic Book" w:hAnsi="Franklin Gothic Book" w:cstheme="minorHAnsi"/>
        </w:rPr>
        <w:t xml:space="preserve">possible </w:t>
      </w:r>
      <w:r w:rsidRPr="00FC5728">
        <w:rPr>
          <w:rFonts w:ascii="Franklin Gothic Book" w:hAnsi="Franklin Gothic Book" w:cstheme="minorHAnsi"/>
        </w:rPr>
        <w:t xml:space="preserve">benefit </w:t>
      </w:r>
      <w:r>
        <w:rPr>
          <w:rFonts w:ascii="Franklin Gothic Book" w:hAnsi="Franklin Gothic Book" w:cstheme="minorHAnsi"/>
        </w:rPr>
        <w:t>to</w:t>
      </w:r>
      <w:r w:rsidRPr="00FC5728">
        <w:rPr>
          <w:rFonts w:ascii="Franklin Gothic Book" w:hAnsi="Franklin Gothic Book" w:cstheme="minorHAnsi"/>
        </w:rPr>
        <w:t xml:space="preserve"> wide</w:t>
      </w:r>
      <w:r>
        <w:rPr>
          <w:rFonts w:ascii="Franklin Gothic Book" w:hAnsi="Franklin Gothic Book" w:cstheme="minorHAnsi"/>
        </w:rPr>
        <w:t>ning</w:t>
      </w:r>
      <w:r w:rsidRPr="00FC5728">
        <w:rPr>
          <w:rFonts w:ascii="Franklin Gothic Book" w:hAnsi="Franklin Gothic Book" w:cstheme="minorHAnsi"/>
        </w:rPr>
        <w:t xml:space="preserve"> </w:t>
      </w:r>
      <w:r>
        <w:rPr>
          <w:rFonts w:ascii="Franklin Gothic Book" w:hAnsi="Franklin Gothic Book" w:cstheme="minorHAnsi"/>
        </w:rPr>
        <w:t xml:space="preserve">the </w:t>
      </w:r>
      <w:r w:rsidRPr="00FC5728">
        <w:rPr>
          <w:rFonts w:ascii="Franklin Gothic Book" w:hAnsi="Franklin Gothic Book" w:cstheme="minorHAnsi"/>
        </w:rPr>
        <w:t>SDB population</w:t>
      </w:r>
      <w:r>
        <w:rPr>
          <w:rFonts w:ascii="Franklin Gothic Book" w:hAnsi="Franklin Gothic Book" w:cstheme="minorHAnsi"/>
        </w:rPr>
        <w:t xml:space="preserve"> eligible for the service so that clinical decision making could be better informed by sleep study results. However, the </w:t>
      </w:r>
      <w:r w:rsidRPr="00FC5728">
        <w:rPr>
          <w:rFonts w:ascii="Franklin Gothic Book" w:hAnsi="Franklin Gothic Book" w:cstheme="minorHAnsi"/>
        </w:rPr>
        <w:t xml:space="preserve">evidence for this potential benefit </w:t>
      </w:r>
      <w:r>
        <w:rPr>
          <w:rFonts w:ascii="Franklin Gothic Book" w:hAnsi="Franklin Gothic Book" w:cstheme="minorHAnsi"/>
        </w:rPr>
        <w:t xml:space="preserve">was not presented in the current application, and would </w:t>
      </w:r>
      <w:r w:rsidRPr="00FC5728">
        <w:rPr>
          <w:rFonts w:ascii="Franklin Gothic Book" w:hAnsi="Franklin Gothic Book" w:cstheme="minorHAnsi"/>
        </w:rPr>
        <w:t>need to be formally assessed.</w:t>
      </w:r>
    </w:p>
    <w:p w14:paraId="42DFF060" w14:textId="77777777" w:rsidR="00642CDC" w:rsidRDefault="00642CDC" w:rsidP="00642CDC">
      <w:pPr>
        <w:rPr>
          <w:rStyle w:val="Strong"/>
          <w:rFonts w:ascii="Franklin Gothic Book" w:hAnsi="Franklin Gothic Book" w:cstheme="minorHAnsi"/>
          <w:b w:val="0"/>
          <w:bCs w:val="0"/>
        </w:rPr>
      </w:pPr>
      <w:r w:rsidRPr="007408F1">
        <w:rPr>
          <w:rFonts w:ascii="Franklin Gothic Book" w:hAnsi="Franklin Gothic Book" w:cstheme="minorHAnsi"/>
        </w:rPr>
        <w:t>ESC noted that most stakeholders requested that any laboratories conducting out-of-laboratory sleep studies be quality controlled through National Association of Testing Authorities (NATA) accreditation. ESC noted that this was not a current requirement for MBS sleep study items, and there appears to be a small number of paediatric NATA-accredited sleep laboratories within Australia. ESC was uncertain if this requirement was necessary, but noted that, if implemented, this requirement may inadvertently create a patient access barrier when an accredited sleep laboratory is not accessible or available to a patient.</w:t>
      </w:r>
    </w:p>
    <w:p w14:paraId="241572A3" w14:textId="77777777" w:rsidR="00642CDC" w:rsidRPr="00A8405B" w:rsidRDefault="00642CDC" w:rsidP="00642CDC">
      <w:pPr>
        <w:tabs>
          <w:tab w:val="left" w:pos="3686"/>
        </w:tabs>
        <w:spacing w:before="120" w:line="256" w:lineRule="auto"/>
        <w:rPr>
          <w:rFonts w:ascii="Franklin Gothic Book" w:hAnsi="Franklin Gothic Book" w:cs="Calibri"/>
        </w:rPr>
      </w:pPr>
      <w:r w:rsidRPr="005623E4">
        <w:rPr>
          <w:rFonts w:ascii="Franklin Gothic Book" w:hAnsi="Franklin Gothic Book" w:cs="Calibri"/>
        </w:rPr>
        <w:t xml:space="preserve">ESC noted and welcomed consultation input from </w:t>
      </w:r>
      <w:r>
        <w:rPr>
          <w:rFonts w:ascii="Franklin Gothic Book" w:hAnsi="Franklin Gothic Book" w:cs="Calibri"/>
        </w:rPr>
        <w:t>4</w:t>
      </w:r>
      <w:r w:rsidRPr="005623E4">
        <w:rPr>
          <w:rFonts w:ascii="Franklin Gothic Book" w:hAnsi="Franklin Gothic Book" w:cs="Calibri"/>
        </w:rPr>
        <w:t xml:space="preserve"> professional organisations </w:t>
      </w:r>
      <w:r>
        <w:rPr>
          <w:rFonts w:ascii="Franklin Gothic Book" w:hAnsi="Franklin Gothic Book" w:cs="Calibri"/>
        </w:rPr>
        <w:t xml:space="preserve">and 1 </w:t>
      </w:r>
      <w:r w:rsidRPr="005623E4">
        <w:rPr>
          <w:rFonts w:ascii="Franklin Gothic Book" w:hAnsi="Franklin Gothic Book" w:cs="Calibri"/>
        </w:rPr>
        <w:t>consumer organisation</w:t>
      </w:r>
      <w:r>
        <w:rPr>
          <w:rFonts w:ascii="Franklin Gothic Book" w:hAnsi="Franklin Gothic Book" w:cs="Calibri"/>
        </w:rPr>
        <w:t>, the Sleep Health Foundation which</w:t>
      </w:r>
      <w:r w:rsidRPr="00A8405B">
        <w:rPr>
          <w:rFonts w:ascii="Franklin Gothic Book" w:hAnsi="Franklin Gothic Book" w:cs="Calibri"/>
        </w:rPr>
        <w:t xml:space="preserve"> noted that they only had a week to consider a response, and that they would, if given time, be happy to organise a group of consumers (parents of children with sleeping issues) and present a formalised</w:t>
      </w:r>
      <w:r>
        <w:rPr>
          <w:rFonts w:ascii="Franklin Gothic Book" w:hAnsi="Franklin Gothic Book" w:cs="Calibri"/>
        </w:rPr>
        <w:t xml:space="preserve"> </w:t>
      </w:r>
      <w:r w:rsidRPr="00A8405B">
        <w:rPr>
          <w:rFonts w:ascii="Franklin Gothic Book" w:hAnsi="Franklin Gothic Book" w:cs="Calibri"/>
        </w:rPr>
        <w:t>summary of their main concerns and what the challenges have been in accessing sleep studies</w:t>
      </w:r>
      <w:r>
        <w:rPr>
          <w:rFonts w:ascii="Franklin Gothic Book" w:hAnsi="Franklin Gothic Book" w:cs="Calibri"/>
        </w:rPr>
        <w:t>.</w:t>
      </w:r>
      <w:r w:rsidRPr="005623E4">
        <w:rPr>
          <w:rFonts w:ascii="Franklin Gothic Book" w:hAnsi="Franklin Gothic Book" w:cs="Calibri"/>
        </w:rPr>
        <w:t xml:space="preserve"> </w:t>
      </w:r>
      <w:r w:rsidRPr="007408F1">
        <w:rPr>
          <w:rFonts w:ascii="Franklin Gothic Book" w:hAnsi="Franklin Gothic Book" w:cstheme="minorHAnsi"/>
        </w:rPr>
        <w:t>ESC noted support from several organisations that stated there is a clinical need for such a service to</w:t>
      </w:r>
      <w:r>
        <w:rPr>
          <w:rFonts w:ascii="Franklin Gothic Book" w:hAnsi="Franklin Gothic Book" w:cstheme="minorHAnsi"/>
        </w:rPr>
        <w:t>:</w:t>
      </w:r>
      <w:r w:rsidRPr="007408F1">
        <w:rPr>
          <w:rFonts w:ascii="Franklin Gothic Book" w:hAnsi="Franklin Gothic Book" w:cstheme="minorHAnsi"/>
        </w:rPr>
        <w:t xml:space="preserve"> reduce lengthy waiting times for sleep studies; improve access for children in rural and remote regions; and improve access to treatment, including adenotonsillectomy. The Thoracic Society of Australia and New Zealand considered that such a service may decrease unnecessary adenotonsillectomies. </w:t>
      </w:r>
      <w:r>
        <w:rPr>
          <w:rFonts w:ascii="Franklin Gothic Book" w:hAnsi="Franklin Gothic Book" w:cstheme="minorHAnsi"/>
        </w:rPr>
        <w:t xml:space="preserve"> </w:t>
      </w:r>
    </w:p>
    <w:p w14:paraId="65DB8FEF" w14:textId="77777777" w:rsidR="00642CDC" w:rsidRDefault="00642CDC" w:rsidP="00642CDC">
      <w:pPr>
        <w:tabs>
          <w:tab w:val="left" w:pos="3686"/>
        </w:tabs>
        <w:spacing w:before="120" w:line="256" w:lineRule="auto"/>
        <w:rPr>
          <w:rFonts w:ascii="Franklin Gothic Book" w:hAnsi="Franklin Gothic Book" w:cstheme="minorHAnsi"/>
        </w:rPr>
      </w:pPr>
      <w:r>
        <w:rPr>
          <w:rFonts w:ascii="Franklin Gothic Book" w:hAnsi="Franklin Gothic Book" w:cstheme="minorHAnsi"/>
        </w:rPr>
        <w:t>ESC considered that the proposed clinical need for the intervention needed further interrogation. In particular, assuming there is an unmet clinical need for the proposed service, the consultation feedback suggested the unmet clinical need could be for one or both of the following:</w:t>
      </w:r>
    </w:p>
    <w:p w14:paraId="332DB0EC" w14:textId="77777777" w:rsidR="00642CDC" w:rsidRPr="00437D40" w:rsidRDefault="00642CDC" w:rsidP="00642CDC">
      <w:pPr>
        <w:pStyle w:val="ListParagraph"/>
        <w:numPr>
          <w:ilvl w:val="0"/>
          <w:numId w:val="30"/>
        </w:numPr>
        <w:tabs>
          <w:tab w:val="left" w:pos="3686"/>
        </w:tabs>
        <w:spacing w:line="256" w:lineRule="auto"/>
        <w:rPr>
          <w:rFonts w:cstheme="minorHAnsi"/>
        </w:rPr>
      </w:pPr>
      <w:r>
        <w:rPr>
          <w:rFonts w:cstheme="minorHAnsi"/>
        </w:rPr>
        <w:t>To r</w:t>
      </w:r>
      <w:r w:rsidRPr="00437D40">
        <w:rPr>
          <w:rFonts w:cstheme="minorHAnsi"/>
        </w:rPr>
        <w:t>educe overservicing of adenotonsillectomies</w:t>
      </w:r>
    </w:p>
    <w:p w14:paraId="7AE91331" w14:textId="77777777" w:rsidR="00642CDC" w:rsidRDefault="00642CDC" w:rsidP="00642CDC">
      <w:pPr>
        <w:pStyle w:val="ListParagraph"/>
        <w:numPr>
          <w:ilvl w:val="1"/>
          <w:numId w:val="30"/>
        </w:numPr>
        <w:tabs>
          <w:tab w:val="left" w:pos="3686"/>
        </w:tabs>
        <w:spacing w:line="256" w:lineRule="auto"/>
        <w:rPr>
          <w:rFonts w:cstheme="minorHAnsi"/>
        </w:rPr>
      </w:pPr>
      <w:r>
        <w:rPr>
          <w:rFonts w:cstheme="minorHAnsi"/>
        </w:rPr>
        <w:lastRenderedPageBreak/>
        <w:t xml:space="preserve">However, ESC questioned whether many </w:t>
      </w:r>
      <w:r w:rsidRPr="00437D40">
        <w:rPr>
          <w:rFonts w:cstheme="minorHAnsi"/>
        </w:rPr>
        <w:t>parents of children</w:t>
      </w:r>
      <w:r>
        <w:rPr>
          <w:rFonts w:cstheme="minorHAnsi"/>
        </w:rPr>
        <w:t xml:space="preserve"> offered surgery as a possible management option for their child’s symptoms or medical history, who were then found to have </w:t>
      </w:r>
      <w:r w:rsidRPr="00437D40">
        <w:rPr>
          <w:rFonts w:cstheme="minorHAnsi"/>
        </w:rPr>
        <w:t>normal/mild OSA test findings</w:t>
      </w:r>
      <w:r>
        <w:rPr>
          <w:rFonts w:cstheme="minorHAnsi"/>
        </w:rPr>
        <w:t>, would</w:t>
      </w:r>
      <w:r w:rsidRPr="00437D40">
        <w:rPr>
          <w:rFonts w:cstheme="minorHAnsi"/>
        </w:rPr>
        <w:t xml:space="preserve"> </w:t>
      </w:r>
      <w:r>
        <w:rPr>
          <w:rFonts w:cstheme="minorHAnsi"/>
        </w:rPr>
        <w:t>actually</w:t>
      </w:r>
      <w:r w:rsidRPr="00437D40">
        <w:rPr>
          <w:rFonts w:cstheme="minorHAnsi"/>
        </w:rPr>
        <w:t xml:space="preserve"> choose watchful waiting and forgo surgery</w:t>
      </w:r>
      <w:r>
        <w:rPr>
          <w:rFonts w:cstheme="minorHAnsi"/>
        </w:rPr>
        <w:t xml:space="preserve">. ESC also questioned whether </w:t>
      </w:r>
      <w:r w:rsidRPr="00B86C47">
        <w:rPr>
          <w:rFonts w:cstheme="minorHAnsi"/>
        </w:rPr>
        <w:t xml:space="preserve">parents of children at higher risk from anaesthesia or surgery and with mild OSA test findings </w:t>
      </w:r>
      <w:r>
        <w:rPr>
          <w:rFonts w:cstheme="minorHAnsi"/>
        </w:rPr>
        <w:t>would actually</w:t>
      </w:r>
      <w:r w:rsidRPr="00B86C47">
        <w:rPr>
          <w:rFonts w:cstheme="minorHAnsi"/>
        </w:rPr>
        <w:t xml:space="preserve"> choose watchful waiting</w:t>
      </w:r>
      <w:r>
        <w:rPr>
          <w:rFonts w:cstheme="minorHAnsi"/>
        </w:rPr>
        <w:t>. No evidence was provided in the DCAR to support the case that either of these possibilities would actually occur.</w:t>
      </w:r>
    </w:p>
    <w:p w14:paraId="5A922740" w14:textId="77777777" w:rsidR="00642CDC" w:rsidRDefault="00642CDC" w:rsidP="00642CDC">
      <w:pPr>
        <w:pStyle w:val="ListParagraph"/>
        <w:numPr>
          <w:ilvl w:val="0"/>
          <w:numId w:val="30"/>
        </w:numPr>
        <w:tabs>
          <w:tab w:val="left" w:pos="3686"/>
        </w:tabs>
        <w:spacing w:line="256" w:lineRule="auto"/>
        <w:rPr>
          <w:rFonts w:cstheme="minorHAnsi"/>
        </w:rPr>
      </w:pPr>
      <w:r>
        <w:rPr>
          <w:rFonts w:cstheme="minorHAnsi"/>
        </w:rPr>
        <w:t>To reduce</w:t>
      </w:r>
      <w:r w:rsidRPr="00AB04CF">
        <w:rPr>
          <w:rFonts w:cstheme="minorHAnsi"/>
        </w:rPr>
        <w:t xml:space="preserve"> wait times for those most in need of a Level 1 study</w:t>
      </w:r>
    </w:p>
    <w:p w14:paraId="33F8A42F" w14:textId="77777777" w:rsidR="00642CDC" w:rsidRDefault="00642CDC" w:rsidP="00642CDC">
      <w:pPr>
        <w:pStyle w:val="ListParagraph"/>
        <w:numPr>
          <w:ilvl w:val="1"/>
          <w:numId w:val="30"/>
        </w:numPr>
        <w:tabs>
          <w:tab w:val="left" w:pos="3686"/>
        </w:tabs>
        <w:spacing w:line="256" w:lineRule="auto"/>
        <w:rPr>
          <w:rFonts w:cstheme="minorHAnsi"/>
        </w:rPr>
      </w:pPr>
      <w:r>
        <w:rPr>
          <w:rFonts w:cstheme="minorHAnsi"/>
        </w:rPr>
        <w:t xml:space="preserve">ESC questioned whether </w:t>
      </w:r>
      <w:r w:rsidRPr="00871B9C">
        <w:rPr>
          <w:rFonts w:cstheme="minorHAnsi"/>
        </w:rPr>
        <w:t xml:space="preserve">low-acuity patients </w:t>
      </w:r>
      <w:r>
        <w:rPr>
          <w:rFonts w:cstheme="minorHAnsi"/>
        </w:rPr>
        <w:t xml:space="preserve">were </w:t>
      </w:r>
      <w:r w:rsidRPr="00871B9C">
        <w:rPr>
          <w:rFonts w:cstheme="minorHAnsi"/>
        </w:rPr>
        <w:t>the main driver for long wait times</w:t>
      </w:r>
      <w:r>
        <w:rPr>
          <w:rFonts w:cstheme="minorHAnsi"/>
        </w:rPr>
        <w:t xml:space="preserve"> (which ESC discussed further below).</w:t>
      </w:r>
    </w:p>
    <w:p w14:paraId="64BF620F" w14:textId="77777777" w:rsidR="00642CDC" w:rsidRPr="007408F1" w:rsidRDefault="00642CDC" w:rsidP="00642CDC">
      <w:pPr>
        <w:rPr>
          <w:rStyle w:val="Strong"/>
          <w:rFonts w:ascii="Franklin Gothic Book" w:hAnsi="Franklin Gothic Book" w:cstheme="minorHAnsi"/>
          <w:b w:val="0"/>
          <w:bCs w:val="0"/>
        </w:rPr>
      </w:pPr>
      <w:r w:rsidRPr="007408F1">
        <w:rPr>
          <w:rFonts w:ascii="Franklin Gothic Book" w:hAnsi="Franklin Gothic Book" w:cstheme="minorHAnsi"/>
        </w:rPr>
        <w:t xml:space="preserve">ESC noted that the rate of tonsillectomies is higher in Australia than in similar countries such as the UK. The </w:t>
      </w:r>
      <w:hyperlink r:id="rId15" w:history="1">
        <w:r w:rsidRPr="007408F1">
          <w:rPr>
            <w:rStyle w:val="Hyperlink"/>
            <w:rFonts w:ascii="Franklin Gothic Book" w:hAnsi="Franklin Gothic Book" w:cstheme="minorHAnsi"/>
            <w:i/>
            <w:iCs/>
          </w:rPr>
          <w:t>Fourth Australian Atlas of Healthcare Variation</w:t>
        </w:r>
      </w:hyperlink>
      <w:r>
        <w:rPr>
          <w:rStyle w:val="Hyperlink"/>
          <w:rFonts w:ascii="Franklin Gothic Book" w:hAnsi="Franklin Gothic Book" w:cstheme="minorHAnsi"/>
          <w:i/>
          <w:iCs/>
        </w:rPr>
        <w:t xml:space="preserve"> 2021</w:t>
      </w:r>
      <w:r w:rsidRPr="007408F1">
        <w:rPr>
          <w:rFonts w:ascii="Franklin Gothic Book" w:hAnsi="Franklin Gothic Book" w:cstheme="minorHAnsi"/>
        </w:rPr>
        <w:t xml:space="preserve"> stated that “high or low rates of tonsillectomy in some areas may be related to clinical practice that is not supported by evidence ... There is no current Australian evidence-based guideline for the use of tonsillectomy in managing recurrent throat infections and OSA in children”. The Atlas went on to state that </w:t>
      </w:r>
      <w:r>
        <w:rPr>
          <w:rFonts w:ascii="Franklin Gothic Book" w:hAnsi="Franklin Gothic Book" w:cstheme="minorHAnsi"/>
        </w:rPr>
        <w:t>while the gold standard for diagnosing OSA</w:t>
      </w:r>
      <w:r w:rsidRPr="00A434D4">
        <w:t xml:space="preserve"> </w:t>
      </w:r>
      <w:r w:rsidRPr="00A434D4">
        <w:rPr>
          <w:rFonts w:ascii="Franklin Gothic Book" w:hAnsi="Franklin Gothic Book" w:cstheme="minorHAnsi"/>
        </w:rPr>
        <w:t>before tonsillectomy is an overnight inpatient sleep study</w:t>
      </w:r>
      <w:r>
        <w:rPr>
          <w:rFonts w:ascii="Franklin Gothic Book" w:hAnsi="Franklin Gothic Book" w:cstheme="minorHAnsi"/>
        </w:rPr>
        <w:t xml:space="preserve">, </w:t>
      </w:r>
      <w:r w:rsidRPr="007408F1">
        <w:rPr>
          <w:rFonts w:ascii="Franklin Gothic Book" w:hAnsi="Franklin Gothic Book" w:cstheme="minorHAnsi"/>
        </w:rPr>
        <w:t>differences in diagnosing OSA and the referral process for sleep studies may contribute to variation, and that children in rural and remote areas may be disadvantaged in accessing timely sleep studies.</w:t>
      </w:r>
      <w:r w:rsidRPr="0040229F">
        <w:rPr>
          <w:rFonts w:ascii="Franklin Gothic Book" w:hAnsi="Franklin Gothic Book" w:cstheme="minorHAnsi"/>
        </w:rPr>
        <w:t xml:space="preserve"> </w:t>
      </w:r>
      <w:r w:rsidRPr="007408F1">
        <w:rPr>
          <w:rFonts w:ascii="Franklin Gothic Book" w:hAnsi="Franklin Gothic Book" w:cstheme="minorHAnsi"/>
        </w:rPr>
        <w:t xml:space="preserve">ESC </w:t>
      </w:r>
      <w:r>
        <w:rPr>
          <w:rFonts w:ascii="Franklin Gothic Book" w:hAnsi="Franklin Gothic Book" w:cstheme="minorHAnsi"/>
        </w:rPr>
        <w:t xml:space="preserve">considered that based on the findings from the Atlas of Variation that the decision to undertake </w:t>
      </w:r>
      <w:r w:rsidRPr="007408F1">
        <w:rPr>
          <w:rFonts w:ascii="Franklin Gothic Book" w:hAnsi="Franklin Gothic Book" w:cstheme="minorHAnsi"/>
        </w:rPr>
        <w:t xml:space="preserve">some adenotonsillectomy surgeries </w:t>
      </w:r>
      <w:r>
        <w:rPr>
          <w:rFonts w:ascii="Franklin Gothic Book" w:hAnsi="Franklin Gothic Book" w:cstheme="minorHAnsi"/>
        </w:rPr>
        <w:t>i</w:t>
      </w:r>
      <w:r w:rsidRPr="007408F1">
        <w:rPr>
          <w:rFonts w:ascii="Franklin Gothic Book" w:hAnsi="Franklin Gothic Book" w:cstheme="minorHAnsi"/>
        </w:rPr>
        <w:t>n Australia may not be supported by evidence. ESC suggested that it may be appropriate to refer a review of MBS item 41789 to the MBS Review Advisory Committee (MRAC).</w:t>
      </w:r>
    </w:p>
    <w:p w14:paraId="1D21C220" w14:textId="77777777" w:rsidR="00642CDC" w:rsidRDefault="00642CDC" w:rsidP="00642CDC">
      <w:pPr>
        <w:rPr>
          <w:rFonts w:ascii="Franklin Gothic Book" w:hAnsi="Franklin Gothic Book" w:cstheme="minorHAnsi"/>
        </w:rPr>
      </w:pPr>
      <w:r w:rsidRPr="007408F1">
        <w:rPr>
          <w:rFonts w:ascii="Franklin Gothic Book" w:hAnsi="Franklin Gothic Book" w:cstheme="minorHAnsi"/>
        </w:rPr>
        <w:t xml:space="preserve">ESC also noted evidence from </w:t>
      </w:r>
      <w:proofErr w:type="spellStart"/>
      <w:r w:rsidRPr="007408F1">
        <w:rPr>
          <w:rFonts w:ascii="Franklin Gothic Book" w:hAnsi="Franklin Gothic Book" w:cstheme="minorHAnsi"/>
        </w:rPr>
        <w:t>Hazkani</w:t>
      </w:r>
      <w:proofErr w:type="spellEnd"/>
      <w:r w:rsidRPr="007408F1">
        <w:rPr>
          <w:rFonts w:ascii="Franklin Gothic Book" w:hAnsi="Franklin Gothic Book" w:cstheme="minorHAnsi"/>
        </w:rPr>
        <w:t xml:space="preserve"> et al. (2023) that adenotonsillectomies improve “parental perception of the child’s QoL [quality of life] and burden of sleep-related symptoms”</w:t>
      </w:r>
      <w:r w:rsidRPr="007408F1">
        <w:rPr>
          <w:rStyle w:val="FootnoteReference"/>
          <w:rFonts w:ascii="Franklin Gothic Book" w:hAnsi="Franklin Gothic Book" w:cstheme="minorHAnsi"/>
        </w:rPr>
        <w:footnoteReference w:id="33"/>
      </w:r>
      <w:r>
        <w:rPr>
          <w:rFonts w:ascii="Franklin Gothic Book" w:hAnsi="Franklin Gothic Book" w:cstheme="minorHAnsi"/>
        </w:rPr>
        <w:t>. ESC noted evidence from Redline et al. (2023) that in children with mild sleep-disordered breathing, adenotonsillectomy resulted in no statistically significant differences in changes in executive function or attention but led to improved secondary outcomes including parental reported symptoms and behaviour, and blood pressure</w:t>
      </w:r>
      <w:r>
        <w:rPr>
          <w:rStyle w:val="FootnoteReference"/>
          <w:rFonts w:ascii="Franklin Gothic Book" w:hAnsi="Franklin Gothic Book" w:cstheme="minorHAnsi"/>
        </w:rPr>
        <w:footnoteReference w:id="34"/>
      </w:r>
      <w:r>
        <w:rPr>
          <w:rFonts w:ascii="Franklin Gothic Book" w:hAnsi="Franklin Gothic Book" w:cstheme="minorHAnsi"/>
        </w:rPr>
        <w:t xml:space="preserve">. </w:t>
      </w:r>
      <w:r w:rsidRPr="007408F1">
        <w:rPr>
          <w:rFonts w:ascii="Franklin Gothic Book" w:hAnsi="Franklin Gothic Book" w:cstheme="minorHAnsi"/>
        </w:rPr>
        <w:t xml:space="preserve"> </w:t>
      </w:r>
    </w:p>
    <w:p w14:paraId="332115F3" w14:textId="77777777" w:rsidR="00642CDC" w:rsidRPr="007408F1" w:rsidRDefault="00642CDC" w:rsidP="00642CDC">
      <w:pPr>
        <w:pStyle w:val="NormalBeforeBullet0"/>
        <w:rPr>
          <w:rStyle w:val="Strong"/>
          <w:rFonts w:cstheme="minorHAnsi"/>
          <w:b w:val="0"/>
          <w:bCs w:val="0"/>
          <w:szCs w:val="22"/>
        </w:rPr>
      </w:pPr>
      <w:r w:rsidRPr="007A0BE9">
        <w:rPr>
          <w:rStyle w:val="Strong"/>
          <w:rFonts w:cstheme="minorHAnsi"/>
          <w:b w:val="0"/>
          <w:bCs w:val="0"/>
          <w:szCs w:val="22"/>
        </w:rPr>
        <w:t>ESC noted the three populations in the</w:t>
      </w:r>
      <w:r w:rsidRPr="007408F1">
        <w:rPr>
          <w:rStyle w:val="Strong"/>
          <w:rFonts w:cstheme="minorHAnsi"/>
          <w:szCs w:val="22"/>
        </w:rPr>
        <w:t xml:space="preserve"> </w:t>
      </w:r>
      <w:r w:rsidRPr="007408F1">
        <w:rPr>
          <w:rFonts w:cstheme="minorHAnsi"/>
          <w:szCs w:val="22"/>
        </w:rPr>
        <w:t>DCAR</w:t>
      </w:r>
      <w:r w:rsidRPr="007408F1">
        <w:rPr>
          <w:rStyle w:val="Strong"/>
          <w:rFonts w:cstheme="minorHAnsi"/>
          <w:szCs w:val="22"/>
        </w:rPr>
        <w:t>:</w:t>
      </w:r>
    </w:p>
    <w:p w14:paraId="1753DA54" w14:textId="77777777" w:rsidR="00642CDC" w:rsidRPr="007408F1" w:rsidRDefault="00642CDC" w:rsidP="00E9100A">
      <w:pPr>
        <w:pStyle w:val="Bullet"/>
        <w:numPr>
          <w:ilvl w:val="0"/>
          <w:numId w:val="53"/>
        </w:numPr>
        <w:tabs>
          <w:tab w:val="left" w:pos="720"/>
        </w:tabs>
        <w:spacing w:before="0"/>
        <w:rPr>
          <w:rFonts w:ascii="Franklin Gothic Book" w:hAnsi="Franklin Gothic Book" w:cstheme="minorHAnsi"/>
        </w:rPr>
      </w:pPr>
      <w:r w:rsidRPr="007408F1">
        <w:rPr>
          <w:rFonts w:ascii="Franklin Gothic Book" w:hAnsi="Franklin Gothic Book" w:cstheme="minorHAnsi"/>
        </w:rPr>
        <w:t xml:space="preserve">children aged 3 to &lt;12 years and adolescents aged 12 to &lt;18 years with a high probability for symptomatic moderate to severe OSA (intervention: </w:t>
      </w:r>
      <w:r w:rsidRPr="00350C83">
        <w:rPr>
          <w:rStyle w:val="Strong"/>
          <w:rFonts w:ascii="Franklin Gothic Book" w:hAnsi="Franklin Gothic Book" w:cstheme="minorHAnsi"/>
          <w:b w:val="0"/>
          <w:bCs w:val="0"/>
        </w:rPr>
        <w:t>d</w:t>
      </w:r>
      <w:r w:rsidRPr="007408F1">
        <w:rPr>
          <w:rFonts w:ascii="Franklin Gothic Book" w:hAnsi="Franklin Gothic Book" w:cstheme="minorHAnsi"/>
        </w:rPr>
        <w:t xml:space="preserve">iagnostic out-of-laboratory Level 2 PSG) – considered low-risk </w:t>
      </w:r>
      <w:proofErr w:type="gramStart"/>
      <w:r w:rsidRPr="007408F1">
        <w:rPr>
          <w:rFonts w:ascii="Franklin Gothic Book" w:hAnsi="Franklin Gothic Book" w:cstheme="minorHAnsi"/>
        </w:rPr>
        <w:t>patients</w:t>
      </w:r>
      <w:proofErr w:type="gramEnd"/>
    </w:p>
    <w:p w14:paraId="06EB9432" w14:textId="77777777" w:rsidR="00642CDC" w:rsidRPr="007408F1" w:rsidRDefault="00642CDC" w:rsidP="00E9100A">
      <w:pPr>
        <w:pStyle w:val="Bullet"/>
        <w:numPr>
          <w:ilvl w:val="0"/>
          <w:numId w:val="53"/>
        </w:numPr>
        <w:tabs>
          <w:tab w:val="left" w:pos="720"/>
        </w:tabs>
        <w:spacing w:before="0"/>
        <w:rPr>
          <w:rFonts w:ascii="Franklin Gothic Book" w:hAnsi="Franklin Gothic Book" w:cstheme="minorHAnsi"/>
        </w:rPr>
      </w:pPr>
      <w:r w:rsidRPr="007408F1">
        <w:rPr>
          <w:rFonts w:ascii="Franklin Gothic Book" w:hAnsi="Franklin Gothic Book" w:cstheme="minorHAnsi"/>
        </w:rPr>
        <w:t>children aged 3 to &lt;12 years and adolescents aged 12 to &lt;18 years with a high probability for symptomatic moderate to severe OSA (intervention: diagnostic out-of-laboratory Level 3 CR</w:t>
      </w:r>
      <w:r>
        <w:rPr>
          <w:rFonts w:ascii="Franklin Gothic Book" w:hAnsi="Franklin Gothic Book" w:cstheme="minorHAnsi"/>
        </w:rPr>
        <w:t>P</w:t>
      </w:r>
      <w:r w:rsidRPr="007408F1">
        <w:rPr>
          <w:rFonts w:ascii="Franklin Gothic Book" w:hAnsi="Franklin Gothic Book" w:cstheme="minorHAnsi"/>
        </w:rPr>
        <w:t xml:space="preserve">) – patients that cannot tolerate a Level 1 sleep </w:t>
      </w:r>
      <w:proofErr w:type="gramStart"/>
      <w:r w:rsidRPr="007408F1">
        <w:rPr>
          <w:rFonts w:ascii="Franklin Gothic Book" w:hAnsi="Franklin Gothic Book" w:cstheme="minorHAnsi"/>
        </w:rPr>
        <w:t>study</w:t>
      </w:r>
      <w:proofErr w:type="gramEnd"/>
    </w:p>
    <w:p w14:paraId="16A1072D" w14:textId="77777777" w:rsidR="00642CDC" w:rsidRPr="007408F1" w:rsidRDefault="00642CDC" w:rsidP="00E9100A">
      <w:pPr>
        <w:pStyle w:val="BulletLast"/>
        <w:numPr>
          <w:ilvl w:val="0"/>
          <w:numId w:val="53"/>
        </w:numPr>
        <w:tabs>
          <w:tab w:val="left" w:pos="720"/>
        </w:tabs>
        <w:rPr>
          <w:rStyle w:val="Strong"/>
          <w:rFonts w:cstheme="minorHAnsi"/>
          <w:b w:val="0"/>
          <w:bCs w:val="0"/>
          <w:szCs w:val="22"/>
        </w:rPr>
      </w:pPr>
      <w:r w:rsidRPr="007408F1">
        <w:rPr>
          <w:rFonts w:cstheme="minorHAnsi"/>
          <w:szCs w:val="22"/>
        </w:rPr>
        <w:t>children aged 3 to &lt;12 years and adolescents aged 12 to &lt;18 years who are stable on continuous positive airway pressure (CPAP) or bilevel positive airway pressure (BiPAP) respiratory support (intervention: diagnostic out-of-laboratory Level </w:t>
      </w:r>
      <w:r>
        <w:rPr>
          <w:rFonts w:cstheme="minorHAnsi"/>
          <w:szCs w:val="22"/>
        </w:rPr>
        <w:t>3</w:t>
      </w:r>
      <w:r w:rsidRPr="007408F1">
        <w:rPr>
          <w:rFonts w:cstheme="minorHAnsi"/>
          <w:szCs w:val="22"/>
        </w:rPr>
        <w:t xml:space="preserve"> </w:t>
      </w:r>
      <w:r>
        <w:rPr>
          <w:rFonts w:cstheme="minorHAnsi"/>
          <w:szCs w:val="22"/>
        </w:rPr>
        <w:t>CRP</w:t>
      </w:r>
      <w:r w:rsidRPr="007408F1">
        <w:rPr>
          <w:rFonts w:cstheme="minorHAnsi"/>
          <w:szCs w:val="22"/>
        </w:rPr>
        <w:t xml:space="preserve"> for treatment monitoring).</w:t>
      </w:r>
    </w:p>
    <w:p w14:paraId="3A9D07FD" w14:textId="77777777" w:rsidR="00642CDC" w:rsidRPr="00AB455D" w:rsidRDefault="00642CDC" w:rsidP="00642CDC">
      <w:pPr>
        <w:rPr>
          <w:rStyle w:val="Strong"/>
          <w:rFonts w:ascii="Franklin Gothic Book" w:hAnsi="Franklin Gothic Book" w:cstheme="minorHAnsi"/>
        </w:rPr>
      </w:pPr>
      <w:r w:rsidRPr="007408F1">
        <w:rPr>
          <w:rStyle w:val="Strong"/>
          <w:rFonts w:ascii="Franklin Gothic Book" w:hAnsi="Franklin Gothic Book" w:cstheme="minorHAnsi"/>
          <w:b w:val="0"/>
          <w:bCs w:val="0"/>
        </w:rPr>
        <w:t>ESC noted the clinical management algorithms for the populations.</w:t>
      </w:r>
    </w:p>
    <w:p w14:paraId="3548490E" w14:textId="77777777" w:rsidR="00642CDC" w:rsidRPr="007408F1" w:rsidRDefault="00642CDC" w:rsidP="00642CDC">
      <w:pPr>
        <w:pStyle w:val="NormalBeforeBullet0"/>
        <w:rPr>
          <w:rStyle w:val="Strong"/>
          <w:rFonts w:cstheme="minorHAnsi"/>
          <w:b w:val="0"/>
          <w:bCs w:val="0"/>
          <w:szCs w:val="22"/>
        </w:rPr>
      </w:pPr>
      <w:r w:rsidRPr="007408F1">
        <w:rPr>
          <w:rStyle w:val="Strong"/>
          <w:rFonts w:cstheme="minorHAnsi"/>
          <w:b w:val="0"/>
          <w:bCs w:val="0"/>
          <w:szCs w:val="22"/>
        </w:rPr>
        <w:t>For populations 1 and 2, ESC noted several issues:</w:t>
      </w:r>
    </w:p>
    <w:p w14:paraId="31277740" w14:textId="77777777" w:rsidR="00642CDC" w:rsidRPr="007408F1" w:rsidRDefault="00642CDC" w:rsidP="00642CDC">
      <w:pPr>
        <w:pStyle w:val="Bullet"/>
        <w:numPr>
          <w:ilvl w:val="0"/>
          <w:numId w:val="26"/>
        </w:numPr>
        <w:spacing w:before="0"/>
        <w:rPr>
          <w:rFonts w:ascii="Franklin Gothic Book" w:hAnsi="Franklin Gothic Book" w:cstheme="minorHAnsi"/>
        </w:rPr>
      </w:pPr>
      <w:r w:rsidRPr="009A0B8A">
        <w:rPr>
          <w:rFonts w:ascii="Franklin Gothic Book" w:hAnsi="Franklin Gothic Book" w:cstheme="minorHAnsi"/>
        </w:rPr>
        <w:t xml:space="preserve">Although the population eligible for </w:t>
      </w:r>
      <w:r>
        <w:rPr>
          <w:rFonts w:ascii="Franklin Gothic Book" w:hAnsi="Franklin Gothic Book" w:cstheme="minorHAnsi"/>
        </w:rPr>
        <w:t>L</w:t>
      </w:r>
      <w:r w:rsidRPr="009A0B8A">
        <w:rPr>
          <w:rFonts w:ascii="Franklin Gothic Book" w:hAnsi="Franklin Gothic Book" w:cstheme="minorHAnsi"/>
        </w:rPr>
        <w:t xml:space="preserve">evel 2 PSG are defined as children with a high probability of OSA, in reality it is possible that </w:t>
      </w:r>
      <w:r>
        <w:rPr>
          <w:rFonts w:ascii="Franklin Gothic Book" w:hAnsi="Franklin Gothic Book" w:cstheme="minorHAnsi"/>
        </w:rPr>
        <w:t>use outside the intended population</w:t>
      </w:r>
      <w:r w:rsidRPr="009A0B8A">
        <w:rPr>
          <w:rFonts w:ascii="Franklin Gothic Book" w:hAnsi="Franklin Gothic Book" w:cstheme="minorHAnsi"/>
        </w:rPr>
        <w:t xml:space="preserve"> may occur </w:t>
      </w:r>
      <w:r w:rsidRPr="009A0B8A">
        <w:rPr>
          <w:rFonts w:ascii="Franklin Gothic Book" w:hAnsi="Franklin Gothic Book" w:cstheme="minorHAnsi"/>
        </w:rPr>
        <w:lastRenderedPageBreak/>
        <w:t>and patients across the full spectrum of sleep disordered breathing (from mild sleep disordered breathing to OSA) may receive a Level 2 PSG</w:t>
      </w:r>
      <w:r w:rsidRPr="007408F1">
        <w:rPr>
          <w:rFonts w:ascii="Franklin Gothic Book" w:hAnsi="Franklin Gothic Book" w:cstheme="minorHAnsi"/>
        </w:rPr>
        <w:t>.</w:t>
      </w:r>
    </w:p>
    <w:p w14:paraId="5216B1EF" w14:textId="77777777" w:rsidR="00642CDC" w:rsidRDefault="00642CDC" w:rsidP="00642CDC">
      <w:pPr>
        <w:pStyle w:val="Bullet"/>
        <w:numPr>
          <w:ilvl w:val="0"/>
          <w:numId w:val="26"/>
        </w:numPr>
        <w:spacing w:before="0"/>
        <w:rPr>
          <w:rFonts w:ascii="Franklin Gothic Book" w:hAnsi="Franklin Gothic Book" w:cstheme="minorHAnsi"/>
        </w:rPr>
      </w:pPr>
      <w:r w:rsidRPr="007408F1">
        <w:rPr>
          <w:rFonts w:ascii="Franklin Gothic Book" w:hAnsi="Franklin Gothic Book" w:cstheme="minorHAnsi"/>
        </w:rPr>
        <w:t xml:space="preserve">It is unclear when </w:t>
      </w:r>
      <w:r>
        <w:rPr>
          <w:rFonts w:ascii="Franklin Gothic Book" w:hAnsi="Franklin Gothic Book" w:cstheme="minorHAnsi"/>
        </w:rPr>
        <w:t xml:space="preserve">the results of </w:t>
      </w:r>
      <w:r w:rsidRPr="007408F1">
        <w:rPr>
          <w:rFonts w:ascii="Franklin Gothic Book" w:hAnsi="Franklin Gothic Book" w:cstheme="minorHAnsi"/>
        </w:rPr>
        <w:t>a sleep study</w:t>
      </w:r>
      <w:r>
        <w:rPr>
          <w:rFonts w:ascii="Franklin Gothic Book" w:hAnsi="Franklin Gothic Book" w:cstheme="minorHAnsi"/>
        </w:rPr>
        <w:t xml:space="preserve"> (confirming or ruling out a diagnosis of OSA) </w:t>
      </w:r>
      <w:r w:rsidRPr="007408F1">
        <w:rPr>
          <w:rFonts w:ascii="Franklin Gothic Book" w:hAnsi="Franklin Gothic Book" w:cstheme="minorHAnsi"/>
        </w:rPr>
        <w:t xml:space="preserve">is required </w:t>
      </w:r>
      <w:r>
        <w:rPr>
          <w:rFonts w:ascii="Franklin Gothic Book" w:hAnsi="Franklin Gothic Book" w:cstheme="minorHAnsi"/>
        </w:rPr>
        <w:t xml:space="preserve">(i.e. directly/solely informs a change in patient management) </w:t>
      </w:r>
      <w:r w:rsidRPr="007408F1">
        <w:rPr>
          <w:rFonts w:ascii="Franklin Gothic Book" w:hAnsi="Franklin Gothic Book" w:cstheme="minorHAnsi"/>
        </w:rPr>
        <w:t xml:space="preserve">or beneficial </w:t>
      </w:r>
      <w:r>
        <w:rPr>
          <w:rFonts w:ascii="Franklin Gothic Book" w:hAnsi="Franklin Gothic Book" w:cstheme="minorHAnsi"/>
        </w:rPr>
        <w:t xml:space="preserve">(i.e. one of a number of factors that helps inform patient management) </w:t>
      </w:r>
      <w:r w:rsidRPr="007408F1">
        <w:rPr>
          <w:rFonts w:ascii="Franklin Gothic Book" w:hAnsi="Franklin Gothic Book" w:cstheme="minorHAnsi"/>
        </w:rPr>
        <w:t xml:space="preserve">for deciding management options. For example, it is clear </w:t>
      </w:r>
      <w:r>
        <w:rPr>
          <w:rFonts w:ascii="Franklin Gothic Book" w:hAnsi="Franklin Gothic Book" w:cstheme="minorHAnsi"/>
        </w:rPr>
        <w:t>that</w:t>
      </w:r>
      <w:r w:rsidRPr="007408F1">
        <w:rPr>
          <w:rFonts w:ascii="Franklin Gothic Book" w:hAnsi="Franklin Gothic Book" w:cstheme="minorHAnsi"/>
        </w:rPr>
        <w:t xml:space="preserve"> a sleep study is required for CPAP/BiPAP </w:t>
      </w:r>
      <w:r>
        <w:rPr>
          <w:rFonts w:ascii="Franklin Gothic Book" w:hAnsi="Franklin Gothic Book" w:cstheme="minorHAnsi"/>
        </w:rPr>
        <w:t xml:space="preserve">initiation and sometimes monitoring but less clear how much importance is placed on a sleep study result to determine other management options, such as surgery. That is, it appears other clinical factors may result in a decision being made to progress to adenotonsillectomy, which may occur even if the sleep study is negative for OSA. </w:t>
      </w:r>
    </w:p>
    <w:p w14:paraId="4BB4F5F1" w14:textId="77777777" w:rsidR="00642CDC" w:rsidRPr="007408F1" w:rsidRDefault="00642CDC" w:rsidP="00642CDC">
      <w:pPr>
        <w:pStyle w:val="BulletLast"/>
        <w:numPr>
          <w:ilvl w:val="0"/>
          <w:numId w:val="26"/>
        </w:numPr>
        <w:rPr>
          <w:rFonts w:cstheme="minorHAnsi"/>
          <w:szCs w:val="22"/>
        </w:rPr>
      </w:pPr>
      <w:r>
        <w:rPr>
          <w:rFonts w:cstheme="minorHAnsi"/>
        </w:rPr>
        <w:t>C</w:t>
      </w:r>
      <w:r w:rsidRPr="007408F1">
        <w:rPr>
          <w:rFonts w:cstheme="minorHAnsi"/>
        </w:rPr>
        <w:t xml:space="preserve">hildren who cannot tolerate an in-laboratory sleep study (population 2) may be difficult to define, thus there is potential for </w:t>
      </w:r>
      <w:r>
        <w:rPr>
          <w:rFonts w:cstheme="minorHAnsi"/>
        </w:rPr>
        <w:t xml:space="preserve">use outside the intended population. </w:t>
      </w:r>
    </w:p>
    <w:p w14:paraId="784BE967" w14:textId="77777777" w:rsidR="00642CDC" w:rsidRDefault="00642CDC" w:rsidP="00642CDC">
      <w:pPr>
        <w:rPr>
          <w:rFonts w:ascii="Franklin Gothic Book" w:hAnsi="Franklin Gothic Book" w:cstheme="minorHAnsi"/>
        </w:rPr>
      </w:pPr>
      <w:r w:rsidRPr="007408F1">
        <w:rPr>
          <w:rFonts w:ascii="Franklin Gothic Book" w:hAnsi="Franklin Gothic Book" w:cstheme="minorHAnsi"/>
        </w:rPr>
        <w:t xml:space="preserve">For population 3, ESC queried whether </w:t>
      </w:r>
      <w:r>
        <w:rPr>
          <w:rFonts w:ascii="Franklin Gothic Book" w:hAnsi="Franklin Gothic Book" w:cstheme="minorHAnsi"/>
        </w:rPr>
        <w:t>laboratory-based sleep studies were</w:t>
      </w:r>
      <w:r w:rsidRPr="007408F1">
        <w:rPr>
          <w:rFonts w:ascii="Franklin Gothic Book" w:hAnsi="Franklin Gothic Book" w:cstheme="minorHAnsi"/>
        </w:rPr>
        <w:t xml:space="preserve"> required for patients who are </w:t>
      </w:r>
      <w:r>
        <w:rPr>
          <w:rFonts w:ascii="Franklin Gothic Book" w:hAnsi="Franklin Gothic Book" w:cstheme="minorHAnsi"/>
        </w:rPr>
        <w:t xml:space="preserve">clinically </w:t>
      </w:r>
      <w:r w:rsidRPr="007408F1">
        <w:rPr>
          <w:rFonts w:ascii="Franklin Gothic Book" w:hAnsi="Franklin Gothic Book" w:cstheme="minorHAnsi"/>
        </w:rPr>
        <w:t xml:space="preserve">stable, and whether the proposed intervention </w:t>
      </w:r>
      <w:r>
        <w:rPr>
          <w:rFonts w:ascii="Franklin Gothic Book" w:hAnsi="Franklin Gothic Book" w:cstheme="minorHAnsi"/>
        </w:rPr>
        <w:t xml:space="preserve">for monitoring purposes </w:t>
      </w:r>
      <w:r w:rsidRPr="007408F1">
        <w:rPr>
          <w:rFonts w:ascii="Franklin Gothic Book" w:hAnsi="Franklin Gothic Book" w:cstheme="minorHAnsi"/>
        </w:rPr>
        <w:t xml:space="preserve">would </w:t>
      </w:r>
      <w:r>
        <w:rPr>
          <w:rFonts w:ascii="Franklin Gothic Book" w:hAnsi="Franklin Gothic Book" w:cstheme="minorHAnsi"/>
        </w:rPr>
        <w:t>occur</w:t>
      </w:r>
      <w:r w:rsidRPr="007408F1">
        <w:rPr>
          <w:rFonts w:ascii="Franklin Gothic Book" w:hAnsi="Franklin Gothic Book" w:cstheme="minorHAnsi"/>
        </w:rPr>
        <w:t xml:space="preserve"> </w:t>
      </w:r>
      <w:r>
        <w:rPr>
          <w:rFonts w:ascii="Franklin Gothic Book" w:hAnsi="Franklin Gothic Book" w:cstheme="minorHAnsi"/>
        </w:rPr>
        <w:t xml:space="preserve">unnecessarily in </w:t>
      </w:r>
      <w:r w:rsidRPr="007408F1">
        <w:rPr>
          <w:rFonts w:ascii="Franklin Gothic Book" w:hAnsi="Franklin Gothic Book" w:cstheme="minorHAnsi"/>
        </w:rPr>
        <w:t xml:space="preserve">clinical practice for </w:t>
      </w:r>
      <w:r>
        <w:rPr>
          <w:rFonts w:ascii="Franklin Gothic Book" w:hAnsi="Franklin Gothic Book" w:cstheme="minorHAnsi"/>
        </w:rPr>
        <w:t xml:space="preserve">clinically </w:t>
      </w:r>
      <w:r w:rsidRPr="007408F1">
        <w:rPr>
          <w:rFonts w:ascii="Franklin Gothic Book" w:hAnsi="Franklin Gothic Book" w:cstheme="minorHAnsi"/>
        </w:rPr>
        <w:t>stable patients</w:t>
      </w:r>
      <w:r>
        <w:rPr>
          <w:rFonts w:ascii="Franklin Gothic Book" w:hAnsi="Franklin Gothic Book" w:cstheme="minorHAnsi"/>
        </w:rPr>
        <w:t xml:space="preserve"> (i.e. potential for overservicing)</w:t>
      </w:r>
      <w:r w:rsidRPr="007408F1">
        <w:rPr>
          <w:rFonts w:ascii="Franklin Gothic Book" w:hAnsi="Franklin Gothic Book" w:cstheme="minorHAnsi"/>
        </w:rPr>
        <w:t xml:space="preserve">. </w:t>
      </w:r>
    </w:p>
    <w:p w14:paraId="1345FFDE" w14:textId="77777777" w:rsidR="00642CDC" w:rsidRDefault="00642CDC" w:rsidP="00642CDC">
      <w:pPr>
        <w:pStyle w:val="DashLastSpace"/>
        <w:numPr>
          <w:ilvl w:val="0"/>
          <w:numId w:val="0"/>
        </w:numPr>
        <w:rPr>
          <w:rFonts w:cstheme="minorHAnsi"/>
          <w:szCs w:val="22"/>
        </w:rPr>
      </w:pPr>
      <w:r>
        <w:rPr>
          <w:rFonts w:cstheme="minorHAnsi"/>
          <w:szCs w:val="22"/>
        </w:rPr>
        <w:t xml:space="preserve">ESC considered that in order to better clarify the current and proposed clinical algorithms in the DCAR and address the questions relating to clinical need outlined previously, further expert advice should be sought on </w:t>
      </w:r>
      <w:r w:rsidRPr="00950318">
        <w:rPr>
          <w:rFonts w:cstheme="minorHAnsi"/>
          <w:szCs w:val="22"/>
        </w:rPr>
        <w:t xml:space="preserve">when sleep studies are needed to decide management, and the most common indications for needing a sleep study for children on waiting lists for </w:t>
      </w:r>
      <w:r>
        <w:rPr>
          <w:rFonts w:cstheme="minorHAnsi"/>
          <w:szCs w:val="22"/>
        </w:rPr>
        <w:t>sleep studies. This would also require additional data on the following possible components of paediatric sleep studies utilisation:</w:t>
      </w:r>
    </w:p>
    <w:p w14:paraId="7F75AD67" w14:textId="77777777" w:rsidR="00642CDC" w:rsidRDefault="00642CDC" w:rsidP="00642CDC">
      <w:pPr>
        <w:pStyle w:val="DashLastSpace"/>
        <w:numPr>
          <w:ilvl w:val="0"/>
          <w:numId w:val="30"/>
        </w:numPr>
        <w:rPr>
          <w:rFonts w:cstheme="minorHAnsi"/>
          <w:szCs w:val="22"/>
        </w:rPr>
      </w:pPr>
      <w:r w:rsidRPr="00C24606">
        <w:rPr>
          <w:rFonts w:cstheme="minorHAnsi"/>
          <w:szCs w:val="22"/>
        </w:rPr>
        <w:t xml:space="preserve">how many children with SDB are </w:t>
      </w:r>
      <w:r>
        <w:rPr>
          <w:rFonts w:cstheme="minorHAnsi"/>
          <w:szCs w:val="22"/>
        </w:rPr>
        <w:t xml:space="preserve">currently </w:t>
      </w:r>
      <w:r w:rsidRPr="00C24606">
        <w:rPr>
          <w:rFonts w:cstheme="minorHAnsi"/>
          <w:szCs w:val="22"/>
        </w:rPr>
        <w:t>managed with CPAP/BiPAP (sleep stud</w:t>
      </w:r>
      <w:r>
        <w:rPr>
          <w:rFonts w:cstheme="minorHAnsi"/>
          <w:szCs w:val="22"/>
        </w:rPr>
        <w:t>ies are</w:t>
      </w:r>
      <w:r w:rsidRPr="00C24606">
        <w:rPr>
          <w:rFonts w:cstheme="minorHAnsi"/>
          <w:szCs w:val="22"/>
        </w:rPr>
        <w:t xml:space="preserve"> likely </w:t>
      </w:r>
      <w:r>
        <w:rPr>
          <w:rFonts w:cstheme="minorHAnsi"/>
          <w:szCs w:val="22"/>
        </w:rPr>
        <w:t xml:space="preserve">to be </w:t>
      </w:r>
      <w:r w:rsidRPr="00C24606">
        <w:rPr>
          <w:rFonts w:cstheme="minorHAnsi"/>
          <w:szCs w:val="22"/>
        </w:rPr>
        <w:t>needed</w:t>
      </w:r>
      <w:r>
        <w:rPr>
          <w:rFonts w:cstheme="minorHAnsi"/>
          <w:szCs w:val="22"/>
        </w:rPr>
        <w:t xml:space="preserve"> to initiate non-invasive ventilation, and for monitoring if not clinically stable)</w:t>
      </w:r>
    </w:p>
    <w:p w14:paraId="608A4CBD" w14:textId="77777777" w:rsidR="00642CDC" w:rsidRDefault="00642CDC" w:rsidP="00642CDC">
      <w:pPr>
        <w:pStyle w:val="DashLastSpace"/>
        <w:numPr>
          <w:ilvl w:val="0"/>
          <w:numId w:val="30"/>
        </w:numPr>
        <w:rPr>
          <w:rFonts w:cstheme="minorHAnsi"/>
          <w:szCs w:val="22"/>
        </w:rPr>
      </w:pPr>
      <w:r w:rsidRPr="0065089E">
        <w:rPr>
          <w:rFonts w:cstheme="minorHAnsi"/>
          <w:szCs w:val="22"/>
        </w:rPr>
        <w:t xml:space="preserve">how many children considered for </w:t>
      </w:r>
      <w:r w:rsidRPr="00796F2B">
        <w:rPr>
          <w:rFonts w:cstheme="minorHAnsi"/>
          <w:szCs w:val="22"/>
        </w:rPr>
        <w:t>tonsillectom</w:t>
      </w:r>
      <w:r>
        <w:rPr>
          <w:rFonts w:cstheme="minorHAnsi"/>
          <w:szCs w:val="22"/>
        </w:rPr>
        <w:t>ies</w:t>
      </w:r>
      <w:r w:rsidRPr="00796F2B">
        <w:rPr>
          <w:rFonts w:cstheme="minorHAnsi"/>
          <w:szCs w:val="22"/>
        </w:rPr>
        <w:t xml:space="preserve"> and adenoidectom</w:t>
      </w:r>
      <w:r>
        <w:rPr>
          <w:rFonts w:cstheme="minorHAnsi"/>
          <w:szCs w:val="22"/>
        </w:rPr>
        <w:t xml:space="preserve">ies are at high risk of </w:t>
      </w:r>
      <w:r w:rsidRPr="00FB616F">
        <w:rPr>
          <w:rFonts w:cstheme="minorHAnsi"/>
          <w:szCs w:val="22"/>
        </w:rPr>
        <w:t xml:space="preserve">anaesthesia, surgery or post operative complications </w:t>
      </w:r>
      <w:r w:rsidRPr="0065089E">
        <w:rPr>
          <w:rFonts w:cstheme="minorHAnsi"/>
          <w:szCs w:val="22"/>
        </w:rPr>
        <w:t>(</w:t>
      </w:r>
      <w:r>
        <w:rPr>
          <w:rFonts w:cstheme="minorHAnsi"/>
          <w:szCs w:val="22"/>
        </w:rPr>
        <w:t>sleep studies are recommended to determine likely benefits of surgery, to weigh up against potential risks)</w:t>
      </w:r>
    </w:p>
    <w:p w14:paraId="34AEE679" w14:textId="7B6503E3" w:rsidR="00642CDC" w:rsidRDefault="00642CDC" w:rsidP="00642CDC">
      <w:pPr>
        <w:pStyle w:val="DashLastSpace"/>
        <w:numPr>
          <w:ilvl w:val="0"/>
          <w:numId w:val="30"/>
        </w:numPr>
        <w:rPr>
          <w:rFonts w:cstheme="minorHAnsi"/>
          <w:szCs w:val="22"/>
        </w:rPr>
      </w:pPr>
      <w:r w:rsidRPr="00CA0761">
        <w:rPr>
          <w:rFonts w:cstheme="minorHAnsi"/>
          <w:szCs w:val="22"/>
        </w:rPr>
        <w:t>How many children on current waiting lists for Level 1 study have no high risk or complicating factors (aged ≥3 years, low risk of hypoventilation, no other potential sleep disorders, no severe behavioural issues) (</w:t>
      </w:r>
      <w:r>
        <w:rPr>
          <w:rFonts w:cstheme="minorHAnsi"/>
          <w:szCs w:val="22"/>
        </w:rPr>
        <w:t xml:space="preserve">current </w:t>
      </w:r>
      <w:r w:rsidRPr="00CA0761">
        <w:rPr>
          <w:rFonts w:cstheme="minorHAnsi"/>
          <w:szCs w:val="22"/>
        </w:rPr>
        <w:t>proposed clinical algorithm for PICO set</w:t>
      </w:r>
      <w:r w:rsidR="00691254">
        <w:rPr>
          <w:rFonts w:cstheme="minorHAnsi"/>
          <w:szCs w:val="22"/>
        </w:rPr>
        <w:t> </w:t>
      </w:r>
      <w:r w:rsidRPr="00CA0761">
        <w:rPr>
          <w:rFonts w:cstheme="minorHAnsi"/>
          <w:szCs w:val="22"/>
        </w:rPr>
        <w:t>1)</w:t>
      </w:r>
    </w:p>
    <w:p w14:paraId="34CC7471" w14:textId="77777777" w:rsidR="00642CDC" w:rsidRPr="00734D9A" w:rsidRDefault="00642CDC" w:rsidP="00642CDC">
      <w:r w:rsidRPr="00AB455D">
        <w:rPr>
          <w:rFonts w:ascii="Franklin Gothic Book" w:hAnsi="Franklin Gothic Book"/>
        </w:rPr>
        <w:t>ESC noted the application’s clinical claims:</w:t>
      </w:r>
    </w:p>
    <w:p w14:paraId="229BEDA4" w14:textId="77777777" w:rsidR="00642CDC" w:rsidRPr="007408F1" w:rsidRDefault="00642CDC" w:rsidP="00642CDC">
      <w:pPr>
        <w:pStyle w:val="BulletBeforeDash"/>
        <w:rPr>
          <w:rFonts w:cstheme="minorHAnsi"/>
          <w:szCs w:val="22"/>
        </w:rPr>
      </w:pPr>
      <w:r w:rsidRPr="007408F1">
        <w:rPr>
          <w:rFonts w:cstheme="minorHAnsi"/>
          <w:szCs w:val="22"/>
        </w:rPr>
        <w:t>Provision of out-of-laboratory sleep studies will</w:t>
      </w:r>
    </w:p>
    <w:p w14:paraId="52F87735" w14:textId="77777777" w:rsidR="00642CDC" w:rsidRPr="007408F1" w:rsidRDefault="00642CDC" w:rsidP="00642CDC">
      <w:pPr>
        <w:pStyle w:val="Dash"/>
        <w:numPr>
          <w:ilvl w:val="0"/>
          <w:numId w:val="27"/>
        </w:numPr>
        <w:tabs>
          <w:tab w:val="clear" w:pos="216"/>
          <w:tab w:val="left" w:pos="720"/>
        </w:tabs>
        <w:spacing w:before="0" w:after="0"/>
        <w:ind w:left="720" w:hanging="360"/>
        <w:rPr>
          <w:rFonts w:ascii="Franklin Gothic Book" w:hAnsi="Franklin Gothic Book" w:cstheme="minorHAnsi"/>
        </w:rPr>
      </w:pPr>
      <w:r w:rsidRPr="007408F1">
        <w:rPr>
          <w:rFonts w:ascii="Franklin Gothic Book" w:hAnsi="Franklin Gothic Book" w:cstheme="minorHAnsi"/>
        </w:rPr>
        <w:t xml:space="preserve">improve access to sleep monitoring services </w:t>
      </w:r>
    </w:p>
    <w:p w14:paraId="210202CC" w14:textId="77777777" w:rsidR="00642CDC" w:rsidRPr="007408F1" w:rsidRDefault="00642CDC" w:rsidP="00642CDC">
      <w:pPr>
        <w:pStyle w:val="Dash"/>
        <w:numPr>
          <w:ilvl w:val="0"/>
          <w:numId w:val="27"/>
        </w:numPr>
        <w:tabs>
          <w:tab w:val="clear" w:pos="216"/>
          <w:tab w:val="left" w:pos="720"/>
        </w:tabs>
        <w:spacing w:before="0" w:after="0"/>
        <w:ind w:left="720" w:hanging="360"/>
        <w:rPr>
          <w:rFonts w:ascii="Franklin Gothic Book" w:hAnsi="Franklin Gothic Book" w:cstheme="minorHAnsi"/>
        </w:rPr>
      </w:pPr>
      <w:r w:rsidRPr="007408F1">
        <w:rPr>
          <w:rFonts w:ascii="Franklin Gothic Book" w:hAnsi="Franklin Gothic Book" w:cstheme="minorHAnsi"/>
        </w:rPr>
        <w:t xml:space="preserve">improve consumer satisfaction </w:t>
      </w:r>
    </w:p>
    <w:p w14:paraId="65321E14" w14:textId="77777777" w:rsidR="00642CDC" w:rsidRPr="007408F1" w:rsidRDefault="00642CDC" w:rsidP="00642CDC">
      <w:pPr>
        <w:pStyle w:val="Dash"/>
        <w:numPr>
          <w:ilvl w:val="0"/>
          <w:numId w:val="27"/>
        </w:numPr>
        <w:tabs>
          <w:tab w:val="clear" w:pos="216"/>
          <w:tab w:val="left" w:pos="720"/>
        </w:tabs>
        <w:spacing w:before="0" w:after="0"/>
        <w:ind w:left="720" w:hanging="360"/>
        <w:rPr>
          <w:rFonts w:ascii="Franklin Gothic Book" w:hAnsi="Franklin Gothic Book" w:cstheme="minorHAnsi"/>
        </w:rPr>
      </w:pPr>
      <w:r w:rsidRPr="007408F1">
        <w:rPr>
          <w:rFonts w:ascii="Franklin Gothic Book" w:hAnsi="Franklin Gothic Book" w:cstheme="minorHAnsi"/>
        </w:rPr>
        <w:t>reduce wait times for Level 1 PSG</w:t>
      </w:r>
    </w:p>
    <w:p w14:paraId="4EB8DA87" w14:textId="77777777" w:rsidR="00642CDC" w:rsidRPr="007408F1" w:rsidRDefault="00642CDC" w:rsidP="00642CDC">
      <w:pPr>
        <w:pStyle w:val="DashLast"/>
        <w:numPr>
          <w:ilvl w:val="0"/>
          <w:numId w:val="27"/>
        </w:numPr>
        <w:tabs>
          <w:tab w:val="clear" w:pos="216"/>
        </w:tabs>
        <w:ind w:left="720" w:hanging="360"/>
        <w:rPr>
          <w:rFonts w:cstheme="minorHAnsi"/>
          <w:szCs w:val="22"/>
        </w:rPr>
      </w:pPr>
      <w:r w:rsidRPr="007408F1">
        <w:rPr>
          <w:rFonts w:cstheme="minorHAnsi"/>
          <w:szCs w:val="22"/>
        </w:rPr>
        <w:t>reduce time to diagnosis and treatment of SDB.</w:t>
      </w:r>
    </w:p>
    <w:p w14:paraId="24A45126" w14:textId="77777777" w:rsidR="00642CDC" w:rsidRPr="007408F1" w:rsidRDefault="00642CDC" w:rsidP="00642CDC">
      <w:pPr>
        <w:pStyle w:val="Bullet"/>
        <w:numPr>
          <w:ilvl w:val="0"/>
          <w:numId w:val="26"/>
        </w:numPr>
        <w:spacing w:before="0"/>
        <w:rPr>
          <w:rFonts w:ascii="Franklin Gothic Book" w:hAnsi="Franklin Gothic Book" w:cstheme="minorHAnsi"/>
        </w:rPr>
      </w:pPr>
      <w:r w:rsidRPr="007408F1">
        <w:rPr>
          <w:rFonts w:ascii="Franklin Gothic Book" w:hAnsi="Franklin Gothic Book" w:cstheme="minorHAnsi"/>
        </w:rPr>
        <w:t xml:space="preserve">PICO set 1: Level 2 </w:t>
      </w:r>
      <w:r>
        <w:rPr>
          <w:rFonts w:ascii="Franklin Gothic Book" w:hAnsi="Franklin Gothic Book" w:cstheme="minorHAnsi"/>
        </w:rPr>
        <w:t>PSG</w:t>
      </w:r>
      <w:r w:rsidRPr="00AA4C63">
        <w:rPr>
          <w:rFonts w:ascii="Franklin Gothic Book" w:hAnsi="Franklin Gothic Book" w:cstheme="minorHAnsi"/>
        </w:rPr>
        <w:t xml:space="preserve"> </w:t>
      </w:r>
      <w:r w:rsidRPr="007408F1">
        <w:rPr>
          <w:rFonts w:ascii="Franklin Gothic Book" w:hAnsi="Franklin Gothic Book" w:cstheme="minorHAnsi"/>
        </w:rPr>
        <w:t>is non-inferior to Level 1</w:t>
      </w:r>
      <w:r>
        <w:rPr>
          <w:rFonts w:ascii="Franklin Gothic Book" w:hAnsi="Franklin Gothic Book" w:cstheme="minorHAnsi"/>
        </w:rPr>
        <w:t xml:space="preserve"> PSG. ESC noted that while Level 2 PSG is proposed to be a </w:t>
      </w:r>
      <w:r w:rsidRPr="007408F1">
        <w:rPr>
          <w:rFonts w:ascii="Franklin Gothic Book" w:hAnsi="Franklin Gothic Book" w:cstheme="minorHAnsi"/>
        </w:rPr>
        <w:t>replacement test</w:t>
      </w:r>
      <w:r>
        <w:rPr>
          <w:rFonts w:ascii="Franklin Gothic Book" w:hAnsi="Franklin Gothic Book" w:cstheme="minorHAnsi"/>
        </w:rPr>
        <w:t xml:space="preserve"> for Level 1 PSG, there is also </w:t>
      </w:r>
      <w:r w:rsidRPr="007408F1">
        <w:rPr>
          <w:rFonts w:ascii="Franklin Gothic Book" w:hAnsi="Franklin Gothic Book" w:cstheme="minorHAnsi"/>
        </w:rPr>
        <w:t xml:space="preserve">the potential </w:t>
      </w:r>
      <w:r>
        <w:rPr>
          <w:rFonts w:ascii="Franklin Gothic Book" w:hAnsi="Franklin Gothic Book" w:cstheme="minorHAnsi"/>
        </w:rPr>
        <w:t xml:space="preserve">for it </w:t>
      </w:r>
      <w:r w:rsidRPr="007408F1">
        <w:rPr>
          <w:rFonts w:ascii="Franklin Gothic Book" w:hAnsi="Franklin Gothic Book" w:cstheme="minorHAnsi"/>
        </w:rPr>
        <w:t>to be an additional test for children with SDB who would not have had an in-laboratory sleep study.</w:t>
      </w:r>
    </w:p>
    <w:p w14:paraId="4EC9EC0E" w14:textId="77777777" w:rsidR="00642CDC" w:rsidRPr="007408F1" w:rsidRDefault="00642CDC" w:rsidP="00642CDC">
      <w:pPr>
        <w:pStyle w:val="Bullet"/>
        <w:numPr>
          <w:ilvl w:val="0"/>
          <w:numId w:val="26"/>
        </w:numPr>
        <w:spacing w:before="0"/>
        <w:rPr>
          <w:rFonts w:ascii="Franklin Gothic Book" w:hAnsi="Franklin Gothic Book" w:cstheme="minorHAnsi"/>
        </w:rPr>
      </w:pPr>
      <w:r w:rsidRPr="007408F1">
        <w:rPr>
          <w:rFonts w:ascii="Franklin Gothic Book" w:hAnsi="Franklin Gothic Book" w:cstheme="minorHAnsi"/>
        </w:rPr>
        <w:t xml:space="preserve">PICO set 2: Level 3 </w:t>
      </w:r>
      <w:r>
        <w:rPr>
          <w:rFonts w:ascii="Franklin Gothic Book" w:hAnsi="Franklin Gothic Book" w:cstheme="minorHAnsi"/>
        </w:rPr>
        <w:t>CRP</w:t>
      </w:r>
      <w:r w:rsidRPr="007408F1">
        <w:rPr>
          <w:rFonts w:ascii="Franklin Gothic Book" w:hAnsi="Franklin Gothic Book" w:cstheme="minorHAnsi"/>
        </w:rPr>
        <w:t xml:space="preserve"> is superior to no test (additional test).</w:t>
      </w:r>
    </w:p>
    <w:p w14:paraId="3371B957" w14:textId="77777777" w:rsidR="00642CDC" w:rsidRPr="007408F1" w:rsidRDefault="00642CDC" w:rsidP="00642CDC">
      <w:pPr>
        <w:pStyle w:val="BulletLast"/>
        <w:numPr>
          <w:ilvl w:val="0"/>
          <w:numId w:val="26"/>
        </w:numPr>
        <w:rPr>
          <w:rFonts w:cstheme="minorHAnsi"/>
          <w:szCs w:val="22"/>
        </w:rPr>
      </w:pPr>
      <w:r w:rsidRPr="007408F1">
        <w:rPr>
          <w:rFonts w:cstheme="minorHAnsi"/>
          <w:szCs w:val="22"/>
        </w:rPr>
        <w:t xml:space="preserve">PICO set 3: Level 3 </w:t>
      </w:r>
      <w:r>
        <w:rPr>
          <w:rFonts w:cstheme="minorHAnsi"/>
          <w:szCs w:val="22"/>
        </w:rPr>
        <w:t xml:space="preserve">CRP </w:t>
      </w:r>
      <w:r w:rsidRPr="007408F1">
        <w:rPr>
          <w:rFonts w:cstheme="minorHAnsi"/>
          <w:szCs w:val="22"/>
        </w:rPr>
        <w:t xml:space="preserve">is non-inferior to Level 1 </w:t>
      </w:r>
      <w:r>
        <w:rPr>
          <w:rFonts w:cstheme="minorHAnsi"/>
          <w:szCs w:val="22"/>
        </w:rPr>
        <w:t xml:space="preserve">PSG </w:t>
      </w:r>
      <w:r w:rsidRPr="007408F1">
        <w:rPr>
          <w:rFonts w:cstheme="minorHAnsi"/>
          <w:szCs w:val="22"/>
        </w:rPr>
        <w:t>(replacement monitoring test).</w:t>
      </w:r>
    </w:p>
    <w:p w14:paraId="2CE019CB" w14:textId="77777777" w:rsidR="00642CDC" w:rsidRDefault="00642CDC" w:rsidP="00642CDC">
      <w:pPr>
        <w:rPr>
          <w:rFonts w:ascii="Franklin Gothic Book" w:hAnsi="Franklin Gothic Book" w:cstheme="minorHAnsi"/>
        </w:rPr>
      </w:pPr>
      <w:r w:rsidRPr="007408F1">
        <w:rPr>
          <w:rStyle w:val="Strong"/>
          <w:rFonts w:ascii="Franklin Gothic Book" w:hAnsi="Franklin Gothic Book" w:cstheme="minorHAnsi"/>
          <w:b w:val="0"/>
          <w:bCs w:val="0"/>
        </w:rPr>
        <w:t>ESC noted the modest evidence base for the clinical effectiveness claims, and the lack of evidence for safety</w:t>
      </w:r>
      <w:r>
        <w:rPr>
          <w:rStyle w:val="Strong"/>
          <w:rFonts w:ascii="Franklin Gothic Book" w:hAnsi="Franklin Gothic Book" w:cstheme="minorHAnsi"/>
          <w:b w:val="0"/>
          <w:bCs w:val="0"/>
        </w:rPr>
        <w:t xml:space="preserve"> of the intervention</w:t>
      </w:r>
      <w:r w:rsidRPr="007408F1">
        <w:rPr>
          <w:rStyle w:val="Strong"/>
          <w:rFonts w:ascii="Franklin Gothic Book" w:hAnsi="Franklin Gothic Book" w:cstheme="minorHAnsi"/>
          <w:b w:val="0"/>
          <w:bCs w:val="0"/>
        </w:rPr>
        <w:t xml:space="preserve">. </w:t>
      </w:r>
      <w:r w:rsidRPr="007408F1">
        <w:rPr>
          <w:rFonts w:ascii="Franklin Gothic Book" w:hAnsi="Franklin Gothic Book" w:cstheme="minorHAnsi"/>
        </w:rPr>
        <w:t xml:space="preserve">No comparative studies met the inclusion criteria and </w:t>
      </w:r>
      <w:r w:rsidRPr="007408F1">
        <w:rPr>
          <w:rFonts w:ascii="Franklin Gothic Book" w:hAnsi="Franklin Gothic Book" w:cstheme="minorHAnsi"/>
        </w:rPr>
        <w:lastRenderedPageBreak/>
        <w:t>reported safety outcomes. One included study, Griffiths et al. (2022)</w:t>
      </w:r>
      <w:r>
        <w:rPr>
          <w:rStyle w:val="FootnoteReference"/>
          <w:rFonts w:ascii="Franklin Gothic Book" w:hAnsi="Franklin Gothic Book" w:cstheme="minorHAnsi"/>
        </w:rPr>
        <w:footnoteReference w:id="35"/>
      </w:r>
      <w:r w:rsidRPr="007408F1">
        <w:rPr>
          <w:rFonts w:ascii="Franklin Gothic Book" w:hAnsi="Franklin Gothic Book" w:cstheme="minorHAnsi"/>
        </w:rPr>
        <w:t xml:space="preserve"> – an Australian single-arm, single-centre, retrospective audit of Level 2 PSG studies (diagnostic) – reported no adverse events during the study period. ESC acknowledged </w:t>
      </w:r>
      <w:r>
        <w:rPr>
          <w:rFonts w:ascii="Franklin Gothic Book" w:hAnsi="Franklin Gothic Book" w:cstheme="minorHAnsi"/>
        </w:rPr>
        <w:t>that out of laboratory sleep tests may reduce the risk of nosocomial respiratory infections</w:t>
      </w:r>
      <w:r w:rsidRPr="007408F1">
        <w:rPr>
          <w:rFonts w:ascii="Franklin Gothic Book" w:hAnsi="Franklin Gothic Book" w:cstheme="minorHAnsi"/>
        </w:rPr>
        <w:t xml:space="preserve"> compared to in-laboratory settings, especially for population 3, who have a high rate of complex comorbidities</w:t>
      </w:r>
      <w:r>
        <w:rPr>
          <w:rFonts w:ascii="Franklin Gothic Book" w:hAnsi="Franklin Gothic Book" w:cstheme="minorHAnsi"/>
        </w:rPr>
        <w:t xml:space="preserve"> (although no evidence was submitted to support this in the DCAR)</w:t>
      </w:r>
      <w:r w:rsidRPr="007408F1">
        <w:rPr>
          <w:rFonts w:ascii="Franklin Gothic Book" w:hAnsi="Franklin Gothic Book" w:cstheme="minorHAnsi"/>
        </w:rPr>
        <w:t>.</w:t>
      </w:r>
    </w:p>
    <w:p w14:paraId="2C4A5CC2" w14:textId="77777777" w:rsidR="00642CDC" w:rsidRDefault="00642CDC" w:rsidP="00642CDC">
      <w:pPr>
        <w:rPr>
          <w:rStyle w:val="Strong"/>
          <w:rFonts w:ascii="Franklin Gothic Book" w:hAnsi="Franklin Gothic Book" w:cstheme="minorHAnsi"/>
          <w:b w:val="0"/>
          <w:bCs w:val="0"/>
        </w:rPr>
      </w:pPr>
      <w:r>
        <w:rPr>
          <w:rStyle w:val="Strong"/>
          <w:rFonts w:ascii="Franklin Gothic Book" w:hAnsi="Franklin Gothic Book" w:cstheme="minorHAnsi"/>
          <w:b w:val="0"/>
          <w:bCs w:val="0"/>
        </w:rPr>
        <w:t xml:space="preserve">ESC noted that </w:t>
      </w:r>
      <w:r w:rsidRPr="000F2B36">
        <w:rPr>
          <w:rStyle w:val="Strong"/>
          <w:rFonts w:ascii="Franklin Gothic Book" w:hAnsi="Franklin Gothic Book" w:cstheme="minorHAnsi"/>
          <w:b w:val="0"/>
          <w:bCs w:val="0"/>
        </w:rPr>
        <w:t>patient and family choice about the location of their care is important</w:t>
      </w:r>
      <w:r>
        <w:rPr>
          <w:rStyle w:val="Strong"/>
          <w:rFonts w:ascii="Franklin Gothic Book" w:hAnsi="Franklin Gothic Book" w:cstheme="minorHAnsi"/>
          <w:b w:val="0"/>
          <w:bCs w:val="0"/>
        </w:rPr>
        <w:t xml:space="preserve"> and that while home-based sleep testing has the potential to </w:t>
      </w:r>
      <w:r w:rsidRPr="000F2B36">
        <w:rPr>
          <w:rStyle w:val="Strong"/>
          <w:rFonts w:ascii="Franklin Gothic Book" w:hAnsi="Franklin Gothic Book" w:cstheme="minorHAnsi"/>
          <w:b w:val="0"/>
          <w:bCs w:val="0"/>
        </w:rPr>
        <w:t>improve access for families whose children have neurodevelopmental disabilities and neurotypes that make hospital visits challenging or inaccessible</w:t>
      </w:r>
      <w:r>
        <w:rPr>
          <w:rStyle w:val="Strong"/>
          <w:rFonts w:ascii="Franklin Gothic Book" w:hAnsi="Franklin Gothic Book" w:cstheme="minorHAnsi"/>
          <w:b w:val="0"/>
          <w:bCs w:val="0"/>
        </w:rPr>
        <w:t xml:space="preserve"> this may not be sufficiently captured in the evidence due to lack of representation from these groups in relevant studies. Therefore, ESC recommended that t</w:t>
      </w:r>
      <w:r w:rsidRPr="00F1174C">
        <w:rPr>
          <w:rStyle w:val="Strong"/>
          <w:rFonts w:ascii="Franklin Gothic Book" w:hAnsi="Franklin Gothic Book" w:cstheme="minorHAnsi"/>
          <w:b w:val="0"/>
          <w:bCs w:val="0"/>
        </w:rPr>
        <w:t>he</w:t>
      </w:r>
      <w:r>
        <w:rPr>
          <w:rStyle w:val="Strong"/>
          <w:rFonts w:ascii="Franklin Gothic Book" w:hAnsi="Franklin Gothic Book" w:cstheme="minorHAnsi"/>
          <w:b w:val="0"/>
          <w:bCs w:val="0"/>
        </w:rPr>
        <w:t xml:space="preserve"> Department’s</w:t>
      </w:r>
      <w:r w:rsidRPr="00F1174C">
        <w:rPr>
          <w:rStyle w:val="Strong"/>
          <w:rFonts w:ascii="Franklin Gothic Book" w:hAnsi="Franklin Gothic Book" w:cstheme="minorHAnsi"/>
          <w:b w:val="0"/>
          <w:bCs w:val="0"/>
        </w:rPr>
        <w:t xml:space="preserve"> Consumer </w:t>
      </w:r>
      <w:r>
        <w:rPr>
          <w:rStyle w:val="Strong"/>
          <w:rFonts w:ascii="Franklin Gothic Book" w:hAnsi="Franklin Gothic Book" w:cstheme="minorHAnsi"/>
          <w:b w:val="0"/>
          <w:bCs w:val="0"/>
        </w:rPr>
        <w:t xml:space="preserve">Evidence and </w:t>
      </w:r>
      <w:r w:rsidRPr="00F1174C">
        <w:rPr>
          <w:rStyle w:val="Strong"/>
          <w:rFonts w:ascii="Franklin Gothic Book" w:hAnsi="Franklin Gothic Book" w:cstheme="minorHAnsi"/>
          <w:b w:val="0"/>
          <w:bCs w:val="0"/>
        </w:rPr>
        <w:t>Engagement Unit could seek input from consumer groups who represent people with autism</w:t>
      </w:r>
      <w:r>
        <w:rPr>
          <w:rStyle w:val="Strong"/>
          <w:rFonts w:ascii="Franklin Gothic Book" w:hAnsi="Franklin Gothic Book" w:cstheme="minorHAnsi"/>
          <w:b w:val="0"/>
          <w:bCs w:val="0"/>
        </w:rPr>
        <w:t xml:space="preserve"> spectrum disorder,</w:t>
      </w:r>
      <w:r w:rsidRPr="00F1174C">
        <w:rPr>
          <w:rStyle w:val="Strong"/>
          <w:rFonts w:ascii="Franklin Gothic Book" w:hAnsi="Franklin Gothic Book" w:cstheme="minorHAnsi"/>
          <w:b w:val="0"/>
          <w:bCs w:val="0"/>
        </w:rPr>
        <w:t xml:space="preserve"> </w:t>
      </w:r>
      <w:r>
        <w:rPr>
          <w:rStyle w:val="Strong"/>
          <w:rFonts w:ascii="Franklin Gothic Book" w:hAnsi="Franklin Gothic Book" w:cstheme="minorHAnsi"/>
          <w:b w:val="0"/>
          <w:bCs w:val="0"/>
        </w:rPr>
        <w:t>D</w:t>
      </w:r>
      <w:r w:rsidRPr="00F1174C">
        <w:rPr>
          <w:rStyle w:val="Strong"/>
          <w:rFonts w:ascii="Franklin Gothic Book" w:hAnsi="Franklin Gothic Book" w:cstheme="minorHAnsi"/>
          <w:b w:val="0"/>
          <w:bCs w:val="0"/>
        </w:rPr>
        <w:t xml:space="preserve">own syndrome </w:t>
      </w:r>
      <w:r>
        <w:rPr>
          <w:rStyle w:val="Strong"/>
          <w:rFonts w:ascii="Franklin Gothic Book" w:hAnsi="Franklin Gothic Book" w:cstheme="minorHAnsi"/>
          <w:b w:val="0"/>
          <w:bCs w:val="0"/>
        </w:rPr>
        <w:t xml:space="preserve">and other neurodevelopmental disabilities as children with these conditions may not </w:t>
      </w:r>
      <w:r w:rsidRPr="00F1174C">
        <w:rPr>
          <w:rStyle w:val="Strong"/>
          <w:rFonts w:ascii="Franklin Gothic Book" w:hAnsi="Franklin Gothic Book" w:cstheme="minorHAnsi"/>
          <w:b w:val="0"/>
          <w:bCs w:val="0"/>
        </w:rPr>
        <w:t xml:space="preserve">be </w:t>
      </w:r>
      <w:r>
        <w:rPr>
          <w:rStyle w:val="Strong"/>
          <w:rFonts w:ascii="Franklin Gothic Book" w:hAnsi="Franklin Gothic Book" w:cstheme="minorHAnsi"/>
          <w:b w:val="0"/>
          <w:bCs w:val="0"/>
        </w:rPr>
        <w:t xml:space="preserve">adequately </w:t>
      </w:r>
      <w:r w:rsidRPr="00F1174C">
        <w:rPr>
          <w:rStyle w:val="Strong"/>
          <w:rFonts w:ascii="Franklin Gothic Book" w:hAnsi="Franklin Gothic Book" w:cstheme="minorHAnsi"/>
          <w:b w:val="0"/>
          <w:bCs w:val="0"/>
        </w:rPr>
        <w:t xml:space="preserve">represented in the research but may </w:t>
      </w:r>
      <w:r>
        <w:rPr>
          <w:rStyle w:val="Strong"/>
          <w:rFonts w:ascii="Franklin Gothic Book" w:hAnsi="Franklin Gothic Book" w:cstheme="minorHAnsi"/>
          <w:b w:val="0"/>
          <w:bCs w:val="0"/>
        </w:rPr>
        <w:t>have limited</w:t>
      </w:r>
      <w:r w:rsidRPr="00F1174C">
        <w:rPr>
          <w:rStyle w:val="Strong"/>
          <w:rFonts w:ascii="Franklin Gothic Book" w:hAnsi="Franklin Gothic Book" w:cstheme="minorHAnsi"/>
          <w:b w:val="0"/>
          <w:bCs w:val="0"/>
        </w:rPr>
        <w:t xml:space="preserve"> access to </w:t>
      </w:r>
      <w:r>
        <w:rPr>
          <w:rStyle w:val="Strong"/>
          <w:rFonts w:ascii="Franklin Gothic Book" w:hAnsi="Franklin Gothic Book" w:cstheme="minorHAnsi"/>
          <w:b w:val="0"/>
          <w:bCs w:val="0"/>
        </w:rPr>
        <w:t xml:space="preserve">sleep studies. </w:t>
      </w:r>
    </w:p>
    <w:p w14:paraId="3BD55A6A" w14:textId="77777777" w:rsidR="00642CDC" w:rsidRPr="007408F1" w:rsidRDefault="00642CDC" w:rsidP="00642CDC">
      <w:pPr>
        <w:rPr>
          <w:rFonts w:ascii="Franklin Gothic Book" w:hAnsi="Franklin Gothic Book" w:cstheme="minorHAnsi"/>
        </w:rPr>
      </w:pPr>
      <w:r w:rsidRPr="007408F1">
        <w:rPr>
          <w:rFonts w:ascii="Franklin Gothic Book" w:hAnsi="Franklin Gothic Book" w:cstheme="minorHAnsi"/>
        </w:rPr>
        <w:t>For clinical effectiveness, the studies supporting the claim comprised systematic reviews, case series and single-arm studies. Evidence was not identified for all populations.</w:t>
      </w:r>
    </w:p>
    <w:p w14:paraId="02FA697B" w14:textId="77777777" w:rsidR="00642CDC" w:rsidRPr="007408F1" w:rsidRDefault="00642CDC" w:rsidP="00642CDC">
      <w:pPr>
        <w:rPr>
          <w:rFonts w:ascii="Franklin Gothic Book" w:hAnsi="Franklin Gothic Book" w:cstheme="minorHAnsi"/>
        </w:rPr>
      </w:pPr>
      <w:r w:rsidRPr="007408F1">
        <w:rPr>
          <w:rFonts w:ascii="Franklin Gothic Book" w:hAnsi="Franklin Gothic Book" w:cstheme="minorHAnsi"/>
        </w:rPr>
        <w:t xml:space="preserve">ESC noted that the sensitivity and specificity of Level 2 PSG was comparable to Level 1 PSG, and there were no differences in test failures for population 1; however, ESC considered </w:t>
      </w:r>
      <w:r>
        <w:rPr>
          <w:rFonts w:ascii="Franklin Gothic Book" w:hAnsi="Franklin Gothic Book" w:cstheme="minorHAnsi"/>
        </w:rPr>
        <w:t xml:space="preserve">the GRADE certainty of evidence for these </w:t>
      </w:r>
      <w:r w:rsidRPr="007408F1">
        <w:rPr>
          <w:rFonts w:ascii="Franklin Gothic Book" w:hAnsi="Franklin Gothic Book" w:cstheme="minorHAnsi"/>
        </w:rPr>
        <w:t xml:space="preserve">to be uncertain. </w:t>
      </w:r>
    </w:p>
    <w:p w14:paraId="5BAD4669" w14:textId="77777777" w:rsidR="00642CDC" w:rsidRPr="007408F1" w:rsidRDefault="00642CDC" w:rsidP="00642CDC">
      <w:pPr>
        <w:rPr>
          <w:rFonts w:ascii="Franklin Gothic Book" w:hAnsi="Franklin Gothic Book" w:cstheme="minorHAnsi"/>
        </w:rPr>
      </w:pPr>
      <w:r w:rsidRPr="007408F1">
        <w:rPr>
          <w:rFonts w:ascii="Franklin Gothic Book" w:hAnsi="Franklin Gothic Book" w:cstheme="minorHAnsi"/>
        </w:rPr>
        <w:t xml:space="preserve">ESC noted that there was no evidence for change in management for population 1. The applicant indicated that clinical management decisions are not made based on the PSG findings alone and incorporate symptoms, physical findings (such as tonsil and adenoid size), and patient and caregiver preferences. </w:t>
      </w:r>
      <w:r>
        <w:rPr>
          <w:rFonts w:ascii="Franklin Gothic Book" w:hAnsi="Franklin Gothic Book" w:cstheme="minorHAnsi"/>
        </w:rPr>
        <w:t>This is also suggested by feedback from ASOHNS that</w:t>
      </w:r>
      <w:r w:rsidRPr="00366CC7">
        <w:t xml:space="preserve"> </w:t>
      </w:r>
      <w:r w:rsidRPr="00366CC7">
        <w:rPr>
          <w:rFonts w:ascii="Franklin Gothic Book" w:hAnsi="Franklin Gothic Book" w:cstheme="minorHAnsi"/>
        </w:rPr>
        <w:t>most children having surgery are diagnosed clinically</w:t>
      </w:r>
      <w:r>
        <w:rPr>
          <w:rFonts w:ascii="Franklin Gothic Book" w:hAnsi="Franklin Gothic Book" w:cstheme="minorHAnsi"/>
        </w:rPr>
        <w:t xml:space="preserve"> </w:t>
      </w:r>
      <w:r w:rsidRPr="00366CC7">
        <w:rPr>
          <w:rFonts w:ascii="Franklin Gothic Book" w:hAnsi="Franklin Gothic Book" w:cstheme="minorHAnsi"/>
        </w:rPr>
        <w:t>based on their history and examination</w:t>
      </w:r>
      <w:r>
        <w:rPr>
          <w:rFonts w:ascii="Franklin Gothic Book" w:hAnsi="Franklin Gothic Book" w:cstheme="minorHAnsi"/>
        </w:rPr>
        <w:t xml:space="preserve">. </w:t>
      </w:r>
      <w:r w:rsidRPr="007408F1">
        <w:rPr>
          <w:rFonts w:ascii="Franklin Gothic Book" w:hAnsi="Franklin Gothic Book" w:cstheme="minorHAnsi"/>
        </w:rPr>
        <w:t xml:space="preserve">Therefore, ESC considered it highly uncertain that sleep study findings will overturn operative management decisions based on these other factors. ESC also noted </w:t>
      </w:r>
      <w:r>
        <w:rPr>
          <w:rFonts w:ascii="Franklin Gothic Book" w:hAnsi="Franklin Gothic Book" w:cstheme="minorHAnsi"/>
        </w:rPr>
        <w:t xml:space="preserve">potential </w:t>
      </w:r>
      <w:r w:rsidRPr="007408F1">
        <w:rPr>
          <w:rFonts w:ascii="Franklin Gothic Book" w:hAnsi="Franklin Gothic Book" w:cstheme="minorHAnsi"/>
        </w:rPr>
        <w:t xml:space="preserve">financial incentives for ENT surgeons in private practice to perform adenotonsillectomies regardless of sleep study findings. ESC also considered it reasonable to assume that a diagnosis of OSA (or otherwise) will lead to the same treatment decisions regardless of how it is reached. The DCAR noted that a change in management is not required for truncated assessment framework, which ESC considered to be true if the </w:t>
      </w:r>
      <w:r>
        <w:rPr>
          <w:rFonts w:ascii="Franklin Gothic Book" w:hAnsi="Franklin Gothic Book" w:cstheme="minorHAnsi"/>
        </w:rPr>
        <w:t>proposed</w:t>
      </w:r>
      <w:r w:rsidRPr="007408F1">
        <w:rPr>
          <w:rFonts w:ascii="Franklin Gothic Book" w:hAnsi="Franklin Gothic Book" w:cstheme="minorHAnsi"/>
        </w:rPr>
        <w:t xml:space="preserve"> test is replac</w:t>
      </w:r>
      <w:r>
        <w:rPr>
          <w:rFonts w:ascii="Franklin Gothic Book" w:hAnsi="Franklin Gothic Book" w:cstheme="minorHAnsi"/>
        </w:rPr>
        <w:t xml:space="preserve">ing </w:t>
      </w:r>
      <w:r w:rsidRPr="007408F1">
        <w:rPr>
          <w:rFonts w:ascii="Franklin Gothic Book" w:hAnsi="Franklin Gothic Book" w:cstheme="minorHAnsi"/>
        </w:rPr>
        <w:t xml:space="preserve">an </w:t>
      </w:r>
      <w:r>
        <w:rPr>
          <w:rFonts w:ascii="Franklin Gothic Book" w:hAnsi="Franklin Gothic Book" w:cstheme="minorHAnsi"/>
        </w:rPr>
        <w:t>existing</w:t>
      </w:r>
      <w:r w:rsidRPr="007408F1">
        <w:rPr>
          <w:rFonts w:ascii="Franklin Gothic Book" w:hAnsi="Franklin Gothic Book" w:cstheme="minorHAnsi"/>
        </w:rPr>
        <w:t xml:space="preserve"> test</w:t>
      </w:r>
      <w:r>
        <w:rPr>
          <w:rFonts w:ascii="Franklin Gothic Book" w:hAnsi="Franklin Gothic Book" w:cstheme="minorHAnsi"/>
        </w:rPr>
        <w:t xml:space="preserve"> (i.e. Level 1 sleep studies)</w:t>
      </w:r>
      <w:r w:rsidRPr="007408F1">
        <w:rPr>
          <w:rFonts w:ascii="Franklin Gothic Book" w:hAnsi="Franklin Gothic Book" w:cstheme="minorHAnsi"/>
        </w:rPr>
        <w:t xml:space="preserve">. </w:t>
      </w:r>
      <w:r>
        <w:rPr>
          <w:rFonts w:ascii="Franklin Gothic Book" w:hAnsi="Franklin Gothic Book" w:cstheme="minorHAnsi"/>
        </w:rPr>
        <w:t>However, ESC considered that i</w:t>
      </w:r>
      <w:r w:rsidRPr="007408F1">
        <w:rPr>
          <w:rFonts w:ascii="Franklin Gothic Book" w:hAnsi="Franklin Gothic Book" w:cstheme="minorHAnsi"/>
        </w:rPr>
        <w:t xml:space="preserve">f </w:t>
      </w:r>
      <w:r>
        <w:rPr>
          <w:rFonts w:ascii="Franklin Gothic Book" w:hAnsi="Franklin Gothic Book" w:cstheme="minorHAnsi"/>
        </w:rPr>
        <w:t xml:space="preserve">a test is proposed </w:t>
      </w:r>
      <w:r w:rsidRPr="007408F1">
        <w:rPr>
          <w:rFonts w:ascii="Franklin Gothic Book" w:hAnsi="Franklin Gothic Book" w:cstheme="minorHAnsi"/>
        </w:rPr>
        <w:t>in addition</w:t>
      </w:r>
      <w:r>
        <w:rPr>
          <w:rFonts w:ascii="Franklin Gothic Book" w:hAnsi="Franklin Gothic Book" w:cstheme="minorHAnsi"/>
        </w:rPr>
        <w:t xml:space="preserve"> to current standard of care</w:t>
      </w:r>
      <w:r w:rsidRPr="007408F1">
        <w:rPr>
          <w:rFonts w:ascii="Franklin Gothic Book" w:hAnsi="Franklin Gothic Book" w:cstheme="minorHAnsi"/>
        </w:rPr>
        <w:t xml:space="preserve"> (i.e. used in populations who currently have no sleep study)</w:t>
      </w:r>
      <w:r>
        <w:rPr>
          <w:rFonts w:ascii="Franklin Gothic Book" w:hAnsi="Franklin Gothic Book" w:cstheme="minorHAnsi"/>
        </w:rPr>
        <w:t>, which ESC considered could be the case for Level 2 PSG (as noted earlier)</w:t>
      </w:r>
      <w:r w:rsidRPr="007408F1">
        <w:rPr>
          <w:rFonts w:ascii="Franklin Gothic Book" w:hAnsi="Franklin Gothic Book" w:cstheme="minorHAnsi"/>
        </w:rPr>
        <w:t xml:space="preserve">, then evidence on change in management </w:t>
      </w:r>
      <w:r>
        <w:rPr>
          <w:rFonts w:ascii="Franklin Gothic Book" w:hAnsi="Franklin Gothic Book" w:cstheme="minorHAnsi"/>
        </w:rPr>
        <w:t>would be</w:t>
      </w:r>
      <w:r w:rsidRPr="007408F1">
        <w:rPr>
          <w:rFonts w:ascii="Franklin Gothic Book" w:hAnsi="Franklin Gothic Book" w:cstheme="minorHAnsi"/>
        </w:rPr>
        <w:t xml:space="preserve"> needed.</w:t>
      </w:r>
    </w:p>
    <w:p w14:paraId="217302DD" w14:textId="77777777" w:rsidR="00642CDC" w:rsidRPr="007408F1" w:rsidRDefault="00642CDC" w:rsidP="00642CDC">
      <w:pPr>
        <w:rPr>
          <w:rFonts w:ascii="Franklin Gothic Book" w:hAnsi="Franklin Gothic Book" w:cstheme="minorHAnsi"/>
        </w:rPr>
      </w:pPr>
      <w:r w:rsidRPr="007408F1">
        <w:rPr>
          <w:rStyle w:val="Strong"/>
          <w:rFonts w:ascii="Franklin Gothic Book" w:hAnsi="Franklin Gothic Book" w:cstheme="minorHAnsi"/>
          <w:b w:val="0"/>
          <w:bCs w:val="0"/>
        </w:rPr>
        <w:t>For population 2, ESC noted that the included studies for diagnostic accuracy had high risk of bias. Additionally, ESC was concerned about the applicability of the studies</w:t>
      </w:r>
      <w:r>
        <w:rPr>
          <w:rStyle w:val="Strong"/>
          <w:rFonts w:ascii="Franklin Gothic Book" w:hAnsi="Franklin Gothic Book" w:cstheme="minorHAnsi"/>
          <w:b w:val="0"/>
          <w:bCs w:val="0"/>
        </w:rPr>
        <w:t xml:space="preserve"> given that none of the included studies were undertaken on populations intolerant of head leads. </w:t>
      </w:r>
      <w:r w:rsidRPr="007408F1">
        <w:rPr>
          <w:rStyle w:val="Strong"/>
          <w:rFonts w:ascii="Franklin Gothic Book" w:hAnsi="Franklin Gothic Book" w:cstheme="minorHAnsi"/>
          <w:b w:val="0"/>
          <w:bCs w:val="0"/>
        </w:rPr>
        <w:t xml:space="preserve"> </w:t>
      </w:r>
      <w:r>
        <w:rPr>
          <w:rStyle w:val="Strong"/>
          <w:rFonts w:ascii="Franklin Gothic Book" w:hAnsi="Franklin Gothic Book" w:cstheme="minorHAnsi"/>
          <w:b w:val="0"/>
          <w:bCs w:val="0"/>
        </w:rPr>
        <w:t xml:space="preserve">ESC noted that </w:t>
      </w:r>
      <w:r w:rsidRPr="007408F1">
        <w:rPr>
          <w:rFonts w:ascii="Franklin Gothic Book" w:hAnsi="Franklin Gothic Book" w:cstheme="minorHAnsi"/>
        </w:rPr>
        <w:t xml:space="preserve">the incremental diagnostic value is likely to be minimal (or zero) in the study populations. No evidence on incremental value was identified for the actual target population. ESC also considered that there is uncertainty in applying the evidence to the intended use population, particularly with respect to failure rates. Higher failure rates are likely, with the rate of 26% failure at first attempt and 19% at second attempt for the cohort with Down syndrome </w:t>
      </w:r>
      <w:r w:rsidRPr="00894A2E">
        <w:rPr>
          <w:rFonts w:ascii="Franklin Gothic Book" w:hAnsi="Franklin Gothic Book" w:cstheme="minorHAnsi"/>
        </w:rPr>
        <w:t xml:space="preserve">(Kingshott </w:t>
      </w:r>
      <w:r w:rsidRPr="00894A2E">
        <w:rPr>
          <w:rFonts w:ascii="Franklin Gothic Book" w:hAnsi="Franklin Gothic Book" w:cstheme="minorHAnsi"/>
        </w:rPr>
        <w:lastRenderedPageBreak/>
        <w:t>et al. 2019</w:t>
      </w:r>
      <w:r w:rsidRPr="005420BA">
        <w:rPr>
          <w:rFonts w:ascii="Franklin Gothic Book" w:hAnsi="Franklin Gothic Book" w:cstheme="minorHAnsi"/>
        </w:rPr>
        <w:t>).</w:t>
      </w:r>
      <w:r w:rsidRPr="005420BA">
        <w:rPr>
          <w:rStyle w:val="FootnoteReference"/>
          <w:rFonts w:ascii="Franklin Gothic Book" w:hAnsi="Franklin Gothic Book" w:cstheme="minorHAnsi"/>
        </w:rPr>
        <w:footnoteReference w:id="36"/>
      </w:r>
      <w:r w:rsidRPr="005420BA">
        <w:rPr>
          <w:rFonts w:ascii="Franklin Gothic Book" w:hAnsi="Franklin Gothic Book" w:cstheme="minorHAnsi"/>
        </w:rPr>
        <w:t xml:space="preserve"> Thus, ESC concluded that the</w:t>
      </w:r>
      <w:r w:rsidRPr="007408F1">
        <w:rPr>
          <w:rFonts w:ascii="Franklin Gothic Book" w:hAnsi="Franklin Gothic Book" w:cstheme="minorHAnsi"/>
        </w:rPr>
        <w:t xml:space="preserve"> claim of superiority for test accuracy </w:t>
      </w:r>
      <w:r>
        <w:rPr>
          <w:rFonts w:ascii="Franklin Gothic Book" w:hAnsi="Franklin Gothic Book" w:cstheme="minorHAnsi"/>
        </w:rPr>
        <w:t>i</w:t>
      </w:r>
      <w:r w:rsidRPr="007408F1">
        <w:rPr>
          <w:rFonts w:ascii="Franklin Gothic Book" w:hAnsi="Franklin Gothic Book" w:cstheme="minorHAnsi"/>
        </w:rPr>
        <w:t xml:space="preserve">s not supported </w:t>
      </w:r>
      <w:r>
        <w:rPr>
          <w:rFonts w:ascii="Franklin Gothic Book" w:hAnsi="Franklin Gothic Book" w:cstheme="minorHAnsi"/>
        </w:rPr>
        <w:t>by</w:t>
      </w:r>
      <w:r w:rsidRPr="007408F1">
        <w:rPr>
          <w:rFonts w:ascii="Franklin Gothic Book" w:hAnsi="Franklin Gothic Book" w:cstheme="minorHAnsi"/>
        </w:rPr>
        <w:t xml:space="preserve"> evidence.</w:t>
      </w:r>
    </w:p>
    <w:p w14:paraId="5441A529" w14:textId="77777777" w:rsidR="00642CDC" w:rsidRPr="007408F1" w:rsidRDefault="00642CDC" w:rsidP="00642CDC">
      <w:pPr>
        <w:rPr>
          <w:rFonts w:ascii="Franklin Gothic Book" w:hAnsi="Franklin Gothic Book" w:cstheme="minorHAnsi"/>
        </w:rPr>
      </w:pPr>
      <w:r w:rsidRPr="007408F1">
        <w:rPr>
          <w:rFonts w:ascii="Franklin Gothic Book" w:hAnsi="Franklin Gothic Book" w:cstheme="minorHAnsi"/>
        </w:rPr>
        <w:t>ESC noted that no studies met inclusion criteria for change in management for population 2. The DCAR suggested that Kissow Lildal et al. (2023)</w:t>
      </w:r>
      <w:r>
        <w:rPr>
          <w:rStyle w:val="FootnoteReference"/>
          <w:rFonts w:ascii="Franklin Gothic Book" w:hAnsi="Franklin Gothic Book" w:cstheme="minorHAnsi"/>
        </w:rPr>
        <w:footnoteReference w:id="37"/>
      </w:r>
      <w:r w:rsidRPr="007408F1">
        <w:rPr>
          <w:rFonts w:ascii="Franklin Gothic Book" w:hAnsi="Franklin Gothic Book" w:cstheme="minorHAnsi"/>
        </w:rPr>
        <w:t xml:space="preserve"> provide</w:t>
      </w:r>
      <w:r>
        <w:rPr>
          <w:rFonts w:ascii="Franklin Gothic Book" w:hAnsi="Franklin Gothic Book" w:cstheme="minorHAnsi"/>
        </w:rPr>
        <w:t>d</w:t>
      </w:r>
      <w:r w:rsidRPr="007408F1">
        <w:rPr>
          <w:rFonts w:ascii="Franklin Gothic Book" w:hAnsi="Franklin Gothic Book" w:cstheme="minorHAnsi"/>
        </w:rPr>
        <w:t xml:space="preserve"> data on theoretical management changes. However, since 34 patients had an adenotonsillectomy, including 19 without moderate–severe OSA and 5 without any OSA based on a Level 1 PSG, ESC considered that most patients would proceed with a planned tonsillectomy regardless of the sleep study findings.</w:t>
      </w:r>
      <w:r w:rsidRPr="005977D4">
        <w:rPr>
          <w:rFonts w:ascii="Franklin Gothic Book" w:hAnsi="Franklin Gothic Book" w:cstheme="minorHAnsi"/>
        </w:rPr>
        <w:t xml:space="preserve"> </w:t>
      </w:r>
      <w:r w:rsidRPr="005420BA">
        <w:rPr>
          <w:rFonts w:ascii="Franklin Gothic Book" w:hAnsi="Franklin Gothic Book" w:cstheme="minorHAnsi"/>
        </w:rPr>
        <w:t>Thus, ESC concluded that the</w:t>
      </w:r>
      <w:r w:rsidRPr="007408F1">
        <w:rPr>
          <w:rFonts w:ascii="Franklin Gothic Book" w:hAnsi="Franklin Gothic Book" w:cstheme="minorHAnsi"/>
        </w:rPr>
        <w:t xml:space="preserve"> claim of superiority for </w:t>
      </w:r>
      <w:r>
        <w:rPr>
          <w:rFonts w:ascii="Franklin Gothic Book" w:hAnsi="Franklin Gothic Book" w:cstheme="minorHAnsi"/>
        </w:rPr>
        <w:t>clinical utility</w:t>
      </w:r>
      <w:r w:rsidRPr="007408F1">
        <w:rPr>
          <w:rFonts w:ascii="Franklin Gothic Book" w:hAnsi="Franklin Gothic Book" w:cstheme="minorHAnsi"/>
        </w:rPr>
        <w:t xml:space="preserve"> </w:t>
      </w:r>
      <w:r>
        <w:rPr>
          <w:rFonts w:ascii="Franklin Gothic Book" w:hAnsi="Franklin Gothic Book" w:cstheme="minorHAnsi"/>
        </w:rPr>
        <w:t>i</w:t>
      </w:r>
      <w:r w:rsidRPr="007408F1">
        <w:rPr>
          <w:rFonts w:ascii="Franklin Gothic Book" w:hAnsi="Franklin Gothic Book" w:cstheme="minorHAnsi"/>
        </w:rPr>
        <w:t xml:space="preserve">s not supported </w:t>
      </w:r>
      <w:r>
        <w:rPr>
          <w:rFonts w:ascii="Franklin Gothic Book" w:hAnsi="Franklin Gothic Book" w:cstheme="minorHAnsi"/>
        </w:rPr>
        <w:t>by</w:t>
      </w:r>
      <w:r w:rsidRPr="007408F1">
        <w:rPr>
          <w:rFonts w:ascii="Franklin Gothic Book" w:hAnsi="Franklin Gothic Book" w:cstheme="minorHAnsi"/>
        </w:rPr>
        <w:t xml:space="preserve"> evidence.</w:t>
      </w:r>
    </w:p>
    <w:p w14:paraId="7569FDAB" w14:textId="77777777" w:rsidR="00642CDC" w:rsidRPr="007A0BE9" w:rsidRDefault="00642CDC" w:rsidP="00642CDC">
      <w:pPr>
        <w:rPr>
          <w:rStyle w:val="Strong"/>
          <w:rFonts w:ascii="Franklin Gothic Book" w:hAnsi="Franklin Gothic Book" w:cstheme="minorHAnsi"/>
          <w:b w:val="0"/>
          <w:bCs w:val="0"/>
        </w:rPr>
      </w:pPr>
      <w:r w:rsidRPr="007A0BE9">
        <w:rPr>
          <w:rStyle w:val="Strong"/>
          <w:rFonts w:ascii="Franklin Gothic Book" w:hAnsi="Franklin Gothic Book" w:cstheme="minorHAnsi"/>
          <w:b w:val="0"/>
          <w:bCs w:val="0"/>
        </w:rPr>
        <w:t xml:space="preserve">ESC noted the systematic reviews on health outcomes for population 2, which </w:t>
      </w:r>
      <w:r>
        <w:rPr>
          <w:rStyle w:val="Strong"/>
          <w:rFonts w:ascii="Franklin Gothic Book" w:hAnsi="Franklin Gothic Book" w:cstheme="minorHAnsi"/>
          <w:b w:val="0"/>
          <w:bCs w:val="0"/>
        </w:rPr>
        <w:t xml:space="preserve">suggested </w:t>
      </w:r>
      <w:r w:rsidRPr="007A0BE9">
        <w:rPr>
          <w:rStyle w:val="Strong"/>
          <w:rFonts w:ascii="Franklin Gothic Book" w:hAnsi="Franklin Gothic Book" w:cstheme="minorHAnsi"/>
          <w:b w:val="0"/>
          <w:bCs w:val="0"/>
        </w:rPr>
        <w:t>that adenotonsillectomies improve quality of lif</w:t>
      </w:r>
      <w:r>
        <w:rPr>
          <w:rStyle w:val="Strong"/>
          <w:rFonts w:ascii="Franklin Gothic Book" w:hAnsi="Franklin Gothic Book" w:cstheme="minorHAnsi"/>
          <w:b w:val="0"/>
          <w:bCs w:val="0"/>
        </w:rPr>
        <w:t>e and similar findings from a more recent 2023 study that this also holds for those with milder SDB. However</w:t>
      </w:r>
      <w:r w:rsidRPr="007A0BE9">
        <w:rPr>
          <w:rStyle w:val="Strong"/>
          <w:rFonts w:ascii="Franklin Gothic Book" w:hAnsi="Franklin Gothic Book" w:cstheme="minorHAnsi"/>
          <w:b w:val="0"/>
          <w:bCs w:val="0"/>
        </w:rPr>
        <w:t xml:space="preserve">, ESC </w:t>
      </w:r>
      <w:r>
        <w:rPr>
          <w:rStyle w:val="Strong"/>
          <w:rFonts w:ascii="Franklin Gothic Book" w:hAnsi="Franklin Gothic Book" w:cstheme="minorHAnsi"/>
          <w:b w:val="0"/>
          <w:bCs w:val="0"/>
        </w:rPr>
        <w:t>again</w:t>
      </w:r>
      <w:r w:rsidRPr="007A0BE9">
        <w:rPr>
          <w:rStyle w:val="Strong"/>
          <w:rFonts w:ascii="Franklin Gothic Book" w:hAnsi="Franklin Gothic Book" w:cstheme="minorHAnsi"/>
          <w:b w:val="0"/>
          <w:bCs w:val="0"/>
        </w:rPr>
        <w:t xml:space="preserve"> considered that there was no evidence to suggest that a sleep study will overturn any previous recommendations for surgery</w:t>
      </w:r>
      <w:r>
        <w:rPr>
          <w:rStyle w:val="Strong"/>
          <w:rFonts w:ascii="Franklin Gothic Book" w:hAnsi="Franklin Gothic Book" w:cstheme="minorHAnsi"/>
          <w:b w:val="0"/>
          <w:bCs w:val="0"/>
        </w:rPr>
        <w:t xml:space="preserve"> and therefore, it was unclear what the relevance of these findings are to those undertaking out of laboratory sleep studies</w:t>
      </w:r>
      <w:r w:rsidRPr="007A0BE9">
        <w:rPr>
          <w:rStyle w:val="Strong"/>
          <w:rFonts w:ascii="Franklin Gothic Book" w:hAnsi="Franklin Gothic Book" w:cstheme="minorHAnsi"/>
          <w:b w:val="0"/>
          <w:bCs w:val="0"/>
        </w:rPr>
        <w:t>. ESC also noted th</w:t>
      </w:r>
      <w:r>
        <w:rPr>
          <w:rStyle w:val="Strong"/>
          <w:rFonts w:ascii="Franklin Gothic Book" w:hAnsi="Franklin Gothic Book" w:cstheme="minorHAnsi"/>
          <w:b w:val="0"/>
          <w:bCs w:val="0"/>
        </w:rPr>
        <w:t xml:space="preserve">e </w:t>
      </w:r>
      <w:hyperlink r:id="rId16" w:history="1">
        <w:r w:rsidRPr="007408F1">
          <w:rPr>
            <w:rStyle w:val="Hyperlink"/>
            <w:rFonts w:ascii="Franklin Gothic Book" w:hAnsi="Franklin Gothic Book" w:cstheme="minorHAnsi"/>
            <w:i/>
            <w:iCs/>
          </w:rPr>
          <w:t>Fourth Australian Atlas of Healthcare Variation</w:t>
        </w:r>
      </w:hyperlink>
      <w:r>
        <w:rPr>
          <w:rStyle w:val="Hyperlink"/>
          <w:rFonts w:ascii="Franklin Gothic Book" w:hAnsi="Franklin Gothic Book" w:cstheme="minorHAnsi"/>
          <w:i/>
          <w:iCs/>
        </w:rPr>
        <w:t xml:space="preserve"> </w:t>
      </w:r>
      <w:r w:rsidRPr="004E4B00">
        <w:rPr>
          <w:rStyle w:val="Hyperlink"/>
          <w:rFonts w:ascii="Franklin Gothic Book" w:hAnsi="Franklin Gothic Book" w:cstheme="minorHAnsi"/>
          <w:color w:val="auto"/>
          <w:u w:val="none"/>
        </w:rPr>
        <w:t>2021’s</w:t>
      </w:r>
      <w:r>
        <w:rPr>
          <w:rStyle w:val="Hyperlink"/>
          <w:rFonts w:ascii="Franklin Gothic Book" w:hAnsi="Franklin Gothic Book" w:cstheme="minorHAnsi"/>
          <w:i/>
          <w:iCs/>
        </w:rPr>
        <w:t xml:space="preserve"> </w:t>
      </w:r>
      <w:r w:rsidRPr="004E4B00">
        <w:rPr>
          <w:rStyle w:val="Hyperlink"/>
          <w:rFonts w:ascii="Franklin Gothic Book" w:hAnsi="Franklin Gothic Book" w:cstheme="minorHAnsi"/>
          <w:color w:val="auto"/>
          <w:u w:val="none"/>
        </w:rPr>
        <w:t>findings that</w:t>
      </w:r>
      <w:r w:rsidRPr="005977D4">
        <w:rPr>
          <w:rStyle w:val="Strong"/>
          <w:rFonts w:ascii="Franklin Gothic Book" w:hAnsi="Franklin Gothic Book" w:cstheme="minorHAnsi"/>
          <w:b w:val="0"/>
          <w:bCs w:val="0"/>
        </w:rPr>
        <w:t xml:space="preserve"> </w:t>
      </w:r>
      <w:r w:rsidRPr="007A0BE9">
        <w:rPr>
          <w:rStyle w:val="Strong"/>
          <w:rFonts w:ascii="Franklin Gothic Book" w:hAnsi="Franklin Gothic Book" w:cstheme="minorHAnsi"/>
          <w:b w:val="0"/>
          <w:bCs w:val="0"/>
        </w:rPr>
        <w:t>most information provided to parents/carers about adenotonsillectomies highlighted the positive outcomes of surgery and downplayed risks.</w:t>
      </w:r>
    </w:p>
    <w:p w14:paraId="7E3578E9" w14:textId="15B86D4B" w:rsidR="00642CDC" w:rsidRDefault="00642CDC" w:rsidP="00642CDC">
      <w:pPr>
        <w:rPr>
          <w:rFonts w:ascii="Franklin Gothic Book" w:hAnsi="Franklin Gothic Book" w:cstheme="minorHAnsi"/>
        </w:rPr>
      </w:pPr>
      <w:r w:rsidRPr="007A0BE9">
        <w:rPr>
          <w:rStyle w:val="Strong"/>
          <w:rFonts w:ascii="Franklin Gothic Book" w:hAnsi="Franklin Gothic Book" w:cstheme="minorHAnsi"/>
          <w:b w:val="0"/>
          <w:bCs w:val="0"/>
        </w:rPr>
        <w:t>For population 3, ESC noted that no studies met the inclusion criteria for test accuracy, so it was inferred from the studies that informed population 2. However, it is unknown if these results would translate to children on respiratory support. ESC also noted that there was insufficient evidence to support a change in management or improvements in health outcomes</w:t>
      </w:r>
      <w:r>
        <w:rPr>
          <w:rStyle w:val="Strong"/>
          <w:rFonts w:ascii="Franklin Gothic Book" w:hAnsi="Franklin Gothic Book" w:cstheme="minorHAnsi"/>
          <w:b w:val="0"/>
          <w:bCs w:val="0"/>
        </w:rPr>
        <w:t xml:space="preserve"> in population</w:t>
      </w:r>
      <w:r w:rsidR="00BD0A04">
        <w:rPr>
          <w:rStyle w:val="Strong"/>
          <w:rFonts w:ascii="Franklin Gothic Book" w:hAnsi="Franklin Gothic Book" w:cstheme="minorHAnsi"/>
          <w:b w:val="0"/>
          <w:bCs w:val="0"/>
        </w:rPr>
        <w:t> </w:t>
      </w:r>
      <w:r>
        <w:rPr>
          <w:rStyle w:val="Strong"/>
          <w:rFonts w:ascii="Franklin Gothic Book" w:hAnsi="Franklin Gothic Book" w:cstheme="minorHAnsi"/>
          <w:b w:val="0"/>
          <w:bCs w:val="0"/>
        </w:rPr>
        <w:t>3</w:t>
      </w:r>
      <w:r w:rsidRPr="007A0BE9">
        <w:rPr>
          <w:rStyle w:val="Strong"/>
          <w:rFonts w:ascii="Franklin Gothic Book" w:hAnsi="Franklin Gothic Book" w:cstheme="minorHAnsi"/>
          <w:b w:val="0"/>
          <w:bCs w:val="0"/>
        </w:rPr>
        <w:t xml:space="preserve">. ESC considered a possible benefit of the intervention in this population was </w:t>
      </w:r>
      <w:r w:rsidRPr="007A0BE9">
        <w:rPr>
          <w:rFonts w:ascii="Franklin Gothic Book" w:hAnsi="Franklin Gothic Book" w:cstheme="minorHAnsi"/>
        </w:rPr>
        <w:t xml:space="preserve">avoiding a hospital stay for patients with complex, ongoing medical conditions and their families. </w:t>
      </w:r>
    </w:p>
    <w:p w14:paraId="646C8325" w14:textId="77777777" w:rsidR="00642CDC" w:rsidRDefault="00642CDC" w:rsidP="00642CDC">
      <w:pPr>
        <w:rPr>
          <w:rFonts w:ascii="Franklin Gothic Book" w:hAnsi="Franklin Gothic Book" w:cstheme="minorHAnsi"/>
        </w:rPr>
      </w:pPr>
      <w:r>
        <w:rPr>
          <w:rFonts w:ascii="Franklin Gothic Book" w:hAnsi="Franklin Gothic Book" w:cstheme="minorHAnsi"/>
        </w:rPr>
        <w:t xml:space="preserve">Overall, ESC concluded that: </w:t>
      </w:r>
    </w:p>
    <w:p w14:paraId="31F01010" w14:textId="77777777" w:rsidR="00642CDC" w:rsidRDefault="00642CDC" w:rsidP="00642CDC">
      <w:pPr>
        <w:pStyle w:val="ListParagraph"/>
        <w:numPr>
          <w:ilvl w:val="0"/>
          <w:numId w:val="29"/>
        </w:numPr>
        <w:rPr>
          <w:rFonts w:cstheme="minorHAnsi"/>
        </w:rPr>
      </w:pPr>
      <w:r>
        <w:rPr>
          <w:rFonts w:cstheme="minorHAnsi"/>
        </w:rPr>
        <w:t>For PICO set 1 the claim of non-inferior test accuracy was uncertain and testing success was likely inferior though offset by the convenience of home-based testing. The overall claim of non-inferior effectiveness was uncertain and assumed that the test would be a replacement for Level 1 studies rather than an additional test.</w:t>
      </w:r>
    </w:p>
    <w:p w14:paraId="61A505AF" w14:textId="77777777" w:rsidR="00642CDC" w:rsidRDefault="00642CDC" w:rsidP="00642CDC">
      <w:pPr>
        <w:pStyle w:val="ListParagraph"/>
        <w:numPr>
          <w:ilvl w:val="0"/>
          <w:numId w:val="29"/>
        </w:numPr>
        <w:rPr>
          <w:rFonts w:cstheme="minorHAnsi"/>
        </w:rPr>
      </w:pPr>
      <w:r>
        <w:rPr>
          <w:rFonts w:cstheme="minorHAnsi"/>
        </w:rPr>
        <w:t>For PICO set 2, there was no evidence on test accuracy, clinical utility, or effectiveness, testing success is unknown and thus it was highly uncertain that the test could improve patient selection for adenotonsillectomy and lead to safer outcomes.</w:t>
      </w:r>
    </w:p>
    <w:p w14:paraId="12D7FC8B" w14:textId="77777777" w:rsidR="00642CDC" w:rsidRPr="00B43C7D" w:rsidRDefault="00642CDC" w:rsidP="00642CDC">
      <w:pPr>
        <w:pStyle w:val="ListParagraph"/>
        <w:numPr>
          <w:ilvl w:val="0"/>
          <w:numId w:val="29"/>
        </w:numPr>
        <w:rPr>
          <w:rFonts w:cstheme="minorHAnsi"/>
        </w:rPr>
      </w:pPr>
      <w:r>
        <w:rPr>
          <w:rFonts w:cstheme="minorHAnsi"/>
        </w:rPr>
        <w:t xml:space="preserve">For PICO set 3 there is likely </w:t>
      </w:r>
      <w:r w:rsidRPr="00C669F7">
        <w:rPr>
          <w:rFonts w:cstheme="minorHAnsi"/>
        </w:rPr>
        <w:t xml:space="preserve">inferior accuracy, and inferior change in management, but </w:t>
      </w:r>
      <w:r>
        <w:rPr>
          <w:rFonts w:cstheme="minorHAnsi"/>
        </w:rPr>
        <w:t xml:space="preserve">this may be </w:t>
      </w:r>
      <w:r w:rsidRPr="00C669F7">
        <w:rPr>
          <w:rFonts w:cstheme="minorHAnsi"/>
        </w:rPr>
        <w:t>offset by likely increased acceptability to user population</w:t>
      </w:r>
      <w:r>
        <w:rPr>
          <w:rFonts w:cstheme="minorHAnsi"/>
        </w:rPr>
        <w:t xml:space="preserve">. </w:t>
      </w:r>
    </w:p>
    <w:p w14:paraId="03001E8A" w14:textId="77777777" w:rsidR="00642CDC" w:rsidRPr="007408F1" w:rsidRDefault="00642CDC" w:rsidP="00642CDC">
      <w:pPr>
        <w:rPr>
          <w:rFonts w:ascii="Franklin Gothic Book" w:hAnsi="Franklin Gothic Book" w:cstheme="minorHAnsi"/>
        </w:rPr>
      </w:pPr>
      <w:r w:rsidRPr="007408F1">
        <w:rPr>
          <w:rFonts w:ascii="Franklin Gothic Book" w:hAnsi="Franklin Gothic Book" w:cstheme="minorHAnsi"/>
        </w:rPr>
        <w:t xml:space="preserve">ESC noted that three economic </w:t>
      </w:r>
      <w:r>
        <w:rPr>
          <w:rFonts w:ascii="Franklin Gothic Book" w:hAnsi="Franklin Gothic Book" w:cstheme="minorHAnsi"/>
        </w:rPr>
        <w:t>analyses</w:t>
      </w:r>
      <w:r w:rsidRPr="007408F1">
        <w:rPr>
          <w:rFonts w:ascii="Franklin Gothic Book" w:hAnsi="Franklin Gothic Book" w:cstheme="minorHAnsi"/>
        </w:rPr>
        <w:t xml:space="preserve"> were conducted: one for each PICO set. </w:t>
      </w:r>
    </w:p>
    <w:p w14:paraId="36A056E5" w14:textId="77777777" w:rsidR="00642CDC" w:rsidRPr="007408F1" w:rsidRDefault="00642CDC" w:rsidP="00642CDC">
      <w:pPr>
        <w:rPr>
          <w:rFonts w:ascii="Franklin Gothic Book" w:hAnsi="Franklin Gothic Book" w:cstheme="minorHAnsi"/>
        </w:rPr>
      </w:pPr>
      <w:r w:rsidRPr="007408F1">
        <w:rPr>
          <w:rFonts w:ascii="Franklin Gothic Book" w:hAnsi="Franklin Gothic Book" w:cstheme="minorHAnsi"/>
        </w:rPr>
        <w:t>For PICO set 1, the DCAR presented a cost-minimisation analysis. ESC noted that the intervention was lower cost, albeit lower accuracy, than the comparator, but result</w:t>
      </w:r>
      <w:r>
        <w:rPr>
          <w:rFonts w:ascii="Franklin Gothic Book" w:hAnsi="Franklin Gothic Book" w:cstheme="minorHAnsi"/>
        </w:rPr>
        <w:t>ed</w:t>
      </w:r>
      <w:r w:rsidRPr="007408F1">
        <w:rPr>
          <w:rFonts w:ascii="Franklin Gothic Book" w:hAnsi="Franklin Gothic Book" w:cstheme="minorHAnsi"/>
        </w:rPr>
        <w:t xml:space="preserve"> in cost savings of $645.29 per accurate diagnosis. The main driver of this was the intervention’s sensitivity – at the lower limit of sensitivity, the intervention was not cost saving</w:t>
      </w:r>
      <w:r>
        <w:rPr>
          <w:rFonts w:ascii="Franklin Gothic Book" w:hAnsi="Franklin Gothic Book" w:cstheme="minorHAnsi"/>
        </w:rPr>
        <w:t xml:space="preserve"> and resulted in a net cost of $379.87</w:t>
      </w:r>
      <w:r w:rsidRPr="007408F1">
        <w:rPr>
          <w:rFonts w:ascii="Franklin Gothic Book" w:hAnsi="Franklin Gothic Book" w:cstheme="minorHAnsi"/>
        </w:rPr>
        <w:t>, but it was cost saving for all other scenarios in the sensitivity analysis.</w:t>
      </w:r>
      <w:r>
        <w:rPr>
          <w:rFonts w:ascii="Franklin Gothic Book" w:hAnsi="Franklin Gothic Book" w:cstheme="minorHAnsi"/>
        </w:rPr>
        <w:t xml:space="preserve"> However, ESC queried whether the use of cost minimisation to find cost savings (relative to the comparator) </w:t>
      </w:r>
      <w:r>
        <w:rPr>
          <w:rFonts w:ascii="Franklin Gothic Book" w:hAnsi="Franklin Gothic Book" w:cstheme="minorHAnsi"/>
        </w:rPr>
        <w:lastRenderedPageBreak/>
        <w:t>was acceptable given the lower accuracy of the test since this ignored possible adverse outcomes from the lower test accuracy which was not taken into account in this analysis.</w:t>
      </w:r>
    </w:p>
    <w:p w14:paraId="403262F7" w14:textId="77777777" w:rsidR="00642CDC" w:rsidRPr="007408F1" w:rsidRDefault="00642CDC" w:rsidP="00642CDC">
      <w:pPr>
        <w:rPr>
          <w:rFonts w:ascii="Franklin Gothic Book" w:hAnsi="Franklin Gothic Book" w:cstheme="minorHAnsi"/>
        </w:rPr>
      </w:pPr>
      <w:r w:rsidRPr="007408F1">
        <w:rPr>
          <w:rFonts w:ascii="Franklin Gothic Book" w:hAnsi="Franklin Gothic Book" w:cstheme="minorHAnsi"/>
        </w:rPr>
        <w:t>For PICO set 2, the DCAR presented a cost-effectiveness analysis based on a willingness-to-pay threshold</w:t>
      </w:r>
      <w:r>
        <w:rPr>
          <w:rFonts w:ascii="Franklin Gothic Book" w:hAnsi="Franklin Gothic Book" w:cstheme="minorHAnsi"/>
        </w:rPr>
        <w:t xml:space="preserve"> where this threshold was set at the cost of performing a tonsillectomy at $2721.41</w:t>
      </w:r>
      <w:r w:rsidRPr="007408F1">
        <w:rPr>
          <w:rFonts w:ascii="Franklin Gothic Book" w:hAnsi="Franklin Gothic Book" w:cstheme="minorHAnsi"/>
        </w:rPr>
        <w:t xml:space="preserve">. </w:t>
      </w:r>
      <w:r>
        <w:rPr>
          <w:rFonts w:ascii="Franklin Gothic Book" w:hAnsi="Franklin Gothic Book" w:cstheme="minorHAnsi"/>
        </w:rPr>
        <w:t>A</w:t>
      </w:r>
      <w:r w:rsidRPr="007408F1">
        <w:rPr>
          <w:rFonts w:ascii="Franklin Gothic Book" w:hAnsi="Franklin Gothic Book" w:cstheme="minorHAnsi"/>
        </w:rPr>
        <w:t xml:space="preserve">s </w:t>
      </w:r>
      <w:r>
        <w:rPr>
          <w:rFonts w:ascii="Franklin Gothic Book" w:hAnsi="Franklin Gothic Book" w:cstheme="minorHAnsi"/>
        </w:rPr>
        <w:t xml:space="preserve">the </w:t>
      </w:r>
      <w:r w:rsidRPr="007408F1">
        <w:rPr>
          <w:rFonts w:ascii="Franklin Gothic Book" w:hAnsi="Franklin Gothic Book" w:cstheme="minorHAnsi"/>
        </w:rPr>
        <w:t>cost per tonsillectomy avoided</w:t>
      </w:r>
      <w:r>
        <w:rPr>
          <w:rFonts w:ascii="Franklin Gothic Book" w:hAnsi="Franklin Gothic Book" w:cstheme="minorHAnsi"/>
        </w:rPr>
        <w:t xml:space="preserve"> in the base case was </w:t>
      </w:r>
      <w:r w:rsidRPr="007408F1">
        <w:rPr>
          <w:rFonts w:ascii="Franklin Gothic Book" w:hAnsi="Franklin Gothic Book" w:cstheme="minorHAnsi"/>
        </w:rPr>
        <w:t>$1,751.65</w:t>
      </w:r>
      <w:r>
        <w:rPr>
          <w:rFonts w:ascii="Franklin Gothic Book" w:hAnsi="Franklin Gothic Book" w:cstheme="minorHAnsi"/>
        </w:rPr>
        <w:t xml:space="preserve"> and this was lower than the cost of performing a tonsillectomy, this result was reported by the DCAR as cost effective</w:t>
      </w:r>
      <w:r w:rsidRPr="007408F1">
        <w:rPr>
          <w:rFonts w:ascii="Franklin Gothic Book" w:hAnsi="Franklin Gothic Book" w:cstheme="minorHAnsi"/>
        </w:rPr>
        <w:t xml:space="preserve">. </w:t>
      </w:r>
      <w:r>
        <w:rPr>
          <w:rFonts w:ascii="Franklin Gothic Book" w:hAnsi="Franklin Gothic Book" w:cstheme="minorHAnsi"/>
        </w:rPr>
        <w:t xml:space="preserve">However, </w:t>
      </w:r>
      <w:r w:rsidRPr="007408F1">
        <w:rPr>
          <w:rFonts w:ascii="Franklin Gothic Book" w:hAnsi="Franklin Gothic Book" w:cstheme="minorHAnsi"/>
        </w:rPr>
        <w:t>ESC considered that the claim of tonsillectomies avoided was not supported by the evidence</w:t>
      </w:r>
      <w:r>
        <w:rPr>
          <w:rFonts w:ascii="Franklin Gothic Book" w:hAnsi="Franklin Gothic Book" w:cstheme="minorHAnsi"/>
        </w:rPr>
        <w:t xml:space="preserve"> for the reasons discussed previously i.e. it was </w:t>
      </w:r>
      <w:r w:rsidRPr="007408F1">
        <w:rPr>
          <w:rFonts w:ascii="Franklin Gothic Book" w:hAnsi="Franklin Gothic Book" w:cstheme="minorHAnsi"/>
        </w:rPr>
        <w:t xml:space="preserve">highly uncertain </w:t>
      </w:r>
      <w:r>
        <w:rPr>
          <w:rFonts w:ascii="Franklin Gothic Book" w:hAnsi="Franklin Gothic Book" w:cstheme="minorHAnsi"/>
        </w:rPr>
        <w:t xml:space="preserve">based on the evidence </w:t>
      </w:r>
      <w:r w:rsidRPr="007408F1">
        <w:rPr>
          <w:rFonts w:ascii="Franklin Gothic Book" w:hAnsi="Franklin Gothic Book" w:cstheme="minorHAnsi"/>
        </w:rPr>
        <w:t>that sleep study findings w</w:t>
      </w:r>
      <w:r>
        <w:rPr>
          <w:rFonts w:ascii="Franklin Gothic Book" w:hAnsi="Franklin Gothic Book" w:cstheme="minorHAnsi"/>
        </w:rPr>
        <w:t xml:space="preserve">ould </w:t>
      </w:r>
      <w:r w:rsidRPr="007408F1">
        <w:rPr>
          <w:rFonts w:ascii="Franklin Gothic Book" w:hAnsi="Franklin Gothic Book" w:cstheme="minorHAnsi"/>
        </w:rPr>
        <w:t>overturn operative management decisions based on</w:t>
      </w:r>
      <w:r>
        <w:rPr>
          <w:rFonts w:ascii="Franklin Gothic Book" w:hAnsi="Franklin Gothic Book" w:cstheme="minorHAnsi"/>
        </w:rPr>
        <w:t xml:space="preserve"> a range of other considerations</w:t>
      </w:r>
      <w:r w:rsidRPr="007408F1">
        <w:rPr>
          <w:rFonts w:ascii="Franklin Gothic Book" w:hAnsi="Franklin Gothic Book" w:cstheme="minorHAnsi"/>
        </w:rPr>
        <w:t xml:space="preserve">. ESC considered that </w:t>
      </w:r>
      <w:r>
        <w:rPr>
          <w:rFonts w:ascii="Franklin Gothic Book" w:hAnsi="Franklin Gothic Book" w:cstheme="minorHAnsi"/>
        </w:rPr>
        <w:t xml:space="preserve">other key </w:t>
      </w:r>
      <w:r w:rsidRPr="007408F1">
        <w:rPr>
          <w:rFonts w:ascii="Franklin Gothic Book" w:hAnsi="Franklin Gothic Book" w:cstheme="minorHAnsi"/>
        </w:rPr>
        <w:t xml:space="preserve">limitations of the approach to the economic evaluation are the lack of utility data, and that most of the clinical inputs were based on non-randomised data or expert opinion. </w:t>
      </w:r>
      <w:r>
        <w:rPr>
          <w:rFonts w:ascii="Franklin Gothic Book" w:hAnsi="Franklin Gothic Book" w:cstheme="minorHAnsi"/>
        </w:rPr>
        <w:t xml:space="preserve">The evaluation was </w:t>
      </w:r>
      <w:r w:rsidRPr="00AB455D">
        <w:rPr>
          <w:rFonts w:ascii="Franklin Gothic Book" w:hAnsi="Franklin Gothic Book"/>
        </w:rPr>
        <w:t>based on very sparse data (n = 34 from trial</w:t>
      </w:r>
      <w:r>
        <w:rPr>
          <w:rFonts w:ascii="Franklin Gothic Book" w:hAnsi="Franklin Gothic Book"/>
        </w:rPr>
        <w:t>,</w:t>
      </w:r>
      <w:r w:rsidRPr="00AB455D">
        <w:rPr>
          <w:rFonts w:ascii="Franklin Gothic Book" w:hAnsi="Franklin Gothic Book"/>
        </w:rPr>
        <w:t xml:space="preserve"> excluding failures/losses</w:t>
      </w:r>
      <w:r>
        <w:rPr>
          <w:rFonts w:ascii="Franklin Gothic Book" w:hAnsi="Franklin Gothic Book"/>
        </w:rPr>
        <w:t xml:space="preserve">). </w:t>
      </w:r>
      <w:r>
        <w:rPr>
          <w:rFonts w:ascii="Franklin Gothic Book" w:hAnsi="Franklin Gothic Book" w:cstheme="minorHAnsi"/>
        </w:rPr>
        <w:t xml:space="preserve">In addition, </w:t>
      </w:r>
      <w:r w:rsidRPr="007408F1">
        <w:rPr>
          <w:rFonts w:ascii="Franklin Gothic Book" w:hAnsi="Franklin Gothic Book" w:cstheme="minorHAnsi"/>
        </w:rPr>
        <w:t>potential downstream benefits of avoiding tonsillectomies (such as reduced rates of complications) could not be quantified and were excluded. However, a range of sensitivity analyses suggest that the conclusion of cost-effectiveness is robust to substantial parameter uncertainty.</w:t>
      </w:r>
    </w:p>
    <w:p w14:paraId="680B6B0E" w14:textId="77777777" w:rsidR="00642CDC" w:rsidRDefault="00642CDC" w:rsidP="00642CDC">
      <w:pPr>
        <w:rPr>
          <w:rFonts w:ascii="Franklin Gothic Book" w:hAnsi="Franklin Gothic Book" w:cstheme="minorHAnsi"/>
        </w:rPr>
      </w:pPr>
      <w:r w:rsidRPr="007408F1">
        <w:rPr>
          <w:rFonts w:ascii="Franklin Gothic Book" w:hAnsi="Franklin Gothic Book" w:cstheme="minorHAnsi"/>
        </w:rPr>
        <w:t xml:space="preserve">ESC queried the appropriateness of using a willingness-to-pay threshold for PICO set 2 (for avoidance of surgery). ESC noted that a similar approach </w:t>
      </w:r>
      <w:r>
        <w:rPr>
          <w:rFonts w:ascii="Franklin Gothic Book" w:hAnsi="Franklin Gothic Book" w:cstheme="minorHAnsi"/>
        </w:rPr>
        <w:t>was</w:t>
      </w:r>
      <w:r w:rsidRPr="007408F1">
        <w:rPr>
          <w:rFonts w:ascii="Franklin Gothic Book" w:hAnsi="Franklin Gothic Book" w:cstheme="minorHAnsi"/>
        </w:rPr>
        <w:t xml:space="preserve"> used</w:t>
      </w:r>
      <w:r>
        <w:rPr>
          <w:rFonts w:ascii="Franklin Gothic Book" w:hAnsi="Franklin Gothic Book" w:cstheme="minorHAnsi"/>
        </w:rPr>
        <w:t xml:space="preserve"> where </w:t>
      </w:r>
      <w:r w:rsidRPr="007408F1">
        <w:rPr>
          <w:rFonts w:ascii="Franklin Gothic Book" w:hAnsi="Franklin Gothic Book" w:cstheme="minorHAnsi"/>
        </w:rPr>
        <w:t xml:space="preserve">there </w:t>
      </w:r>
      <w:r>
        <w:rPr>
          <w:rFonts w:ascii="Franklin Gothic Book" w:hAnsi="Franklin Gothic Book" w:cstheme="minorHAnsi"/>
        </w:rPr>
        <w:t>was</w:t>
      </w:r>
      <w:r w:rsidRPr="007408F1">
        <w:rPr>
          <w:rFonts w:ascii="Franklin Gothic Book" w:hAnsi="Franklin Gothic Book" w:cstheme="minorHAnsi"/>
        </w:rPr>
        <w:t xml:space="preserve"> no alternative method to calculate quality-adjusted life years gained or life years lost</w:t>
      </w:r>
      <w:r>
        <w:rPr>
          <w:rFonts w:ascii="Franklin Gothic Book" w:hAnsi="Franklin Gothic Book" w:cstheme="minorHAnsi"/>
        </w:rPr>
        <w:t xml:space="preserve"> but a benchmark for understanding the meaning and implications of an estimated cost was needed</w:t>
      </w:r>
      <w:r w:rsidRPr="007408F1">
        <w:rPr>
          <w:rFonts w:ascii="Franklin Gothic Book" w:hAnsi="Franklin Gothic Book" w:cstheme="minorHAnsi"/>
        </w:rPr>
        <w:t xml:space="preserve">. However, ESC </w:t>
      </w:r>
      <w:r>
        <w:rPr>
          <w:rFonts w:ascii="Franklin Gothic Book" w:hAnsi="Franklin Gothic Book" w:cstheme="minorHAnsi"/>
        </w:rPr>
        <w:t xml:space="preserve">noted that in previous applications </w:t>
      </w:r>
      <w:r w:rsidRPr="00C9643B">
        <w:rPr>
          <w:rFonts w:ascii="Franklin Gothic Book" w:hAnsi="Franklin Gothic Book" w:cstheme="minorHAnsi"/>
        </w:rPr>
        <w:t xml:space="preserve">MSAC </w:t>
      </w:r>
      <w:r>
        <w:rPr>
          <w:rFonts w:ascii="Franklin Gothic Book" w:hAnsi="Franklin Gothic Book" w:cstheme="minorHAnsi"/>
        </w:rPr>
        <w:t xml:space="preserve">and its sub-committees had </w:t>
      </w:r>
      <w:r w:rsidRPr="00C9643B">
        <w:rPr>
          <w:rFonts w:ascii="Franklin Gothic Book" w:hAnsi="Franklin Gothic Book" w:cstheme="minorHAnsi"/>
        </w:rPr>
        <w:t xml:space="preserve">recognised </w:t>
      </w:r>
      <w:r>
        <w:rPr>
          <w:rFonts w:ascii="Franklin Gothic Book" w:hAnsi="Franklin Gothic Book" w:cstheme="minorHAnsi"/>
        </w:rPr>
        <w:t>a</w:t>
      </w:r>
      <w:r w:rsidRPr="00C9643B">
        <w:rPr>
          <w:rFonts w:ascii="Franklin Gothic Book" w:hAnsi="Franklin Gothic Book" w:cstheme="minorHAnsi"/>
        </w:rPr>
        <w:t xml:space="preserve"> preference for economic evaluations to be presented as </w:t>
      </w:r>
      <w:r>
        <w:rPr>
          <w:rFonts w:ascii="Franklin Gothic Book" w:hAnsi="Franklin Gothic Book" w:cstheme="minorHAnsi"/>
        </w:rPr>
        <w:t>cost utility analyses (</w:t>
      </w:r>
      <w:r w:rsidRPr="00C9643B">
        <w:rPr>
          <w:rFonts w:ascii="Franklin Gothic Book" w:hAnsi="Franklin Gothic Book" w:cstheme="minorHAnsi"/>
        </w:rPr>
        <w:t>CUAs</w:t>
      </w:r>
      <w:r>
        <w:rPr>
          <w:rFonts w:ascii="Franklin Gothic Book" w:hAnsi="Franklin Gothic Book" w:cstheme="minorHAnsi"/>
        </w:rPr>
        <w:t>)</w:t>
      </w:r>
      <w:r w:rsidRPr="00C9643B">
        <w:rPr>
          <w:rFonts w:ascii="Franklin Gothic Book" w:hAnsi="Franklin Gothic Book" w:cstheme="minorHAnsi"/>
        </w:rPr>
        <w:t xml:space="preserve"> (whenever</w:t>
      </w:r>
      <w:r>
        <w:rPr>
          <w:rFonts w:ascii="Franklin Gothic Book" w:hAnsi="Franklin Gothic Book" w:cstheme="minorHAnsi"/>
        </w:rPr>
        <w:t xml:space="preserve"> </w:t>
      </w:r>
      <w:r w:rsidRPr="00C9643B">
        <w:rPr>
          <w:rFonts w:ascii="Franklin Gothic Book" w:hAnsi="Franklin Gothic Book" w:cstheme="minorHAnsi"/>
        </w:rPr>
        <w:t xml:space="preserve">the data allowed) rather than </w:t>
      </w:r>
      <w:r>
        <w:rPr>
          <w:rFonts w:ascii="Franklin Gothic Book" w:hAnsi="Franklin Gothic Book" w:cstheme="minorHAnsi"/>
        </w:rPr>
        <w:t>cost effectiveness analyses (</w:t>
      </w:r>
      <w:r w:rsidRPr="00C9643B">
        <w:rPr>
          <w:rFonts w:ascii="Franklin Gothic Book" w:hAnsi="Franklin Gothic Book" w:cstheme="minorHAnsi"/>
        </w:rPr>
        <w:t>CEAs</w:t>
      </w:r>
      <w:r>
        <w:rPr>
          <w:rFonts w:ascii="Franklin Gothic Book" w:hAnsi="Franklin Gothic Book" w:cstheme="minorHAnsi"/>
        </w:rPr>
        <w:t>)</w:t>
      </w:r>
      <w:r w:rsidRPr="00C9643B">
        <w:rPr>
          <w:rFonts w:ascii="Franklin Gothic Book" w:hAnsi="Franklin Gothic Book" w:cstheme="minorHAnsi"/>
        </w:rPr>
        <w:t>, as stated in the MSAC Guideline</w:t>
      </w:r>
      <w:r>
        <w:rPr>
          <w:rFonts w:ascii="Franklin Gothic Book" w:hAnsi="Franklin Gothic Book" w:cstheme="minorHAnsi"/>
        </w:rPr>
        <w:t>s and recommended that this continue to be the stated preference</w:t>
      </w:r>
      <w:r w:rsidRPr="007408F1">
        <w:rPr>
          <w:rFonts w:ascii="Franklin Gothic Book" w:hAnsi="Franklin Gothic Book" w:cstheme="minorHAnsi"/>
        </w:rPr>
        <w:t xml:space="preserve">.  </w:t>
      </w:r>
    </w:p>
    <w:p w14:paraId="1916E350" w14:textId="77777777" w:rsidR="00642CDC" w:rsidRPr="007408F1" w:rsidRDefault="00642CDC" w:rsidP="00642CDC">
      <w:pPr>
        <w:rPr>
          <w:rFonts w:ascii="Franklin Gothic Book" w:hAnsi="Franklin Gothic Book" w:cstheme="minorHAnsi"/>
        </w:rPr>
      </w:pPr>
      <w:r w:rsidRPr="00F95F08">
        <w:rPr>
          <w:rFonts w:ascii="Franklin Gothic Book" w:hAnsi="Franklin Gothic Book" w:cstheme="minorHAnsi"/>
        </w:rPr>
        <w:t>The DCAR used a cost-analysis approach for PICO set 3. ESC noted that this was not a comprehensive cost analysis as it only included consideration of MBS fees ESC noted that the proposed fee of $284.19 is lower than any of the comparator costs, mainly due to the lower health practitioner costs associated with</w:t>
      </w:r>
      <w:r w:rsidRPr="00AB455D">
        <w:rPr>
          <w:rFonts w:ascii="Franklin Gothic Book" w:hAnsi="Franklin Gothic Book" w:cstheme="minorHAnsi"/>
        </w:rPr>
        <w:t xml:space="preserve"> out of </w:t>
      </w:r>
      <w:r w:rsidRPr="00F95F08">
        <w:rPr>
          <w:rFonts w:ascii="Franklin Gothic Book" w:hAnsi="Franklin Gothic Book" w:cstheme="minorHAnsi"/>
        </w:rPr>
        <w:t>laboratory sleep studies.</w:t>
      </w:r>
    </w:p>
    <w:p w14:paraId="1E1B24C5" w14:textId="77777777" w:rsidR="00642CDC" w:rsidRPr="007408F1" w:rsidRDefault="00642CDC" w:rsidP="00642CDC">
      <w:pPr>
        <w:rPr>
          <w:rFonts w:ascii="Franklin Gothic Book" w:hAnsi="Franklin Gothic Book" w:cstheme="minorHAnsi"/>
        </w:rPr>
      </w:pPr>
      <w:r w:rsidRPr="007408F1">
        <w:rPr>
          <w:rFonts w:ascii="Franklin Gothic Book" w:hAnsi="Franklin Gothic Book" w:cstheme="minorHAnsi"/>
        </w:rPr>
        <w:t>ESC noted that the financial impact for PICO set 1 is cost saving in years 1–4 to cost positive in years 5 and 6, because of the greater growth rate of Level 2 services compared with Level 1. ESC noted that population 1 (uncomplicated patients) is the largest population of the three sets.</w:t>
      </w:r>
      <w:r>
        <w:rPr>
          <w:rFonts w:ascii="Franklin Gothic Book" w:hAnsi="Franklin Gothic Book" w:cstheme="minorHAnsi"/>
        </w:rPr>
        <w:t xml:space="preserve"> </w:t>
      </w:r>
      <w:r w:rsidRPr="007408F1">
        <w:rPr>
          <w:rFonts w:ascii="Franklin Gothic Book" w:hAnsi="Franklin Gothic Book" w:cstheme="minorHAnsi"/>
        </w:rPr>
        <w:t xml:space="preserve">ESC noted that there were no savings for PICO set 2 because the intervention was </w:t>
      </w:r>
      <w:r>
        <w:rPr>
          <w:rFonts w:ascii="Franklin Gothic Book" w:hAnsi="Franklin Gothic Book" w:cstheme="minorHAnsi"/>
        </w:rPr>
        <w:t xml:space="preserve">not </w:t>
      </w:r>
      <w:r w:rsidRPr="007408F1">
        <w:rPr>
          <w:rFonts w:ascii="Franklin Gothic Book" w:hAnsi="Franklin Gothic Book" w:cstheme="minorHAnsi"/>
        </w:rPr>
        <w:t>replacing an existing service.</w:t>
      </w:r>
      <w:r>
        <w:rPr>
          <w:rFonts w:ascii="Franklin Gothic Book" w:hAnsi="Franklin Gothic Book" w:cstheme="minorHAnsi"/>
        </w:rPr>
        <w:t xml:space="preserve"> </w:t>
      </w:r>
      <w:r w:rsidRPr="007408F1">
        <w:rPr>
          <w:rFonts w:ascii="Franklin Gothic Book" w:hAnsi="Franklin Gothic Book" w:cstheme="minorHAnsi"/>
        </w:rPr>
        <w:t>ESC noted that there was an expected cost saving to the MBS for PICO set 3 because Level 3 CR</w:t>
      </w:r>
      <w:r>
        <w:rPr>
          <w:rFonts w:ascii="Franklin Gothic Book" w:hAnsi="Franklin Gothic Book" w:cstheme="minorHAnsi"/>
        </w:rPr>
        <w:t>P</w:t>
      </w:r>
      <w:r w:rsidRPr="007408F1">
        <w:rPr>
          <w:rFonts w:ascii="Franklin Gothic Book" w:hAnsi="Franklin Gothic Book" w:cstheme="minorHAnsi"/>
        </w:rPr>
        <w:t xml:space="preserve"> would replace Level 1 monitoring studies.</w:t>
      </w:r>
      <w:r>
        <w:rPr>
          <w:rFonts w:ascii="Franklin Gothic Book" w:hAnsi="Franklin Gothic Book" w:cstheme="minorHAnsi"/>
        </w:rPr>
        <w:t xml:space="preserve"> </w:t>
      </w:r>
      <w:r w:rsidRPr="007408F1">
        <w:rPr>
          <w:rFonts w:ascii="Franklin Gothic Book" w:hAnsi="Franklin Gothic Book" w:cstheme="minorHAnsi"/>
        </w:rPr>
        <w:t xml:space="preserve">ESC noted the total costs to the MBS for all three populations, and that there was a very large </w:t>
      </w:r>
      <w:r>
        <w:rPr>
          <w:rFonts w:ascii="Franklin Gothic Book" w:hAnsi="Franklin Gothic Book" w:cstheme="minorHAnsi"/>
        </w:rPr>
        <w:t xml:space="preserve">change </w:t>
      </w:r>
      <w:r w:rsidRPr="00CB7FCB">
        <w:rPr>
          <w:rFonts w:ascii="Franklin Gothic Book" w:hAnsi="Franklin Gothic Book" w:cstheme="minorHAnsi"/>
        </w:rPr>
        <w:t>between years 1</w:t>
      </w:r>
      <w:r>
        <w:rPr>
          <w:rFonts w:ascii="Franklin Gothic Book" w:hAnsi="Franklin Gothic Book" w:cstheme="minorHAnsi"/>
        </w:rPr>
        <w:t xml:space="preserve"> (net savings of $691,631)</w:t>
      </w:r>
      <w:r w:rsidRPr="00CB7FCB">
        <w:rPr>
          <w:rFonts w:ascii="Franklin Gothic Book" w:hAnsi="Franklin Gothic Book" w:cstheme="minorHAnsi"/>
        </w:rPr>
        <w:t xml:space="preserve"> and </w:t>
      </w:r>
      <w:r>
        <w:rPr>
          <w:rFonts w:ascii="Franklin Gothic Book" w:hAnsi="Franklin Gothic Book" w:cstheme="minorHAnsi"/>
        </w:rPr>
        <w:t xml:space="preserve">year </w:t>
      </w:r>
      <w:r w:rsidRPr="00CB7FCB">
        <w:rPr>
          <w:rFonts w:ascii="Franklin Gothic Book" w:hAnsi="Franklin Gothic Book" w:cstheme="minorHAnsi"/>
        </w:rPr>
        <w:t>6</w:t>
      </w:r>
      <w:r>
        <w:rPr>
          <w:rFonts w:ascii="Franklin Gothic Book" w:hAnsi="Franklin Gothic Book" w:cstheme="minorHAnsi"/>
        </w:rPr>
        <w:t xml:space="preserve"> (net costs of $</w:t>
      </w:r>
      <w:proofErr w:type="gramStart"/>
      <w:r>
        <w:rPr>
          <w:rFonts w:ascii="Franklin Gothic Book" w:hAnsi="Franklin Gothic Book" w:cstheme="minorHAnsi"/>
        </w:rPr>
        <w:t>111,105)</w:t>
      </w:r>
      <w:r w:rsidRPr="007408F1">
        <w:rPr>
          <w:rFonts w:ascii="Franklin Gothic Book" w:hAnsi="Franklin Gothic Book" w:cstheme="minorHAnsi"/>
        </w:rPr>
        <w:t>(</w:t>
      </w:r>
      <w:proofErr w:type="gramEnd"/>
      <w:r>
        <w:rPr>
          <w:rFonts w:ascii="Franklin Gothic Book" w:hAnsi="Franklin Gothic Book" w:cstheme="minorHAnsi"/>
        </w:rPr>
        <w:fldChar w:fldCharType="begin"/>
      </w:r>
      <w:r>
        <w:rPr>
          <w:rFonts w:ascii="Franklin Gothic Book" w:hAnsi="Franklin Gothic Book" w:cstheme="minorHAnsi"/>
        </w:rPr>
        <w:instrText xml:space="preserve"> REF _Ref160046086 \h </w:instrText>
      </w:r>
      <w:r>
        <w:rPr>
          <w:rFonts w:ascii="Franklin Gothic Book" w:hAnsi="Franklin Gothic Book" w:cstheme="minorHAnsi"/>
        </w:rPr>
      </w:r>
      <w:r>
        <w:rPr>
          <w:rFonts w:ascii="Franklin Gothic Book" w:hAnsi="Franklin Gothic Book" w:cstheme="minorHAnsi"/>
        </w:rPr>
        <w:fldChar w:fldCharType="separate"/>
      </w:r>
      <w:r>
        <w:t xml:space="preserve">Table </w:t>
      </w:r>
      <w:r>
        <w:rPr>
          <w:noProof/>
        </w:rPr>
        <w:t>21</w:t>
      </w:r>
      <w:r>
        <w:rPr>
          <w:rFonts w:ascii="Franklin Gothic Book" w:hAnsi="Franklin Gothic Book" w:cstheme="minorHAnsi"/>
        </w:rPr>
        <w:fldChar w:fldCharType="end"/>
      </w:r>
      <w:r w:rsidRPr="007408F1">
        <w:rPr>
          <w:rFonts w:ascii="Franklin Gothic Book" w:hAnsi="Franklin Gothic Book" w:cstheme="minorHAnsi"/>
        </w:rPr>
        <w:t>).</w:t>
      </w:r>
    </w:p>
    <w:p w14:paraId="125E4F98" w14:textId="77777777" w:rsidR="00642CDC" w:rsidRDefault="00642CDC" w:rsidP="00642CDC">
      <w:pPr>
        <w:rPr>
          <w:rFonts w:ascii="Franklin Gothic Book" w:hAnsi="Franklin Gothic Book" w:cstheme="minorHAnsi"/>
        </w:rPr>
      </w:pPr>
      <w:r w:rsidRPr="007408F1">
        <w:rPr>
          <w:rFonts w:ascii="Franklin Gothic Book" w:hAnsi="Franklin Gothic Book" w:cstheme="minorHAnsi"/>
        </w:rPr>
        <w:t xml:space="preserve">However, ESC noted that the </w:t>
      </w:r>
      <w:r>
        <w:rPr>
          <w:rFonts w:ascii="Franklin Gothic Book" w:hAnsi="Franklin Gothic Book" w:cstheme="minorHAnsi"/>
        </w:rPr>
        <w:t>estimated uptake</w:t>
      </w:r>
      <w:r w:rsidRPr="007408F1">
        <w:rPr>
          <w:rFonts w:ascii="Franklin Gothic Book" w:hAnsi="Franklin Gothic Book" w:cstheme="minorHAnsi"/>
        </w:rPr>
        <w:t xml:space="preserve"> populations for PICO sets 1 and 2 are significantly smaller than the eligible populations, so higher uptake is possible.</w:t>
      </w:r>
      <w:r w:rsidRPr="00C71E45">
        <w:t xml:space="preserve"> </w:t>
      </w:r>
      <w:r>
        <w:rPr>
          <w:rFonts w:ascii="Franklin Gothic Book" w:hAnsi="Franklin Gothic Book" w:cstheme="minorHAnsi"/>
        </w:rPr>
        <w:t xml:space="preserve">ESC noted that there is also the potential for use of the proposed items outside the intended </w:t>
      </w:r>
      <w:r w:rsidRPr="00C71E45">
        <w:rPr>
          <w:rFonts w:ascii="Franklin Gothic Book" w:hAnsi="Franklin Gothic Book" w:cstheme="minorHAnsi"/>
        </w:rPr>
        <w:t xml:space="preserve">populations 1 and 3 </w:t>
      </w:r>
      <w:r>
        <w:rPr>
          <w:rFonts w:ascii="Franklin Gothic Book" w:hAnsi="Franklin Gothic Book" w:cstheme="minorHAnsi"/>
        </w:rPr>
        <w:t xml:space="preserve">that could result in larger utilisation than estimated here. The utilisation may also be higher </w:t>
      </w:r>
      <w:r w:rsidRPr="00C71E45">
        <w:rPr>
          <w:rFonts w:ascii="Franklin Gothic Book" w:hAnsi="Franklin Gothic Book" w:cstheme="minorHAnsi"/>
        </w:rPr>
        <w:t>if</w:t>
      </w:r>
      <w:r>
        <w:rPr>
          <w:rFonts w:ascii="Franklin Gothic Book" w:hAnsi="Franklin Gothic Book" w:cstheme="minorHAnsi"/>
        </w:rPr>
        <w:t xml:space="preserve"> the assumed replacement of Level 1</w:t>
      </w:r>
      <w:r w:rsidRPr="00C71E45">
        <w:rPr>
          <w:rFonts w:ascii="Franklin Gothic Book" w:hAnsi="Franklin Gothic Book" w:cstheme="minorHAnsi"/>
        </w:rPr>
        <w:t xml:space="preserve"> sleep stud</w:t>
      </w:r>
      <w:r>
        <w:rPr>
          <w:rFonts w:ascii="Franklin Gothic Book" w:hAnsi="Franklin Gothic Book" w:cstheme="minorHAnsi"/>
        </w:rPr>
        <w:t>ies</w:t>
      </w:r>
      <w:r w:rsidRPr="00C71E45">
        <w:rPr>
          <w:rFonts w:ascii="Franklin Gothic Book" w:hAnsi="Franklin Gothic Book" w:cstheme="minorHAnsi"/>
        </w:rPr>
        <w:t xml:space="preserve"> do</w:t>
      </w:r>
      <w:r>
        <w:rPr>
          <w:rFonts w:ascii="Franklin Gothic Book" w:hAnsi="Franklin Gothic Book" w:cstheme="minorHAnsi"/>
        </w:rPr>
        <w:t>es</w:t>
      </w:r>
      <w:r w:rsidRPr="00C71E45">
        <w:rPr>
          <w:rFonts w:ascii="Franklin Gothic Book" w:hAnsi="Franklin Gothic Book" w:cstheme="minorHAnsi"/>
        </w:rPr>
        <w:t xml:space="preserve"> not occur and services are additional or grow at a faster rate than predicted</w:t>
      </w:r>
      <w:r>
        <w:rPr>
          <w:rFonts w:ascii="Franklin Gothic Book" w:hAnsi="Franklin Gothic Book" w:cstheme="minorHAnsi"/>
        </w:rPr>
        <w:t>.</w:t>
      </w:r>
    </w:p>
    <w:p w14:paraId="47202C45" w14:textId="77777777" w:rsidR="00642CDC" w:rsidRDefault="00642CDC" w:rsidP="00642CDC">
      <w:pPr>
        <w:rPr>
          <w:rFonts w:ascii="Franklin Gothic Book" w:hAnsi="Franklin Gothic Book" w:cstheme="minorHAnsi"/>
        </w:rPr>
      </w:pPr>
      <w:r>
        <w:rPr>
          <w:rFonts w:ascii="Franklin Gothic Book" w:hAnsi="Franklin Gothic Book" w:cstheme="minorHAnsi"/>
        </w:rPr>
        <w:t>Based on current data on patient out-of-pocket costs for items 12210</w:t>
      </w:r>
      <w:r>
        <w:rPr>
          <w:rStyle w:val="FootnoteReference"/>
          <w:rFonts w:ascii="Franklin Gothic Book" w:hAnsi="Franklin Gothic Book" w:cstheme="minorHAnsi"/>
        </w:rPr>
        <w:footnoteReference w:id="38"/>
      </w:r>
      <w:r>
        <w:rPr>
          <w:rFonts w:ascii="Franklin Gothic Book" w:hAnsi="Franklin Gothic Book" w:cstheme="minorHAnsi"/>
        </w:rPr>
        <w:t xml:space="preserve"> and 12213</w:t>
      </w:r>
      <w:r>
        <w:rPr>
          <w:rStyle w:val="FootnoteReference"/>
          <w:rFonts w:ascii="Franklin Gothic Book" w:hAnsi="Franklin Gothic Book" w:cstheme="minorHAnsi"/>
        </w:rPr>
        <w:footnoteReference w:id="39"/>
      </w:r>
      <w:r>
        <w:rPr>
          <w:rFonts w:ascii="Franklin Gothic Book" w:hAnsi="Franklin Gothic Book" w:cstheme="minorHAnsi"/>
        </w:rPr>
        <w:t xml:space="preserve"> ESC considered that out-of-pocket costs may be substantial relative to average fees charged. These</w:t>
      </w:r>
      <w:r w:rsidRPr="007408F1">
        <w:rPr>
          <w:rFonts w:ascii="Franklin Gothic Book" w:hAnsi="Franklin Gothic Book" w:cstheme="minorHAnsi"/>
        </w:rPr>
        <w:t xml:space="preserve"> out-of-pocket costs for the proposed services may be proportionally higher for patients who live </w:t>
      </w:r>
      <w:r w:rsidRPr="007408F1">
        <w:rPr>
          <w:rFonts w:ascii="Franklin Gothic Book" w:hAnsi="Franklin Gothic Book" w:cstheme="minorHAnsi"/>
        </w:rPr>
        <w:lastRenderedPageBreak/>
        <w:t>further away from accredited sleep laboratories</w:t>
      </w:r>
      <w:r>
        <w:rPr>
          <w:rFonts w:ascii="Franklin Gothic Book" w:hAnsi="Franklin Gothic Book" w:cstheme="minorHAnsi"/>
        </w:rPr>
        <w:t xml:space="preserve"> if </w:t>
      </w:r>
      <w:r w:rsidRPr="00914A81">
        <w:rPr>
          <w:rFonts w:ascii="Franklin Gothic Book" w:hAnsi="Franklin Gothic Book" w:cstheme="minorHAnsi"/>
        </w:rPr>
        <w:t>the cost of equipment delivery, setup and return of the equipment is billed separately to the patient</w:t>
      </w:r>
      <w:r>
        <w:rPr>
          <w:rFonts w:ascii="Franklin Gothic Book" w:hAnsi="Franklin Gothic Book" w:cstheme="minorHAnsi"/>
        </w:rPr>
        <w:t xml:space="preserve">. ESC therefore noted </w:t>
      </w:r>
      <w:r w:rsidRPr="007408F1">
        <w:rPr>
          <w:rFonts w:ascii="Franklin Gothic Book" w:hAnsi="Franklin Gothic Book" w:cstheme="minorHAnsi"/>
        </w:rPr>
        <w:t xml:space="preserve">possible access issues if the proposed service was listed, such as high out-of-pocket costs, which would need to be addressed. </w:t>
      </w:r>
    </w:p>
    <w:p w14:paraId="384F39CB" w14:textId="77777777" w:rsidR="00642CDC" w:rsidRDefault="00642CDC" w:rsidP="00642CDC">
      <w:pPr>
        <w:rPr>
          <w:rFonts w:ascii="Franklin Gothic Book" w:hAnsi="Franklin Gothic Book" w:cstheme="minorHAnsi"/>
        </w:rPr>
      </w:pPr>
      <w:r>
        <w:rPr>
          <w:rFonts w:ascii="Franklin Gothic Book" w:hAnsi="Franklin Gothic Book" w:cstheme="minorHAnsi"/>
        </w:rPr>
        <w:t>ESC noted some additional access issues that may be raised with the introduction of these proposed items:</w:t>
      </w:r>
    </w:p>
    <w:p w14:paraId="5268FBB5" w14:textId="77777777" w:rsidR="00642CDC" w:rsidRDefault="00642CDC" w:rsidP="00642CDC">
      <w:pPr>
        <w:pStyle w:val="ListParagraph"/>
        <w:numPr>
          <w:ilvl w:val="0"/>
          <w:numId w:val="29"/>
        </w:numPr>
        <w:rPr>
          <w:rFonts w:cstheme="minorHAnsi"/>
        </w:rPr>
      </w:pPr>
      <w:r w:rsidRPr="004B0D3C">
        <w:rPr>
          <w:rFonts w:cstheme="minorHAnsi"/>
        </w:rPr>
        <w:t xml:space="preserve">whether new home testing options may have unintended consequences including </w:t>
      </w:r>
      <w:r>
        <w:rPr>
          <w:rFonts w:cstheme="minorHAnsi"/>
        </w:rPr>
        <w:t>sleep laboratory</w:t>
      </w:r>
      <w:r w:rsidRPr="004B0D3C">
        <w:rPr>
          <w:rFonts w:cstheme="minorHAnsi"/>
        </w:rPr>
        <w:t xml:space="preserve"> sites not maintaining current skills in accommodating children with disability or sensory support needs, and </w:t>
      </w:r>
    </w:p>
    <w:p w14:paraId="208D3C3A" w14:textId="77777777" w:rsidR="00642CDC" w:rsidRPr="007408F1" w:rsidRDefault="00642CDC" w:rsidP="00642CDC">
      <w:pPr>
        <w:pStyle w:val="ListParagraph"/>
        <w:numPr>
          <w:ilvl w:val="0"/>
          <w:numId w:val="29"/>
        </w:numPr>
      </w:pPr>
      <w:r w:rsidRPr="00BC1498">
        <w:rPr>
          <w:rFonts w:cstheme="minorHAnsi"/>
        </w:rPr>
        <w:t>whether introducing home-based sleep studies might have impacts on people's access to current State based schemes that provide transport subsidies to remote patients (such as NSW’s Isolated Patient Travel and Accommodation Assistance Scheme) if their preference was to have a sleep study at a sleep laboratory, but home-based options became available.</w:t>
      </w:r>
    </w:p>
    <w:p w14:paraId="722F1087" w14:textId="77777777" w:rsidR="00691254" w:rsidRDefault="00691254" w:rsidP="00691254">
      <w:pPr>
        <w:pStyle w:val="Heading2"/>
        <w:numPr>
          <w:ilvl w:val="0"/>
          <w:numId w:val="0"/>
        </w:numPr>
      </w:pPr>
      <w:r>
        <w:t>17.</w:t>
      </w:r>
      <w:r>
        <w:tab/>
        <w:t>Applicant comments on MSAC’s Public Summary Document</w:t>
      </w:r>
    </w:p>
    <w:p w14:paraId="75D7BF2A" w14:textId="45BCC342" w:rsidR="007444B3" w:rsidRDefault="007444B3" w:rsidP="007444B3">
      <w:pPr>
        <w:pStyle w:val="Heading2"/>
        <w:numPr>
          <w:ilvl w:val="0"/>
          <w:numId w:val="0"/>
        </w:numPr>
        <w:spacing w:line="259" w:lineRule="auto"/>
        <w:rPr>
          <w:rFonts w:ascii="Franklin Gothic Book" w:eastAsia="Times New Roman" w:hAnsi="Franklin Gothic Book" w:cs="Calibri"/>
          <w:color w:val="212121"/>
          <w:sz w:val="22"/>
          <w:szCs w:val="22"/>
          <w:lang w:eastAsia="en-GB"/>
        </w:rPr>
      </w:pPr>
      <w:r>
        <w:rPr>
          <w:rFonts w:ascii="Franklin Gothic Book" w:eastAsia="Times New Roman" w:hAnsi="Franklin Gothic Book" w:cs="Calibri"/>
          <w:color w:val="212121"/>
          <w:sz w:val="22"/>
          <w:szCs w:val="22"/>
          <w:lang w:eastAsia="en-GB"/>
        </w:rPr>
        <w:t xml:space="preserve">The Australasian Sleep Association is disappointed that out of laboratory sleep studies in children and adolescents have not been recommended for public funding. </w:t>
      </w:r>
      <w:r w:rsidRPr="0054763B">
        <w:rPr>
          <w:rFonts w:ascii="Franklin Gothic Book" w:eastAsia="Times New Roman" w:hAnsi="Franklin Gothic Book" w:cs="Calibri"/>
          <w:color w:val="212121"/>
          <w:sz w:val="22"/>
          <w:szCs w:val="22"/>
          <w:lang w:eastAsia="en-GB"/>
        </w:rPr>
        <w:t xml:space="preserve">The application was initiated and submitted by expert clinicians in paediatric sleep </w:t>
      </w:r>
      <w:r>
        <w:rPr>
          <w:rFonts w:ascii="Franklin Gothic Book" w:eastAsia="Times New Roman" w:hAnsi="Franklin Gothic Book" w:cs="Calibri"/>
          <w:color w:val="212121"/>
          <w:sz w:val="22"/>
          <w:szCs w:val="22"/>
          <w:lang w:eastAsia="en-GB"/>
        </w:rPr>
        <w:t xml:space="preserve">medicine </w:t>
      </w:r>
      <w:r w:rsidRPr="0054763B">
        <w:rPr>
          <w:rFonts w:ascii="Franklin Gothic Book" w:eastAsia="Times New Roman" w:hAnsi="Franklin Gothic Book" w:cs="Calibri"/>
          <w:color w:val="212121"/>
          <w:sz w:val="22"/>
          <w:szCs w:val="22"/>
          <w:lang w:eastAsia="en-GB"/>
        </w:rPr>
        <w:t>who were seriously concerned about significant numbers of children and adolescents currently remaining undiagnosed and untreated for obstructive sleep apnoea</w:t>
      </w:r>
      <w:r>
        <w:rPr>
          <w:rFonts w:ascii="Franklin Gothic Book" w:eastAsia="Times New Roman" w:hAnsi="Franklin Gothic Book" w:cs="Calibri"/>
          <w:color w:val="212121"/>
          <w:sz w:val="22"/>
          <w:szCs w:val="22"/>
          <w:lang w:eastAsia="en-GB"/>
        </w:rPr>
        <w:t>.</w:t>
      </w:r>
      <w:r w:rsidRPr="0054763B">
        <w:rPr>
          <w:rFonts w:ascii="Franklin Gothic Book" w:eastAsia="Times New Roman" w:hAnsi="Franklin Gothic Book" w:cs="Calibri"/>
          <w:color w:val="212121"/>
          <w:sz w:val="22"/>
          <w:szCs w:val="22"/>
          <w:lang w:eastAsia="en-GB"/>
        </w:rPr>
        <w:t xml:space="preserve"> Future health utilisation costs and adverse health and wellbeing outcomes for these children are significant, and strong support was expressed by all expert and consumer organisations who submitted comments on the application. There is repeated comparison in this public summary document </w:t>
      </w:r>
      <w:r>
        <w:rPr>
          <w:rFonts w:ascii="Franklin Gothic Book" w:eastAsia="Times New Roman" w:hAnsi="Franklin Gothic Book" w:cs="Calibri"/>
          <w:color w:val="212121"/>
          <w:sz w:val="22"/>
          <w:szCs w:val="22"/>
          <w:lang w:eastAsia="en-GB"/>
        </w:rPr>
        <w:t>to</w:t>
      </w:r>
      <w:r w:rsidRPr="0054763B">
        <w:rPr>
          <w:rFonts w:ascii="Franklin Gothic Book" w:eastAsia="Times New Roman" w:hAnsi="Franklin Gothic Book" w:cs="Calibri"/>
          <w:color w:val="212121"/>
          <w:sz w:val="22"/>
          <w:szCs w:val="22"/>
          <w:lang w:eastAsia="en-GB"/>
        </w:rPr>
        <w:t xml:space="preserve"> adults with sleep disordered breathing. The clinical and health system circumstances for these populations are different and these comparisons are inappropriate. </w:t>
      </w:r>
      <w:r>
        <w:rPr>
          <w:rFonts w:ascii="Franklin Gothic Book" w:eastAsia="Times New Roman" w:hAnsi="Franklin Gothic Book" w:cs="Calibri"/>
          <w:color w:val="212121"/>
          <w:sz w:val="22"/>
          <w:szCs w:val="22"/>
          <w:lang w:eastAsia="en-GB"/>
        </w:rPr>
        <w:t xml:space="preserve">Furthermore, the level of evidence required for paediatric applications can never match that for adult services, given the limited international research funding for paediatric services such as those in sleep medicine. This is acknowledged internationally and Australia is one the few developed health systems that does not have access to funded home-based sleep studies in children. </w:t>
      </w:r>
      <w:r w:rsidR="00522CDB">
        <w:rPr>
          <w:rFonts w:ascii="Franklin Gothic Book" w:eastAsia="Times New Roman" w:hAnsi="Franklin Gothic Book" w:cs="Calibri"/>
          <w:color w:val="212121"/>
          <w:sz w:val="22"/>
          <w:szCs w:val="22"/>
          <w:lang w:eastAsia="en-GB"/>
        </w:rPr>
        <w:t>T</w:t>
      </w:r>
      <w:r w:rsidR="00522CDB" w:rsidRPr="00522CDB">
        <w:rPr>
          <w:rFonts w:ascii="Franklin Gothic Book" w:eastAsia="Times New Roman" w:hAnsi="Franklin Gothic Book" w:cs="Calibri"/>
          <w:color w:val="212121"/>
          <w:sz w:val="22"/>
          <w:szCs w:val="22"/>
          <w:lang w:eastAsia="en-GB"/>
        </w:rPr>
        <w:t>he applicant disagrees with a number of the equity and accessibility concerns that have been raised and reiterates that the application was designed to increase access to diagnostic testing and to decrease wait list times, especially for underserved children such as those with disabilities and those in rural and regional area</w:t>
      </w:r>
      <w:r w:rsidR="00224F2D">
        <w:rPr>
          <w:rFonts w:ascii="Franklin Gothic Book" w:eastAsia="Times New Roman" w:hAnsi="Franklin Gothic Book" w:cs="Calibri"/>
          <w:color w:val="212121"/>
          <w:sz w:val="22"/>
          <w:szCs w:val="22"/>
          <w:lang w:eastAsia="en-GB"/>
        </w:rPr>
        <w:t>s.</w:t>
      </w:r>
    </w:p>
    <w:p w14:paraId="3BA57683" w14:textId="137475CC" w:rsidR="00691254" w:rsidRDefault="00691254" w:rsidP="00691254">
      <w:pPr>
        <w:pStyle w:val="Heading2"/>
        <w:numPr>
          <w:ilvl w:val="0"/>
          <w:numId w:val="0"/>
        </w:numPr>
      </w:pPr>
      <w:r>
        <w:t>18.</w:t>
      </w:r>
      <w:r>
        <w:tab/>
        <w:t>Further information on MSAC</w:t>
      </w:r>
    </w:p>
    <w:p w14:paraId="4B2F8593" w14:textId="7F40D101" w:rsidR="001820AB" w:rsidRPr="00691254" w:rsidRDefault="00691254" w:rsidP="00691254">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17" w:tooltip="Link to the MSAC website" w:history="1">
        <w:r w:rsidRPr="00F309FA">
          <w:rPr>
            <w:rStyle w:val="Hyperlink"/>
            <w:rFonts w:ascii="Franklin Gothic Book" w:hAnsi="Franklin Gothic Book"/>
            <w:iCs/>
            <w:sz w:val="22"/>
          </w:rPr>
          <w:t>visit the MSAC website</w:t>
        </w:r>
      </w:hyperlink>
    </w:p>
    <w:sectPr w:rsidR="001820AB" w:rsidRPr="0069125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9FED" w14:textId="77777777" w:rsidR="00FC3355" w:rsidRDefault="00FC3355" w:rsidP="00B33452">
      <w:pPr>
        <w:spacing w:after="0"/>
      </w:pPr>
      <w:r>
        <w:separator/>
      </w:r>
    </w:p>
  </w:endnote>
  <w:endnote w:type="continuationSeparator" w:id="0">
    <w:p w14:paraId="3CB1F7CE" w14:textId="77777777" w:rsidR="00FC3355" w:rsidRDefault="00FC3355" w:rsidP="00B33452">
      <w:pPr>
        <w:spacing w:after="0"/>
      </w:pPr>
      <w:r>
        <w:continuationSeparator/>
      </w:r>
    </w:p>
  </w:endnote>
  <w:endnote w:type="continuationNotice" w:id="1">
    <w:p w14:paraId="4B54A6AF" w14:textId="77777777" w:rsidR="00FC3355" w:rsidRDefault="00FC33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E25D" w14:textId="77777777" w:rsidR="005F33AA" w:rsidRDefault="005F3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78700"/>
      <w:docPartObj>
        <w:docPartGallery w:val="Page Numbers (Bottom of Page)"/>
        <w:docPartUnique/>
      </w:docPartObj>
    </w:sdtPr>
    <w:sdtEndPr>
      <w:rPr>
        <w:noProof/>
      </w:rPr>
    </w:sdtEndPr>
    <w:sdtContent>
      <w:p w14:paraId="1674A56B" w14:textId="18BF6F01" w:rsidR="003E6C7F" w:rsidRDefault="003E6C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1325" w14:textId="77777777" w:rsidR="005F33AA" w:rsidRDefault="005F3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F866" w14:textId="77777777" w:rsidR="00FC3355" w:rsidRDefault="00FC3355" w:rsidP="00B33452">
      <w:pPr>
        <w:spacing w:after="0"/>
      </w:pPr>
      <w:r>
        <w:separator/>
      </w:r>
    </w:p>
  </w:footnote>
  <w:footnote w:type="continuationSeparator" w:id="0">
    <w:p w14:paraId="19202E7D" w14:textId="77777777" w:rsidR="00FC3355" w:rsidRDefault="00FC3355" w:rsidP="00B33452">
      <w:pPr>
        <w:spacing w:after="0"/>
      </w:pPr>
      <w:r>
        <w:continuationSeparator/>
      </w:r>
    </w:p>
  </w:footnote>
  <w:footnote w:type="continuationNotice" w:id="1">
    <w:p w14:paraId="70A32D8E" w14:textId="77777777" w:rsidR="00FC3355" w:rsidRDefault="00FC3355">
      <w:pPr>
        <w:spacing w:after="0"/>
      </w:pPr>
    </w:p>
  </w:footnote>
  <w:footnote w:id="2">
    <w:p w14:paraId="620AB07C" w14:textId="77777777" w:rsidR="00594927" w:rsidRDefault="00594927" w:rsidP="00594927">
      <w:pPr>
        <w:pStyle w:val="FootnoteText"/>
      </w:pPr>
      <w:r>
        <w:rPr>
          <w:rStyle w:val="FootnoteReference"/>
        </w:rPr>
        <w:footnoteRef/>
      </w:r>
      <w:r>
        <w:tab/>
      </w:r>
      <w:r w:rsidRPr="00365A57">
        <w:t>Pamula Y</w:t>
      </w:r>
      <w:r>
        <w:t xml:space="preserve"> </w:t>
      </w:r>
      <w:r w:rsidRPr="00365A57">
        <w:t>et al. (2017)</w:t>
      </w:r>
      <w:r>
        <w:t>.</w:t>
      </w:r>
      <w:r w:rsidRPr="00365A57">
        <w:t xml:space="preserve"> </w:t>
      </w:r>
      <w:hyperlink r:id="rId1" w:history="1">
        <w:r w:rsidRPr="000B3787">
          <w:rPr>
            <w:rStyle w:val="Hyperlink"/>
          </w:rPr>
          <w:t>Australasian Sleep Association clinical practice guidelines for performing sleep studies in children</w:t>
        </w:r>
      </w:hyperlink>
      <w:r w:rsidRPr="00365A57">
        <w:t xml:space="preserve">, </w:t>
      </w:r>
      <w:r w:rsidRPr="008605F8">
        <w:rPr>
          <w:i/>
          <w:iCs/>
        </w:rPr>
        <w:t>Sleep Med</w:t>
      </w:r>
      <w:r w:rsidRPr="00365A57">
        <w:t>, 36</w:t>
      </w:r>
      <w:r>
        <w:t>(</w:t>
      </w:r>
      <w:r w:rsidRPr="00365A57">
        <w:t>Suppl</w:t>
      </w:r>
      <w:r>
        <w:t> </w:t>
      </w:r>
      <w:r w:rsidRPr="00365A57">
        <w:t>1</w:t>
      </w:r>
      <w:r>
        <w:t>)</w:t>
      </w:r>
      <w:r w:rsidRPr="00365A57">
        <w:t>:S23</w:t>
      </w:r>
      <w:r>
        <w:t>–</w:t>
      </w:r>
      <w:r w:rsidRPr="00365A57">
        <w:t>S42</w:t>
      </w:r>
      <w:r>
        <w:t>.</w:t>
      </w:r>
      <w:r w:rsidRPr="00365A57">
        <w:t xml:space="preserve"> </w:t>
      </w:r>
    </w:p>
  </w:footnote>
  <w:footnote w:id="3">
    <w:p w14:paraId="3ED5DCF8" w14:textId="61E9315F" w:rsidR="003E6C7F" w:rsidRDefault="003E6C7F">
      <w:pPr>
        <w:pStyle w:val="FootnoteText"/>
      </w:pPr>
      <w:r>
        <w:rPr>
          <w:rStyle w:val="FootnoteReference"/>
        </w:rPr>
        <w:footnoteRef/>
      </w:r>
      <w:r>
        <w:t xml:space="preserve"> Cielo CM, Kelly A, Xanthopoulos M, Pipan M, Arputhan A, Walega R, Ward M, Falvo J et al. (2023) 'Feasibility and performance of home sleep apnea testing in youth with Down syndrome', </w:t>
      </w:r>
      <w:r>
        <w:rPr>
          <w:i/>
        </w:rPr>
        <w:t>Journal of clinical sleep medicine : JCSM : official publication of the American Academy of Sleep Medicine</w:t>
      </w:r>
      <w:r>
        <w:t>, doi:https://doi.org/10.5664/jcsm.10610.</w:t>
      </w:r>
    </w:p>
  </w:footnote>
  <w:footnote w:id="4">
    <w:p w14:paraId="15969959" w14:textId="49A63822" w:rsidR="003E6C7F" w:rsidRDefault="003E6C7F">
      <w:pPr>
        <w:pStyle w:val="FootnoteText"/>
      </w:pPr>
      <w:r>
        <w:rPr>
          <w:rStyle w:val="FootnoteReference"/>
        </w:rPr>
        <w:footnoteRef/>
      </w:r>
      <w:r>
        <w:t xml:space="preserve"> </w:t>
      </w:r>
      <w:r w:rsidRPr="00425E1D">
        <w:t>Withers A, Maul J, Rosenheim E, O’Donnell A, Wilson A, and Stick S (2022) 'Comparison of home ambulatory type 2 polysomnography with a portable monitoring device and in-laboratory type 1 polysomnography for the diagnosis of obstructive sleep apnea in children', Journal of Clinical Sleep Medicine, 18(2): 393-402, doi:https://doi.org/10.5664/jcsm.9576</w:t>
      </w:r>
      <w:r>
        <w:t>.</w:t>
      </w:r>
    </w:p>
  </w:footnote>
  <w:footnote w:id="5">
    <w:p w14:paraId="66EF555B" w14:textId="1155350D" w:rsidR="003E6C7F" w:rsidRDefault="003E6C7F">
      <w:pPr>
        <w:pStyle w:val="FootnoteText"/>
      </w:pPr>
      <w:r>
        <w:rPr>
          <w:rStyle w:val="FootnoteReference"/>
        </w:rPr>
        <w:footnoteRef/>
      </w:r>
      <w:r>
        <w:t xml:space="preserve"> </w:t>
      </w:r>
      <w:r w:rsidRPr="002B1B7A">
        <w:t>Goodwin JL, Enright PL, Kaemingk KL, Rosen GM, Morgan WJ, Fregosi RF, and Quan SF (2001) 'Feasibility of using unattended polysomnography in children for research-report of the tucson children's assessment of sleep apnea study (TuCASA)', Sleep, 24(8): 937-944, doi:https://doi.org/10.1093/sleep/24.8.937.</w:t>
      </w:r>
    </w:p>
  </w:footnote>
  <w:footnote w:id="6">
    <w:p w14:paraId="362640C4" w14:textId="0E80A242" w:rsidR="003E6C7F" w:rsidRDefault="003E6C7F">
      <w:pPr>
        <w:pStyle w:val="FootnoteText"/>
      </w:pPr>
      <w:r>
        <w:rPr>
          <w:rStyle w:val="FootnoteReference"/>
        </w:rPr>
        <w:footnoteRef/>
      </w:r>
      <w:r>
        <w:t xml:space="preserve"> </w:t>
      </w:r>
      <w:r w:rsidRPr="007D653D">
        <w:t>Ioan I, Weick D, Schweitzer C, Guyon A, Coutier L, and Franco P (2020) 'Feasibility of parent-attended ambulatory polysomnography in children with suspected obstructive sleep apnea', Journal of Clinical Sleep Medicine, 16(7): 1013-1019, doi:https://doi.org/10.5664/jcsm.8372</w:t>
      </w:r>
    </w:p>
  </w:footnote>
  <w:footnote w:id="7">
    <w:p w14:paraId="107D2D49" w14:textId="46F99211" w:rsidR="003E6C7F" w:rsidRDefault="003E6C7F">
      <w:pPr>
        <w:pStyle w:val="FootnoteText"/>
      </w:pPr>
      <w:r>
        <w:rPr>
          <w:rStyle w:val="FootnoteReference"/>
        </w:rPr>
        <w:footnoteRef/>
      </w:r>
      <w:r w:rsidRPr="00BD6A4F">
        <w:t>Marcus CL, Traylor J, Biggs SN, Roberts RS, Nixon GM, Narang I, Bhattacharjee R, Davey MJ et al. (2014) 'Feasibility of comprehensive, unattended ambulatory polysomnography in school-aged children', Journal of Clinical Sleep Medicine, 10(8): 913-918, doi:https://doi.org/10.5664/jcsm.3970.</w:t>
      </w:r>
      <w:r>
        <w:t xml:space="preserve"> </w:t>
      </w:r>
    </w:p>
  </w:footnote>
  <w:footnote w:id="8">
    <w:p w14:paraId="53BE8B18" w14:textId="4D73D2D3" w:rsidR="003E6C7F" w:rsidRDefault="003E6C7F">
      <w:pPr>
        <w:pStyle w:val="FootnoteText"/>
      </w:pPr>
      <w:r>
        <w:rPr>
          <w:rStyle w:val="FootnoteReference"/>
        </w:rPr>
        <w:footnoteRef/>
      </w:r>
      <w:r>
        <w:t xml:space="preserve"> </w:t>
      </w:r>
      <w:r w:rsidRPr="0013779F">
        <w:t>Russo K, Greenhill J, and Burgess S (2021) 'Home (Level 2) polysomnography is feasible in children with suspected sleep disorders', Sleep Medicine, 88: 157-161, doi:https://doi.org/10.1016/j.sleep.2021.10.024.</w:t>
      </w:r>
    </w:p>
  </w:footnote>
  <w:footnote w:id="9">
    <w:p w14:paraId="7B52DA1A" w14:textId="0A45A9C6" w:rsidR="003E6C7F" w:rsidRDefault="003E6C7F">
      <w:pPr>
        <w:pStyle w:val="FootnoteText"/>
      </w:pPr>
      <w:r>
        <w:rPr>
          <w:rStyle w:val="FootnoteReference"/>
        </w:rPr>
        <w:footnoteRef/>
      </w:r>
      <w:r>
        <w:t xml:space="preserve"> </w:t>
      </w:r>
      <w:r w:rsidRPr="004F03A8">
        <w:t>Alonso-Álvarez ML, Terán-Santos J, Ordax Carbajo E, Cordero-Guevara JA, Navazo-Egüia AI, Kheirandish-Gozal L, and Gozal D (2015) 'Reliability of home respiratory polygraphy for the diagnosis of sleep apnea in children', Chest, 147(4): 1020-1028, doi:https://doi.org/10.1378/chest.14-1959.</w:t>
      </w:r>
    </w:p>
  </w:footnote>
  <w:footnote w:id="10">
    <w:p w14:paraId="1C73D5F1" w14:textId="25F6038B" w:rsidR="003E6C7F" w:rsidRDefault="003E6C7F">
      <w:pPr>
        <w:pStyle w:val="FootnoteText"/>
      </w:pPr>
      <w:r>
        <w:rPr>
          <w:rStyle w:val="FootnoteReference"/>
        </w:rPr>
        <w:footnoteRef/>
      </w:r>
      <w:r>
        <w:t xml:space="preserve"> </w:t>
      </w:r>
      <w:r w:rsidRPr="001D2AE2">
        <w:t>Ikizoglu NB, Kiyan E, Polat B, Ay P, Karadag B, and Ersu R (2019) 'Are home sleep studies useful in diagnosing obstructive sleep apnea in children with down syndrome?', Pediatric Pulmonology, 54(10): 1541-1546, doi:https://doi.org/10.1002/ppul.24440.</w:t>
      </w:r>
    </w:p>
  </w:footnote>
  <w:footnote w:id="11">
    <w:p w14:paraId="01EBFAEF" w14:textId="7E4E5C08" w:rsidR="003E6C7F" w:rsidRDefault="003E6C7F">
      <w:pPr>
        <w:pStyle w:val="FootnoteText"/>
      </w:pPr>
      <w:r>
        <w:rPr>
          <w:rStyle w:val="FootnoteReference"/>
        </w:rPr>
        <w:footnoteRef/>
      </w:r>
      <w:r>
        <w:t xml:space="preserve"> </w:t>
      </w:r>
      <w:r w:rsidRPr="00176027">
        <w:t>Revana A, Vecchio J, Guffey D, Minard CG, and Glaze DG (2022) 'Clinical application of home sleep apnea testing in children: a prospective pilot study', Journal of Clinical Sleep Medicine, 18(2): 533-540, doi:https://doi.org/10.5664/jcsm.9650.</w:t>
      </w:r>
    </w:p>
  </w:footnote>
  <w:footnote w:id="12">
    <w:p w14:paraId="3E315521" w14:textId="3CB4E933" w:rsidR="003E6C7F" w:rsidRDefault="003E6C7F">
      <w:pPr>
        <w:pStyle w:val="FootnoteText"/>
      </w:pPr>
      <w:r>
        <w:rPr>
          <w:rStyle w:val="FootnoteReference"/>
        </w:rPr>
        <w:footnoteRef/>
      </w:r>
      <w:r>
        <w:t xml:space="preserve"> </w:t>
      </w:r>
      <w:r w:rsidRPr="00DF05AD">
        <w:t>Fishman H, Massicotte C, Li R, Zabih W, McAdam LC, Al-Saleh S, and Amin R (2018) 'The accuracy of an ambulatory level III sleep study compared to a level I sleep study for the diagnosis of sleep-disordered breathing in children with neuromuscular disease', Journal of Clinical Sleep Medicine, 14(12): 2013-2020, doi:https://doi.org/10.5664/jcsm.7526.</w:t>
      </w:r>
    </w:p>
  </w:footnote>
  <w:footnote w:id="13">
    <w:p w14:paraId="720D4EC0" w14:textId="7F0B742E" w:rsidR="003E6C7F" w:rsidRDefault="003E6C7F">
      <w:pPr>
        <w:pStyle w:val="FootnoteText"/>
      </w:pPr>
      <w:r>
        <w:rPr>
          <w:rStyle w:val="FootnoteReference"/>
        </w:rPr>
        <w:footnoteRef/>
      </w:r>
      <w:r>
        <w:t xml:space="preserve"> </w:t>
      </w:r>
      <w:r w:rsidRPr="00386B2D">
        <w:t>Brockmann PE, Damiani F, Nuñez F, Moya A, Pincheira E, Paul MA, and Lizama M (2016) 'Sleep-disordered breathing in children with Down syndrome: Usefulness of home polysomnography', International Journal of Pediatric Otorhinolaryngology, 83: 47-50, doi:https://doi.org/10.1016/j.ijporl.2016.01.030.</w:t>
      </w:r>
    </w:p>
  </w:footnote>
  <w:footnote w:id="14">
    <w:p w14:paraId="2CF4A83B" w14:textId="14BD1CDF" w:rsidR="003E6C7F" w:rsidRDefault="003E6C7F">
      <w:pPr>
        <w:pStyle w:val="FootnoteText"/>
      </w:pPr>
      <w:r>
        <w:rPr>
          <w:rStyle w:val="FootnoteReference"/>
        </w:rPr>
        <w:footnoteRef/>
      </w:r>
      <w:r>
        <w:t xml:space="preserve"> </w:t>
      </w:r>
      <w:r w:rsidRPr="00B57C00">
        <w:t>Chiner E, Cánovas C, Molina V, Sancho-Chust JN, Vañes S, Pastor E, and Martinez-Garcia MA (2020) 'Home respiratory polygraphy is useful in the diagnosis of childhood obstructive sleep apnea syndrome', Journal of Clinical Medicine, 9(7): 1-13, doi:https://doi.org/10.3390/jcm9072067.</w:t>
      </w:r>
    </w:p>
  </w:footnote>
  <w:footnote w:id="15">
    <w:p w14:paraId="2ED4600D" w14:textId="33AA88F9" w:rsidR="003E6C7F" w:rsidRDefault="003E6C7F">
      <w:pPr>
        <w:pStyle w:val="FootnoteText"/>
      </w:pPr>
      <w:r>
        <w:rPr>
          <w:rStyle w:val="FootnoteReference"/>
        </w:rPr>
        <w:footnoteRef/>
      </w:r>
      <w:r>
        <w:t xml:space="preserve"> </w:t>
      </w:r>
      <w:r w:rsidRPr="005142CE">
        <w:t>Green A, Nagel N, Kemer L, and Dagan Y (2022) 'Comparing in-lab full polysomnography for diagnosing sleep apnea in children to home sleep apnea tests (HSAT) with an online video attending technician', Sleep and Biological Rhythms, 20(3): 397-401, doi:https://doi.org/10.1007/s41105-022-00384-7.</w:t>
      </w:r>
    </w:p>
  </w:footnote>
  <w:footnote w:id="16">
    <w:p w14:paraId="1D921792" w14:textId="5375D0C9" w:rsidR="003E6C7F" w:rsidRDefault="003E6C7F">
      <w:pPr>
        <w:pStyle w:val="FootnoteText"/>
      </w:pPr>
      <w:r>
        <w:rPr>
          <w:rStyle w:val="FootnoteReference"/>
        </w:rPr>
        <w:footnoteRef/>
      </w:r>
      <w:r>
        <w:t xml:space="preserve"> </w:t>
      </w:r>
      <w:r w:rsidRPr="00B136A1">
        <w:t>Venekamp RP, Hearne BJ, Chandrasekharan D, Blackshaw H, Lim J, and Schilder AGM (2015) 'Tonsillectomy or adenotonsillectomy versus non-surgical management for obstructive sleep-disordered breathing in children', Cochrane Database of Systematic Reviews, 2015(10),</w:t>
      </w:r>
    </w:p>
  </w:footnote>
  <w:footnote w:id="17">
    <w:p w14:paraId="08E7E505" w14:textId="600BBFED" w:rsidR="003E6C7F" w:rsidRDefault="003E6C7F">
      <w:pPr>
        <w:pStyle w:val="FootnoteText"/>
      </w:pPr>
      <w:r>
        <w:rPr>
          <w:rStyle w:val="FootnoteReference"/>
        </w:rPr>
        <w:footnoteRef/>
      </w:r>
      <w:r>
        <w:t xml:space="preserve"> </w:t>
      </w:r>
      <w:r w:rsidRPr="000F0267">
        <w:t>Francis DO, Chinnadurai S, Sathe NA, Morad A, Jordan AK, Krishnaswami S, Fonnesbeck C, and McPheeters ML. (January 2017). Tonsillectomy for Obstructive Sleep-Disordered Breathing or Recurrent Throat Infection in Children. In Comparative Effectiveness Reviews, No. 183. . Agency for Healthcare Research and Quality (US).</w:t>
      </w:r>
    </w:p>
  </w:footnote>
  <w:footnote w:id="18">
    <w:p w14:paraId="5FBA6374" w14:textId="3B6F540A" w:rsidR="003E6C7F" w:rsidRDefault="003E6C7F">
      <w:pPr>
        <w:pStyle w:val="FootnoteText"/>
      </w:pPr>
      <w:r>
        <w:rPr>
          <w:rStyle w:val="FootnoteReference"/>
        </w:rPr>
        <w:footnoteRef/>
      </w:r>
      <w:r>
        <w:t xml:space="preserve"> </w:t>
      </w:r>
      <w:r w:rsidRPr="00312752">
        <w:t>Lanzlinger D, Kevat A, Collaro A, Poh SH, Pérez WP, and Chawla J (2023) 'Tolerance of polysomnography in children with neurodevelopmental disorders compared to neurotypical peers', J Clin Sleep Med, 19(9): 1625-1631, doi:https://doi.org/10.5664/jcsm.10626.</w:t>
      </w:r>
    </w:p>
  </w:footnote>
  <w:footnote w:id="19">
    <w:p w14:paraId="1D986A27" w14:textId="5F73230C" w:rsidR="003E6C7F" w:rsidRDefault="003E6C7F">
      <w:pPr>
        <w:pStyle w:val="FootnoteText"/>
      </w:pPr>
      <w:r>
        <w:rPr>
          <w:rStyle w:val="FootnoteReference"/>
        </w:rPr>
        <w:footnoteRef/>
      </w:r>
      <w:r>
        <w:t xml:space="preserve"> </w:t>
      </w:r>
      <w:r w:rsidRPr="00F77F93">
        <w:t>Primeau M, Gershon A, Talbot L, Cotto I, Lotspeich L, Hardan A, Hallmayer J, and O'Hara R (2016) 'Individuals with Autism Spectrum Disorders Have Equal Success Rate But Require Longer Periods of Systematic Desensitization than Control Patients to Complete Ambulatory Polysomnography', J Clin Sleep Med, 12(3): 357-362, doi:https://doi.org/10.5664/jcsm.5584.</w:t>
      </w:r>
    </w:p>
  </w:footnote>
  <w:footnote w:id="20">
    <w:p w14:paraId="06243A6E" w14:textId="2B053543" w:rsidR="003E6C7F" w:rsidRDefault="003E6C7F">
      <w:pPr>
        <w:pStyle w:val="FootnoteText"/>
      </w:pPr>
      <w:r>
        <w:rPr>
          <w:rStyle w:val="FootnoteReference"/>
        </w:rPr>
        <w:footnoteRef/>
      </w:r>
      <w:r>
        <w:t xml:space="preserve"> </w:t>
      </w:r>
      <w:r w:rsidRPr="00C1286C">
        <w:t>Jones S, Hanwell R, Chowdhury T, Orgill J, Van Den Eshof K, Farquhar M, Joseph D, Gringras P et al. (2023) 'Feasibility and parental perception of home sleep studies during COVID-19: A tertiary sleep centre experience', Archives of Disease in Childhood, doi:https://doi.org/10.1136/archdischild-2021-322184.</w:t>
      </w:r>
    </w:p>
  </w:footnote>
  <w:footnote w:id="21">
    <w:p w14:paraId="37847CDD" w14:textId="71D448DD" w:rsidR="003E6C7F" w:rsidRDefault="003E6C7F">
      <w:pPr>
        <w:pStyle w:val="FootnoteText"/>
      </w:pPr>
      <w:r>
        <w:rPr>
          <w:rStyle w:val="FootnoteReference"/>
        </w:rPr>
        <w:footnoteRef/>
      </w:r>
      <w:r>
        <w:t xml:space="preserve"> </w:t>
      </w:r>
      <w:r w:rsidRPr="00495A10">
        <w:t>Luong S, Culp M, McCreary M, Wani A, and Caraballo M (2023) 'Reasons and predictors for early termination of pediatric polysomnography: one children's hospital's experience', Journal of clinical sleep medicine : JCSM : official publication of the American Academy of Sleep Medicine, doi:https://doi.org/10.5664/jcsm.10646.</w:t>
      </w:r>
    </w:p>
  </w:footnote>
  <w:footnote w:id="22">
    <w:p w14:paraId="5F97300E" w14:textId="70C8D5FC" w:rsidR="003E6C7F" w:rsidRDefault="003E6C7F">
      <w:pPr>
        <w:pStyle w:val="FootnoteText"/>
      </w:pPr>
      <w:r>
        <w:rPr>
          <w:rStyle w:val="FootnoteReference"/>
        </w:rPr>
        <w:footnoteRef/>
      </w:r>
      <w:r>
        <w:t xml:space="preserve"> </w:t>
      </w:r>
      <w:r w:rsidRPr="00D314C3">
        <w:t>Amaddeo A, Caldarelli V, Fernandez-Bolanos M, Moreau J, Ramirez A, Khirani S, and Fauroux B (2015) 'Polygraphic respiratory events during sleep in children treated with home continuous positive airway pressure: Description and clinical consequences', Sleep Medicine, 16(1): 107-112, doi:https://doi.org/10.1016/j.sleep.2014.07.030.</w:t>
      </w:r>
    </w:p>
  </w:footnote>
  <w:footnote w:id="23">
    <w:p w14:paraId="1CC84050" w14:textId="5D8C7238" w:rsidR="003E6C7F" w:rsidRDefault="003E6C7F">
      <w:pPr>
        <w:pStyle w:val="FootnoteText"/>
      </w:pPr>
      <w:r>
        <w:rPr>
          <w:rStyle w:val="FootnoteReference"/>
        </w:rPr>
        <w:footnoteRef/>
      </w:r>
      <w:r>
        <w:t xml:space="preserve"> </w:t>
      </w:r>
      <w:r w:rsidRPr="00035B2B">
        <w:t>Merlin T, Lifiu Z, and Wang S. (June 2010). Unattended sleep studies in the diagnosis and reassessment of obstructive sleep apnoea. In MSAC Application No. 1130. Medical Services Advisory Committee, Department of Health.</w:t>
      </w:r>
    </w:p>
  </w:footnote>
  <w:footnote w:id="24">
    <w:p w14:paraId="3D9B3838" w14:textId="10734B97" w:rsidR="003E6C7F" w:rsidRDefault="003E6C7F">
      <w:pPr>
        <w:pStyle w:val="FootnoteText"/>
      </w:pPr>
      <w:r>
        <w:rPr>
          <w:rStyle w:val="FootnoteReference"/>
        </w:rPr>
        <w:footnoteRef/>
      </w:r>
      <w:r>
        <w:t xml:space="preserve"> </w:t>
      </w:r>
      <w:r w:rsidRPr="00D02091">
        <w:t>Pamula Y, Nixon GM, Edwards E, Teng A, Verginis N, Davey MJ, Waters K, Suresh S et al. (2017) 'Australasian Sleep Association clinical practice guidelines for performing sleep studies in children', Sleep Med, 36 Suppl 1: S23-S42, doi:https://doi.org/10.1016/j.sleep.2017.03.020.</w:t>
      </w:r>
    </w:p>
  </w:footnote>
  <w:footnote w:id="25">
    <w:p w14:paraId="41DC819E" w14:textId="48D0BE75" w:rsidR="003E6C7F" w:rsidRDefault="003E6C7F">
      <w:pPr>
        <w:pStyle w:val="FootnoteText"/>
      </w:pPr>
      <w:r>
        <w:rPr>
          <w:rStyle w:val="FootnoteReference"/>
        </w:rPr>
        <w:footnoteRef/>
      </w:r>
      <w:r>
        <w:t xml:space="preserve"> </w:t>
      </w:r>
      <w:r w:rsidRPr="00C06445">
        <w:t>Tan E, Nixon GM, and Edwards EA (2007) 'Sleep studies frequently lead to changes in respiratory support in children', Journal of Paediatrics and Child Health, 43(7-8): 560-563, doi:https://doi.org/10.1111/j.1440-1754.2007.01138.x.</w:t>
      </w:r>
    </w:p>
  </w:footnote>
  <w:footnote w:id="26">
    <w:p w14:paraId="331933D4" w14:textId="7FF7DABF" w:rsidR="003E6C7F" w:rsidRDefault="003E6C7F">
      <w:pPr>
        <w:pStyle w:val="FootnoteText"/>
      </w:pPr>
      <w:r>
        <w:rPr>
          <w:rStyle w:val="FootnoteReference"/>
        </w:rPr>
        <w:footnoteRef/>
      </w:r>
      <w:r>
        <w:t xml:space="preserve"> </w:t>
      </w:r>
      <w:r w:rsidRPr="005B3CDE">
        <w:t>Widger JA, Davey MJ, and Nixon GM (2014) 'Sleep studies in children on long-term non-invasive respiratory support', Sleep and Breathing: 1-5, doi:https://doi.org/10.1007/s11325-014-0960-6.</w:t>
      </w:r>
    </w:p>
  </w:footnote>
  <w:footnote w:id="27">
    <w:p w14:paraId="19663401" w14:textId="77777777" w:rsidR="003E6C7F" w:rsidRDefault="003E6C7F" w:rsidP="005E1CA4">
      <w:pPr>
        <w:pStyle w:val="FootnoteText"/>
      </w:pPr>
      <w:r>
        <w:rPr>
          <w:rStyle w:val="FootnoteReference"/>
        </w:rPr>
        <w:footnoteRef/>
      </w:r>
      <w:r>
        <w:t xml:space="preserve"> Based on a combination of Australian Bureau of Statistics population data and an estimate of proportion of children with OSA from </w:t>
      </w:r>
      <w:r w:rsidRPr="00DD4EBE">
        <w:t>Marcus et al. (2012)</w:t>
      </w:r>
      <w:r>
        <w:t xml:space="preserve">. </w:t>
      </w:r>
    </w:p>
  </w:footnote>
  <w:footnote w:id="28">
    <w:p w14:paraId="00E5BDFE" w14:textId="77777777" w:rsidR="003E6C7F" w:rsidRDefault="003E6C7F" w:rsidP="005E1CA4">
      <w:pPr>
        <w:pStyle w:val="FootnoteText"/>
      </w:pPr>
      <w:r>
        <w:rPr>
          <w:rStyle w:val="FootnoteReference"/>
        </w:rPr>
        <w:footnoteRef/>
      </w:r>
      <w:r>
        <w:t xml:space="preserve"> Based on a combination of Australian Bureau of Statistics population data and an estimate of proportion of children with OSA from </w:t>
      </w:r>
      <w:r w:rsidRPr="00DD4EBE">
        <w:t>Marcus et al. (2012)</w:t>
      </w:r>
      <w:r>
        <w:t xml:space="preserve">. </w:t>
      </w:r>
    </w:p>
  </w:footnote>
  <w:footnote w:id="29">
    <w:p w14:paraId="6F51EE48" w14:textId="18F0AB5E" w:rsidR="003E6C7F" w:rsidRDefault="003E6C7F">
      <w:pPr>
        <w:pStyle w:val="FootnoteText"/>
      </w:pPr>
      <w:r>
        <w:rPr>
          <w:rStyle w:val="FootnoteReference"/>
        </w:rPr>
        <w:footnoteRef/>
      </w:r>
      <w:r>
        <w:t xml:space="preserve"> </w:t>
      </w:r>
      <w:r w:rsidRPr="00267BF2">
        <w:t>Edwards EA, and Nixon GM (2013) 'Paediatric home ventilatory support: changing milieu, proactive solutions. Australasian Paediatric Respiratory Group Working Party on Home Ventilation.', J Paediatr Child Health, 49(1): 13-18, doi:https://doi.org/10.1111/jpc.12040</w:t>
      </w:r>
      <w:r>
        <w:t xml:space="preserve">. </w:t>
      </w:r>
    </w:p>
  </w:footnote>
  <w:footnote w:id="30">
    <w:p w14:paraId="5B36683C" w14:textId="6CEABF99" w:rsidR="003E6C7F" w:rsidRDefault="003E6C7F">
      <w:pPr>
        <w:pStyle w:val="FootnoteText"/>
      </w:pPr>
      <w:r>
        <w:rPr>
          <w:rStyle w:val="FootnoteReference"/>
        </w:rPr>
        <w:footnoteRef/>
      </w:r>
      <w:r>
        <w:t xml:space="preserve"> </w:t>
      </w:r>
      <w:r w:rsidRPr="003D0127">
        <w:t>Nixon GM, and Davey M (2015) 'Sleep apnoea in the child', Aust Fam Physician, 44(6): 352-355, https://www.ncbi.nlm.nih.gov/pubmed/26209982</w:t>
      </w:r>
      <w:r>
        <w:t>.</w:t>
      </w:r>
    </w:p>
  </w:footnote>
  <w:footnote w:id="31">
    <w:p w14:paraId="34007F07" w14:textId="6A9B25FF" w:rsidR="003E6C7F" w:rsidRDefault="003E6C7F">
      <w:pPr>
        <w:pStyle w:val="FootnoteText"/>
      </w:pPr>
      <w:r>
        <w:rPr>
          <w:rStyle w:val="FootnoteReference"/>
        </w:rPr>
        <w:footnoteRef/>
      </w:r>
      <w:r>
        <w:t xml:space="preserve"> </w:t>
      </w:r>
      <w:r w:rsidRPr="004B20FC">
        <w:t>McGahan L, Scott A (2015). ‘Tonsillectomy, Adenoidectomy and Adenotonsillectomy for Obstructive Sleep Apnoea: Review of Clinical Evidence and Guidelines’, Australian Safety and Efficacy Register of New Interventional Procedures – Surgical (ASERNIP-S). The Royal Australasian College of Surgeons. Report produced for the Victorian Government Department of Health, Melbourne</w:t>
      </w:r>
      <w:r>
        <w:t>.</w:t>
      </w:r>
    </w:p>
  </w:footnote>
  <w:footnote w:id="32">
    <w:p w14:paraId="481F879B" w14:textId="0FD79419" w:rsidR="003E6C7F" w:rsidRDefault="003E6C7F">
      <w:pPr>
        <w:pStyle w:val="FootnoteText"/>
      </w:pPr>
      <w:r>
        <w:rPr>
          <w:rStyle w:val="FootnoteReference"/>
        </w:rPr>
        <w:footnoteRef/>
      </w:r>
      <w:r>
        <w:t xml:space="preserve"> </w:t>
      </w:r>
      <w:r w:rsidRPr="0026799F">
        <w:t>ACSQHC (Australian Commission on Safety and Quality in Health Care; Australian Institute of Health and Welfare) (April 2021) The Fourth Australian Atlas of Healthcare Variation, last accessed 13 December 2023</w:t>
      </w:r>
      <w:r>
        <w:t xml:space="preserve">. </w:t>
      </w:r>
    </w:p>
  </w:footnote>
  <w:footnote w:id="33">
    <w:p w14:paraId="654C3F01" w14:textId="77777777" w:rsidR="00642CDC" w:rsidRDefault="00642CDC" w:rsidP="00642CDC">
      <w:pPr>
        <w:pStyle w:val="FootnoteText"/>
      </w:pPr>
      <w:r>
        <w:rPr>
          <w:rStyle w:val="FootnoteReference"/>
        </w:rPr>
        <w:footnoteRef/>
      </w:r>
      <w:r>
        <w:t xml:space="preserve"> Hazkani et al. (2023). </w:t>
      </w:r>
      <w:hyperlink r:id="rId2" w:history="1">
        <w:r>
          <w:rPr>
            <w:rStyle w:val="Hyperlink"/>
          </w:rPr>
          <w:t>Adenotonsillectomy or watchful waiting for pediatric sleep-disordered breathing</w:t>
        </w:r>
      </w:hyperlink>
      <w:r>
        <w:t xml:space="preserve">, </w:t>
      </w:r>
      <w:r>
        <w:rPr>
          <w:i/>
          <w:iCs/>
        </w:rPr>
        <w:t>JAMA</w:t>
      </w:r>
      <w:r>
        <w:t>, 330(21):2057–8.</w:t>
      </w:r>
    </w:p>
  </w:footnote>
  <w:footnote w:id="34">
    <w:p w14:paraId="391A0392" w14:textId="77777777" w:rsidR="00642CDC" w:rsidRDefault="00642CDC" w:rsidP="00642CDC">
      <w:pPr>
        <w:pStyle w:val="FootnoteText"/>
      </w:pPr>
      <w:r>
        <w:rPr>
          <w:rStyle w:val="FootnoteReference"/>
        </w:rPr>
        <w:footnoteRef/>
      </w:r>
      <w:r>
        <w:t xml:space="preserve"> Redline et al. (2023). Adenotonsillectomy for snoring and mild sleep apnea in children: a randomized clinical trial. </w:t>
      </w:r>
      <w:r w:rsidRPr="00350C83">
        <w:rPr>
          <w:i/>
          <w:iCs/>
        </w:rPr>
        <w:t>JAMA</w:t>
      </w:r>
      <w:r>
        <w:t>, 330(21):2084-2095</w:t>
      </w:r>
    </w:p>
  </w:footnote>
  <w:footnote w:id="35">
    <w:p w14:paraId="3607DBB2" w14:textId="77777777" w:rsidR="00642CDC" w:rsidRDefault="00642CDC" w:rsidP="00642CDC">
      <w:pPr>
        <w:pStyle w:val="FootnoteText"/>
      </w:pPr>
      <w:r>
        <w:rPr>
          <w:rStyle w:val="FootnoteReference"/>
        </w:rPr>
        <w:footnoteRef/>
      </w:r>
      <w:r>
        <w:t xml:space="preserve"> Griffiths A, Mukushi A, and Adams AM (2022) 'Telehealth-supported level 2 pediatric home polysomnography', </w:t>
      </w:r>
      <w:r>
        <w:rPr>
          <w:i/>
        </w:rPr>
        <w:t>Journal of Clinical Sleep Medicine</w:t>
      </w:r>
      <w:r>
        <w:t>,</w:t>
      </w:r>
      <w:r>
        <w:rPr>
          <w:i/>
        </w:rPr>
        <w:t xml:space="preserve"> </w:t>
      </w:r>
      <w:r>
        <w:t>18(7): 1815-1821, doi:https://doi.org/10.5664/jcsm.9982.</w:t>
      </w:r>
    </w:p>
  </w:footnote>
  <w:footnote w:id="36">
    <w:p w14:paraId="66840577" w14:textId="77777777" w:rsidR="00642CDC" w:rsidRDefault="00642CDC" w:rsidP="00642CDC">
      <w:pPr>
        <w:pStyle w:val="FootnoteText"/>
      </w:pPr>
      <w:r>
        <w:rPr>
          <w:rStyle w:val="FootnoteReference"/>
        </w:rPr>
        <w:footnoteRef/>
      </w:r>
      <w:r>
        <w:t xml:space="preserve"> Kingshott RN, Gahleitner F, Elphick HE, Gringras P, Farquhar M, Pickering RM, Martin J, Reynolds J et al. (2019) 'Cardiorespiratory sleep studies at home: Experience in research and clinical cohorts', </w:t>
      </w:r>
      <w:r>
        <w:rPr>
          <w:i/>
        </w:rPr>
        <w:t>Archives of Disease in Childhood</w:t>
      </w:r>
      <w:r>
        <w:t>,</w:t>
      </w:r>
      <w:r>
        <w:rPr>
          <w:i/>
        </w:rPr>
        <w:t xml:space="preserve"> </w:t>
      </w:r>
      <w:r>
        <w:t>104(5): 476-481, doi:https://doi.org/10.1136/archdischild-2018-315676.</w:t>
      </w:r>
    </w:p>
  </w:footnote>
  <w:footnote w:id="37">
    <w:p w14:paraId="71D2A335" w14:textId="77777777" w:rsidR="00642CDC" w:rsidRDefault="00642CDC" w:rsidP="00642CDC">
      <w:pPr>
        <w:pStyle w:val="FootnoteText"/>
      </w:pPr>
      <w:r>
        <w:rPr>
          <w:rStyle w:val="FootnoteReference"/>
        </w:rPr>
        <w:footnoteRef/>
      </w:r>
      <w:r>
        <w:t xml:space="preserve"> </w:t>
      </w:r>
      <w:r w:rsidRPr="00725450">
        <w:t>Kissow Lildal T, Boudewyns A, Kamperis K, Rittig S, Bertelsen JB, Otto M, Nørregaard O, and Ovesen T (2023) 'Validity of in-lab and home respiratory polygraphy for detecting obstructive sleep apnea in children', Sleep Medicine, 103: 195-203, doi:https://doi.org/10.1016/j.sleep.2023.01.016.</w:t>
      </w:r>
    </w:p>
  </w:footnote>
  <w:footnote w:id="38">
    <w:p w14:paraId="38CC278F" w14:textId="77777777" w:rsidR="00642CDC" w:rsidRDefault="00642CDC" w:rsidP="00642CDC">
      <w:pPr>
        <w:pStyle w:val="FootnoteText"/>
      </w:pPr>
      <w:r>
        <w:rPr>
          <w:rStyle w:val="FootnoteReference"/>
        </w:rPr>
        <w:footnoteRef/>
      </w:r>
      <w:r>
        <w:t xml:space="preserve"> O</w:t>
      </w:r>
      <w:r w:rsidRPr="00E960C3">
        <w:t>vernight paediatric investigations by a paediatric sleep medicine practitioner for patients less than 12 years of age</w:t>
      </w:r>
      <w:r>
        <w:t>.</w:t>
      </w:r>
    </w:p>
  </w:footnote>
  <w:footnote w:id="39">
    <w:p w14:paraId="0B1663CE" w14:textId="77777777" w:rsidR="00642CDC" w:rsidRDefault="00642CDC" w:rsidP="00642CDC">
      <w:pPr>
        <w:pStyle w:val="FootnoteText"/>
      </w:pPr>
      <w:r>
        <w:rPr>
          <w:rStyle w:val="FootnoteReference"/>
        </w:rPr>
        <w:footnoteRef/>
      </w:r>
      <w:r>
        <w:t xml:space="preserve"> </w:t>
      </w:r>
      <w:r>
        <w:rPr>
          <w:rFonts w:ascii="Franklin Gothic Book" w:hAnsi="Franklin Gothic Book" w:cstheme="minorHAnsi"/>
        </w:rPr>
        <w:t>Overnight paediatric investigations by a paediatric sleep medicine practitioner for patients between 12 and  under 18 years of 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D9A0" w14:textId="77777777" w:rsidR="005F33AA" w:rsidRDefault="005F3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2F32" w14:textId="77777777" w:rsidR="005F33AA" w:rsidRDefault="005F3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26B1" w14:textId="77777777" w:rsidR="005F33AA" w:rsidRDefault="005F3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CA"/>
    <w:multiLevelType w:val="hybridMultilevel"/>
    <w:tmpl w:val="AFD04A60"/>
    <w:lvl w:ilvl="0" w:tplc="D69226E4">
      <w:start w:val="1"/>
      <w:numFmt w:val="bullet"/>
      <w:pStyle w:val="BoxDash"/>
      <w:lvlText w:val="o"/>
      <w:lvlJc w:val="left"/>
      <w:pPr>
        <w:ind w:left="36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50738"/>
    <w:multiLevelType w:val="hybridMultilevel"/>
    <w:tmpl w:val="24240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2456D3"/>
    <w:multiLevelType w:val="hybridMultilevel"/>
    <w:tmpl w:val="4084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B9273E"/>
    <w:multiLevelType w:val="hybridMultilevel"/>
    <w:tmpl w:val="8AE6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8" w15:restartNumberingAfterBreak="0">
    <w:nsid w:val="242C5756"/>
    <w:multiLevelType w:val="hybridMultilevel"/>
    <w:tmpl w:val="66064D44"/>
    <w:lvl w:ilvl="0" w:tplc="007A8CCA">
      <w:start w:val="1"/>
      <w:numFmt w:val="decimal"/>
      <w:lvlText w:val="%1."/>
      <w:lvlJc w:val="left"/>
      <w:pPr>
        <w:ind w:left="0" w:firstLine="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A2499E"/>
    <w:multiLevelType w:val="hybridMultilevel"/>
    <w:tmpl w:val="CC86DABE"/>
    <w:styleLink w:val="Headings"/>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FC5D9F"/>
    <w:multiLevelType w:val="hybridMultilevel"/>
    <w:tmpl w:val="B1C09864"/>
    <w:lvl w:ilvl="0" w:tplc="3CD0808E">
      <w:start w:val="1"/>
      <w:numFmt w:val="decimal"/>
      <w:pStyle w:val="ES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334129"/>
    <w:multiLevelType w:val="hybridMultilevel"/>
    <w:tmpl w:val="8EE8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0572E"/>
    <w:multiLevelType w:val="hybridMultilevel"/>
    <w:tmpl w:val="7A4C2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E82FDE"/>
    <w:multiLevelType w:val="multilevel"/>
    <w:tmpl w:val="322C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1D3010B"/>
    <w:multiLevelType w:val="hybridMultilevel"/>
    <w:tmpl w:val="F56823EC"/>
    <w:lvl w:ilvl="0" w:tplc="D95672A0">
      <w:numFmt w:val="bullet"/>
      <w:lvlText w:val="-"/>
      <w:lvlJc w:val="left"/>
      <w:pPr>
        <w:ind w:left="720" w:hanging="360"/>
      </w:pPr>
      <w:rPr>
        <w:rFonts w:ascii="Franklin Gothic Book" w:eastAsiaTheme="minorHAnsi" w:hAnsi="Franklin Gothic Book"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812551"/>
    <w:multiLevelType w:val="multilevel"/>
    <w:tmpl w:val="B744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D9353E"/>
    <w:multiLevelType w:val="hybridMultilevel"/>
    <w:tmpl w:val="D75A17B4"/>
    <w:lvl w:ilvl="0" w:tplc="FFFFFFFF">
      <w:start w:val="1"/>
      <w:numFmt w:val="decimal"/>
      <w:lvlText w:val="%1."/>
      <w:lvlJc w:val="left"/>
      <w:pPr>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095746"/>
    <w:multiLevelType w:val="hybridMultilevel"/>
    <w:tmpl w:val="9D287834"/>
    <w:lvl w:ilvl="0" w:tplc="E18AF33C">
      <w:start w:val="1"/>
      <w:numFmt w:val="bullet"/>
      <w:pStyle w:val="Instructionaltext-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7B23D0C"/>
    <w:multiLevelType w:val="hybridMultilevel"/>
    <w:tmpl w:val="0DD02A26"/>
    <w:lvl w:ilvl="0" w:tplc="9044F1DC">
      <w:numFmt w:val="bullet"/>
      <w:lvlText w:val="-"/>
      <w:lvlJc w:val="left"/>
      <w:pPr>
        <w:ind w:left="720" w:hanging="360"/>
      </w:pPr>
      <w:rPr>
        <w:rFonts w:ascii="Franklin Gothic Book" w:eastAsiaTheme="minorHAnsi" w:hAnsi="Franklin Gothic Book"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5D6346"/>
    <w:multiLevelType w:val="hybridMultilevel"/>
    <w:tmpl w:val="686ED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C72994"/>
    <w:multiLevelType w:val="hybridMultilevel"/>
    <w:tmpl w:val="A154945C"/>
    <w:lvl w:ilvl="0" w:tplc="F0E29B34">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331622"/>
    <w:multiLevelType w:val="hybridMultilevel"/>
    <w:tmpl w:val="744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0A47DF"/>
    <w:multiLevelType w:val="hybridMultilevel"/>
    <w:tmpl w:val="D75A17B4"/>
    <w:lvl w:ilvl="0" w:tplc="0809000F">
      <w:start w:val="1"/>
      <w:numFmt w:val="decimal"/>
      <w:lvlText w:val="%1."/>
      <w:lvlJc w:val="left"/>
      <w:pPr>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0D7484"/>
    <w:multiLevelType w:val="multilevel"/>
    <w:tmpl w:val="702C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384A67"/>
    <w:multiLevelType w:val="multilevel"/>
    <w:tmpl w:val="A5FEA4E2"/>
    <w:lvl w:ilvl="0">
      <w:start w:val="1"/>
      <w:numFmt w:val="decimal"/>
      <w:pStyle w:val="Heading1"/>
      <w:lvlText w:val="Section %1"/>
      <w:lvlJc w:val="left"/>
      <w:pPr>
        <w:ind w:left="0" w:firstLine="0"/>
      </w:pPr>
      <w:rPr>
        <w:rFonts w:hint="default"/>
      </w:rPr>
    </w:lvl>
    <w:lvl w:ilvl="1">
      <w:start w:val="1"/>
      <w:numFmt w:val="decimal"/>
      <w:pStyle w:val="Heading2"/>
      <w:lvlText w:val="%1.%2"/>
      <w:lvlJc w:val="left"/>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Restart w:val="1"/>
      <w:pStyle w:val="Heading3"/>
      <w:lvlText w:val="%1.%2.%3"/>
      <w:lvlJc w:val="left"/>
      <w:pPr>
        <w:ind w:left="284" w:firstLine="0"/>
      </w:pPr>
      <w:rPr>
        <w:rFonts w:hint="default"/>
      </w:rPr>
    </w:lvl>
    <w:lvl w:ilvl="3">
      <w:start w:val="1"/>
      <w:numFmt w:val="decimal"/>
      <w:lvlText w:val="(%4)"/>
      <w:lvlJc w:val="left"/>
      <w:pPr>
        <w:ind w:left="81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67245E"/>
    <w:multiLevelType w:val="hybridMultilevel"/>
    <w:tmpl w:val="CCD83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1432A1"/>
    <w:multiLevelType w:val="multilevel"/>
    <w:tmpl w:val="0B18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543403594">
    <w:abstractNumId w:val="20"/>
  </w:num>
  <w:num w:numId="2" w16cid:durableId="265045362">
    <w:abstractNumId w:val="27"/>
  </w:num>
  <w:num w:numId="3" w16cid:durableId="1947150429">
    <w:abstractNumId w:val="32"/>
  </w:num>
  <w:num w:numId="4" w16cid:durableId="77217897">
    <w:abstractNumId w:val="3"/>
  </w:num>
  <w:num w:numId="5" w16cid:durableId="1820145720">
    <w:abstractNumId w:val="7"/>
  </w:num>
  <w:num w:numId="6" w16cid:durableId="1574312398">
    <w:abstractNumId w:val="30"/>
  </w:num>
  <w:num w:numId="7" w16cid:durableId="1477340313">
    <w:abstractNumId w:val="9"/>
  </w:num>
  <w:num w:numId="8" w16cid:durableId="1756394464">
    <w:abstractNumId w:val="12"/>
  </w:num>
  <w:num w:numId="9" w16cid:durableId="1418139520">
    <w:abstractNumId w:val="8"/>
  </w:num>
  <w:num w:numId="10" w16cid:durableId="919485375">
    <w:abstractNumId w:val="11"/>
  </w:num>
  <w:num w:numId="11" w16cid:durableId="390811268">
    <w:abstractNumId w:val="2"/>
  </w:num>
  <w:num w:numId="12" w16cid:durableId="1010990675">
    <w:abstractNumId w:val="5"/>
  </w:num>
  <w:num w:numId="13" w16cid:durableId="725765722">
    <w:abstractNumId w:val="10"/>
  </w:num>
  <w:num w:numId="14" w16cid:durableId="1092703740">
    <w:abstractNumId w:val="14"/>
  </w:num>
  <w:num w:numId="15" w16cid:durableId="1215240032">
    <w:abstractNumId w:val="11"/>
  </w:num>
  <w:num w:numId="16" w16cid:durableId="501093571">
    <w:abstractNumId w:val="11"/>
  </w:num>
  <w:num w:numId="17" w16cid:durableId="1797093302">
    <w:abstractNumId w:val="11"/>
  </w:num>
  <w:num w:numId="18" w16cid:durableId="1739210705">
    <w:abstractNumId w:val="11"/>
  </w:num>
  <w:num w:numId="19" w16cid:durableId="1980915962">
    <w:abstractNumId w:val="11"/>
  </w:num>
  <w:num w:numId="20" w16cid:durableId="1720737898">
    <w:abstractNumId w:val="11"/>
  </w:num>
  <w:num w:numId="21" w16cid:durableId="394671146">
    <w:abstractNumId w:val="11"/>
  </w:num>
  <w:num w:numId="22" w16cid:durableId="757792953">
    <w:abstractNumId w:val="11"/>
  </w:num>
  <w:num w:numId="23" w16cid:durableId="331569804">
    <w:abstractNumId w:val="11"/>
  </w:num>
  <w:num w:numId="24" w16cid:durableId="1408385724">
    <w:abstractNumId w:val="4"/>
  </w:num>
  <w:num w:numId="25" w16cid:durableId="1977491341">
    <w:abstractNumId w:val="0"/>
  </w:num>
  <w:num w:numId="26" w16cid:durableId="108597800">
    <w:abstractNumId w:val="31"/>
  </w:num>
  <w:num w:numId="27" w16cid:durableId="302195012">
    <w:abstractNumId w:val="1"/>
  </w:num>
  <w:num w:numId="28" w16cid:durableId="311252449">
    <w:abstractNumId w:val="25"/>
    <w:lvlOverride w:ilvl="0">
      <w:startOverride w:val="1"/>
    </w:lvlOverride>
    <w:lvlOverride w:ilvl="1"/>
    <w:lvlOverride w:ilvl="2"/>
    <w:lvlOverride w:ilvl="3"/>
    <w:lvlOverride w:ilvl="4"/>
    <w:lvlOverride w:ilvl="5"/>
    <w:lvlOverride w:ilvl="6"/>
    <w:lvlOverride w:ilvl="7"/>
    <w:lvlOverride w:ilvl="8"/>
  </w:num>
  <w:num w:numId="29" w16cid:durableId="1715159711">
    <w:abstractNumId w:val="21"/>
  </w:num>
  <w:num w:numId="30" w16cid:durableId="2101414440">
    <w:abstractNumId w:val="17"/>
  </w:num>
  <w:num w:numId="31" w16cid:durableId="354308252">
    <w:abstractNumId w:val="25"/>
  </w:num>
  <w:num w:numId="32" w16cid:durableId="1880585617">
    <w:abstractNumId w:val="27"/>
  </w:num>
  <w:num w:numId="33" w16cid:durableId="878468810">
    <w:abstractNumId w:val="11"/>
  </w:num>
  <w:num w:numId="34" w16cid:durableId="1535312841">
    <w:abstractNumId w:val="11"/>
  </w:num>
  <w:num w:numId="35" w16cid:durableId="923535877">
    <w:abstractNumId w:val="11"/>
  </w:num>
  <w:num w:numId="36" w16cid:durableId="576207696">
    <w:abstractNumId w:val="18"/>
  </w:num>
  <w:num w:numId="37" w16cid:durableId="526872472">
    <w:abstractNumId w:val="29"/>
  </w:num>
  <w:num w:numId="38" w16cid:durableId="1916040301">
    <w:abstractNumId w:val="26"/>
  </w:num>
  <w:num w:numId="39" w16cid:durableId="1421560012">
    <w:abstractNumId w:val="15"/>
  </w:num>
  <w:num w:numId="40" w16cid:durableId="1265379973">
    <w:abstractNumId w:val="28"/>
  </w:num>
  <w:num w:numId="41" w16cid:durableId="1626346928">
    <w:abstractNumId w:val="27"/>
  </w:num>
  <w:num w:numId="42" w16cid:durableId="1422336157">
    <w:abstractNumId w:val="27"/>
  </w:num>
  <w:num w:numId="43" w16cid:durableId="1523057854">
    <w:abstractNumId w:val="27"/>
  </w:num>
  <w:num w:numId="44" w16cid:durableId="1999914508">
    <w:abstractNumId w:val="27"/>
  </w:num>
  <w:num w:numId="45" w16cid:durableId="426850115">
    <w:abstractNumId w:val="27"/>
  </w:num>
  <w:num w:numId="46" w16cid:durableId="2008485033">
    <w:abstractNumId w:val="27"/>
  </w:num>
  <w:num w:numId="47" w16cid:durableId="468520226">
    <w:abstractNumId w:val="16"/>
  </w:num>
  <w:num w:numId="48" w16cid:durableId="365906942">
    <w:abstractNumId w:val="24"/>
  </w:num>
  <w:num w:numId="49" w16cid:durableId="169952485">
    <w:abstractNumId w:val="13"/>
  </w:num>
  <w:num w:numId="50" w16cid:durableId="911357115">
    <w:abstractNumId w:val="6"/>
  </w:num>
  <w:num w:numId="51" w16cid:durableId="1793479031">
    <w:abstractNumId w:val="23"/>
  </w:num>
  <w:num w:numId="52" w16cid:durableId="1972519198">
    <w:abstractNumId w:val="22"/>
  </w:num>
  <w:num w:numId="53" w16cid:durableId="1298996699">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FE"/>
    <w:rsid w:val="00001593"/>
    <w:rsid w:val="00001FC3"/>
    <w:rsid w:val="000032AC"/>
    <w:rsid w:val="00011F0E"/>
    <w:rsid w:val="00012618"/>
    <w:rsid w:val="000127F7"/>
    <w:rsid w:val="00013956"/>
    <w:rsid w:val="00013A56"/>
    <w:rsid w:val="00017BF9"/>
    <w:rsid w:val="00020085"/>
    <w:rsid w:val="000204B4"/>
    <w:rsid w:val="00020CDE"/>
    <w:rsid w:val="000217E5"/>
    <w:rsid w:val="0002314F"/>
    <w:rsid w:val="00024C27"/>
    <w:rsid w:val="0002541D"/>
    <w:rsid w:val="00025790"/>
    <w:rsid w:val="000259C8"/>
    <w:rsid w:val="0002719D"/>
    <w:rsid w:val="000273D8"/>
    <w:rsid w:val="00027707"/>
    <w:rsid w:val="00031151"/>
    <w:rsid w:val="00031F1A"/>
    <w:rsid w:val="000338A8"/>
    <w:rsid w:val="00035356"/>
    <w:rsid w:val="0003545B"/>
    <w:rsid w:val="00035B2B"/>
    <w:rsid w:val="00036728"/>
    <w:rsid w:val="0004172A"/>
    <w:rsid w:val="00041BBB"/>
    <w:rsid w:val="00042EE9"/>
    <w:rsid w:val="00044405"/>
    <w:rsid w:val="000478DF"/>
    <w:rsid w:val="00047997"/>
    <w:rsid w:val="00050D66"/>
    <w:rsid w:val="000511D8"/>
    <w:rsid w:val="0005382D"/>
    <w:rsid w:val="00054D1B"/>
    <w:rsid w:val="00057EAB"/>
    <w:rsid w:val="00057FE5"/>
    <w:rsid w:val="000626BE"/>
    <w:rsid w:val="0006286E"/>
    <w:rsid w:val="00062C52"/>
    <w:rsid w:val="00064865"/>
    <w:rsid w:val="000659CB"/>
    <w:rsid w:val="0007178F"/>
    <w:rsid w:val="00071FB1"/>
    <w:rsid w:val="00074842"/>
    <w:rsid w:val="0007752B"/>
    <w:rsid w:val="000823D0"/>
    <w:rsid w:val="00082CAC"/>
    <w:rsid w:val="000833CD"/>
    <w:rsid w:val="00087290"/>
    <w:rsid w:val="00092586"/>
    <w:rsid w:val="00094F4C"/>
    <w:rsid w:val="00095670"/>
    <w:rsid w:val="000970B7"/>
    <w:rsid w:val="000A1A01"/>
    <w:rsid w:val="000A2C07"/>
    <w:rsid w:val="000A3A0A"/>
    <w:rsid w:val="000A427B"/>
    <w:rsid w:val="000A5C47"/>
    <w:rsid w:val="000A5D4D"/>
    <w:rsid w:val="000A798B"/>
    <w:rsid w:val="000A7A61"/>
    <w:rsid w:val="000A7B4F"/>
    <w:rsid w:val="000B175B"/>
    <w:rsid w:val="000B3C98"/>
    <w:rsid w:val="000B4901"/>
    <w:rsid w:val="000B6A15"/>
    <w:rsid w:val="000B76DD"/>
    <w:rsid w:val="000C05D9"/>
    <w:rsid w:val="000C1B4B"/>
    <w:rsid w:val="000C3DD1"/>
    <w:rsid w:val="000C4358"/>
    <w:rsid w:val="000C6E66"/>
    <w:rsid w:val="000C7731"/>
    <w:rsid w:val="000D1646"/>
    <w:rsid w:val="000D1C4D"/>
    <w:rsid w:val="000D26FA"/>
    <w:rsid w:val="000D2A42"/>
    <w:rsid w:val="000D2F07"/>
    <w:rsid w:val="000D4038"/>
    <w:rsid w:val="000D658A"/>
    <w:rsid w:val="000D750F"/>
    <w:rsid w:val="000E169A"/>
    <w:rsid w:val="000E26AB"/>
    <w:rsid w:val="000E488A"/>
    <w:rsid w:val="000E523A"/>
    <w:rsid w:val="000E7408"/>
    <w:rsid w:val="000E7A8A"/>
    <w:rsid w:val="000F0067"/>
    <w:rsid w:val="000F0267"/>
    <w:rsid w:val="000F04D5"/>
    <w:rsid w:val="000F0563"/>
    <w:rsid w:val="000F1BB7"/>
    <w:rsid w:val="000F1EA7"/>
    <w:rsid w:val="000F2B36"/>
    <w:rsid w:val="000F356B"/>
    <w:rsid w:val="000F6316"/>
    <w:rsid w:val="000F6DC4"/>
    <w:rsid w:val="00100061"/>
    <w:rsid w:val="001034C3"/>
    <w:rsid w:val="00104205"/>
    <w:rsid w:val="001045BF"/>
    <w:rsid w:val="00104925"/>
    <w:rsid w:val="00105D3D"/>
    <w:rsid w:val="00106FD2"/>
    <w:rsid w:val="00107D1A"/>
    <w:rsid w:val="00111CEF"/>
    <w:rsid w:val="00111F7E"/>
    <w:rsid w:val="00112088"/>
    <w:rsid w:val="00112C50"/>
    <w:rsid w:val="00113089"/>
    <w:rsid w:val="00120B8F"/>
    <w:rsid w:val="00121449"/>
    <w:rsid w:val="00121B7C"/>
    <w:rsid w:val="00121C71"/>
    <w:rsid w:val="001229DC"/>
    <w:rsid w:val="001253FB"/>
    <w:rsid w:val="001268F9"/>
    <w:rsid w:val="00126BE2"/>
    <w:rsid w:val="00127333"/>
    <w:rsid w:val="00131374"/>
    <w:rsid w:val="001319DE"/>
    <w:rsid w:val="00133ABF"/>
    <w:rsid w:val="001362FB"/>
    <w:rsid w:val="0013779F"/>
    <w:rsid w:val="00140FFC"/>
    <w:rsid w:val="00141D07"/>
    <w:rsid w:val="00141F0A"/>
    <w:rsid w:val="00142137"/>
    <w:rsid w:val="00144EE5"/>
    <w:rsid w:val="001452D2"/>
    <w:rsid w:val="0014708B"/>
    <w:rsid w:val="00150CA8"/>
    <w:rsid w:val="00153839"/>
    <w:rsid w:val="001541BE"/>
    <w:rsid w:val="00154F1D"/>
    <w:rsid w:val="00154F31"/>
    <w:rsid w:val="0015511A"/>
    <w:rsid w:val="001553BD"/>
    <w:rsid w:val="001571E9"/>
    <w:rsid w:val="00161098"/>
    <w:rsid w:val="0016488E"/>
    <w:rsid w:val="00164DEA"/>
    <w:rsid w:val="00171D55"/>
    <w:rsid w:val="0017364B"/>
    <w:rsid w:val="00176027"/>
    <w:rsid w:val="00176934"/>
    <w:rsid w:val="001776EB"/>
    <w:rsid w:val="00177B20"/>
    <w:rsid w:val="00180A51"/>
    <w:rsid w:val="00180C52"/>
    <w:rsid w:val="001820AB"/>
    <w:rsid w:val="00183925"/>
    <w:rsid w:val="00184A41"/>
    <w:rsid w:val="0018789F"/>
    <w:rsid w:val="00190648"/>
    <w:rsid w:val="00192E27"/>
    <w:rsid w:val="00194E60"/>
    <w:rsid w:val="00195153"/>
    <w:rsid w:val="00197038"/>
    <w:rsid w:val="001A12C5"/>
    <w:rsid w:val="001A4CC9"/>
    <w:rsid w:val="001A53AA"/>
    <w:rsid w:val="001A5453"/>
    <w:rsid w:val="001A5B07"/>
    <w:rsid w:val="001A6616"/>
    <w:rsid w:val="001A676A"/>
    <w:rsid w:val="001B5FC4"/>
    <w:rsid w:val="001B702F"/>
    <w:rsid w:val="001C0120"/>
    <w:rsid w:val="001C0126"/>
    <w:rsid w:val="001C1BAA"/>
    <w:rsid w:val="001C1C7D"/>
    <w:rsid w:val="001C24FC"/>
    <w:rsid w:val="001C34E9"/>
    <w:rsid w:val="001C60CA"/>
    <w:rsid w:val="001C6E73"/>
    <w:rsid w:val="001D1164"/>
    <w:rsid w:val="001D2AE2"/>
    <w:rsid w:val="001D33AB"/>
    <w:rsid w:val="001D4972"/>
    <w:rsid w:val="001D6321"/>
    <w:rsid w:val="001E0F44"/>
    <w:rsid w:val="001E3B86"/>
    <w:rsid w:val="001E4045"/>
    <w:rsid w:val="001E5F87"/>
    <w:rsid w:val="001E6711"/>
    <w:rsid w:val="001E6FC1"/>
    <w:rsid w:val="001E79BB"/>
    <w:rsid w:val="001F2575"/>
    <w:rsid w:val="001F295B"/>
    <w:rsid w:val="001F4B7B"/>
    <w:rsid w:val="00201E55"/>
    <w:rsid w:val="0020387D"/>
    <w:rsid w:val="00204314"/>
    <w:rsid w:val="0020522B"/>
    <w:rsid w:val="00205CF6"/>
    <w:rsid w:val="0020654D"/>
    <w:rsid w:val="00206800"/>
    <w:rsid w:val="00206D6D"/>
    <w:rsid w:val="00207CC0"/>
    <w:rsid w:val="0021091C"/>
    <w:rsid w:val="00210BC6"/>
    <w:rsid w:val="00214949"/>
    <w:rsid w:val="0021516B"/>
    <w:rsid w:val="00216352"/>
    <w:rsid w:val="002170BC"/>
    <w:rsid w:val="00217280"/>
    <w:rsid w:val="00220332"/>
    <w:rsid w:val="002205E1"/>
    <w:rsid w:val="00224F2D"/>
    <w:rsid w:val="00224FE5"/>
    <w:rsid w:val="00225181"/>
    <w:rsid w:val="00230154"/>
    <w:rsid w:val="0023131E"/>
    <w:rsid w:val="0023192C"/>
    <w:rsid w:val="00231B6A"/>
    <w:rsid w:val="0023204A"/>
    <w:rsid w:val="002337D9"/>
    <w:rsid w:val="00233E37"/>
    <w:rsid w:val="002357AF"/>
    <w:rsid w:val="00235F0B"/>
    <w:rsid w:val="00237232"/>
    <w:rsid w:val="00240234"/>
    <w:rsid w:val="002411C4"/>
    <w:rsid w:val="00247AF3"/>
    <w:rsid w:val="00250DED"/>
    <w:rsid w:val="00254B86"/>
    <w:rsid w:val="00254F16"/>
    <w:rsid w:val="00260509"/>
    <w:rsid w:val="0026277A"/>
    <w:rsid w:val="002631CC"/>
    <w:rsid w:val="00263E93"/>
    <w:rsid w:val="00264EC5"/>
    <w:rsid w:val="00265737"/>
    <w:rsid w:val="00266809"/>
    <w:rsid w:val="0026799F"/>
    <w:rsid w:val="00267BF2"/>
    <w:rsid w:val="00267F55"/>
    <w:rsid w:val="00267FF3"/>
    <w:rsid w:val="002704A3"/>
    <w:rsid w:val="00270E71"/>
    <w:rsid w:val="00270EDF"/>
    <w:rsid w:val="00272563"/>
    <w:rsid w:val="00272F8F"/>
    <w:rsid w:val="0027317B"/>
    <w:rsid w:val="0027440B"/>
    <w:rsid w:val="00275087"/>
    <w:rsid w:val="00277AA7"/>
    <w:rsid w:val="00277AA9"/>
    <w:rsid w:val="00277F64"/>
    <w:rsid w:val="0028122E"/>
    <w:rsid w:val="00281ABC"/>
    <w:rsid w:val="00285F82"/>
    <w:rsid w:val="00285FD6"/>
    <w:rsid w:val="00286C97"/>
    <w:rsid w:val="00286FEF"/>
    <w:rsid w:val="002872F9"/>
    <w:rsid w:val="00287B60"/>
    <w:rsid w:val="00292C19"/>
    <w:rsid w:val="00292CE5"/>
    <w:rsid w:val="002939B6"/>
    <w:rsid w:val="00294A4B"/>
    <w:rsid w:val="00294E34"/>
    <w:rsid w:val="002965D4"/>
    <w:rsid w:val="002A0DDC"/>
    <w:rsid w:val="002A5022"/>
    <w:rsid w:val="002A5212"/>
    <w:rsid w:val="002A6634"/>
    <w:rsid w:val="002A67D5"/>
    <w:rsid w:val="002A7EA5"/>
    <w:rsid w:val="002B07B8"/>
    <w:rsid w:val="002B1B7A"/>
    <w:rsid w:val="002B7ECD"/>
    <w:rsid w:val="002C1E19"/>
    <w:rsid w:val="002C2144"/>
    <w:rsid w:val="002C32AB"/>
    <w:rsid w:val="002C3300"/>
    <w:rsid w:val="002C612A"/>
    <w:rsid w:val="002C6720"/>
    <w:rsid w:val="002D31FB"/>
    <w:rsid w:val="002D4976"/>
    <w:rsid w:val="002D49A3"/>
    <w:rsid w:val="002D513A"/>
    <w:rsid w:val="002D5EFC"/>
    <w:rsid w:val="002D7F93"/>
    <w:rsid w:val="002E23E8"/>
    <w:rsid w:val="002E557A"/>
    <w:rsid w:val="002E5952"/>
    <w:rsid w:val="002F1610"/>
    <w:rsid w:val="002F232F"/>
    <w:rsid w:val="002F33C3"/>
    <w:rsid w:val="002F41FC"/>
    <w:rsid w:val="002F6934"/>
    <w:rsid w:val="002F6CF7"/>
    <w:rsid w:val="0030028A"/>
    <w:rsid w:val="003027AE"/>
    <w:rsid w:val="003027BC"/>
    <w:rsid w:val="00302AD0"/>
    <w:rsid w:val="00302B5E"/>
    <w:rsid w:val="0030556D"/>
    <w:rsid w:val="003067F6"/>
    <w:rsid w:val="0031007C"/>
    <w:rsid w:val="003101C4"/>
    <w:rsid w:val="00311166"/>
    <w:rsid w:val="00311CAC"/>
    <w:rsid w:val="00312752"/>
    <w:rsid w:val="00313D7D"/>
    <w:rsid w:val="003204C8"/>
    <w:rsid w:val="0032071A"/>
    <w:rsid w:val="00320AEE"/>
    <w:rsid w:val="00321134"/>
    <w:rsid w:val="003216E9"/>
    <w:rsid w:val="00323779"/>
    <w:rsid w:val="00323782"/>
    <w:rsid w:val="0032448A"/>
    <w:rsid w:val="003244E1"/>
    <w:rsid w:val="00324A20"/>
    <w:rsid w:val="00324E49"/>
    <w:rsid w:val="0032541A"/>
    <w:rsid w:val="00325AC2"/>
    <w:rsid w:val="0032685D"/>
    <w:rsid w:val="00326BE9"/>
    <w:rsid w:val="00326E50"/>
    <w:rsid w:val="003274FA"/>
    <w:rsid w:val="00330779"/>
    <w:rsid w:val="00330C43"/>
    <w:rsid w:val="00331630"/>
    <w:rsid w:val="00332563"/>
    <w:rsid w:val="00333C6C"/>
    <w:rsid w:val="00334081"/>
    <w:rsid w:val="0033502C"/>
    <w:rsid w:val="00335116"/>
    <w:rsid w:val="0033610F"/>
    <w:rsid w:val="0034053F"/>
    <w:rsid w:val="00340983"/>
    <w:rsid w:val="00341B80"/>
    <w:rsid w:val="00341CE5"/>
    <w:rsid w:val="00342050"/>
    <w:rsid w:val="00342E65"/>
    <w:rsid w:val="00343CA6"/>
    <w:rsid w:val="0034525C"/>
    <w:rsid w:val="003506B9"/>
    <w:rsid w:val="00353090"/>
    <w:rsid w:val="0035396D"/>
    <w:rsid w:val="003547E5"/>
    <w:rsid w:val="00354CC6"/>
    <w:rsid w:val="00363FFD"/>
    <w:rsid w:val="00365D49"/>
    <w:rsid w:val="0036616A"/>
    <w:rsid w:val="003664F9"/>
    <w:rsid w:val="003667ED"/>
    <w:rsid w:val="00366CC7"/>
    <w:rsid w:val="00367AF6"/>
    <w:rsid w:val="00371123"/>
    <w:rsid w:val="00371518"/>
    <w:rsid w:val="003717B7"/>
    <w:rsid w:val="00372433"/>
    <w:rsid w:val="0037463B"/>
    <w:rsid w:val="00380608"/>
    <w:rsid w:val="00381227"/>
    <w:rsid w:val="0038386A"/>
    <w:rsid w:val="00383EBF"/>
    <w:rsid w:val="003853A4"/>
    <w:rsid w:val="003858F9"/>
    <w:rsid w:val="00386B2D"/>
    <w:rsid w:val="00386F1C"/>
    <w:rsid w:val="00390796"/>
    <w:rsid w:val="00391D0A"/>
    <w:rsid w:val="00391F71"/>
    <w:rsid w:val="00393B71"/>
    <w:rsid w:val="003947E4"/>
    <w:rsid w:val="003958F6"/>
    <w:rsid w:val="00395DB7"/>
    <w:rsid w:val="0039724D"/>
    <w:rsid w:val="003A05C6"/>
    <w:rsid w:val="003A28F7"/>
    <w:rsid w:val="003A29D0"/>
    <w:rsid w:val="003A2F41"/>
    <w:rsid w:val="003A3576"/>
    <w:rsid w:val="003A44C6"/>
    <w:rsid w:val="003A487D"/>
    <w:rsid w:val="003A4BC2"/>
    <w:rsid w:val="003B1527"/>
    <w:rsid w:val="003B39FD"/>
    <w:rsid w:val="003B48F7"/>
    <w:rsid w:val="003B59DC"/>
    <w:rsid w:val="003B5AEC"/>
    <w:rsid w:val="003B63A1"/>
    <w:rsid w:val="003B730A"/>
    <w:rsid w:val="003B77B8"/>
    <w:rsid w:val="003B7B58"/>
    <w:rsid w:val="003C11D4"/>
    <w:rsid w:val="003C31E0"/>
    <w:rsid w:val="003C4139"/>
    <w:rsid w:val="003C6472"/>
    <w:rsid w:val="003D0127"/>
    <w:rsid w:val="003D1C0B"/>
    <w:rsid w:val="003D1F7F"/>
    <w:rsid w:val="003D22E5"/>
    <w:rsid w:val="003D2311"/>
    <w:rsid w:val="003D3469"/>
    <w:rsid w:val="003D3B2F"/>
    <w:rsid w:val="003D49BA"/>
    <w:rsid w:val="003D5D64"/>
    <w:rsid w:val="003E0153"/>
    <w:rsid w:val="003E0D54"/>
    <w:rsid w:val="003E33DD"/>
    <w:rsid w:val="003E497D"/>
    <w:rsid w:val="003E4E57"/>
    <w:rsid w:val="003E6C7F"/>
    <w:rsid w:val="003F17BF"/>
    <w:rsid w:val="003F1815"/>
    <w:rsid w:val="003F29B4"/>
    <w:rsid w:val="003F2F7A"/>
    <w:rsid w:val="003F3082"/>
    <w:rsid w:val="00401563"/>
    <w:rsid w:val="0040229F"/>
    <w:rsid w:val="004039E2"/>
    <w:rsid w:val="004042BE"/>
    <w:rsid w:val="00404D5B"/>
    <w:rsid w:val="004050D7"/>
    <w:rsid w:val="00405815"/>
    <w:rsid w:val="004071A4"/>
    <w:rsid w:val="0041024A"/>
    <w:rsid w:val="00411443"/>
    <w:rsid w:val="00411AFD"/>
    <w:rsid w:val="004126DA"/>
    <w:rsid w:val="00412AB3"/>
    <w:rsid w:val="004139F6"/>
    <w:rsid w:val="00414E8D"/>
    <w:rsid w:val="00417D0A"/>
    <w:rsid w:val="0042175E"/>
    <w:rsid w:val="00423701"/>
    <w:rsid w:val="0042431D"/>
    <w:rsid w:val="00424F6C"/>
    <w:rsid w:val="00425E1D"/>
    <w:rsid w:val="0042636D"/>
    <w:rsid w:val="00426566"/>
    <w:rsid w:val="004276B8"/>
    <w:rsid w:val="00427FB4"/>
    <w:rsid w:val="00431918"/>
    <w:rsid w:val="004331CF"/>
    <w:rsid w:val="004338E7"/>
    <w:rsid w:val="0043407D"/>
    <w:rsid w:val="004345F2"/>
    <w:rsid w:val="00434958"/>
    <w:rsid w:val="004349B2"/>
    <w:rsid w:val="004353C8"/>
    <w:rsid w:val="004366CB"/>
    <w:rsid w:val="00436BA6"/>
    <w:rsid w:val="00437BDD"/>
    <w:rsid w:val="00437D40"/>
    <w:rsid w:val="004410F6"/>
    <w:rsid w:val="00442085"/>
    <w:rsid w:val="00443E4D"/>
    <w:rsid w:val="0044596E"/>
    <w:rsid w:val="00445D4A"/>
    <w:rsid w:val="00445E1B"/>
    <w:rsid w:val="004479E3"/>
    <w:rsid w:val="004511F3"/>
    <w:rsid w:val="00455B43"/>
    <w:rsid w:val="00456C59"/>
    <w:rsid w:val="00457F94"/>
    <w:rsid w:val="00460230"/>
    <w:rsid w:val="00460AB3"/>
    <w:rsid w:val="00462362"/>
    <w:rsid w:val="004653B5"/>
    <w:rsid w:val="004663E5"/>
    <w:rsid w:val="00466B4A"/>
    <w:rsid w:val="0046703D"/>
    <w:rsid w:val="004671B0"/>
    <w:rsid w:val="00467342"/>
    <w:rsid w:val="004700C1"/>
    <w:rsid w:val="004702A9"/>
    <w:rsid w:val="0047144D"/>
    <w:rsid w:val="004739E0"/>
    <w:rsid w:val="00473AB1"/>
    <w:rsid w:val="00474547"/>
    <w:rsid w:val="00477E07"/>
    <w:rsid w:val="004808E1"/>
    <w:rsid w:val="00485271"/>
    <w:rsid w:val="00485BA2"/>
    <w:rsid w:val="00485F2F"/>
    <w:rsid w:val="0048668D"/>
    <w:rsid w:val="004866D7"/>
    <w:rsid w:val="00487FBB"/>
    <w:rsid w:val="004908BB"/>
    <w:rsid w:val="004933F3"/>
    <w:rsid w:val="00493E45"/>
    <w:rsid w:val="004947E5"/>
    <w:rsid w:val="00495A10"/>
    <w:rsid w:val="00497334"/>
    <w:rsid w:val="00497575"/>
    <w:rsid w:val="004A3FD5"/>
    <w:rsid w:val="004A5BC3"/>
    <w:rsid w:val="004A6221"/>
    <w:rsid w:val="004A7BA2"/>
    <w:rsid w:val="004B0D3C"/>
    <w:rsid w:val="004B0FC6"/>
    <w:rsid w:val="004B16CC"/>
    <w:rsid w:val="004B20FC"/>
    <w:rsid w:val="004B2317"/>
    <w:rsid w:val="004B29F7"/>
    <w:rsid w:val="004B3223"/>
    <w:rsid w:val="004B5554"/>
    <w:rsid w:val="004B6041"/>
    <w:rsid w:val="004B74BE"/>
    <w:rsid w:val="004C0348"/>
    <w:rsid w:val="004C3B2B"/>
    <w:rsid w:val="004C46BB"/>
    <w:rsid w:val="004C4D07"/>
    <w:rsid w:val="004C5895"/>
    <w:rsid w:val="004C680A"/>
    <w:rsid w:val="004D0731"/>
    <w:rsid w:val="004D1BF7"/>
    <w:rsid w:val="004D1D18"/>
    <w:rsid w:val="004D34FB"/>
    <w:rsid w:val="004D7873"/>
    <w:rsid w:val="004D7D77"/>
    <w:rsid w:val="004E0FF6"/>
    <w:rsid w:val="004E15B9"/>
    <w:rsid w:val="004E2680"/>
    <w:rsid w:val="004E31F4"/>
    <w:rsid w:val="004E4B00"/>
    <w:rsid w:val="004E4CEB"/>
    <w:rsid w:val="004E5391"/>
    <w:rsid w:val="004E686F"/>
    <w:rsid w:val="004E68BB"/>
    <w:rsid w:val="004F00C2"/>
    <w:rsid w:val="004F03A8"/>
    <w:rsid w:val="004F044A"/>
    <w:rsid w:val="004F08A8"/>
    <w:rsid w:val="004F21F1"/>
    <w:rsid w:val="004F2A5A"/>
    <w:rsid w:val="004F6464"/>
    <w:rsid w:val="005009D5"/>
    <w:rsid w:val="00503BD0"/>
    <w:rsid w:val="0050554F"/>
    <w:rsid w:val="0050752C"/>
    <w:rsid w:val="005108DE"/>
    <w:rsid w:val="00510B6D"/>
    <w:rsid w:val="00512520"/>
    <w:rsid w:val="00512DBD"/>
    <w:rsid w:val="005134EF"/>
    <w:rsid w:val="005142CE"/>
    <w:rsid w:val="00514760"/>
    <w:rsid w:val="00517601"/>
    <w:rsid w:val="00520BA0"/>
    <w:rsid w:val="00521F75"/>
    <w:rsid w:val="00522CDB"/>
    <w:rsid w:val="005257C0"/>
    <w:rsid w:val="0052669C"/>
    <w:rsid w:val="00526799"/>
    <w:rsid w:val="00527D8C"/>
    <w:rsid w:val="00533B2D"/>
    <w:rsid w:val="005355BE"/>
    <w:rsid w:val="00540BAB"/>
    <w:rsid w:val="005420BA"/>
    <w:rsid w:val="0054275F"/>
    <w:rsid w:val="00546153"/>
    <w:rsid w:val="00547096"/>
    <w:rsid w:val="00547C96"/>
    <w:rsid w:val="00550719"/>
    <w:rsid w:val="00550E5B"/>
    <w:rsid w:val="005513D3"/>
    <w:rsid w:val="00552037"/>
    <w:rsid w:val="0055242C"/>
    <w:rsid w:val="0055438C"/>
    <w:rsid w:val="00555103"/>
    <w:rsid w:val="00555961"/>
    <w:rsid w:val="00561766"/>
    <w:rsid w:val="00561B96"/>
    <w:rsid w:val="0056300D"/>
    <w:rsid w:val="00564A26"/>
    <w:rsid w:val="005668B2"/>
    <w:rsid w:val="0057117D"/>
    <w:rsid w:val="005718CE"/>
    <w:rsid w:val="005736EB"/>
    <w:rsid w:val="00574915"/>
    <w:rsid w:val="005758A7"/>
    <w:rsid w:val="00577E10"/>
    <w:rsid w:val="00581013"/>
    <w:rsid w:val="0058246A"/>
    <w:rsid w:val="00582633"/>
    <w:rsid w:val="00582C14"/>
    <w:rsid w:val="00585698"/>
    <w:rsid w:val="00585941"/>
    <w:rsid w:val="00585987"/>
    <w:rsid w:val="00590CBA"/>
    <w:rsid w:val="00591AD4"/>
    <w:rsid w:val="00592006"/>
    <w:rsid w:val="005926E6"/>
    <w:rsid w:val="00594435"/>
    <w:rsid w:val="00594927"/>
    <w:rsid w:val="0059568C"/>
    <w:rsid w:val="005961F5"/>
    <w:rsid w:val="005977D4"/>
    <w:rsid w:val="005A0CE9"/>
    <w:rsid w:val="005A1DC8"/>
    <w:rsid w:val="005A2555"/>
    <w:rsid w:val="005A26EA"/>
    <w:rsid w:val="005A3F55"/>
    <w:rsid w:val="005A691F"/>
    <w:rsid w:val="005A7266"/>
    <w:rsid w:val="005B10C4"/>
    <w:rsid w:val="005B1DAF"/>
    <w:rsid w:val="005B2AA7"/>
    <w:rsid w:val="005B3CDE"/>
    <w:rsid w:val="005B7F87"/>
    <w:rsid w:val="005C3A27"/>
    <w:rsid w:val="005C619F"/>
    <w:rsid w:val="005C627E"/>
    <w:rsid w:val="005C6F58"/>
    <w:rsid w:val="005C722C"/>
    <w:rsid w:val="005D0155"/>
    <w:rsid w:val="005D0D30"/>
    <w:rsid w:val="005D2B9B"/>
    <w:rsid w:val="005D42C4"/>
    <w:rsid w:val="005D5482"/>
    <w:rsid w:val="005D7476"/>
    <w:rsid w:val="005D7594"/>
    <w:rsid w:val="005E1CA4"/>
    <w:rsid w:val="005E352D"/>
    <w:rsid w:val="005E3C19"/>
    <w:rsid w:val="005E3EE2"/>
    <w:rsid w:val="005E5528"/>
    <w:rsid w:val="005E5A0D"/>
    <w:rsid w:val="005E6225"/>
    <w:rsid w:val="005E6664"/>
    <w:rsid w:val="005F014A"/>
    <w:rsid w:val="005F1916"/>
    <w:rsid w:val="005F277C"/>
    <w:rsid w:val="005F2AAD"/>
    <w:rsid w:val="005F33AA"/>
    <w:rsid w:val="005F40EE"/>
    <w:rsid w:val="005F4483"/>
    <w:rsid w:val="005F45D2"/>
    <w:rsid w:val="005F5353"/>
    <w:rsid w:val="005F6B41"/>
    <w:rsid w:val="005F7B4A"/>
    <w:rsid w:val="00600FCA"/>
    <w:rsid w:val="00602887"/>
    <w:rsid w:val="006033E1"/>
    <w:rsid w:val="00604731"/>
    <w:rsid w:val="006053F4"/>
    <w:rsid w:val="00605423"/>
    <w:rsid w:val="00605EA9"/>
    <w:rsid w:val="00605F5A"/>
    <w:rsid w:val="00607AC4"/>
    <w:rsid w:val="00607D58"/>
    <w:rsid w:val="00610172"/>
    <w:rsid w:val="00611C59"/>
    <w:rsid w:val="00621085"/>
    <w:rsid w:val="00623D5A"/>
    <w:rsid w:val="006243FD"/>
    <w:rsid w:val="006253F4"/>
    <w:rsid w:val="00625FAE"/>
    <w:rsid w:val="00630201"/>
    <w:rsid w:val="0063167A"/>
    <w:rsid w:val="00632223"/>
    <w:rsid w:val="006324FE"/>
    <w:rsid w:val="00632C27"/>
    <w:rsid w:val="00633036"/>
    <w:rsid w:val="00636950"/>
    <w:rsid w:val="00636F0C"/>
    <w:rsid w:val="006371FF"/>
    <w:rsid w:val="006376C4"/>
    <w:rsid w:val="00637BE2"/>
    <w:rsid w:val="006427CF"/>
    <w:rsid w:val="00642CDC"/>
    <w:rsid w:val="00642E51"/>
    <w:rsid w:val="00643297"/>
    <w:rsid w:val="0064367F"/>
    <w:rsid w:val="00643E35"/>
    <w:rsid w:val="006442AC"/>
    <w:rsid w:val="006454A1"/>
    <w:rsid w:val="006457C6"/>
    <w:rsid w:val="00645FB5"/>
    <w:rsid w:val="00646BC4"/>
    <w:rsid w:val="00647518"/>
    <w:rsid w:val="0064791E"/>
    <w:rsid w:val="00650766"/>
    <w:rsid w:val="0065089E"/>
    <w:rsid w:val="00652464"/>
    <w:rsid w:val="00654649"/>
    <w:rsid w:val="00654D5A"/>
    <w:rsid w:val="0065501E"/>
    <w:rsid w:val="00656236"/>
    <w:rsid w:val="006619C7"/>
    <w:rsid w:val="00661DB7"/>
    <w:rsid w:val="006622AE"/>
    <w:rsid w:val="0066282A"/>
    <w:rsid w:val="00662DFD"/>
    <w:rsid w:val="00663287"/>
    <w:rsid w:val="006632C1"/>
    <w:rsid w:val="00663FEB"/>
    <w:rsid w:val="006649F2"/>
    <w:rsid w:val="006651F1"/>
    <w:rsid w:val="006665A8"/>
    <w:rsid w:val="00666F2D"/>
    <w:rsid w:val="00667800"/>
    <w:rsid w:val="00673456"/>
    <w:rsid w:val="00674244"/>
    <w:rsid w:val="00675FDA"/>
    <w:rsid w:val="0067625D"/>
    <w:rsid w:val="00677A36"/>
    <w:rsid w:val="00677C0B"/>
    <w:rsid w:val="00681262"/>
    <w:rsid w:val="00681A32"/>
    <w:rsid w:val="00681FA1"/>
    <w:rsid w:val="006829C3"/>
    <w:rsid w:val="00682A26"/>
    <w:rsid w:val="00682CC5"/>
    <w:rsid w:val="00684E73"/>
    <w:rsid w:val="0068601C"/>
    <w:rsid w:val="00690885"/>
    <w:rsid w:val="0069104D"/>
    <w:rsid w:val="00691254"/>
    <w:rsid w:val="006913C8"/>
    <w:rsid w:val="0069201B"/>
    <w:rsid w:val="00693CED"/>
    <w:rsid w:val="00694F6F"/>
    <w:rsid w:val="00695D0D"/>
    <w:rsid w:val="006960C7"/>
    <w:rsid w:val="0069751B"/>
    <w:rsid w:val="006A00B5"/>
    <w:rsid w:val="006A0831"/>
    <w:rsid w:val="006A151E"/>
    <w:rsid w:val="006A1810"/>
    <w:rsid w:val="006A18B5"/>
    <w:rsid w:val="006A3818"/>
    <w:rsid w:val="006A3BFB"/>
    <w:rsid w:val="006A4407"/>
    <w:rsid w:val="006A44E9"/>
    <w:rsid w:val="006A59B7"/>
    <w:rsid w:val="006A7166"/>
    <w:rsid w:val="006A7772"/>
    <w:rsid w:val="006B0C7F"/>
    <w:rsid w:val="006B24C8"/>
    <w:rsid w:val="006B35ED"/>
    <w:rsid w:val="006B3B16"/>
    <w:rsid w:val="006B4E4A"/>
    <w:rsid w:val="006B53A4"/>
    <w:rsid w:val="006C10B9"/>
    <w:rsid w:val="006C190F"/>
    <w:rsid w:val="006C19B6"/>
    <w:rsid w:val="006C24A0"/>
    <w:rsid w:val="006C4F29"/>
    <w:rsid w:val="006C5295"/>
    <w:rsid w:val="006C6BEA"/>
    <w:rsid w:val="006C7130"/>
    <w:rsid w:val="006C71A0"/>
    <w:rsid w:val="006C7773"/>
    <w:rsid w:val="006C7F10"/>
    <w:rsid w:val="006D28EF"/>
    <w:rsid w:val="006D2A0A"/>
    <w:rsid w:val="006D3231"/>
    <w:rsid w:val="006D3B10"/>
    <w:rsid w:val="006D51B9"/>
    <w:rsid w:val="006D75B5"/>
    <w:rsid w:val="006E003D"/>
    <w:rsid w:val="006E4760"/>
    <w:rsid w:val="006E66FC"/>
    <w:rsid w:val="006E6A2C"/>
    <w:rsid w:val="006F067B"/>
    <w:rsid w:val="006F261C"/>
    <w:rsid w:val="006F3683"/>
    <w:rsid w:val="006F69E2"/>
    <w:rsid w:val="006F7326"/>
    <w:rsid w:val="006F7B6A"/>
    <w:rsid w:val="007006BD"/>
    <w:rsid w:val="00702757"/>
    <w:rsid w:val="00702985"/>
    <w:rsid w:val="00705296"/>
    <w:rsid w:val="00705B3F"/>
    <w:rsid w:val="00706A5C"/>
    <w:rsid w:val="007102B4"/>
    <w:rsid w:val="00710AC7"/>
    <w:rsid w:val="00712B80"/>
    <w:rsid w:val="00712D3A"/>
    <w:rsid w:val="00712FF7"/>
    <w:rsid w:val="00713D1B"/>
    <w:rsid w:val="00715C58"/>
    <w:rsid w:val="007164F2"/>
    <w:rsid w:val="007175BA"/>
    <w:rsid w:val="007175F5"/>
    <w:rsid w:val="007202B4"/>
    <w:rsid w:val="007203CE"/>
    <w:rsid w:val="007219D3"/>
    <w:rsid w:val="00723B47"/>
    <w:rsid w:val="00725450"/>
    <w:rsid w:val="007262DD"/>
    <w:rsid w:val="0072630D"/>
    <w:rsid w:val="00730BAE"/>
    <w:rsid w:val="007337CC"/>
    <w:rsid w:val="00733881"/>
    <w:rsid w:val="00734D9A"/>
    <w:rsid w:val="007408F1"/>
    <w:rsid w:val="00740F08"/>
    <w:rsid w:val="007414B3"/>
    <w:rsid w:val="007444B3"/>
    <w:rsid w:val="007463CF"/>
    <w:rsid w:val="0075034B"/>
    <w:rsid w:val="00750C90"/>
    <w:rsid w:val="00750E9B"/>
    <w:rsid w:val="00751199"/>
    <w:rsid w:val="00751CFD"/>
    <w:rsid w:val="00752A25"/>
    <w:rsid w:val="0075562F"/>
    <w:rsid w:val="007556A5"/>
    <w:rsid w:val="007568D4"/>
    <w:rsid w:val="00756B23"/>
    <w:rsid w:val="00756EE7"/>
    <w:rsid w:val="007621DB"/>
    <w:rsid w:val="007652C1"/>
    <w:rsid w:val="00765479"/>
    <w:rsid w:val="007672FC"/>
    <w:rsid w:val="00771A10"/>
    <w:rsid w:val="00772604"/>
    <w:rsid w:val="00773367"/>
    <w:rsid w:val="00774CEB"/>
    <w:rsid w:val="007753D1"/>
    <w:rsid w:val="00777A24"/>
    <w:rsid w:val="00780A86"/>
    <w:rsid w:val="00781AD6"/>
    <w:rsid w:val="0078226A"/>
    <w:rsid w:val="00782D6C"/>
    <w:rsid w:val="007836A9"/>
    <w:rsid w:val="00784181"/>
    <w:rsid w:val="007864EA"/>
    <w:rsid w:val="00786E3F"/>
    <w:rsid w:val="007911E9"/>
    <w:rsid w:val="0079236F"/>
    <w:rsid w:val="0079384E"/>
    <w:rsid w:val="007952CA"/>
    <w:rsid w:val="00795BA1"/>
    <w:rsid w:val="00796562"/>
    <w:rsid w:val="00796F2B"/>
    <w:rsid w:val="007974E8"/>
    <w:rsid w:val="007A0529"/>
    <w:rsid w:val="007A0A7E"/>
    <w:rsid w:val="007A0BE9"/>
    <w:rsid w:val="007A103A"/>
    <w:rsid w:val="007A1292"/>
    <w:rsid w:val="007A1C4E"/>
    <w:rsid w:val="007A2905"/>
    <w:rsid w:val="007A3519"/>
    <w:rsid w:val="007A4D75"/>
    <w:rsid w:val="007A4F85"/>
    <w:rsid w:val="007A50A8"/>
    <w:rsid w:val="007A6573"/>
    <w:rsid w:val="007B056B"/>
    <w:rsid w:val="007B0DBC"/>
    <w:rsid w:val="007B275F"/>
    <w:rsid w:val="007B2FC8"/>
    <w:rsid w:val="007B3EA8"/>
    <w:rsid w:val="007B5955"/>
    <w:rsid w:val="007B69DE"/>
    <w:rsid w:val="007C0637"/>
    <w:rsid w:val="007C09CC"/>
    <w:rsid w:val="007C5B3D"/>
    <w:rsid w:val="007C6F20"/>
    <w:rsid w:val="007C722C"/>
    <w:rsid w:val="007C7429"/>
    <w:rsid w:val="007C7972"/>
    <w:rsid w:val="007D0825"/>
    <w:rsid w:val="007D0FC7"/>
    <w:rsid w:val="007D1515"/>
    <w:rsid w:val="007D2388"/>
    <w:rsid w:val="007D2562"/>
    <w:rsid w:val="007D2E65"/>
    <w:rsid w:val="007D31CD"/>
    <w:rsid w:val="007D6491"/>
    <w:rsid w:val="007D653D"/>
    <w:rsid w:val="007E215A"/>
    <w:rsid w:val="007E2EDC"/>
    <w:rsid w:val="007E3487"/>
    <w:rsid w:val="007E5D6C"/>
    <w:rsid w:val="007E6FD9"/>
    <w:rsid w:val="007F0650"/>
    <w:rsid w:val="007F0859"/>
    <w:rsid w:val="007F1032"/>
    <w:rsid w:val="007F26A1"/>
    <w:rsid w:val="007F2E15"/>
    <w:rsid w:val="007F3477"/>
    <w:rsid w:val="007F409D"/>
    <w:rsid w:val="007F5484"/>
    <w:rsid w:val="007F5548"/>
    <w:rsid w:val="007F574C"/>
    <w:rsid w:val="007F6844"/>
    <w:rsid w:val="007F6D07"/>
    <w:rsid w:val="007F6F35"/>
    <w:rsid w:val="007F7A43"/>
    <w:rsid w:val="007F7CCB"/>
    <w:rsid w:val="008008F4"/>
    <w:rsid w:val="00802B15"/>
    <w:rsid w:val="00804788"/>
    <w:rsid w:val="008055AC"/>
    <w:rsid w:val="00806031"/>
    <w:rsid w:val="008062E6"/>
    <w:rsid w:val="008066C5"/>
    <w:rsid w:val="00812BB6"/>
    <w:rsid w:val="008134B8"/>
    <w:rsid w:val="00813E9D"/>
    <w:rsid w:val="00815525"/>
    <w:rsid w:val="00815FC5"/>
    <w:rsid w:val="00821CD6"/>
    <w:rsid w:val="00822449"/>
    <w:rsid w:val="00823F1A"/>
    <w:rsid w:val="00824BE4"/>
    <w:rsid w:val="00825DDF"/>
    <w:rsid w:val="008263C2"/>
    <w:rsid w:val="00826B4D"/>
    <w:rsid w:val="0083014E"/>
    <w:rsid w:val="008319E5"/>
    <w:rsid w:val="00831DBA"/>
    <w:rsid w:val="008323C2"/>
    <w:rsid w:val="00832EAC"/>
    <w:rsid w:val="00834047"/>
    <w:rsid w:val="00834049"/>
    <w:rsid w:val="008364ED"/>
    <w:rsid w:val="00836B89"/>
    <w:rsid w:val="00837747"/>
    <w:rsid w:val="008416B9"/>
    <w:rsid w:val="00842BBB"/>
    <w:rsid w:val="00844464"/>
    <w:rsid w:val="008455D8"/>
    <w:rsid w:val="008463C4"/>
    <w:rsid w:val="00846458"/>
    <w:rsid w:val="00846B19"/>
    <w:rsid w:val="00846B59"/>
    <w:rsid w:val="008526FF"/>
    <w:rsid w:val="00853135"/>
    <w:rsid w:val="00853427"/>
    <w:rsid w:val="00854009"/>
    <w:rsid w:val="008541A5"/>
    <w:rsid w:val="00854674"/>
    <w:rsid w:val="00856312"/>
    <w:rsid w:val="0085789B"/>
    <w:rsid w:val="008615A9"/>
    <w:rsid w:val="0086231F"/>
    <w:rsid w:val="008625E6"/>
    <w:rsid w:val="008626FF"/>
    <w:rsid w:val="008647AE"/>
    <w:rsid w:val="008665C1"/>
    <w:rsid w:val="00867E69"/>
    <w:rsid w:val="008714CD"/>
    <w:rsid w:val="00871B9C"/>
    <w:rsid w:val="00876A3C"/>
    <w:rsid w:val="008816AD"/>
    <w:rsid w:val="008817AC"/>
    <w:rsid w:val="008831B3"/>
    <w:rsid w:val="008878DA"/>
    <w:rsid w:val="00890259"/>
    <w:rsid w:val="00890335"/>
    <w:rsid w:val="008913E7"/>
    <w:rsid w:val="00892051"/>
    <w:rsid w:val="0089260B"/>
    <w:rsid w:val="00892AAD"/>
    <w:rsid w:val="00894A2E"/>
    <w:rsid w:val="00894BFD"/>
    <w:rsid w:val="00895A4A"/>
    <w:rsid w:val="00896936"/>
    <w:rsid w:val="008A109B"/>
    <w:rsid w:val="008A18EA"/>
    <w:rsid w:val="008A3D2C"/>
    <w:rsid w:val="008A3E60"/>
    <w:rsid w:val="008A7370"/>
    <w:rsid w:val="008A7B7F"/>
    <w:rsid w:val="008B1157"/>
    <w:rsid w:val="008B280A"/>
    <w:rsid w:val="008B46A0"/>
    <w:rsid w:val="008B4D7C"/>
    <w:rsid w:val="008B51E9"/>
    <w:rsid w:val="008B65DB"/>
    <w:rsid w:val="008B67DD"/>
    <w:rsid w:val="008C06AE"/>
    <w:rsid w:val="008C1EE9"/>
    <w:rsid w:val="008C313C"/>
    <w:rsid w:val="008C379C"/>
    <w:rsid w:val="008C43BE"/>
    <w:rsid w:val="008C47A4"/>
    <w:rsid w:val="008C5AF0"/>
    <w:rsid w:val="008C684C"/>
    <w:rsid w:val="008C6BD5"/>
    <w:rsid w:val="008C73FF"/>
    <w:rsid w:val="008D05D7"/>
    <w:rsid w:val="008D0FCC"/>
    <w:rsid w:val="008D2583"/>
    <w:rsid w:val="008D583E"/>
    <w:rsid w:val="008D5D0C"/>
    <w:rsid w:val="008D6342"/>
    <w:rsid w:val="008D67FB"/>
    <w:rsid w:val="008E0E92"/>
    <w:rsid w:val="008E13A5"/>
    <w:rsid w:val="008E18CD"/>
    <w:rsid w:val="008E4931"/>
    <w:rsid w:val="008E527A"/>
    <w:rsid w:val="008E56F2"/>
    <w:rsid w:val="008F2F85"/>
    <w:rsid w:val="008F3D13"/>
    <w:rsid w:val="008F6756"/>
    <w:rsid w:val="009005B3"/>
    <w:rsid w:val="0090078A"/>
    <w:rsid w:val="00902C50"/>
    <w:rsid w:val="009031AF"/>
    <w:rsid w:val="00904299"/>
    <w:rsid w:val="009056D1"/>
    <w:rsid w:val="00906A2B"/>
    <w:rsid w:val="00907C84"/>
    <w:rsid w:val="0091106A"/>
    <w:rsid w:val="00913B6F"/>
    <w:rsid w:val="00914A81"/>
    <w:rsid w:val="00914E82"/>
    <w:rsid w:val="00916B60"/>
    <w:rsid w:val="00917204"/>
    <w:rsid w:val="0092276D"/>
    <w:rsid w:val="0092354B"/>
    <w:rsid w:val="00923653"/>
    <w:rsid w:val="00924218"/>
    <w:rsid w:val="009247B2"/>
    <w:rsid w:val="00925B3D"/>
    <w:rsid w:val="00925D2F"/>
    <w:rsid w:val="0092643F"/>
    <w:rsid w:val="00927569"/>
    <w:rsid w:val="009300FE"/>
    <w:rsid w:val="00931242"/>
    <w:rsid w:val="009313C3"/>
    <w:rsid w:val="009313F0"/>
    <w:rsid w:val="00931F9C"/>
    <w:rsid w:val="00932AA4"/>
    <w:rsid w:val="00932CFE"/>
    <w:rsid w:val="00933F70"/>
    <w:rsid w:val="009346D2"/>
    <w:rsid w:val="00934B9E"/>
    <w:rsid w:val="00935084"/>
    <w:rsid w:val="009352D3"/>
    <w:rsid w:val="0093532D"/>
    <w:rsid w:val="00935B4C"/>
    <w:rsid w:val="0093638C"/>
    <w:rsid w:val="00940C99"/>
    <w:rsid w:val="00945A81"/>
    <w:rsid w:val="0094720D"/>
    <w:rsid w:val="00947FC2"/>
    <w:rsid w:val="00950318"/>
    <w:rsid w:val="009508BE"/>
    <w:rsid w:val="00951F44"/>
    <w:rsid w:val="00953B2B"/>
    <w:rsid w:val="00953BCD"/>
    <w:rsid w:val="00955072"/>
    <w:rsid w:val="00956F86"/>
    <w:rsid w:val="00957C0A"/>
    <w:rsid w:val="009618B4"/>
    <w:rsid w:val="00961F08"/>
    <w:rsid w:val="009627A9"/>
    <w:rsid w:val="009628ED"/>
    <w:rsid w:val="0096307A"/>
    <w:rsid w:val="0096583C"/>
    <w:rsid w:val="0096584F"/>
    <w:rsid w:val="009662CE"/>
    <w:rsid w:val="0096669F"/>
    <w:rsid w:val="0096729E"/>
    <w:rsid w:val="009716DF"/>
    <w:rsid w:val="00971B1F"/>
    <w:rsid w:val="00972DF8"/>
    <w:rsid w:val="009732D4"/>
    <w:rsid w:val="00973A28"/>
    <w:rsid w:val="009758CB"/>
    <w:rsid w:val="00976551"/>
    <w:rsid w:val="0098040F"/>
    <w:rsid w:val="00980CC6"/>
    <w:rsid w:val="00981917"/>
    <w:rsid w:val="00982621"/>
    <w:rsid w:val="00984BB3"/>
    <w:rsid w:val="00984CD1"/>
    <w:rsid w:val="00986525"/>
    <w:rsid w:val="00986684"/>
    <w:rsid w:val="00986963"/>
    <w:rsid w:val="00990E47"/>
    <w:rsid w:val="00991E8B"/>
    <w:rsid w:val="0099242A"/>
    <w:rsid w:val="0099277C"/>
    <w:rsid w:val="00992BEE"/>
    <w:rsid w:val="00993615"/>
    <w:rsid w:val="009942A8"/>
    <w:rsid w:val="00995366"/>
    <w:rsid w:val="009A0B8A"/>
    <w:rsid w:val="009A0CB1"/>
    <w:rsid w:val="009A14EE"/>
    <w:rsid w:val="009A2B9B"/>
    <w:rsid w:val="009A4406"/>
    <w:rsid w:val="009A710B"/>
    <w:rsid w:val="009B093B"/>
    <w:rsid w:val="009B133A"/>
    <w:rsid w:val="009B1A46"/>
    <w:rsid w:val="009B1DED"/>
    <w:rsid w:val="009B2067"/>
    <w:rsid w:val="009B34CC"/>
    <w:rsid w:val="009B36D7"/>
    <w:rsid w:val="009B5218"/>
    <w:rsid w:val="009B6D59"/>
    <w:rsid w:val="009B75DA"/>
    <w:rsid w:val="009B77F7"/>
    <w:rsid w:val="009B7FB4"/>
    <w:rsid w:val="009C05E2"/>
    <w:rsid w:val="009C33F9"/>
    <w:rsid w:val="009C39BC"/>
    <w:rsid w:val="009C4957"/>
    <w:rsid w:val="009C5AE7"/>
    <w:rsid w:val="009C667F"/>
    <w:rsid w:val="009C7055"/>
    <w:rsid w:val="009C75BC"/>
    <w:rsid w:val="009D419B"/>
    <w:rsid w:val="009D439B"/>
    <w:rsid w:val="009D4DFD"/>
    <w:rsid w:val="009D5906"/>
    <w:rsid w:val="009E013A"/>
    <w:rsid w:val="009E0C99"/>
    <w:rsid w:val="009E28ED"/>
    <w:rsid w:val="009E2C65"/>
    <w:rsid w:val="009E4BF3"/>
    <w:rsid w:val="009E52A8"/>
    <w:rsid w:val="009E6DA2"/>
    <w:rsid w:val="009F155C"/>
    <w:rsid w:val="009F2F56"/>
    <w:rsid w:val="009F38F6"/>
    <w:rsid w:val="009F4869"/>
    <w:rsid w:val="009F5166"/>
    <w:rsid w:val="009F6058"/>
    <w:rsid w:val="009F6A81"/>
    <w:rsid w:val="009F74BD"/>
    <w:rsid w:val="009F7B00"/>
    <w:rsid w:val="00A00BC2"/>
    <w:rsid w:val="00A034E2"/>
    <w:rsid w:val="00A03CEA"/>
    <w:rsid w:val="00A04A7A"/>
    <w:rsid w:val="00A054E4"/>
    <w:rsid w:val="00A074E8"/>
    <w:rsid w:val="00A07F9A"/>
    <w:rsid w:val="00A11EF1"/>
    <w:rsid w:val="00A13083"/>
    <w:rsid w:val="00A13F88"/>
    <w:rsid w:val="00A147ED"/>
    <w:rsid w:val="00A14D32"/>
    <w:rsid w:val="00A15058"/>
    <w:rsid w:val="00A164D1"/>
    <w:rsid w:val="00A16BA7"/>
    <w:rsid w:val="00A17CCE"/>
    <w:rsid w:val="00A207AA"/>
    <w:rsid w:val="00A20CB6"/>
    <w:rsid w:val="00A22C44"/>
    <w:rsid w:val="00A23166"/>
    <w:rsid w:val="00A2382C"/>
    <w:rsid w:val="00A259C8"/>
    <w:rsid w:val="00A321FB"/>
    <w:rsid w:val="00A3231A"/>
    <w:rsid w:val="00A3268D"/>
    <w:rsid w:val="00A33187"/>
    <w:rsid w:val="00A33EE4"/>
    <w:rsid w:val="00A3711C"/>
    <w:rsid w:val="00A37BA4"/>
    <w:rsid w:val="00A37E71"/>
    <w:rsid w:val="00A41578"/>
    <w:rsid w:val="00A431AD"/>
    <w:rsid w:val="00A434D4"/>
    <w:rsid w:val="00A44189"/>
    <w:rsid w:val="00A44FA7"/>
    <w:rsid w:val="00A454B1"/>
    <w:rsid w:val="00A45502"/>
    <w:rsid w:val="00A46C18"/>
    <w:rsid w:val="00A46EA7"/>
    <w:rsid w:val="00A531F7"/>
    <w:rsid w:val="00A56F1F"/>
    <w:rsid w:val="00A5743E"/>
    <w:rsid w:val="00A57741"/>
    <w:rsid w:val="00A60667"/>
    <w:rsid w:val="00A6391D"/>
    <w:rsid w:val="00A6455C"/>
    <w:rsid w:val="00A66787"/>
    <w:rsid w:val="00A673A8"/>
    <w:rsid w:val="00A70962"/>
    <w:rsid w:val="00A72880"/>
    <w:rsid w:val="00A73ADD"/>
    <w:rsid w:val="00A73BC1"/>
    <w:rsid w:val="00A73C8E"/>
    <w:rsid w:val="00A74CBD"/>
    <w:rsid w:val="00A74FAE"/>
    <w:rsid w:val="00A77743"/>
    <w:rsid w:val="00A8064C"/>
    <w:rsid w:val="00A8379D"/>
    <w:rsid w:val="00A83C95"/>
    <w:rsid w:val="00A8405B"/>
    <w:rsid w:val="00A856AC"/>
    <w:rsid w:val="00A85BC8"/>
    <w:rsid w:val="00A86B23"/>
    <w:rsid w:val="00A86D5A"/>
    <w:rsid w:val="00A86FBA"/>
    <w:rsid w:val="00A87589"/>
    <w:rsid w:val="00A901FA"/>
    <w:rsid w:val="00A9085C"/>
    <w:rsid w:val="00A908C6"/>
    <w:rsid w:val="00A90D7C"/>
    <w:rsid w:val="00A91065"/>
    <w:rsid w:val="00A91A98"/>
    <w:rsid w:val="00A91DD4"/>
    <w:rsid w:val="00A91E11"/>
    <w:rsid w:val="00A91E55"/>
    <w:rsid w:val="00A9208C"/>
    <w:rsid w:val="00A92465"/>
    <w:rsid w:val="00A92655"/>
    <w:rsid w:val="00A926D1"/>
    <w:rsid w:val="00A95826"/>
    <w:rsid w:val="00A96951"/>
    <w:rsid w:val="00A96B3F"/>
    <w:rsid w:val="00A96C29"/>
    <w:rsid w:val="00A9718B"/>
    <w:rsid w:val="00A97727"/>
    <w:rsid w:val="00A97C9B"/>
    <w:rsid w:val="00AA0003"/>
    <w:rsid w:val="00AA3758"/>
    <w:rsid w:val="00AA4C63"/>
    <w:rsid w:val="00AA6147"/>
    <w:rsid w:val="00AA630E"/>
    <w:rsid w:val="00AA72BC"/>
    <w:rsid w:val="00AB04CF"/>
    <w:rsid w:val="00AB216E"/>
    <w:rsid w:val="00AB2D80"/>
    <w:rsid w:val="00AB455D"/>
    <w:rsid w:val="00AB4F9D"/>
    <w:rsid w:val="00AB50A0"/>
    <w:rsid w:val="00AB5610"/>
    <w:rsid w:val="00AB61D1"/>
    <w:rsid w:val="00AC0802"/>
    <w:rsid w:val="00AC095D"/>
    <w:rsid w:val="00AC22CB"/>
    <w:rsid w:val="00AC3157"/>
    <w:rsid w:val="00AC424C"/>
    <w:rsid w:val="00AC53E4"/>
    <w:rsid w:val="00AC584E"/>
    <w:rsid w:val="00AC585B"/>
    <w:rsid w:val="00AD13D9"/>
    <w:rsid w:val="00AD2F7B"/>
    <w:rsid w:val="00AD3296"/>
    <w:rsid w:val="00AD3623"/>
    <w:rsid w:val="00AD3700"/>
    <w:rsid w:val="00AD3B63"/>
    <w:rsid w:val="00AD5730"/>
    <w:rsid w:val="00AE322A"/>
    <w:rsid w:val="00AF0BBB"/>
    <w:rsid w:val="00AF3AAA"/>
    <w:rsid w:val="00AF3E75"/>
    <w:rsid w:val="00AF48F4"/>
    <w:rsid w:val="00AF4AF0"/>
    <w:rsid w:val="00AF4CDC"/>
    <w:rsid w:val="00AF559D"/>
    <w:rsid w:val="00AF5A08"/>
    <w:rsid w:val="00AF5AE0"/>
    <w:rsid w:val="00AF5F5D"/>
    <w:rsid w:val="00AF60AF"/>
    <w:rsid w:val="00AF7B23"/>
    <w:rsid w:val="00B003BE"/>
    <w:rsid w:val="00B00A95"/>
    <w:rsid w:val="00B00F94"/>
    <w:rsid w:val="00B0256E"/>
    <w:rsid w:val="00B02B61"/>
    <w:rsid w:val="00B0307C"/>
    <w:rsid w:val="00B05CA7"/>
    <w:rsid w:val="00B12D98"/>
    <w:rsid w:val="00B12E6F"/>
    <w:rsid w:val="00B13064"/>
    <w:rsid w:val="00B136A1"/>
    <w:rsid w:val="00B1411C"/>
    <w:rsid w:val="00B158F0"/>
    <w:rsid w:val="00B1658B"/>
    <w:rsid w:val="00B16CB3"/>
    <w:rsid w:val="00B17E62"/>
    <w:rsid w:val="00B20856"/>
    <w:rsid w:val="00B2085D"/>
    <w:rsid w:val="00B2090F"/>
    <w:rsid w:val="00B21850"/>
    <w:rsid w:val="00B21F17"/>
    <w:rsid w:val="00B21F3A"/>
    <w:rsid w:val="00B2576E"/>
    <w:rsid w:val="00B26588"/>
    <w:rsid w:val="00B302AD"/>
    <w:rsid w:val="00B3033F"/>
    <w:rsid w:val="00B310DE"/>
    <w:rsid w:val="00B311CC"/>
    <w:rsid w:val="00B33452"/>
    <w:rsid w:val="00B338CD"/>
    <w:rsid w:val="00B33ADD"/>
    <w:rsid w:val="00B3460D"/>
    <w:rsid w:val="00B34A3A"/>
    <w:rsid w:val="00B34C06"/>
    <w:rsid w:val="00B403E5"/>
    <w:rsid w:val="00B40705"/>
    <w:rsid w:val="00B40772"/>
    <w:rsid w:val="00B43C7D"/>
    <w:rsid w:val="00B454C7"/>
    <w:rsid w:val="00B45D84"/>
    <w:rsid w:val="00B45DF2"/>
    <w:rsid w:val="00B505BA"/>
    <w:rsid w:val="00B50DDC"/>
    <w:rsid w:val="00B515A0"/>
    <w:rsid w:val="00B529DF"/>
    <w:rsid w:val="00B54056"/>
    <w:rsid w:val="00B55E49"/>
    <w:rsid w:val="00B55EAD"/>
    <w:rsid w:val="00B55F4F"/>
    <w:rsid w:val="00B57C00"/>
    <w:rsid w:val="00B61A71"/>
    <w:rsid w:val="00B656A2"/>
    <w:rsid w:val="00B672BA"/>
    <w:rsid w:val="00B67484"/>
    <w:rsid w:val="00B70166"/>
    <w:rsid w:val="00B70A86"/>
    <w:rsid w:val="00B718EF"/>
    <w:rsid w:val="00B72265"/>
    <w:rsid w:val="00B75368"/>
    <w:rsid w:val="00B76140"/>
    <w:rsid w:val="00B76B45"/>
    <w:rsid w:val="00B776F7"/>
    <w:rsid w:val="00B77E0E"/>
    <w:rsid w:val="00B82B4E"/>
    <w:rsid w:val="00B84031"/>
    <w:rsid w:val="00B843E5"/>
    <w:rsid w:val="00B8556A"/>
    <w:rsid w:val="00B85F34"/>
    <w:rsid w:val="00B86C47"/>
    <w:rsid w:val="00B87D93"/>
    <w:rsid w:val="00B87F0A"/>
    <w:rsid w:val="00B917FD"/>
    <w:rsid w:val="00B91BBF"/>
    <w:rsid w:val="00B9259F"/>
    <w:rsid w:val="00B92750"/>
    <w:rsid w:val="00B93317"/>
    <w:rsid w:val="00B93879"/>
    <w:rsid w:val="00B95E2D"/>
    <w:rsid w:val="00B97ECB"/>
    <w:rsid w:val="00BA03A9"/>
    <w:rsid w:val="00BA0DCE"/>
    <w:rsid w:val="00BA2B03"/>
    <w:rsid w:val="00BA3C4A"/>
    <w:rsid w:val="00BA7632"/>
    <w:rsid w:val="00BA7696"/>
    <w:rsid w:val="00BB16EC"/>
    <w:rsid w:val="00BB2E3F"/>
    <w:rsid w:val="00BB4AA8"/>
    <w:rsid w:val="00BB4F34"/>
    <w:rsid w:val="00BB584C"/>
    <w:rsid w:val="00BB5FC4"/>
    <w:rsid w:val="00BC1498"/>
    <w:rsid w:val="00BC18E3"/>
    <w:rsid w:val="00BC1C45"/>
    <w:rsid w:val="00BC2004"/>
    <w:rsid w:val="00BC25E2"/>
    <w:rsid w:val="00BC372A"/>
    <w:rsid w:val="00BC58CD"/>
    <w:rsid w:val="00BC5B20"/>
    <w:rsid w:val="00BC708A"/>
    <w:rsid w:val="00BD0A04"/>
    <w:rsid w:val="00BD0AA3"/>
    <w:rsid w:val="00BD3381"/>
    <w:rsid w:val="00BD41D9"/>
    <w:rsid w:val="00BD4CF3"/>
    <w:rsid w:val="00BD4EC5"/>
    <w:rsid w:val="00BD5C9A"/>
    <w:rsid w:val="00BD6A4F"/>
    <w:rsid w:val="00BD6DEE"/>
    <w:rsid w:val="00BE0813"/>
    <w:rsid w:val="00BE1D3F"/>
    <w:rsid w:val="00BE40FF"/>
    <w:rsid w:val="00BE4844"/>
    <w:rsid w:val="00BE55BF"/>
    <w:rsid w:val="00BE5DFA"/>
    <w:rsid w:val="00BF0730"/>
    <w:rsid w:val="00BF07DA"/>
    <w:rsid w:val="00BF2BC2"/>
    <w:rsid w:val="00BF32A9"/>
    <w:rsid w:val="00BF3990"/>
    <w:rsid w:val="00BF3CEC"/>
    <w:rsid w:val="00BF51F0"/>
    <w:rsid w:val="00C010C3"/>
    <w:rsid w:val="00C010E8"/>
    <w:rsid w:val="00C01528"/>
    <w:rsid w:val="00C0344A"/>
    <w:rsid w:val="00C03B72"/>
    <w:rsid w:val="00C04D42"/>
    <w:rsid w:val="00C06445"/>
    <w:rsid w:val="00C06729"/>
    <w:rsid w:val="00C07288"/>
    <w:rsid w:val="00C11A26"/>
    <w:rsid w:val="00C1286C"/>
    <w:rsid w:val="00C14823"/>
    <w:rsid w:val="00C16367"/>
    <w:rsid w:val="00C16D16"/>
    <w:rsid w:val="00C17707"/>
    <w:rsid w:val="00C17CA7"/>
    <w:rsid w:val="00C22C44"/>
    <w:rsid w:val="00C23CAE"/>
    <w:rsid w:val="00C24552"/>
    <w:rsid w:val="00C24606"/>
    <w:rsid w:val="00C254BF"/>
    <w:rsid w:val="00C26918"/>
    <w:rsid w:val="00C26F2E"/>
    <w:rsid w:val="00C27428"/>
    <w:rsid w:val="00C31FAA"/>
    <w:rsid w:val="00C32B41"/>
    <w:rsid w:val="00C3644B"/>
    <w:rsid w:val="00C3683A"/>
    <w:rsid w:val="00C424DC"/>
    <w:rsid w:val="00C427A2"/>
    <w:rsid w:val="00C43DC3"/>
    <w:rsid w:val="00C45162"/>
    <w:rsid w:val="00C47013"/>
    <w:rsid w:val="00C47CF0"/>
    <w:rsid w:val="00C50312"/>
    <w:rsid w:val="00C51017"/>
    <w:rsid w:val="00C5269C"/>
    <w:rsid w:val="00C5279D"/>
    <w:rsid w:val="00C5401A"/>
    <w:rsid w:val="00C549E2"/>
    <w:rsid w:val="00C54C82"/>
    <w:rsid w:val="00C55255"/>
    <w:rsid w:val="00C57A0F"/>
    <w:rsid w:val="00C61DEE"/>
    <w:rsid w:val="00C62908"/>
    <w:rsid w:val="00C65A2C"/>
    <w:rsid w:val="00C65F5E"/>
    <w:rsid w:val="00C66170"/>
    <w:rsid w:val="00C665EC"/>
    <w:rsid w:val="00C669F7"/>
    <w:rsid w:val="00C67526"/>
    <w:rsid w:val="00C67632"/>
    <w:rsid w:val="00C67945"/>
    <w:rsid w:val="00C71C4E"/>
    <w:rsid w:val="00C71E45"/>
    <w:rsid w:val="00C729C2"/>
    <w:rsid w:val="00C72ADE"/>
    <w:rsid w:val="00C72DDB"/>
    <w:rsid w:val="00C7377A"/>
    <w:rsid w:val="00C75B87"/>
    <w:rsid w:val="00C76DAA"/>
    <w:rsid w:val="00C76FBB"/>
    <w:rsid w:val="00C77141"/>
    <w:rsid w:val="00C7717F"/>
    <w:rsid w:val="00C80D2A"/>
    <w:rsid w:val="00C831C3"/>
    <w:rsid w:val="00C8394A"/>
    <w:rsid w:val="00C85623"/>
    <w:rsid w:val="00C86D8D"/>
    <w:rsid w:val="00C8719A"/>
    <w:rsid w:val="00C94F2C"/>
    <w:rsid w:val="00C94FBF"/>
    <w:rsid w:val="00C95A5A"/>
    <w:rsid w:val="00C9643B"/>
    <w:rsid w:val="00C979E3"/>
    <w:rsid w:val="00CA0761"/>
    <w:rsid w:val="00CA2A8B"/>
    <w:rsid w:val="00CA3E58"/>
    <w:rsid w:val="00CA4FEE"/>
    <w:rsid w:val="00CA5261"/>
    <w:rsid w:val="00CA733E"/>
    <w:rsid w:val="00CA7F93"/>
    <w:rsid w:val="00CB1ED0"/>
    <w:rsid w:val="00CB7E85"/>
    <w:rsid w:val="00CC1056"/>
    <w:rsid w:val="00CC3189"/>
    <w:rsid w:val="00CC42A2"/>
    <w:rsid w:val="00CC4871"/>
    <w:rsid w:val="00CC4920"/>
    <w:rsid w:val="00CD113D"/>
    <w:rsid w:val="00CD1797"/>
    <w:rsid w:val="00CD1804"/>
    <w:rsid w:val="00CD3640"/>
    <w:rsid w:val="00CD3643"/>
    <w:rsid w:val="00CD3ADA"/>
    <w:rsid w:val="00CD454E"/>
    <w:rsid w:val="00CD49E6"/>
    <w:rsid w:val="00CD5A2E"/>
    <w:rsid w:val="00CD5C0C"/>
    <w:rsid w:val="00CD6914"/>
    <w:rsid w:val="00CD7880"/>
    <w:rsid w:val="00CD7B4C"/>
    <w:rsid w:val="00CE0495"/>
    <w:rsid w:val="00CE0A22"/>
    <w:rsid w:val="00CE1642"/>
    <w:rsid w:val="00CE2BAD"/>
    <w:rsid w:val="00CE2E5D"/>
    <w:rsid w:val="00CE4F9F"/>
    <w:rsid w:val="00CE5681"/>
    <w:rsid w:val="00CF00E1"/>
    <w:rsid w:val="00CF4065"/>
    <w:rsid w:val="00CF4BED"/>
    <w:rsid w:val="00CF5267"/>
    <w:rsid w:val="00CF67BD"/>
    <w:rsid w:val="00D012C5"/>
    <w:rsid w:val="00D01794"/>
    <w:rsid w:val="00D02091"/>
    <w:rsid w:val="00D06439"/>
    <w:rsid w:val="00D06901"/>
    <w:rsid w:val="00D06ED4"/>
    <w:rsid w:val="00D1099C"/>
    <w:rsid w:val="00D109A0"/>
    <w:rsid w:val="00D1126D"/>
    <w:rsid w:val="00D11746"/>
    <w:rsid w:val="00D11E96"/>
    <w:rsid w:val="00D12463"/>
    <w:rsid w:val="00D1378F"/>
    <w:rsid w:val="00D20736"/>
    <w:rsid w:val="00D22189"/>
    <w:rsid w:val="00D228AB"/>
    <w:rsid w:val="00D23C33"/>
    <w:rsid w:val="00D26743"/>
    <w:rsid w:val="00D30358"/>
    <w:rsid w:val="00D314C3"/>
    <w:rsid w:val="00D31EEA"/>
    <w:rsid w:val="00D34D53"/>
    <w:rsid w:val="00D351DA"/>
    <w:rsid w:val="00D35247"/>
    <w:rsid w:val="00D357F7"/>
    <w:rsid w:val="00D35FF2"/>
    <w:rsid w:val="00D37357"/>
    <w:rsid w:val="00D37DDF"/>
    <w:rsid w:val="00D37F33"/>
    <w:rsid w:val="00D43D1F"/>
    <w:rsid w:val="00D44219"/>
    <w:rsid w:val="00D446DC"/>
    <w:rsid w:val="00D4606F"/>
    <w:rsid w:val="00D51222"/>
    <w:rsid w:val="00D51CB7"/>
    <w:rsid w:val="00D52405"/>
    <w:rsid w:val="00D55965"/>
    <w:rsid w:val="00D60B6A"/>
    <w:rsid w:val="00D61EE2"/>
    <w:rsid w:val="00D62BAB"/>
    <w:rsid w:val="00D63B5A"/>
    <w:rsid w:val="00D63C41"/>
    <w:rsid w:val="00D64760"/>
    <w:rsid w:val="00D66008"/>
    <w:rsid w:val="00D666AF"/>
    <w:rsid w:val="00D66FDE"/>
    <w:rsid w:val="00D74342"/>
    <w:rsid w:val="00D74DA7"/>
    <w:rsid w:val="00D75082"/>
    <w:rsid w:val="00D757D3"/>
    <w:rsid w:val="00D76261"/>
    <w:rsid w:val="00D769D7"/>
    <w:rsid w:val="00D77E35"/>
    <w:rsid w:val="00D80173"/>
    <w:rsid w:val="00D805B6"/>
    <w:rsid w:val="00D810EE"/>
    <w:rsid w:val="00D81BC5"/>
    <w:rsid w:val="00D861A0"/>
    <w:rsid w:val="00D8787E"/>
    <w:rsid w:val="00D9093C"/>
    <w:rsid w:val="00D90AF9"/>
    <w:rsid w:val="00D917A2"/>
    <w:rsid w:val="00D9209B"/>
    <w:rsid w:val="00D923B2"/>
    <w:rsid w:val="00D92F6E"/>
    <w:rsid w:val="00D94E61"/>
    <w:rsid w:val="00D96C6D"/>
    <w:rsid w:val="00D96DEE"/>
    <w:rsid w:val="00D978B6"/>
    <w:rsid w:val="00D97B27"/>
    <w:rsid w:val="00DA2356"/>
    <w:rsid w:val="00DA33A1"/>
    <w:rsid w:val="00DA6161"/>
    <w:rsid w:val="00DA7173"/>
    <w:rsid w:val="00DB48E9"/>
    <w:rsid w:val="00DB729A"/>
    <w:rsid w:val="00DB7492"/>
    <w:rsid w:val="00DC050C"/>
    <w:rsid w:val="00DC0D82"/>
    <w:rsid w:val="00DC270B"/>
    <w:rsid w:val="00DC7053"/>
    <w:rsid w:val="00DC7C82"/>
    <w:rsid w:val="00DD14C5"/>
    <w:rsid w:val="00DD1F9D"/>
    <w:rsid w:val="00DD3201"/>
    <w:rsid w:val="00DD4100"/>
    <w:rsid w:val="00DD7269"/>
    <w:rsid w:val="00DE0E26"/>
    <w:rsid w:val="00DE19D9"/>
    <w:rsid w:val="00DE4857"/>
    <w:rsid w:val="00DE5B2B"/>
    <w:rsid w:val="00DE5DDC"/>
    <w:rsid w:val="00DE6010"/>
    <w:rsid w:val="00DE7D14"/>
    <w:rsid w:val="00DF05AD"/>
    <w:rsid w:val="00DF298E"/>
    <w:rsid w:val="00DF4370"/>
    <w:rsid w:val="00DF46C3"/>
    <w:rsid w:val="00DF53C5"/>
    <w:rsid w:val="00DF5DC3"/>
    <w:rsid w:val="00DF5DC8"/>
    <w:rsid w:val="00DF5EC9"/>
    <w:rsid w:val="00DF669B"/>
    <w:rsid w:val="00DF711D"/>
    <w:rsid w:val="00DF714A"/>
    <w:rsid w:val="00DF7F13"/>
    <w:rsid w:val="00E02590"/>
    <w:rsid w:val="00E0460C"/>
    <w:rsid w:val="00E055FE"/>
    <w:rsid w:val="00E061FD"/>
    <w:rsid w:val="00E06212"/>
    <w:rsid w:val="00E067AB"/>
    <w:rsid w:val="00E077A3"/>
    <w:rsid w:val="00E110B9"/>
    <w:rsid w:val="00E11334"/>
    <w:rsid w:val="00E12103"/>
    <w:rsid w:val="00E14481"/>
    <w:rsid w:val="00E16659"/>
    <w:rsid w:val="00E16AEE"/>
    <w:rsid w:val="00E20392"/>
    <w:rsid w:val="00E26D24"/>
    <w:rsid w:val="00E301FA"/>
    <w:rsid w:val="00E30A67"/>
    <w:rsid w:val="00E30B42"/>
    <w:rsid w:val="00E321FB"/>
    <w:rsid w:val="00E3461F"/>
    <w:rsid w:val="00E34B85"/>
    <w:rsid w:val="00E354AB"/>
    <w:rsid w:val="00E3628C"/>
    <w:rsid w:val="00E40545"/>
    <w:rsid w:val="00E41375"/>
    <w:rsid w:val="00E413A1"/>
    <w:rsid w:val="00E46D40"/>
    <w:rsid w:val="00E47272"/>
    <w:rsid w:val="00E50385"/>
    <w:rsid w:val="00E50F52"/>
    <w:rsid w:val="00E51C99"/>
    <w:rsid w:val="00E51CB1"/>
    <w:rsid w:val="00E5239A"/>
    <w:rsid w:val="00E523B4"/>
    <w:rsid w:val="00E5242C"/>
    <w:rsid w:val="00E52A68"/>
    <w:rsid w:val="00E53015"/>
    <w:rsid w:val="00E54900"/>
    <w:rsid w:val="00E54A37"/>
    <w:rsid w:val="00E55AD1"/>
    <w:rsid w:val="00E56511"/>
    <w:rsid w:val="00E61C2E"/>
    <w:rsid w:val="00E626F1"/>
    <w:rsid w:val="00E636DE"/>
    <w:rsid w:val="00E639ED"/>
    <w:rsid w:val="00E65868"/>
    <w:rsid w:val="00E65A48"/>
    <w:rsid w:val="00E65D15"/>
    <w:rsid w:val="00E700CB"/>
    <w:rsid w:val="00E706B9"/>
    <w:rsid w:val="00E71A7B"/>
    <w:rsid w:val="00E7502A"/>
    <w:rsid w:val="00E75DAE"/>
    <w:rsid w:val="00E76332"/>
    <w:rsid w:val="00E77FCE"/>
    <w:rsid w:val="00E83D8F"/>
    <w:rsid w:val="00E848DC"/>
    <w:rsid w:val="00E8617F"/>
    <w:rsid w:val="00E86B79"/>
    <w:rsid w:val="00E87BEB"/>
    <w:rsid w:val="00E90663"/>
    <w:rsid w:val="00E9067D"/>
    <w:rsid w:val="00E90890"/>
    <w:rsid w:val="00E90C31"/>
    <w:rsid w:val="00E90E9A"/>
    <w:rsid w:val="00E9100A"/>
    <w:rsid w:val="00E91127"/>
    <w:rsid w:val="00E913F9"/>
    <w:rsid w:val="00E91A6C"/>
    <w:rsid w:val="00E91FB9"/>
    <w:rsid w:val="00E92EC0"/>
    <w:rsid w:val="00E952C9"/>
    <w:rsid w:val="00E95F1B"/>
    <w:rsid w:val="00E960C3"/>
    <w:rsid w:val="00E979A3"/>
    <w:rsid w:val="00EA0557"/>
    <w:rsid w:val="00EA2358"/>
    <w:rsid w:val="00EA2915"/>
    <w:rsid w:val="00EA3740"/>
    <w:rsid w:val="00EA45FE"/>
    <w:rsid w:val="00EA49C9"/>
    <w:rsid w:val="00EA6762"/>
    <w:rsid w:val="00EA694A"/>
    <w:rsid w:val="00EA7F3A"/>
    <w:rsid w:val="00EB0D39"/>
    <w:rsid w:val="00EB197B"/>
    <w:rsid w:val="00EB1ECF"/>
    <w:rsid w:val="00EB3DB3"/>
    <w:rsid w:val="00EB70BA"/>
    <w:rsid w:val="00EB79CD"/>
    <w:rsid w:val="00EC2196"/>
    <w:rsid w:val="00EC251A"/>
    <w:rsid w:val="00EC3498"/>
    <w:rsid w:val="00EC4C7A"/>
    <w:rsid w:val="00ED0333"/>
    <w:rsid w:val="00ED0C83"/>
    <w:rsid w:val="00ED2207"/>
    <w:rsid w:val="00ED3587"/>
    <w:rsid w:val="00EE2E6D"/>
    <w:rsid w:val="00EE3571"/>
    <w:rsid w:val="00EE4A36"/>
    <w:rsid w:val="00EE5A04"/>
    <w:rsid w:val="00EE717E"/>
    <w:rsid w:val="00EE7756"/>
    <w:rsid w:val="00EF067C"/>
    <w:rsid w:val="00EF6918"/>
    <w:rsid w:val="00EF6BEA"/>
    <w:rsid w:val="00F00162"/>
    <w:rsid w:val="00F007F4"/>
    <w:rsid w:val="00F00ADF"/>
    <w:rsid w:val="00F04CD6"/>
    <w:rsid w:val="00F05899"/>
    <w:rsid w:val="00F10162"/>
    <w:rsid w:val="00F10481"/>
    <w:rsid w:val="00F10E9A"/>
    <w:rsid w:val="00F1174C"/>
    <w:rsid w:val="00F11F1D"/>
    <w:rsid w:val="00F1318E"/>
    <w:rsid w:val="00F145B0"/>
    <w:rsid w:val="00F14D2F"/>
    <w:rsid w:val="00F156E5"/>
    <w:rsid w:val="00F16A8E"/>
    <w:rsid w:val="00F2046C"/>
    <w:rsid w:val="00F22715"/>
    <w:rsid w:val="00F22C23"/>
    <w:rsid w:val="00F2414D"/>
    <w:rsid w:val="00F2424D"/>
    <w:rsid w:val="00F2682F"/>
    <w:rsid w:val="00F30131"/>
    <w:rsid w:val="00F30862"/>
    <w:rsid w:val="00F31B5B"/>
    <w:rsid w:val="00F37707"/>
    <w:rsid w:val="00F40456"/>
    <w:rsid w:val="00F4066F"/>
    <w:rsid w:val="00F40695"/>
    <w:rsid w:val="00F416DA"/>
    <w:rsid w:val="00F41A77"/>
    <w:rsid w:val="00F42172"/>
    <w:rsid w:val="00F42EA1"/>
    <w:rsid w:val="00F453BE"/>
    <w:rsid w:val="00F45CF9"/>
    <w:rsid w:val="00F46BEC"/>
    <w:rsid w:val="00F4766B"/>
    <w:rsid w:val="00F51C4D"/>
    <w:rsid w:val="00F52D71"/>
    <w:rsid w:val="00F53A48"/>
    <w:rsid w:val="00F57449"/>
    <w:rsid w:val="00F579DE"/>
    <w:rsid w:val="00F57F04"/>
    <w:rsid w:val="00F617AF"/>
    <w:rsid w:val="00F61B59"/>
    <w:rsid w:val="00F621AA"/>
    <w:rsid w:val="00F62E06"/>
    <w:rsid w:val="00F646E1"/>
    <w:rsid w:val="00F64DBE"/>
    <w:rsid w:val="00F650AB"/>
    <w:rsid w:val="00F66826"/>
    <w:rsid w:val="00F67D6E"/>
    <w:rsid w:val="00F71F93"/>
    <w:rsid w:val="00F72F19"/>
    <w:rsid w:val="00F74D69"/>
    <w:rsid w:val="00F76202"/>
    <w:rsid w:val="00F7686F"/>
    <w:rsid w:val="00F76C16"/>
    <w:rsid w:val="00F77F93"/>
    <w:rsid w:val="00F8208B"/>
    <w:rsid w:val="00F823C2"/>
    <w:rsid w:val="00F8354B"/>
    <w:rsid w:val="00F84777"/>
    <w:rsid w:val="00F857A8"/>
    <w:rsid w:val="00F878C3"/>
    <w:rsid w:val="00F87F7A"/>
    <w:rsid w:val="00F901CD"/>
    <w:rsid w:val="00F91882"/>
    <w:rsid w:val="00F921F2"/>
    <w:rsid w:val="00F923FC"/>
    <w:rsid w:val="00F92886"/>
    <w:rsid w:val="00F92C93"/>
    <w:rsid w:val="00F9443E"/>
    <w:rsid w:val="00F9560C"/>
    <w:rsid w:val="00F95F08"/>
    <w:rsid w:val="00FA0F38"/>
    <w:rsid w:val="00FA10CD"/>
    <w:rsid w:val="00FA12C5"/>
    <w:rsid w:val="00FA251B"/>
    <w:rsid w:val="00FA3516"/>
    <w:rsid w:val="00FA4A80"/>
    <w:rsid w:val="00FA5BA3"/>
    <w:rsid w:val="00FA61D1"/>
    <w:rsid w:val="00FA6764"/>
    <w:rsid w:val="00FA72DC"/>
    <w:rsid w:val="00FA7F0C"/>
    <w:rsid w:val="00FB0FD9"/>
    <w:rsid w:val="00FB230C"/>
    <w:rsid w:val="00FB3BE5"/>
    <w:rsid w:val="00FB40E1"/>
    <w:rsid w:val="00FB5965"/>
    <w:rsid w:val="00FB616F"/>
    <w:rsid w:val="00FB677D"/>
    <w:rsid w:val="00FB6B5E"/>
    <w:rsid w:val="00FB6B71"/>
    <w:rsid w:val="00FC0B3D"/>
    <w:rsid w:val="00FC0DC4"/>
    <w:rsid w:val="00FC29BB"/>
    <w:rsid w:val="00FC3355"/>
    <w:rsid w:val="00FC3643"/>
    <w:rsid w:val="00FC43FF"/>
    <w:rsid w:val="00FC4FD3"/>
    <w:rsid w:val="00FC5122"/>
    <w:rsid w:val="00FC5728"/>
    <w:rsid w:val="00FC7C89"/>
    <w:rsid w:val="00FD0513"/>
    <w:rsid w:val="00FD1B2A"/>
    <w:rsid w:val="00FD1EA5"/>
    <w:rsid w:val="00FD282D"/>
    <w:rsid w:val="00FD2CEC"/>
    <w:rsid w:val="00FD4B06"/>
    <w:rsid w:val="00FD4C59"/>
    <w:rsid w:val="00FD5244"/>
    <w:rsid w:val="00FD5D31"/>
    <w:rsid w:val="00FD5F93"/>
    <w:rsid w:val="00FE03FE"/>
    <w:rsid w:val="00FE3B42"/>
    <w:rsid w:val="00FE6F7B"/>
    <w:rsid w:val="00FE75FC"/>
    <w:rsid w:val="00FF043F"/>
    <w:rsid w:val="00FF21F6"/>
    <w:rsid w:val="00FF26EB"/>
    <w:rsid w:val="00FF310F"/>
    <w:rsid w:val="00FF34C1"/>
    <w:rsid w:val="00FF700A"/>
    <w:rsid w:val="00FF7409"/>
    <w:rsid w:val="00FF760D"/>
    <w:rsid w:val="011E4189"/>
    <w:rsid w:val="0389E5B9"/>
    <w:rsid w:val="0413EA77"/>
    <w:rsid w:val="0539D40A"/>
    <w:rsid w:val="0597F7D2"/>
    <w:rsid w:val="06E6EB70"/>
    <w:rsid w:val="0723AE1D"/>
    <w:rsid w:val="07531E87"/>
    <w:rsid w:val="076067A8"/>
    <w:rsid w:val="079D3FC7"/>
    <w:rsid w:val="0863FF78"/>
    <w:rsid w:val="095BCBC8"/>
    <w:rsid w:val="0A3FFA81"/>
    <w:rsid w:val="0A604FC5"/>
    <w:rsid w:val="0B443DA9"/>
    <w:rsid w:val="0BE7D111"/>
    <w:rsid w:val="0CD0C8DD"/>
    <w:rsid w:val="0DABBD63"/>
    <w:rsid w:val="0E33B0B4"/>
    <w:rsid w:val="0E5C0316"/>
    <w:rsid w:val="0E9C18BD"/>
    <w:rsid w:val="0ECE4C89"/>
    <w:rsid w:val="0F855F34"/>
    <w:rsid w:val="1352723A"/>
    <w:rsid w:val="1398FC40"/>
    <w:rsid w:val="149D9EC5"/>
    <w:rsid w:val="15551027"/>
    <w:rsid w:val="155C29CD"/>
    <w:rsid w:val="159BCC26"/>
    <w:rsid w:val="1603BC06"/>
    <w:rsid w:val="1652562D"/>
    <w:rsid w:val="18AA6AF3"/>
    <w:rsid w:val="19A1A194"/>
    <w:rsid w:val="1B56ABA6"/>
    <w:rsid w:val="1F45723A"/>
    <w:rsid w:val="219F2D5A"/>
    <w:rsid w:val="220FA0BA"/>
    <w:rsid w:val="230A7698"/>
    <w:rsid w:val="23ADC5AC"/>
    <w:rsid w:val="24A0C38E"/>
    <w:rsid w:val="29C7530D"/>
    <w:rsid w:val="2A5C2A9F"/>
    <w:rsid w:val="2B7D41C2"/>
    <w:rsid w:val="2D6185A4"/>
    <w:rsid w:val="2F7FA229"/>
    <w:rsid w:val="2F9C8C17"/>
    <w:rsid w:val="2FCB5819"/>
    <w:rsid w:val="3013BBD9"/>
    <w:rsid w:val="309138B2"/>
    <w:rsid w:val="34E3A669"/>
    <w:rsid w:val="362BC396"/>
    <w:rsid w:val="374055B3"/>
    <w:rsid w:val="377E29FE"/>
    <w:rsid w:val="39AEA87B"/>
    <w:rsid w:val="3B3CF293"/>
    <w:rsid w:val="3D9EB342"/>
    <w:rsid w:val="3DDC5B4F"/>
    <w:rsid w:val="3FE641F9"/>
    <w:rsid w:val="408FA00C"/>
    <w:rsid w:val="41F69AAA"/>
    <w:rsid w:val="428376D7"/>
    <w:rsid w:val="43C5904E"/>
    <w:rsid w:val="43E75038"/>
    <w:rsid w:val="456D55DC"/>
    <w:rsid w:val="456E6BAF"/>
    <w:rsid w:val="457C2309"/>
    <w:rsid w:val="4733D700"/>
    <w:rsid w:val="483ECE50"/>
    <w:rsid w:val="4878DE1B"/>
    <w:rsid w:val="49B44B6D"/>
    <w:rsid w:val="4A15F113"/>
    <w:rsid w:val="4CFA4AC6"/>
    <w:rsid w:val="4DA2958D"/>
    <w:rsid w:val="4FC55EF0"/>
    <w:rsid w:val="505E6FD5"/>
    <w:rsid w:val="50ABD799"/>
    <w:rsid w:val="51B8779A"/>
    <w:rsid w:val="51EC8802"/>
    <w:rsid w:val="53D921EE"/>
    <w:rsid w:val="53EF9294"/>
    <w:rsid w:val="571B2F8D"/>
    <w:rsid w:val="595CB6B5"/>
    <w:rsid w:val="59B64889"/>
    <w:rsid w:val="5A16AE15"/>
    <w:rsid w:val="5C01642C"/>
    <w:rsid w:val="5CCE7297"/>
    <w:rsid w:val="5F559060"/>
    <w:rsid w:val="60BF6F08"/>
    <w:rsid w:val="62A9975B"/>
    <w:rsid w:val="62AF22F0"/>
    <w:rsid w:val="63045AF4"/>
    <w:rsid w:val="639AD583"/>
    <w:rsid w:val="63F0922E"/>
    <w:rsid w:val="640FD926"/>
    <w:rsid w:val="652F76C5"/>
    <w:rsid w:val="67BF941A"/>
    <w:rsid w:val="690F3FD6"/>
    <w:rsid w:val="6B1AC4AD"/>
    <w:rsid w:val="6C779212"/>
    <w:rsid w:val="6D580978"/>
    <w:rsid w:val="6EEB3C2F"/>
    <w:rsid w:val="6FBDCACB"/>
    <w:rsid w:val="7077E65E"/>
    <w:rsid w:val="70A115A0"/>
    <w:rsid w:val="70D9239A"/>
    <w:rsid w:val="712A1460"/>
    <w:rsid w:val="719B2CBE"/>
    <w:rsid w:val="7320FF26"/>
    <w:rsid w:val="7353198E"/>
    <w:rsid w:val="73D2FCF0"/>
    <w:rsid w:val="74AA7705"/>
    <w:rsid w:val="76904383"/>
    <w:rsid w:val="76CB5DCA"/>
    <w:rsid w:val="7724A676"/>
    <w:rsid w:val="788C7EDF"/>
    <w:rsid w:val="7B6FD90A"/>
    <w:rsid w:val="7D51E47F"/>
    <w:rsid w:val="7D6A80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C7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FE"/>
    <w:pPr>
      <w:spacing w:after="240" w:line="240" w:lineRule="auto"/>
    </w:pPr>
  </w:style>
  <w:style w:type="paragraph" w:styleId="Heading1">
    <w:name w:val="heading 1"/>
    <w:basedOn w:val="Normal"/>
    <w:next w:val="Normal"/>
    <w:link w:val="Heading1Char"/>
    <w:uiPriority w:val="9"/>
    <w:qFormat/>
    <w:rsid w:val="00F57449"/>
    <w:pPr>
      <w:keepNext/>
      <w:keepLines/>
      <w:numPr>
        <w:numId w:val="2"/>
      </w:numPr>
      <w:pBdr>
        <w:bottom w:val="single" w:sz="4" w:space="1" w:color="auto"/>
      </w:pBdr>
      <w:spacing w:before="600" w:after="480"/>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F57449"/>
    <w:pPr>
      <w:keepNext/>
      <w:keepLines/>
      <w:numPr>
        <w:ilvl w:val="1"/>
        <w:numId w:val="2"/>
      </w:numPr>
      <w:spacing w:before="36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F57449"/>
    <w:pPr>
      <w:keepNext/>
      <w:keepLines/>
      <w:numPr>
        <w:ilvl w:val="2"/>
        <w:numId w:val="2"/>
      </w:numPr>
      <w:tabs>
        <w:tab w:val="left" w:pos="851"/>
      </w:tabs>
      <w:spacing w:before="360" w:after="200"/>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5E1CA4"/>
    <w:pPr>
      <w:numPr>
        <w:ilvl w:val="0"/>
        <w:numId w:val="0"/>
      </w:numPr>
      <w:outlineLvl w:val="3"/>
    </w:pPr>
    <w:rPr>
      <w:i/>
    </w:rPr>
  </w:style>
  <w:style w:type="paragraph" w:styleId="Heading5">
    <w:name w:val="heading 5"/>
    <w:basedOn w:val="Normal"/>
    <w:next w:val="Normal"/>
    <w:link w:val="Heading5Char"/>
    <w:uiPriority w:val="9"/>
    <w:unhideWhenUsed/>
    <w:qFormat/>
    <w:rsid w:val="005E1CA4"/>
    <w:pPr>
      <w:keepNext/>
      <w:keepLines/>
      <w:spacing w:before="40" w:after="0" w:line="27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E1CA4"/>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Heading7">
    <w:name w:val="heading 7"/>
    <w:next w:val="Normal"/>
    <w:link w:val="Heading7Char"/>
    <w:uiPriority w:val="9"/>
    <w:unhideWhenUsed/>
    <w:qFormat/>
    <w:rsid w:val="005E1CA4"/>
    <w:pPr>
      <w:keepNext/>
      <w:keepLines/>
      <w:pBdr>
        <w:bottom w:val="single" w:sz="4" w:space="1" w:color="auto"/>
      </w:pBdr>
      <w:spacing w:before="600" w:after="480"/>
      <w:outlineLvl w:val="6"/>
    </w:pPr>
    <w:rPr>
      <w:rFonts w:ascii="Franklin Gothic Medium" w:eastAsiaTheme="majorEastAsia" w:hAnsi="Franklin Gothic Medium" w:cstheme="majorBidi"/>
      <w:iCs/>
      <w:sz w:val="44"/>
    </w:rPr>
  </w:style>
  <w:style w:type="paragraph" w:styleId="Heading8">
    <w:name w:val="heading 8"/>
    <w:next w:val="Normal"/>
    <w:link w:val="Heading8Char"/>
    <w:uiPriority w:val="9"/>
    <w:unhideWhenUsed/>
    <w:qFormat/>
    <w:rsid w:val="005E1CA4"/>
    <w:pPr>
      <w:keepNext/>
      <w:keepLines/>
      <w:spacing w:before="360" w:after="240"/>
      <w:outlineLvl w:val="7"/>
    </w:pPr>
    <w:rPr>
      <w:rFonts w:ascii="Franklin Gothic Medium" w:eastAsiaTheme="majorEastAsia" w:hAnsi="Franklin Gothic Medium" w:cstheme="majorBidi"/>
      <w:color w:val="272727" w:themeColor="text1" w:themeTint="D8"/>
      <w:sz w:val="32"/>
      <w:szCs w:val="21"/>
    </w:rPr>
  </w:style>
  <w:style w:type="paragraph" w:styleId="Heading9">
    <w:name w:val="heading 9"/>
    <w:next w:val="Normal"/>
    <w:link w:val="Heading9Char"/>
    <w:uiPriority w:val="9"/>
    <w:unhideWhenUsed/>
    <w:qFormat/>
    <w:rsid w:val="005E1CA4"/>
    <w:pPr>
      <w:keepNext/>
      <w:keepLines/>
      <w:spacing w:before="360" w:after="200"/>
      <w:outlineLvl w:val="8"/>
    </w:pPr>
    <w:rPr>
      <w:rFonts w:ascii="Franklin Gothic Medium" w:eastAsiaTheme="majorEastAsia" w:hAnsi="Franklin Gothic Medium" w:cstheme="majorBidi"/>
      <w:i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ummary box,Table Gridbeth,RTI AMCP Table,new style,ASD Table,HealthConsult,CMA Table Template,YHEC table,HTAtableplain,Dossier table,Section 3- footnotes,PBAC table,MSD Table Grid,Lash Style Table"/>
    <w:basedOn w:val="TableNormal"/>
    <w:rsid w:val="00FE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altext">
    <w:name w:val="Instructional text"/>
    <w:basedOn w:val="Normal"/>
    <w:link w:val="InstructionaltextChar"/>
    <w:qFormat/>
    <w:rsid w:val="00FE03FE"/>
    <w:pPr>
      <w:spacing w:before="120" w:after="160" w:line="259" w:lineRule="auto"/>
    </w:pPr>
    <w:rPr>
      <w:rFonts w:ascii="Franklin Gothic Book" w:hAnsi="Franklin Gothic Book"/>
      <w:color w:val="258221"/>
    </w:rPr>
  </w:style>
  <w:style w:type="character" w:customStyle="1" w:styleId="InstructionaltextChar">
    <w:name w:val="Instructional text Char"/>
    <w:basedOn w:val="DefaultParagraphFont"/>
    <w:link w:val="Instructionaltext"/>
    <w:rsid w:val="00FE03FE"/>
    <w:rPr>
      <w:rFonts w:ascii="Franklin Gothic Book" w:hAnsi="Franklin Gothic Book"/>
      <w:color w:val="258221"/>
    </w:rPr>
  </w:style>
  <w:style w:type="paragraph" w:customStyle="1" w:styleId="Instructionaltext-bullet">
    <w:name w:val="Instructional text - bullet"/>
    <w:basedOn w:val="Instructionaltext"/>
    <w:qFormat/>
    <w:rsid w:val="00FE03FE"/>
    <w:pPr>
      <w:numPr>
        <w:numId w:val="1"/>
      </w:numPr>
      <w:tabs>
        <w:tab w:val="num" w:pos="360"/>
      </w:tabs>
      <w:spacing w:before="0" w:after="0"/>
      <w:ind w:left="714" w:hanging="357"/>
    </w:pPr>
  </w:style>
  <w:style w:type="character" w:customStyle="1" w:styleId="Heading1Char">
    <w:name w:val="Heading 1 Char"/>
    <w:basedOn w:val="DefaultParagraphFont"/>
    <w:link w:val="Heading1"/>
    <w:uiPriority w:val="9"/>
    <w:rsid w:val="00F57449"/>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F57449"/>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F57449"/>
    <w:rPr>
      <w:rFonts w:ascii="Franklin Gothic Medium" w:eastAsiaTheme="majorEastAsia" w:hAnsi="Franklin Gothic Medium" w:cstheme="majorBidi"/>
      <w:sz w:val="24"/>
      <w:szCs w:val="24"/>
    </w:rPr>
  </w:style>
  <w:style w:type="paragraph" w:styleId="Header">
    <w:name w:val="header"/>
    <w:basedOn w:val="Normal"/>
    <w:link w:val="HeaderChar"/>
    <w:uiPriority w:val="99"/>
    <w:unhideWhenUsed/>
    <w:rsid w:val="00B33452"/>
    <w:pPr>
      <w:tabs>
        <w:tab w:val="center" w:pos="4513"/>
        <w:tab w:val="right" w:pos="9026"/>
      </w:tabs>
      <w:spacing w:after="0"/>
    </w:pPr>
  </w:style>
  <w:style w:type="character" w:customStyle="1" w:styleId="HeaderChar">
    <w:name w:val="Header Char"/>
    <w:basedOn w:val="DefaultParagraphFont"/>
    <w:link w:val="Header"/>
    <w:uiPriority w:val="99"/>
    <w:rsid w:val="00B33452"/>
  </w:style>
  <w:style w:type="paragraph" w:styleId="Footer">
    <w:name w:val="footer"/>
    <w:basedOn w:val="Normal"/>
    <w:link w:val="FooterChar"/>
    <w:uiPriority w:val="99"/>
    <w:unhideWhenUsed/>
    <w:rsid w:val="00B33452"/>
    <w:pPr>
      <w:tabs>
        <w:tab w:val="center" w:pos="4513"/>
        <w:tab w:val="right" w:pos="9026"/>
      </w:tabs>
      <w:spacing w:after="0"/>
    </w:pPr>
  </w:style>
  <w:style w:type="character" w:customStyle="1" w:styleId="FooterChar">
    <w:name w:val="Footer Char"/>
    <w:basedOn w:val="DefaultParagraphFont"/>
    <w:link w:val="Footer"/>
    <w:uiPriority w:val="99"/>
    <w:rsid w:val="00B33452"/>
  </w:style>
  <w:style w:type="character" w:customStyle="1" w:styleId="Heading4Char">
    <w:name w:val="Heading 4 Char"/>
    <w:basedOn w:val="DefaultParagraphFont"/>
    <w:link w:val="Heading4"/>
    <w:uiPriority w:val="9"/>
    <w:rsid w:val="005E1CA4"/>
    <w:rPr>
      <w:rFonts w:ascii="Franklin Gothic Medium" w:eastAsiaTheme="majorEastAsia" w:hAnsi="Franklin Gothic Medium" w:cstheme="majorBidi"/>
      <w:i/>
      <w:sz w:val="24"/>
      <w:szCs w:val="24"/>
    </w:rPr>
  </w:style>
  <w:style w:type="character" w:customStyle="1" w:styleId="Heading5Char">
    <w:name w:val="Heading 5 Char"/>
    <w:basedOn w:val="DefaultParagraphFont"/>
    <w:link w:val="Heading5"/>
    <w:uiPriority w:val="9"/>
    <w:rsid w:val="005E1CA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E1CA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E1CA4"/>
    <w:rPr>
      <w:rFonts w:ascii="Franklin Gothic Medium" w:eastAsiaTheme="majorEastAsia" w:hAnsi="Franklin Gothic Medium" w:cstheme="majorBidi"/>
      <w:iCs/>
      <w:sz w:val="44"/>
    </w:rPr>
  </w:style>
  <w:style w:type="character" w:customStyle="1" w:styleId="Heading8Char">
    <w:name w:val="Heading 8 Char"/>
    <w:basedOn w:val="DefaultParagraphFont"/>
    <w:link w:val="Heading8"/>
    <w:uiPriority w:val="9"/>
    <w:rsid w:val="005E1CA4"/>
    <w:rPr>
      <w:rFonts w:ascii="Franklin Gothic Medium" w:eastAsiaTheme="majorEastAsia" w:hAnsi="Franklin Gothic Medium" w:cstheme="majorBidi"/>
      <w:color w:val="272727" w:themeColor="text1" w:themeTint="D8"/>
      <w:sz w:val="32"/>
      <w:szCs w:val="21"/>
    </w:rPr>
  </w:style>
  <w:style w:type="character" w:customStyle="1" w:styleId="Heading9Char">
    <w:name w:val="Heading 9 Char"/>
    <w:basedOn w:val="DefaultParagraphFont"/>
    <w:link w:val="Heading9"/>
    <w:uiPriority w:val="9"/>
    <w:rsid w:val="005E1CA4"/>
    <w:rPr>
      <w:rFonts w:ascii="Franklin Gothic Medium" w:eastAsiaTheme="majorEastAsia" w:hAnsi="Franklin Gothic Medium" w:cstheme="majorBidi"/>
      <w:iCs/>
      <w:color w:val="272727" w:themeColor="text1" w:themeTint="D8"/>
      <w:sz w:val="24"/>
      <w:szCs w:val="21"/>
    </w:rPr>
  </w:style>
  <w:style w:type="paragraph" w:customStyle="1" w:styleId="TableText">
    <w:name w:val="Table Text"/>
    <w:basedOn w:val="Normal"/>
    <w:link w:val="TableTextChar"/>
    <w:qFormat/>
    <w:rsid w:val="005E1CA4"/>
    <w:pPr>
      <w:spacing w:before="40" w:after="40"/>
    </w:pPr>
    <w:rPr>
      <w:rFonts w:ascii="Arial Narrow" w:hAnsi="Arial Narrow"/>
      <w:sz w:val="20"/>
    </w:rPr>
  </w:style>
  <w:style w:type="paragraph" w:customStyle="1" w:styleId="TableHeading">
    <w:name w:val="TableHeading"/>
    <w:basedOn w:val="Normal"/>
    <w:link w:val="TableHeadingChar"/>
    <w:qFormat/>
    <w:rsid w:val="005E1CA4"/>
    <w:pPr>
      <w:keepNext/>
      <w:spacing w:before="120" w:after="60"/>
    </w:pPr>
    <w:rPr>
      <w:rFonts w:ascii="Arial Narrow" w:hAnsi="Arial Narrow"/>
      <w:b/>
      <w:sz w:val="20"/>
    </w:rPr>
  </w:style>
  <w:style w:type="paragraph" w:styleId="CommentText">
    <w:name w:val="annotation text"/>
    <w:basedOn w:val="Normal"/>
    <w:link w:val="CommentTextChar"/>
    <w:uiPriority w:val="99"/>
    <w:unhideWhenUsed/>
    <w:rsid w:val="005E1CA4"/>
    <w:pPr>
      <w:spacing w:before="120"/>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5E1CA4"/>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5E1CA4"/>
    <w:rPr>
      <w:sz w:val="16"/>
      <w:szCs w:val="16"/>
    </w:rPr>
  </w:style>
  <w:style w:type="character" w:customStyle="1" w:styleId="TableTextChar">
    <w:name w:val="Table Text Char"/>
    <w:basedOn w:val="DefaultParagraphFont"/>
    <w:link w:val="TableText"/>
    <w:rsid w:val="005E1CA4"/>
    <w:rPr>
      <w:rFonts w:ascii="Arial Narrow" w:hAnsi="Arial Narrow"/>
      <w:sz w:val="20"/>
    </w:rPr>
  </w:style>
  <w:style w:type="character" w:customStyle="1" w:styleId="TableHeadingChar">
    <w:name w:val="TableHeading Char"/>
    <w:link w:val="TableHeading"/>
    <w:rsid w:val="005E1CA4"/>
    <w:rPr>
      <w:rFonts w:ascii="Arial Narrow" w:hAnsi="Arial Narrow"/>
      <w:b/>
      <w:sz w:val="20"/>
    </w:rPr>
  </w:style>
  <w:style w:type="paragraph" w:styleId="BalloonText">
    <w:name w:val="Balloon Text"/>
    <w:basedOn w:val="Normal"/>
    <w:link w:val="BalloonTextChar"/>
    <w:uiPriority w:val="99"/>
    <w:semiHidden/>
    <w:unhideWhenUsed/>
    <w:rsid w:val="005E1CA4"/>
    <w:pPr>
      <w:spacing w:before="12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A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1CA4"/>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5E1CA4"/>
    <w:rPr>
      <w:rFonts w:ascii="Calibri" w:eastAsia="Times New Roman" w:hAnsi="Calibri" w:cs="Times New Roman"/>
      <w:b/>
      <w:bCs/>
      <w:color w:val="000000"/>
      <w:sz w:val="20"/>
      <w:szCs w:val="20"/>
      <w:lang w:eastAsia="en-AU"/>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3506B9"/>
    <w:pPr>
      <w:keepNext/>
      <w:spacing w:before="360" w:after="120"/>
      <w:ind w:left="907" w:hanging="907"/>
      <w:outlineLvl w:val="4"/>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5E1CA4"/>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5E1CA4"/>
    <w:rPr>
      <w:rFonts w:ascii="Arial Narrow" w:eastAsia="Times New Roman" w:hAnsi="Arial Narrow" w:cs="Times New Roman"/>
      <w:b/>
      <w:bCs/>
      <w:sz w:val="20"/>
      <w:szCs w:val="20"/>
    </w:rPr>
  </w:style>
  <w:style w:type="paragraph" w:customStyle="1" w:styleId="TableFigNote">
    <w:name w:val="TableFigNote"/>
    <w:basedOn w:val="Normal"/>
    <w:qFormat/>
    <w:rsid w:val="005E1CA4"/>
    <w:pPr>
      <w:spacing w:before="120" w:after="360"/>
      <w:contextualSpacing/>
    </w:pPr>
    <w:rPr>
      <w:rFonts w:ascii="Franklin Gothic Book" w:hAnsi="Franklin Gothic Book"/>
      <w:sz w:val="18"/>
    </w:rPr>
  </w:style>
  <w:style w:type="paragraph" w:styleId="ListParagraph">
    <w:name w:val="List Paragraph"/>
    <w:basedOn w:val="Normal"/>
    <w:link w:val="ListParagraphChar"/>
    <w:uiPriority w:val="34"/>
    <w:qFormat/>
    <w:rsid w:val="005E1CA4"/>
    <w:pPr>
      <w:spacing w:before="120" w:after="160" w:line="259" w:lineRule="auto"/>
      <w:ind w:left="720"/>
      <w:contextualSpacing/>
    </w:pPr>
    <w:rPr>
      <w:rFonts w:ascii="Franklin Gothic Book" w:hAnsi="Franklin Gothic Book"/>
    </w:rPr>
  </w:style>
  <w:style w:type="character" w:styleId="Strong">
    <w:name w:val="Strong"/>
    <w:basedOn w:val="DefaultParagraphFont"/>
    <w:uiPriority w:val="22"/>
    <w:qFormat/>
    <w:rsid w:val="005E1CA4"/>
    <w:rPr>
      <w:b/>
      <w:bCs/>
    </w:rPr>
  </w:style>
  <w:style w:type="paragraph" w:customStyle="1" w:styleId="TableName">
    <w:name w:val="TableName"/>
    <w:basedOn w:val="Normal"/>
    <w:qFormat/>
    <w:rsid w:val="005E1CA4"/>
    <w:pPr>
      <w:keepNext/>
      <w:spacing w:before="120"/>
      <w:ind w:left="1418" w:hanging="1418"/>
    </w:pPr>
    <w:rPr>
      <w:rFonts w:ascii="Franklin Gothic Medium" w:hAnsi="Franklin Gothic Medium"/>
    </w:rPr>
  </w:style>
  <w:style w:type="paragraph" w:customStyle="1" w:styleId="TableFigNoteHangingLast">
    <w:name w:val="TableFigNoteHanging Last"/>
    <w:basedOn w:val="TableFigNote"/>
    <w:qFormat/>
    <w:rsid w:val="005E1CA4"/>
    <w:pPr>
      <w:ind w:left="142" w:hanging="142"/>
    </w:pPr>
  </w:style>
  <w:style w:type="paragraph" w:customStyle="1" w:styleId="TableTextCA">
    <w:name w:val="Table Text CA"/>
    <w:basedOn w:val="TableText"/>
    <w:qFormat/>
    <w:rsid w:val="005E1CA4"/>
    <w:pPr>
      <w:jc w:val="center"/>
    </w:pPr>
  </w:style>
  <w:style w:type="paragraph" w:customStyle="1" w:styleId="TableHeadingCA">
    <w:name w:val="Table Heading CA"/>
    <w:basedOn w:val="TableHeading0"/>
    <w:qFormat/>
    <w:rsid w:val="005E1CA4"/>
    <w:pPr>
      <w:jc w:val="center"/>
    </w:pPr>
  </w:style>
  <w:style w:type="paragraph" w:customStyle="1" w:styleId="TableHeading0">
    <w:name w:val="Table Heading"/>
    <w:basedOn w:val="Normal"/>
    <w:qFormat/>
    <w:rsid w:val="005E1CA4"/>
    <w:pPr>
      <w:spacing w:before="120" w:after="60"/>
    </w:pPr>
    <w:rPr>
      <w:rFonts w:ascii="Arial Narrow" w:hAnsi="Arial Narrow"/>
      <w:b/>
      <w:sz w:val="20"/>
    </w:rPr>
  </w:style>
  <w:style w:type="paragraph" w:customStyle="1" w:styleId="TableFigNoteLast">
    <w:name w:val="TableFigNote Last"/>
    <w:basedOn w:val="TableFigNote"/>
    <w:qFormat/>
    <w:rsid w:val="005E1CA4"/>
    <w:rPr>
      <w:rFonts w:ascii="Arial Narrow" w:hAnsi="Arial Narrow"/>
    </w:rPr>
  </w:style>
  <w:style w:type="paragraph" w:customStyle="1" w:styleId="2ChapterText">
    <w:name w:val="2ChapterText"/>
    <w:basedOn w:val="Normal"/>
    <w:qFormat/>
    <w:rsid w:val="005E1CA4"/>
    <w:pPr>
      <w:spacing w:before="120" w:after="160" w:line="259" w:lineRule="auto"/>
    </w:pPr>
    <w:rPr>
      <w:rFonts w:ascii="Franklin Gothic Book" w:hAnsi="Franklin Gothic Book"/>
      <w:shd w:val="clear" w:color="auto" w:fill="B4C6E7" w:themeFill="accent1" w:themeFillTint="66"/>
    </w:rPr>
  </w:style>
  <w:style w:type="paragraph" w:customStyle="1" w:styleId="1ExplanatoryText">
    <w:name w:val="1ExplanatoryText"/>
    <w:basedOn w:val="Normal"/>
    <w:qFormat/>
    <w:rsid w:val="005E1CA4"/>
    <w:pPr>
      <w:shd w:val="clear" w:color="auto" w:fill="C5E0B3" w:themeFill="accent6" w:themeFillTint="66"/>
      <w:spacing w:before="120" w:after="160" w:line="259" w:lineRule="auto"/>
    </w:pPr>
    <w:rPr>
      <w:rFonts w:ascii="Franklin Gothic Book" w:hAnsi="Franklin Gothic Book"/>
    </w:rPr>
  </w:style>
  <w:style w:type="character" w:styleId="Hyperlink">
    <w:name w:val="Hyperlink"/>
    <w:basedOn w:val="DefaultParagraphFont"/>
    <w:uiPriority w:val="99"/>
    <w:unhideWhenUsed/>
    <w:rsid w:val="005E1CA4"/>
    <w:rPr>
      <w:color w:val="0070C0"/>
      <w:u w:val="single"/>
    </w:rPr>
  </w:style>
  <w:style w:type="paragraph" w:styleId="TOC1">
    <w:name w:val="toc 1"/>
    <w:basedOn w:val="Normal"/>
    <w:next w:val="Normal"/>
    <w:autoRedefine/>
    <w:uiPriority w:val="39"/>
    <w:unhideWhenUsed/>
    <w:rsid w:val="005E1CA4"/>
    <w:pPr>
      <w:tabs>
        <w:tab w:val="right" w:leader="dot" w:pos="9010"/>
      </w:tabs>
      <w:spacing w:before="120" w:after="100"/>
    </w:pPr>
    <w:rPr>
      <w:b/>
    </w:rPr>
  </w:style>
  <w:style w:type="paragraph" w:styleId="TOC2">
    <w:name w:val="toc 2"/>
    <w:basedOn w:val="Normal"/>
    <w:next w:val="Normal"/>
    <w:autoRedefine/>
    <w:uiPriority w:val="39"/>
    <w:unhideWhenUsed/>
    <w:rsid w:val="005E1CA4"/>
    <w:pPr>
      <w:tabs>
        <w:tab w:val="left" w:pos="1089"/>
        <w:tab w:val="right" w:leader="dot" w:pos="9010"/>
      </w:tabs>
      <w:spacing w:after="0"/>
    </w:pPr>
  </w:style>
  <w:style w:type="paragraph" w:styleId="TOC3">
    <w:name w:val="toc 3"/>
    <w:basedOn w:val="Normal"/>
    <w:next w:val="Normal"/>
    <w:autoRedefine/>
    <w:uiPriority w:val="39"/>
    <w:unhideWhenUsed/>
    <w:rsid w:val="005E1CA4"/>
    <w:pPr>
      <w:spacing w:after="0"/>
      <w:ind w:left="720"/>
    </w:pPr>
  </w:style>
  <w:style w:type="character" w:styleId="FollowedHyperlink">
    <w:name w:val="FollowedHyperlink"/>
    <w:basedOn w:val="DefaultParagraphFont"/>
    <w:uiPriority w:val="99"/>
    <w:semiHidden/>
    <w:unhideWhenUsed/>
    <w:rsid w:val="005E1CA4"/>
    <w:rPr>
      <w:color w:val="954F72" w:themeColor="followedHyperlink"/>
      <w:u w:val="single"/>
    </w:rPr>
  </w:style>
  <w:style w:type="paragraph" w:styleId="TOC9">
    <w:name w:val="toc 9"/>
    <w:basedOn w:val="Normal"/>
    <w:next w:val="Normal"/>
    <w:autoRedefine/>
    <w:uiPriority w:val="39"/>
    <w:unhideWhenUsed/>
    <w:rsid w:val="005E1CA4"/>
    <w:pPr>
      <w:spacing w:before="120" w:after="100" w:line="259" w:lineRule="auto"/>
      <w:ind w:left="1760"/>
    </w:pPr>
    <w:rPr>
      <w:rFonts w:ascii="Franklin Gothic Book" w:hAnsi="Franklin Gothic Book"/>
    </w:rPr>
  </w:style>
  <w:style w:type="paragraph" w:styleId="Date">
    <w:name w:val="Date"/>
    <w:basedOn w:val="Normal"/>
    <w:next w:val="Normal"/>
    <w:link w:val="DateChar"/>
    <w:rsid w:val="005E1CA4"/>
    <w:pPr>
      <w:spacing w:before="1134" w:after="800" w:line="259" w:lineRule="auto"/>
      <w:ind w:left="4536"/>
    </w:pPr>
    <w:rPr>
      <w:rFonts w:ascii="Arial" w:eastAsia="Times New Roman" w:hAnsi="Arial" w:cs="Tahoma"/>
      <w:b/>
      <w:sz w:val="36"/>
      <w:lang w:eastAsia="en-AU"/>
    </w:rPr>
  </w:style>
  <w:style w:type="character" w:customStyle="1" w:styleId="DateChar">
    <w:name w:val="Date Char"/>
    <w:basedOn w:val="DefaultParagraphFont"/>
    <w:link w:val="Date"/>
    <w:rsid w:val="005E1CA4"/>
    <w:rPr>
      <w:rFonts w:ascii="Arial" w:eastAsia="Times New Roman" w:hAnsi="Arial" w:cs="Tahoma"/>
      <w:b/>
      <w:sz w:val="36"/>
      <w:lang w:eastAsia="en-AU"/>
    </w:rPr>
  </w:style>
  <w:style w:type="paragraph" w:customStyle="1" w:styleId="PublicationTitle">
    <w:name w:val="PublicationTitle"/>
    <w:basedOn w:val="Normal"/>
    <w:rsid w:val="005E1CA4"/>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5E1CA4"/>
    <w:pPr>
      <w:spacing w:before="1701" w:after="160" w:line="259" w:lineRule="auto"/>
      <w:ind w:left="4536"/>
    </w:pPr>
    <w:rPr>
      <w:rFonts w:ascii="Arial" w:eastAsia="Times New Roman" w:hAnsi="Arial" w:cs="Tahoma"/>
      <w:b/>
      <w:sz w:val="32"/>
      <w:lang w:eastAsia="en-AU"/>
    </w:rPr>
  </w:style>
  <w:style w:type="paragraph" w:customStyle="1" w:styleId="Nnumberedlist">
    <w:name w:val="Nnumbered list"/>
    <w:basedOn w:val="Normal"/>
    <w:rsid w:val="005E1CA4"/>
    <w:pPr>
      <w:numPr>
        <w:numId w:val="3"/>
      </w:numPr>
      <w:spacing w:before="120" w:after="160" w:line="259" w:lineRule="auto"/>
      <w:jc w:val="both"/>
    </w:pPr>
    <w:rPr>
      <w:rFonts w:ascii="Calibri" w:eastAsia="Times New Roman" w:hAnsi="Calibri" w:cs="Tahoma"/>
      <w:lang w:eastAsia="en-AU"/>
    </w:rPr>
  </w:style>
  <w:style w:type="paragraph" w:styleId="TOCHeading">
    <w:name w:val="TOC Heading"/>
    <w:next w:val="Normal"/>
    <w:uiPriority w:val="39"/>
    <w:unhideWhenUsed/>
    <w:qFormat/>
    <w:rsid w:val="005E1CA4"/>
    <w:pPr>
      <w:pBdr>
        <w:bottom w:val="single" w:sz="4" w:space="1" w:color="auto"/>
      </w:pBdr>
      <w:outlineLvl w:val="0"/>
    </w:pPr>
    <w:rPr>
      <w:rFonts w:ascii="Franklin Gothic Medium" w:eastAsiaTheme="majorEastAsia" w:hAnsi="Franklin Gothic Medium" w:cstheme="majorBidi"/>
      <w:sz w:val="44"/>
      <w:szCs w:val="32"/>
    </w:rPr>
  </w:style>
  <w:style w:type="paragraph" w:styleId="TOC4">
    <w:name w:val="toc 4"/>
    <w:basedOn w:val="Normal"/>
    <w:next w:val="Normal"/>
    <w:autoRedefine/>
    <w:uiPriority w:val="39"/>
    <w:unhideWhenUsed/>
    <w:rsid w:val="005E1CA4"/>
    <w:pPr>
      <w:spacing w:before="120" w:after="100" w:line="259" w:lineRule="auto"/>
      <w:ind w:left="660"/>
    </w:pPr>
    <w:rPr>
      <w:rFonts w:eastAsiaTheme="minorEastAsia"/>
      <w:lang w:eastAsia="en-AU"/>
    </w:rPr>
  </w:style>
  <w:style w:type="paragraph" w:styleId="TOC5">
    <w:name w:val="toc 5"/>
    <w:basedOn w:val="Normal"/>
    <w:next w:val="Normal"/>
    <w:autoRedefine/>
    <w:uiPriority w:val="39"/>
    <w:unhideWhenUsed/>
    <w:rsid w:val="005E1CA4"/>
    <w:pPr>
      <w:spacing w:before="120" w:after="100" w:line="259" w:lineRule="auto"/>
      <w:ind w:left="880"/>
    </w:pPr>
    <w:rPr>
      <w:rFonts w:eastAsiaTheme="minorEastAsia"/>
      <w:lang w:eastAsia="en-AU"/>
    </w:rPr>
  </w:style>
  <w:style w:type="paragraph" w:styleId="TOC6">
    <w:name w:val="toc 6"/>
    <w:basedOn w:val="Normal"/>
    <w:next w:val="Normal"/>
    <w:autoRedefine/>
    <w:uiPriority w:val="39"/>
    <w:unhideWhenUsed/>
    <w:rsid w:val="005E1CA4"/>
    <w:pPr>
      <w:spacing w:before="120" w:after="100" w:line="259" w:lineRule="auto"/>
      <w:ind w:left="1100"/>
    </w:pPr>
    <w:rPr>
      <w:rFonts w:eastAsiaTheme="minorEastAsia"/>
      <w:lang w:eastAsia="en-AU"/>
    </w:rPr>
  </w:style>
  <w:style w:type="paragraph" w:styleId="TOC7">
    <w:name w:val="toc 7"/>
    <w:basedOn w:val="Normal"/>
    <w:next w:val="Normal"/>
    <w:autoRedefine/>
    <w:uiPriority w:val="39"/>
    <w:unhideWhenUsed/>
    <w:rsid w:val="005E1CA4"/>
    <w:pPr>
      <w:spacing w:before="120" w:after="100" w:line="259" w:lineRule="auto"/>
      <w:ind w:left="1320"/>
    </w:pPr>
    <w:rPr>
      <w:rFonts w:eastAsiaTheme="minorEastAsia"/>
      <w:lang w:eastAsia="en-AU"/>
    </w:rPr>
  </w:style>
  <w:style w:type="paragraph" w:styleId="TOC8">
    <w:name w:val="toc 8"/>
    <w:basedOn w:val="Normal"/>
    <w:next w:val="Normal"/>
    <w:autoRedefine/>
    <w:uiPriority w:val="39"/>
    <w:unhideWhenUsed/>
    <w:rsid w:val="005E1CA4"/>
    <w:pPr>
      <w:spacing w:before="120" w:after="100" w:line="259" w:lineRule="auto"/>
      <w:ind w:left="1540"/>
    </w:pPr>
    <w:rPr>
      <w:rFonts w:eastAsiaTheme="minorEastAsia"/>
      <w:lang w:eastAsia="en-AU"/>
    </w:rPr>
  </w:style>
  <w:style w:type="paragraph" w:customStyle="1" w:styleId="In-tableHeading">
    <w:name w:val="In-table Heading"/>
    <w:qFormat/>
    <w:rsid w:val="005E1CA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5E1CA4"/>
    <w:pPr>
      <w:tabs>
        <w:tab w:val="left" w:pos="284"/>
      </w:tabs>
      <w:spacing w:before="120" w:after="360"/>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5E1CA4"/>
    <w:rPr>
      <w:rFonts w:ascii="Arial Narrow" w:eastAsia="Times New Roman" w:hAnsi="Arial Narrow" w:cs="Arial"/>
      <w:snapToGrid w:val="0"/>
      <w:sz w:val="18"/>
      <w:lang w:eastAsia="en-AU"/>
    </w:rPr>
  </w:style>
  <w:style w:type="character" w:styleId="Emphasis">
    <w:name w:val="Emphasis"/>
    <w:uiPriority w:val="20"/>
    <w:qFormat/>
    <w:rsid w:val="005E1CA4"/>
    <w:rPr>
      <w:i/>
      <w:iCs/>
    </w:rPr>
  </w:style>
  <w:style w:type="paragraph" w:customStyle="1" w:styleId="Tablenotes">
    <w:name w:val="Tablenotes"/>
    <w:basedOn w:val="Normal"/>
    <w:link w:val="TablenotesChar"/>
    <w:qFormat/>
    <w:rsid w:val="005E1CA4"/>
    <w:pPr>
      <w:widowControl w:val="0"/>
      <w:spacing w:before="120" w:after="120"/>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5E1CA4"/>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5E1CA4"/>
    <w:rPr>
      <w:rFonts w:ascii="Franklin Gothic Book" w:hAnsi="Franklin Gothic Book"/>
    </w:rPr>
  </w:style>
  <w:style w:type="table" w:customStyle="1" w:styleId="TableGridLight1">
    <w:name w:val="Table Grid Light1"/>
    <w:basedOn w:val="TableNormal"/>
    <w:uiPriority w:val="40"/>
    <w:rsid w:val="005E1CA4"/>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5E1CA4"/>
    <w:pPr>
      <w:numPr>
        <w:numId w:val="4"/>
      </w:numPr>
      <w:spacing w:before="120" w:after="120"/>
    </w:pPr>
  </w:style>
  <w:style w:type="paragraph" w:customStyle="1" w:styleId="TableFigureHeading">
    <w:name w:val="Table/Figure Heading"/>
    <w:next w:val="In-tableHeading"/>
    <w:link w:val="TableFigureHeadingChar"/>
    <w:qFormat/>
    <w:rsid w:val="005E1CA4"/>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5E1CA4"/>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5E1CA4"/>
    <w:pPr>
      <w:spacing w:before="40" w:after="40"/>
      <w:jc w:val="both"/>
    </w:pPr>
    <w:rPr>
      <w:rFonts w:ascii="Arial Narrow" w:eastAsia="Times New Roman" w:hAnsi="Arial Narrow" w:cs="Tahoma"/>
      <w:sz w:val="20"/>
      <w:szCs w:val="20"/>
      <w:lang w:eastAsia="en-AU"/>
    </w:rPr>
  </w:style>
  <w:style w:type="character" w:customStyle="1" w:styleId="TabletextChar0">
    <w:name w:val="Table text Char"/>
    <w:link w:val="Tabletext0"/>
    <w:rsid w:val="005E1CA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5E1CA4"/>
    <w:pPr>
      <w:spacing w:before="120" w:line="259" w:lineRule="auto"/>
      <w:contextualSpacing/>
      <w:jc w:val="both"/>
    </w:pPr>
    <w:rPr>
      <w:rFonts w:ascii="Arial Narrow" w:hAnsi="Arial Narrow" w:cs="Arial"/>
      <w:sz w:val="18"/>
    </w:rPr>
  </w:style>
  <w:style w:type="character" w:customStyle="1" w:styleId="TablenotesChar0">
    <w:name w:val="Table notes Char"/>
    <w:basedOn w:val="DefaultParagraphFont"/>
    <w:link w:val="Tablenotes0"/>
    <w:rsid w:val="005E1CA4"/>
    <w:rPr>
      <w:rFonts w:ascii="Arial Narrow" w:hAnsi="Arial Narrow" w:cs="Arial"/>
      <w:sz w:val="18"/>
    </w:rPr>
  </w:style>
  <w:style w:type="numbering" w:customStyle="1" w:styleId="ESSectionheading-numbered">
    <w:name w:val="ES. Section heading - numbered"/>
    <w:uiPriority w:val="99"/>
    <w:rsid w:val="005E1CA4"/>
    <w:pPr>
      <w:numPr>
        <w:numId w:val="5"/>
      </w:numPr>
    </w:pPr>
  </w:style>
  <w:style w:type="paragraph" w:customStyle="1" w:styleId="2-SectionHeading">
    <w:name w:val="2-Section Heading"/>
    <w:qFormat/>
    <w:rsid w:val="005E1CA4"/>
    <w:pPr>
      <w:keepNext/>
      <w:numPr>
        <w:numId w:val="6"/>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E1CA4"/>
    <w:pPr>
      <w:numPr>
        <w:ilvl w:val="1"/>
        <w:numId w:val="6"/>
      </w:numPr>
      <w:spacing w:after="120" w:line="240" w:lineRule="auto"/>
      <w:ind w:left="1440" w:hanging="360"/>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5E1CA4"/>
    <w:pPr>
      <w:pBdr>
        <w:top w:val="single" w:sz="4" w:space="4" w:color="auto"/>
        <w:left w:val="single" w:sz="4" w:space="4" w:color="auto"/>
        <w:bottom w:val="single" w:sz="4" w:space="4" w:color="auto"/>
        <w:right w:val="single" w:sz="4" w:space="4" w:color="auto"/>
      </w:pBdr>
      <w:spacing w:before="120" w:after="120"/>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5E1CA4"/>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5E1CA4"/>
    <w:pPr>
      <w:numPr>
        <w:numId w:val="7"/>
      </w:numPr>
      <w:spacing w:before="120" w:after="120"/>
    </w:pPr>
    <w:rPr>
      <w:rFonts w:ascii="Calibri" w:hAnsi="Calibri" w:cs="Calibri"/>
      <w:color w:val="0070C0"/>
      <w:sz w:val="24"/>
    </w:rPr>
  </w:style>
  <w:style w:type="character" w:customStyle="1" w:styleId="TableFooterChar">
    <w:name w:val="Table Footer Char"/>
    <w:link w:val="TableFooter"/>
    <w:locked/>
    <w:rsid w:val="005E1CA4"/>
    <w:rPr>
      <w:rFonts w:ascii="Arial Narrow" w:eastAsia="Times New Roman" w:hAnsi="Arial Narrow" w:cs="Arial"/>
      <w:sz w:val="18"/>
      <w:szCs w:val="20"/>
    </w:rPr>
  </w:style>
  <w:style w:type="paragraph" w:customStyle="1" w:styleId="TableFooter">
    <w:name w:val="Table Footer"/>
    <w:basedOn w:val="Normal"/>
    <w:link w:val="TableFooterChar"/>
    <w:qFormat/>
    <w:rsid w:val="005E1CA4"/>
    <w:pPr>
      <w:widowControl w:val="0"/>
      <w:snapToGrid w:val="0"/>
      <w:spacing w:before="120"/>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5E1CA4"/>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Franklin Gothic Book" w:hAnsi="Franklin Gothic Book"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Franklin Gothic Book" w:hAnsi="Franklin Gothic Book"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Franklin Gothic Book" w:hAnsi="Franklin Gothic Book" w:hint="default"/>
        <w:i/>
        <w:iCs/>
        <w:sz w:val="20"/>
        <w:szCs w:val="20"/>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5E1C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5E1CA4"/>
    <w:rPr>
      <w:rFonts w:ascii="Times New Roman" w:hAnsi="Times New Roman" w:cs="Times New Roman"/>
      <w:sz w:val="24"/>
    </w:rPr>
  </w:style>
  <w:style w:type="paragraph" w:customStyle="1" w:styleId="MSACESParagraph">
    <w:name w:val="MSAC ES Paragraph"/>
    <w:link w:val="MSACESParagraphChar"/>
    <w:uiPriority w:val="1"/>
    <w:qFormat/>
    <w:rsid w:val="005E1CA4"/>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5E1CA4"/>
    <w:pPr>
      <w:spacing w:before="120" w:after="0"/>
    </w:pPr>
    <w:rPr>
      <w:sz w:val="18"/>
      <w:szCs w:val="20"/>
    </w:rPr>
  </w:style>
  <w:style w:type="character" w:customStyle="1" w:styleId="FootnoteTextChar">
    <w:name w:val="Footnote Text Char"/>
    <w:basedOn w:val="DefaultParagraphFont"/>
    <w:link w:val="FootnoteText"/>
    <w:rsid w:val="005E1CA4"/>
    <w:rPr>
      <w:sz w:val="18"/>
      <w:szCs w:val="20"/>
    </w:rPr>
  </w:style>
  <w:style w:type="character" w:styleId="FootnoteReference">
    <w:name w:val="footnote reference"/>
    <w:basedOn w:val="DefaultParagraphFont"/>
    <w:uiPriority w:val="99"/>
    <w:unhideWhenUsed/>
    <w:rsid w:val="005E1CA4"/>
    <w:rPr>
      <w:vertAlign w:val="superscript"/>
    </w:rPr>
  </w:style>
  <w:style w:type="paragraph" w:customStyle="1" w:styleId="TableFigNoteHanging">
    <w:name w:val="TableFigNoteHanging"/>
    <w:basedOn w:val="TableFigNoteHangingLast"/>
    <w:qFormat/>
    <w:rsid w:val="005E1CA4"/>
    <w:pPr>
      <w:spacing w:after="0"/>
      <w:contextualSpacing w:val="0"/>
    </w:pPr>
    <w:rPr>
      <w:rFonts w:asciiTheme="minorHAnsi" w:hAnsiTheme="minorHAnsi"/>
    </w:rPr>
  </w:style>
  <w:style w:type="table" w:customStyle="1" w:styleId="TableGrid2">
    <w:name w:val="Table Grid2"/>
    <w:basedOn w:val="TableNormal"/>
    <w:next w:val="TableGrid"/>
    <w:uiPriority w:val="59"/>
    <w:rsid w:val="005E1CA4"/>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5E1CA4"/>
    <w:pPr>
      <w:spacing w:before="120" w:after="100" w:afterAutospacing="1" w:line="259" w:lineRule="auto"/>
      <w:jc w:val="both"/>
    </w:pPr>
    <w:rPr>
      <w:rFonts w:ascii="Arial Narrow" w:eastAsia="Times New Roman" w:hAnsi="Arial Narrow" w:cs="Tahoma"/>
      <w:b/>
      <w:lang w:eastAsia="en-AU"/>
    </w:rPr>
  </w:style>
  <w:style w:type="paragraph" w:customStyle="1" w:styleId="TableText1">
    <w:name w:val="TableText"/>
    <w:basedOn w:val="Normal"/>
    <w:link w:val="TableTextChar1"/>
    <w:rsid w:val="005E1CA4"/>
    <w:pPr>
      <w:keepNext/>
      <w:spacing w:before="40" w:after="40" w:line="259" w:lineRule="auto"/>
      <w:jc w:val="both"/>
    </w:pPr>
    <w:rPr>
      <w:rFonts w:ascii="Arial Narrow" w:eastAsia="Times New Roman" w:hAnsi="Arial Narrow" w:cs="Tahoma"/>
      <w:sz w:val="18"/>
      <w:lang w:eastAsia="en-AU"/>
    </w:rPr>
  </w:style>
  <w:style w:type="character" w:customStyle="1" w:styleId="TableTextChar1">
    <w:name w:val="TableText Char"/>
    <w:link w:val="TableText1"/>
    <w:rsid w:val="005E1CA4"/>
    <w:rPr>
      <w:rFonts w:ascii="Arial Narrow" w:eastAsia="Times New Roman" w:hAnsi="Arial Narrow" w:cs="Tahoma"/>
      <w:sz w:val="18"/>
      <w:lang w:eastAsia="en-AU"/>
    </w:rPr>
  </w:style>
  <w:style w:type="paragraph" w:customStyle="1" w:styleId="References">
    <w:name w:val="References"/>
    <w:basedOn w:val="Normal"/>
    <w:rsid w:val="005E1CA4"/>
    <w:pPr>
      <w:keepLines/>
      <w:spacing w:after="0"/>
      <w:ind w:left="340" w:hanging="340"/>
    </w:pPr>
    <w:rPr>
      <w:rFonts w:ascii="Calibri" w:eastAsia="Times New Roman" w:hAnsi="Calibri" w:cs="Tahoma"/>
      <w:sz w:val="20"/>
      <w:lang w:eastAsia="en-AU"/>
    </w:rPr>
  </w:style>
  <w:style w:type="paragraph" w:styleId="Title">
    <w:name w:val="Title"/>
    <w:basedOn w:val="Normal"/>
    <w:next w:val="Normal"/>
    <w:link w:val="TitleChar"/>
    <w:qFormat/>
    <w:rsid w:val="005E1CA4"/>
    <w:pPr>
      <w:spacing w:before="480"/>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5E1CA4"/>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5E1CA4"/>
    <w:pPr>
      <w:spacing w:before="120"/>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5E1CA4"/>
    <w:rPr>
      <w:rFonts w:ascii="Arial" w:eastAsia="Times New Roman" w:hAnsi="Arial" w:cs="Arial"/>
      <w:b/>
      <w:bCs/>
      <w:i/>
      <w:color w:val="000080"/>
      <w:sz w:val="28"/>
      <w:szCs w:val="28"/>
      <w:lang w:eastAsia="en-AU"/>
    </w:rPr>
  </w:style>
  <w:style w:type="paragraph" w:customStyle="1" w:styleId="ESHeading1">
    <w:name w:val="ES Heading1"/>
    <w:next w:val="Normal"/>
    <w:qFormat/>
    <w:rsid w:val="005E1CA4"/>
    <w:pPr>
      <w:spacing w:before="480" w:after="240"/>
      <w:ind w:left="788"/>
      <w:jc w:val="center"/>
      <w:outlineLvl w:val="0"/>
    </w:pPr>
    <w:rPr>
      <w:rFonts w:ascii="Arial" w:eastAsiaTheme="majorEastAsia" w:hAnsi="Arial" w:cs="Arial"/>
      <w:b/>
      <w:bCs/>
      <w:color w:val="000080"/>
      <w:sz w:val="36"/>
      <w:szCs w:val="36"/>
    </w:rPr>
  </w:style>
  <w:style w:type="paragraph" w:customStyle="1" w:styleId="NormalBeforeBullet">
    <w:name w:val="Normal Before Bullet"/>
    <w:basedOn w:val="Normal"/>
    <w:qFormat/>
    <w:rsid w:val="005E1CA4"/>
    <w:pPr>
      <w:keepNext/>
      <w:spacing w:before="120" w:after="120"/>
    </w:pPr>
    <w:rPr>
      <w:rFonts w:ascii="Franklin Gothic Book" w:hAnsi="Franklin Gothic Book"/>
    </w:rPr>
  </w:style>
  <w:style w:type="paragraph" w:customStyle="1" w:styleId="Dash">
    <w:name w:val="Dash"/>
    <w:basedOn w:val="Bullet"/>
    <w:qFormat/>
    <w:rsid w:val="005E1CA4"/>
    <w:pPr>
      <w:numPr>
        <w:numId w:val="8"/>
      </w:numPr>
      <w:spacing w:after="40"/>
    </w:pPr>
  </w:style>
  <w:style w:type="character" w:customStyle="1" w:styleId="UnresolvedMention1">
    <w:name w:val="Unresolved Mention1"/>
    <w:basedOn w:val="DefaultParagraphFont"/>
    <w:uiPriority w:val="99"/>
    <w:semiHidden/>
    <w:unhideWhenUsed/>
    <w:rsid w:val="005E1CA4"/>
    <w:rPr>
      <w:color w:val="605E5C"/>
      <w:shd w:val="clear" w:color="auto" w:fill="E1DFDD"/>
    </w:rPr>
  </w:style>
  <w:style w:type="paragraph" w:customStyle="1" w:styleId="Instructionaltext-afterfiguretable">
    <w:name w:val="Instructional text - after figure/table"/>
    <w:basedOn w:val="Instructionaltext"/>
    <w:qFormat/>
    <w:rsid w:val="005E1CA4"/>
    <w:pPr>
      <w:spacing w:before="360"/>
    </w:pPr>
  </w:style>
  <w:style w:type="paragraph" w:customStyle="1" w:styleId="Guidelinescross-ref">
    <w:name w:val="Guidelines cross-ref"/>
    <w:basedOn w:val="Normal"/>
    <w:qFormat/>
    <w:rsid w:val="005E1CA4"/>
    <w:pPr>
      <w:spacing w:before="240" w:line="259" w:lineRule="auto"/>
    </w:pPr>
    <w:rPr>
      <w:rFonts w:ascii="Franklin Gothic Book" w:hAnsi="Franklin Gothic Book"/>
      <w:b/>
      <w:color w:val="0070C0"/>
      <w:sz w:val="24"/>
    </w:rPr>
  </w:style>
  <w:style w:type="paragraph" w:styleId="Revision">
    <w:name w:val="Revision"/>
    <w:hidden/>
    <w:uiPriority w:val="99"/>
    <w:semiHidden/>
    <w:rsid w:val="005E1CA4"/>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5E1CA4"/>
    <w:rPr>
      <w:color w:val="605E5C"/>
      <w:shd w:val="clear" w:color="auto" w:fill="E1DFDD"/>
    </w:rPr>
  </w:style>
  <w:style w:type="character" w:styleId="UnresolvedMention">
    <w:name w:val="Unresolved Mention"/>
    <w:basedOn w:val="DefaultParagraphFont"/>
    <w:uiPriority w:val="99"/>
    <w:unhideWhenUsed/>
    <w:rsid w:val="005E1CA4"/>
    <w:rPr>
      <w:color w:val="605E5C"/>
      <w:shd w:val="clear" w:color="auto" w:fill="E1DFDD"/>
    </w:rPr>
  </w:style>
  <w:style w:type="character" w:styleId="PageNumber">
    <w:name w:val="page number"/>
    <w:basedOn w:val="DefaultParagraphFont"/>
    <w:uiPriority w:val="99"/>
    <w:semiHidden/>
    <w:unhideWhenUsed/>
    <w:rsid w:val="005E1CA4"/>
  </w:style>
  <w:style w:type="character" w:customStyle="1" w:styleId="cf01">
    <w:name w:val="cf01"/>
    <w:basedOn w:val="DefaultParagraphFont"/>
    <w:rsid w:val="005E1CA4"/>
    <w:rPr>
      <w:rFonts w:ascii="Segoe UI" w:hAnsi="Segoe UI" w:cs="Segoe UI" w:hint="default"/>
      <w:b/>
      <w:bCs/>
      <w:sz w:val="18"/>
      <w:szCs w:val="18"/>
    </w:rPr>
  </w:style>
  <w:style w:type="character" w:customStyle="1" w:styleId="cf11">
    <w:name w:val="cf11"/>
    <w:basedOn w:val="DefaultParagraphFont"/>
    <w:rsid w:val="005E1CA4"/>
    <w:rPr>
      <w:rFonts w:ascii="Segoe UI" w:hAnsi="Segoe UI" w:cs="Segoe UI" w:hint="default"/>
      <w:sz w:val="18"/>
      <w:szCs w:val="18"/>
    </w:rPr>
  </w:style>
  <w:style w:type="paragraph" w:customStyle="1" w:styleId="ESHeading2">
    <w:name w:val="ES Heading 2"/>
    <w:next w:val="Normal"/>
    <w:link w:val="ESHeading2Char"/>
    <w:qFormat/>
    <w:rsid w:val="005E1CA4"/>
    <w:pPr>
      <w:keepNext/>
      <w:numPr>
        <w:numId w:val="10"/>
      </w:numPr>
      <w:outlineLvl w:val="1"/>
    </w:pPr>
    <w:rPr>
      <w:rFonts w:ascii="Franklin Gothic Medium" w:eastAsiaTheme="majorEastAsia" w:hAnsi="Franklin Gothic Medium" w:cstheme="majorBidi"/>
      <w:color w:val="000000" w:themeColor="text1"/>
      <w:sz w:val="32"/>
      <w:szCs w:val="26"/>
    </w:rPr>
  </w:style>
  <w:style w:type="paragraph" w:styleId="NormalWeb">
    <w:name w:val="Normal (Web)"/>
    <w:basedOn w:val="Normal"/>
    <w:uiPriority w:val="99"/>
    <w:semiHidden/>
    <w:unhideWhenUsed/>
    <w:rsid w:val="005E1CA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f0">
    <w:name w:val="pf0"/>
    <w:basedOn w:val="Normal"/>
    <w:rsid w:val="005E1CA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ffect">
    <w:name w:val="effect"/>
    <w:basedOn w:val="DefaultParagraphFont"/>
    <w:rsid w:val="005E1CA4"/>
  </w:style>
  <w:style w:type="character" w:customStyle="1" w:styleId="quality-sign">
    <w:name w:val="quality-sign"/>
    <w:basedOn w:val="DefaultParagraphFont"/>
    <w:rsid w:val="005E1CA4"/>
  </w:style>
  <w:style w:type="character" w:customStyle="1" w:styleId="quality-text">
    <w:name w:val="quality-text"/>
    <w:basedOn w:val="DefaultParagraphFont"/>
    <w:rsid w:val="005E1CA4"/>
  </w:style>
  <w:style w:type="paragraph" w:customStyle="1" w:styleId="do-not-mathjax">
    <w:name w:val="do-not-mathjax"/>
    <w:basedOn w:val="Normal"/>
    <w:rsid w:val="005E1CA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author">
    <w:name w:val="author"/>
    <w:basedOn w:val="Normal"/>
    <w:rsid w:val="005E1CA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eparator">
    <w:name w:val="separator"/>
    <w:basedOn w:val="DefaultParagraphFont"/>
    <w:rsid w:val="005E1CA4"/>
  </w:style>
  <w:style w:type="paragraph" w:customStyle="1" w:styleId="ESHeading3">
    <w:name w:val="ES Heading 3"/>
    <w:basedOn w:val="ESHeading2"/>
    <w:next w:val="Normal"/>
    <w:link w:val="ESHeading3Char"/>
    <w:qFormat/>
    <w:rsid w:val="005E1CA4"/>
    <w:pPr>
      <w:numPr>
        <w:numId w:val="0"/>
      </w:numPr>
      <w:outlineLvl w:val="2"/>
    </w:pPr>
    <w:rPr>
      <w:sz w:val="24"/>
    </w:rPr>
  </w:style>
  <w:style w:type="character" w:customStyle="1" w:styleId="ESHeading2Char">
    <w:name w:val="ES Heading 2 Char"/>
    <w:basedOn w:val="DefaultParagraphFont"/>
    <w:link w:val="ESHeading2"/>
    <w:rsid w:val="005E1CA4"/>
    <w:rPr>
      <w:rFonts w:ascii="Franklin Gothic Medium" w:eastAsiaTheme="majorEastAsia" w:hAnsi="Franklin Gothic Medium" w:cstheme="majorBidi"/>
      <w:color w:val="000000" w:themeColor="text1"/>
      <w:sz w:val="32"/>
      <w:szCs w:val="26"/>
    </w:rPr>
  </w:style>
  <w:style w:type="paragraph" w:customStyle="1" w:styleId="ESHeading4">
    <w:name w:val="ES Heading 4"/>
    <w:basedOn w:val="ESHeading3"/>
    <w:next w:val="Normal"/>
    <w:link w:val="ESHeading4Char"/>
    <w:qFormat/>
    <w:rsid w:val="005E1CA4"/>
    <w:pPr>
      <w:outlineLvl w:val="3"/>
    </w:pPr>
    <w:rPr>
      <w:i/>
    </w:rPr>
  </w:style>
  <w:style w:type="character" w:customStyle="1" w:styleId="ESHeading3Char">
    <w:name w:val="ES Heading 3 Char"/>
    <w:basedOn w:val="ESHeading2Char"/>
    <w:link w:val="ESHeading3"/>
    <w:rsid w:val="005E1CA4"/>
    <w:rPr>
      <w:rFonts w:ascii="Franklin Gothic Medium" w:eastAsiaTheme="majorEastAsia" w:hAnsi="Franklin Gothic Medium" w:cstheme="majorBidi"/>
      <w:color w:val="000000" w:themeColor="text1"/>
      <w:sz w:val="24"/>
      <w:szCs w:val="26"/>
    </w:rPr>
  </w:style>
  <w:style w:type="character" w:customStyle="1" w:styleId="ESHeading4Char">
    <w:name w:val="ES Heading 4 Char"/>
    <w:basedOn w:val="ESHeading3Char"/>
    <w:link w:val="ESHeading4"/>
    <w:rsid w:val="005E1CA4"/>
    <w:rPr>
      <w:rFonts w:ascii="Franklin Gothic Medium" w:eastAsiaTheme="majorEastAsia" w:hAnsi="Franklin Gothic Medium" w:cstheme="majorBidi"/>
      <w:i/>
      <w:color w:val="000000" w:themeColor="text1"/>
      <w:sz w:val="24"/>
      <w:szCs w:val="26"/>
    </w:rPr>
  </w:style>
  <w:style w:type="character" w:styleId="Mention">
    <w:name w:val="Mention"/>
    <w:basedOn w:val="DefaultParagraphFont"/>
    <w:uiPriority w:val="99"/>
    <w:unhideWhenUsed/>
    <w:rsid w:val="005E1CA4"/>
    <w:rPr>
      <w:color w:val="2B579A"/>
      <w:shd w:val="clear" w:color="auto" w:fill="E1DFDD"/>
    </w:rPr>
  </w:style>
  <w:style w:type="numbering" w:customStyle="1" w:styleId="Headings">
    <w:name w:val="Headings"/>
    <w:uiPriority w:val="99"/>
    <w:rsid w:val="005E1CA4"/>
    <w:pPr>
      <w:numPr>
        <w:numId w:val="13"/>
      </w:numPr>
    </w:pPr>
  </w:style>
  <w:style w:type="paragraph" w:customStyle="1" w:styleId="BoxName0">
    <w:name w:val="BoxName"/>
    <w:basedOn w:val="Normal"/>
    <w:rsid w:val="00B93317"/>
    <w:pPr>
      <w:keepNext/>
      <w:pBdr>
        <w:top w:val="single" w:sz="4" w:space="4" w:color="000000"/>
        <w:left w:val="single" w:sz="4" w:space="4" w:color="000000"/>
        <w:bottom w:val="single" w:sz="4" w:space="4" w:color="000000"/>
        <w:right w:val="single" w:sz="4" w:space="4" w:color="000000"/>
      </w:pBdr>
      <w:spacing w:before="240"/>
      <w:ind w:left="1077" w:hanging="1077"/>
    </w:pPr>
    <w:rPr>
      <w:rFonts w:ascii="Franklin Gothic Book" w:eastAsia="Times New Roman" w:hAnsi="Franklin Gothic Book" w:cs="Times New Roman"/>
      <w:b/>
      <w:bCs/>
      <w:color w:val="000000"/>
      <w:sz w:val="24"/>
      <w:szCs w:val="20"/>
      <w:lang w:eastAsia="en-AU"/>
    </w:rPr>
  </w:style>
  <w:style w:type="paragraph" w:customStyle="1" w:styleId="BoxHeading">
    <w:name w:val="BoxHeading"/>
    <w:basedOn w:val="Normal"/>
    <w:rsid w:val="00B93317"/>
    <w:pPr>
      <w:keepNext/>
      <w:pBdr>
        <w:top w:val="single" w:sz="4" w:space="4" w:color="000000"/>
        <w:left w:val="single" w:sz="4" w:space="4" w:color="000000"/>
        <w:bottom w:val="single" w:sz="4" w:space="4" w:color="000000"/>
        <w:right w:val="single" w:sz="4" w:space="4" w:color="000000"/>
      </w:pBdr>
      <w:spacing w:before="120" w:after="60"/>
    </w:pPr>
    <w:rPr>
      <w:rFonts w:ascii="Franklin Gothic Book" w:eastAsia="Times New Roman" w:hAnsi="Franklin Gothic Book" w:cs="Times New Roman"/>
      <w:b/>
      <w:bCs/>
      <w:color w:val="000000"/>
      <w:szCs w:val="20"/>
      <w:lang w:eastAsia="en-AU"/>
    </w:rPr>
  </w:style>
  <w:style w:type="paragraph" w:customStyle="1" w:styleId="BoxBullet">
    <w:name w:val="BoxBullet"/>
    <w:basedOn w:val="Normal"/>
    <w:rsid w:val="00B93317"/>
    <w:pPr>
      <w:numPr>
        <w:numId w:val="24"/>
      </w:numPr>
      <w:pBdr>
        <w:top w:val="single" w:sz="4" w:space="4" w:color="000000"/>
        <w:left w:val="single" w:sz="4" w:space="4" w:color="000000"/>
        <w:bottom w:val="single" w:sz="4" w:space="4" w:color="000000"/>
        <w:right w:val="single" w:sz="4" w:space="4" w:color="000000"/>
      </w:pBdr>
      <w:spacing w:after="120"/>
    </w:pPr>
    <w:rPr>
      <w:rFonts w:ascii="Franklin Gothic Book" w:eastAsia="Times New Roman" w:hAnsi="Franklin Gothic Book" w:cs="Times New Roman"/>
      <w:color w:val="000000"/>
      <w:szCs w:val="20"/>
      <w:lang w:eastAsia="en-AU"/>
    </w:rPr>
  </w:style>
  <w:style w:type="paragraph" w:customStyle="1" w:styleId="BoxDash">
    <w:name w:val="BoxDash"/>
    <w:basedOn w:val="BoxBullet"/>
    <w:rsid w:val="00B93317"/>
    <w:pPr>
      <w:numPr>
        <w:numId w:val="25"/>
      </w:numPr>
    </w:pPr>
  </w:style>
  <w:style w:type="paragraph" w:customStyle="1" w:styleId="BulletBeforeDash">
    <w:name w:val="BulletBeforeDash"/>
    <w:basedOn w:val="Normal"/>
    <w:rsid w:val="00B93317"/>
    <w:pPr>
      <w:numPr>
        <w:numId w:val="26"/>
      </w:numPr>
      <w:spacing w:after="0"/>
    </w:pPr>
    <w:rPr>
      <w:rFonts w:ascii="Franklin Gothic Book" w:eastAsia="Times New Roman" w:hAnsi="Franklin Gothic Book" w:cs="Times New Roman"/>
      <w:color w:val="000000"/>
      <w:szCs w:val="20"/>
      <w:lang w:eastAsia="en-AU"/>
    </w:rPr>
  </w:style>
  <w:style w:type="paragraph" w:customStyle="1" w:styleId="BulletLast">
    <w:name w:val="BulletLast"/>
    <w:basedOn w:val="Bullet"/>
    <w:qFormat/>
    <w:rsid w:val="00B93317"/>
    <w:pPr>
      <w:numPr>
        <w:numId w:val="0"/>
      </w:numPr>
      <w:spacing w:before="0" w:after="240"/>
      <w:ind w:left="720" w:hanging="360"/>
    </w:pPr>
    <w:rPr>
      <w:rFonts w:ascii="Franklin Gothic Book" w:eastAsia="Times New Roman" w:hAnsi="Franklin Gothic Book" w:cs="Times New Roman"/>
      <w:color w:val="000000"/>
      <w:szCs w:val="20"/>
      <w:lang w:eastAsia="en-AU"/>
    </w:rPr>
  </w:style>
  <w:style w:type="paragraph" w:customStyle="1" w:styleId="DashLast">
    <w:name w:val="DashLast"/>
    <w:basedOn w:val="Dash"/>
    <w:rsid w:val="00B93317"/>
    <w:pPr>
      <w:tabs>
        <w:tab w:val="left" w:pos="720"/>
      </w:tabs>
      <w:spacing w:before="0" w:after="120"/>
    </w:pPr>
    <w:rPr>
      <w:rFonts w:ascii="Franklin Gothic Book" w:eastAsia="Times New Roman" w:hAnsi="Franklin Gothic Book" w:cs="Times New Roman"/>
      <w:color w:val="000000"/>
      <w:szCs w:val="20"/>
      <w:lang w:eastAsia="en-AU"/>
    </w:rPr>
  </w:style>
  <w:style w:type="paragraph" w:customStyle="1" w:styleId="DashLastSpace">
    <w:name w:val="DashLast+Space"/>
    <w:basedOn w:val="DashLast"/>
    <w:rsid w:val="00B93317"/>
    <w:pPr>
      <w:spacing w:after="240"/>
    </w:pPr>
  </w:style>
  <w:style w:type="paragraph" w:customStyle="1" w:styleId="NormalBeforeBullet0">
    <w:name w:val="NormalBeforeBullet"/>
    <w:basedOn w:val="Normal"/>
    <w:qFormat/>
    <w:rsid w:val="00B93317"/>
    <w:pPr>
      <w:keepNext/>
      <w:spacing w:after="120"/>
    </w:pPr>
    <w:rPr>
      <w:rFonts w:ascii="Franklin Gothic Book" w:eastAsia="Times New Roman" w:hAnsi="Franklin Gothic Book" w:cs="Times New Roman"/>
      <w:color w:val="000000"/>
      <w:szCs w:val="20"/>
      <w:lang w:eastAsia="en-AU"/>
    </w:rPr>
  </w:style>
  <w:style w:type="paragraph" w:customStyle="1" w:styleId="TableHeadingCA0">
    <w:name w:val="TableHeadingCA"/>
    <w:basedOn w:val="TableHeading"/>
    <w:rsid w:val="00B93317"/>
    <w:pPr>
      <w:spacing w:before="60"/>
      <w:jc w:val="center"/>
    </w:pPr>
    <w:rPr>
      <w:rFonts w:ascii="Franklin Gothic Book" w:eastAsia="Times New Roman" w:hAnsi="Franklin Gothic Book" w:cs="Times New Roman"/>
      <w:bCs/>
      <w:color w:val="000000"/>
      <w:sz w:val="21"/>
      <w:szCs w:val="21"/>
      <w:lang w:eastAsia="en-AU"/>
    </w:rPr>
  </w:style>
  <w:style w:type="paragraph" w:customStyle="1" w:styleId="TableTextDecimalAlign">
    <w:name w:val="TableTextDecimalAlign"/>
    <w:basedOn w:val="TableText1"/>
    <w:rsid w:val="00B93317"/>
    <w:pPr>
      <w:tabs>
        <w:tab w:val="decimal" w:pos="1119"/>
      </w:tabs>
      <w:spacing w:before="60" w:after="60" w:line="240" w:lineRule="auto"/>
      <w:jc w:val="left"/>
    </w:pPr>
    <w:rPr>
      <w:rFonts w:ascii="Franklin Gothic Book" w:hAnsi="Franklin Gothic Book" w:cs="Times New Roman"/>
      <w:color w:val="000000"/>
      <w:sz w:val="21"/>
      <w:szCs w:val="21"/>
    </w:rPr>
  </w:style>
  <w:style w:type="paragraph" w:customStyle="1" w:styleId="paragraph">
    <w:name w:val="paragraph"/>
    <w:basedOn w:val="Normal"/>
    <w:rsid w:val="00642CD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42CDC"/>
  </w:style>
  <w:style w:type="character" w:customStyle="1" w:styleId="eop">
    <w:name w:val="eop"/>
    <w:basedOn w:val="DefaultParagraphFont"/>
    <w:rsid w:val="00642CDC"/>
  </w:style>
  <w:style w:type="paragraph" w:styleId="BodyText">
    <w:name w:val="Body Text"/>
    <w:basedOn w:val="Normal"/>
    <w:link w:val="BodyTextChar"/>
    <w:rsid w:val="00691254"/>
    <w:pPr>
      <w:widowControl w:val="0"/>
      <w:spacing w:before="120" w:after="0"/>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691254"/>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4794">
      <w:bodyDiv w:val="1"/>
      <w:marLeft w:val="0"/>
      <w:marRight w:val="0"/>
      <w:marTop w:val="0"/>
      <w:marBottom w:val="0"/>
      <w:divBdr>
        <w:top w:val="none" w:sz="0" w:space="0" w:color="auto"/>
        <w:left w:val="none" w:sz="0" w:space="0" w:color="auto"/>
        <w:bottom w:val="none" w:sz="0" w:space="0" w:color="auto"/>
        <w:right w:val="none" w:sz="0" w:space="0" w:color="auto"/>
      </w:divBdr>
    </w:div>
    <w:div w:id="201673702">
      <w:bodyDiv w:val="1"/>
      <w:marLeft w:val="0"/>
      <w:marRight w:val="0"/>
      <w:marTop w:val="0"/>
      <w:marBottom w:val="0"/>
      <w:divBdr>
        <w:top w:val="none" w:sz="0" w:space="0" w:color="auto"/>
        <w:left w:val="none" w:sz="0" w:space="0" w:color="auto"/>
        <w:bottom w:val="none" w:sz="0" w:space="0" w:color="auto"/>
        <w:right w:val="none" w:sz="0" w:space="0" w:color="auto"/>
      </w:divBdr>
    </w:div>
    <w:div w:id="725685579">
      <w:bodyDiv w:val="1"/>
      <w:marLeft w:val="0"/>
      <w:marRight w:val="0"/>
      <w:marTop w:val="0"/>
      <w:marBottom w:val="0"/>
      <w:divBdr>
        <w:top w:val="none" w:sz="0" w:space="0" w:color="auto"/>
        <w:left w:val="none" w:sz="0" w:space="0" w:color="auto"/>
        <w:bottom w:val="none" w:sz="0" w:space="0" w:color="auto"/>
        <w:right w:val="none" w:sz="0" w:space="0" w:color="auto"/>
      </w:divBdr>
      <w:divsChild>
        <w:div w:id="194658974">
          <w:marLeft w:val="0"/>
          <w:marRight w:val="0"/>
          <w:marTop w:val="0"/>
          <w:marBottom w:val="0"/>
          <w:divBdr>
            <w:top w:val="none" w:sz="0" w:space="0" w:color="auto"/>
            <w:left w:val="none" w:sz="0" w:space="0" w:color="auto"/>
            <w:bottom w:val="none" w:sz="0" w:space="0" w:color="auto"/>
            <w:right w:val="none" w:sz="0" w:space="0" w:color="auto"/>
          </w:divBdr>
          <w:divsChild>
            <w:div w:id="342513683">
              <w:marLeft w:val="0"/>
              <w:marRight w:val="0"/>
              <w:marTop w:val="0"/>
              <w:marBottom w:val="0"/>
              <w:divBdr>
                <w:top w:val="none" w:sz="0" w:space="0" w:color="auto"/>
                <w:left w:val="none" w:sz="0" w:space="0" w:color="auto"/>
                <w:bottom w:val="none" w:sz="0" w:space="0" w:color="auto"/>
                <w:right w:val="none" w:sz="0" w:space="0" w:color="auto"/>
              </w:divBdr>
            </w:div>
            <w:div w:id="467237924">
              <w:marLeft w:val="0"/>
              <w:marRight w:val="0"/>
              <w:marTop w:val="0"/>
              <w:marBottom w:val="0"/>
              <w:divBdr>
                <w:top w:val="none" w:sz="0" w:space="0" w:color="auto"/>
                <w:left w:val="none" w:sz="0" w:space="0" w:color="auto"/>
                <w:bottom w:val="none" w:sz="0" w:space="0" w:color="auto"/>
                <w:right w:val="none" w:sz="0" w:space="0" w:color="auto"/>
              </w:divBdr>
            </w:div>
            <w:div w:id="577595379">
              <w:marLeft w:val="0"/>
              <w:marRight w:val="0"/>
              <w:marTop w:val="0"/>
              <w:marBottom w:val="0"/>
              <w:divBdr>
                <w:top w:val="none" w:sz="0" w:space="0" w:color="auto"/>
                <w:left w:val="none" w:sz="0" w:space="0" w:color="auto"/>
                <w:bottom w:val="none" w:sz="0" w:space="0" w:color="auto"/>
                <w:right w:val="none" w:sz="0" w:space="0" w:color="auto"/>
              </w:divBdr>
            </w:div>
            <w:div w:id="767118031">
              <w:marLeft w:val="0"/>
              <w:marRight w:val="0"/>
              <w:marTop w:val="0"/>
              <w:marBottom w:val="0"/>
              <w:divBdr>
                <w:top w:val="none" w:sz="0" w:space="0" w:color="auto"/>
                <w:left w:val="none" w:sz="0" w:space="0" w:color="auto"/>
                <w:bottom w:val="none" w:sz="0" w:space="0" w:color="auto"/>
                <w:right w:val="none" w:sz="0" w:space="0" w:color="auto"/>
              </w:divBdr>
            </w:div>
            <w:div w:id="992369377">
              <w:marLeft w:val="0"/>
              <w:marRight w:val="0"/>
              <w:marTop w:val="0"/>
              <w:marBottom w:val="0"/>
              <w:divBdr>
                <w:top w:val="none" w:sz="0" w:space="0" w:color="auto"/>
                <w:left w:val="none" w:sz="0" w:space="0" w:color="auto"/>
                <w:bottom w:val="none" w:sz="0" w:space="0" w:color="auto"/>
                <w:right w:val="none" w:sz="0" w:space="0" w:color="auto"/>
              </w:divBdr>
            </w:div>
            <w:div w:id="1769620399">
              <w:marLeft w:val="0"/>
              <w:marRight w:val="0"/>
              <w:marTop w:val="0"/>
              <w:marBottom w:val="0"/>
              <w:divBdr>
                <w:top w:val="none" w:sz="0" w:space="0" w:color="auto"/>
                <w:left w:val="none" w:sz="0" w:space="0" w:color="auto"/>
                <w:bottom w:val="none" w:sz="0" w:space="0" w:color="auto"/>
                <w:right w:val="none" w:sz="0" w:space="0" w:color="auto"/>
              </w:divBdr>
            </w:div>
            <w:div w:id="2023243262">
              <w:marLeft w:val="0"/>
              <w:marRight w:val="0"/>
              <w:marTop w:val="0"/>
              <w:marBottom w:val="0"/>
              <w:divBdr>
                <w:top w:val="none" w:sz="0" w:space="0" w:color="auto"/>
                <w:left w:val="none" w:sz="0" w:space="0" w:color="auto"/>
                <w:bottom w:val="none" w:sz="0" w:space="0" w:color="auto"/>
                <w:right w:val="none" w:sz="0" w:space="0" w:color="auto"/>
              </w:divBdr>
            </w:div>
          </w:divsChild>
        </w:div>
        <w:div w:id="1615600039">
          <w:marLeft w:val="0"/>
          <w:marRight w:val="0"/>
          <w:marTop w:val="0"/>
          <w:marBottom w:val="0"/>
          <w:divBdr>
            <w:top w:val="none" w:sz="0" w:space="0" w:color="auto"/>
            <w:left w:val="none" w:sz="0" w:space="0" w:color="auto"/>
            <w:bottom w:val="none" w:sz="0" w:space="0" w:color="auto"/>
            <w:right w:val="none" w:sz="0" w:space="0" w:color="auto"/>
          </w:divBdr>
          <w:divsChild>
            <w:div w:id="513105769">
              <w:marLeft w:val="0"/>
              <w:marRight w:val="0"/>
              <w:marTop w:val="0"/>
              <w:marBottom w:val="0"/>
              <w:divBdr>
                <w:top w:val="none" w:sz="0" w:space="0" w:color="auto"/>
                <w:left w:val="none" w:sz="0" w:space="0" w:color="auto"/>
                <w:bottom w:val="none" w:sz="0" w:space="0" w:color="auto"/>
                <w:right w:val="none" w:sz="0" w:space="0" w:color="auto"/>
              </w:divBdr>
            </w:div>
            <w:div w:id="667248290">
              <w:marLeft w:val="0"/>
              <w:marRight w:val="0"/>
              <w:marTop w:val="0"/>
              <w:marBottom w:val="0"/>
              <w:divBdr>
                <w:top w:val="none" w:sz="0" w:space="0" w:color="auto"/>
                <w:left w:val="none" w:sz="0" w:space="0" w:color="auto"/>
                <w:bottom w:val="none" w:sz="0" w:space="0" w:color="auto"/>
                <w:right w:val="none" w:sz="0" w:space="0" w:color="auto"/>
              </w:divBdr>
            </w:div>
            <w:div w:id="796528263">
              <w:marLeft w:val="0"/>
              <w:marRight w:val="0"/>
              <w:marTop w:val="0"/>
              <w:marBottom w:val="0"/>
              <w:divBdr>
                <w:top w:val="none" w:sz="0" w:space="0" w:color="auto"/>
                <w:left w:val="none" w:sz="0" w:space="0" w:color="auto"/>
                <w:bottom w:val="none" w:sz="0" w:space="0" w:color="auto"/>
                <w:right w:val="none" w:sz="0" w:space="0" w:color="auto"/>
              </w:divBdr>
            </w:div>
            <w:div w:id="991105774">
              <w:marLeft w:val="0"/>
              <w:marRight w:val="0"/>
              <w:marTop w:val="0"/>
              <w:marBottom w:val="0"/>
              <w:divBdr>
                <w:top w:val="none" w:sz="0" w:space="0" w:color="auto"/>
                <w:left w:val="none" w:sz="0" w:space="0" w:color="auto"/>
                <w:bottom w:val="none" w:sz="0" w:space="0" w:color="auto"/>
                <w:right w:val="none" w:sz="0" w:space="0" w:color="auto"/>
              </w:divBdr>
            </w:div>
            <w:div w:id="1355692851">
              <w:marLeft w:val="0"/>
              <w:marRight w:val="0"/>
              <w:marTop w:val="0"/>
              <w:marBottom w:val="0"/>
              <w:divBdr>
                <w:top w:val="none" w:sz="0" w:space="0" w:color="auto"/>
                <w:left w:val="none" w:sz="0" w:space="0" w:color="auto"/>
                <w:bottom w:val="none" w:sz="0" w:space="0" w:color="auto"/>
                <w:right w:val="none" w:sz="0" w:space="0" w:color="auto"/>
              </w:divBdr>
            </w:div>
            <w:div w:id="1777552576">
              <w:marLeft w:val="0"/>
              <w:marRight w:val="0"/>
              <w:marTop w:val="0"/>
              <w:marBottom w:val="0"/>
              <w:divBdr>
                <w:top w:val="none" w:sz="0" w:space="0" w:color="auto"/>
                <w:left w:val="none" w:sz="0" w:space="0" w:color="auto"/>
                <w:bottom w:val="none" w:sz="0" w:space="0" w:color="auto"/>
                <w:right w:val="none" w:sz="0" w:space="0" w:color="auto"/>
              </w:divBdr>
            </w:div>
            <w:div w:id="1852521725">
              <w:marLeft w:val="0"/>
              <w:marRight w:val="0"/>
              <w:marTop w:val="0"/>
              <w:marBottom w:val="0"/>
              <w:divBdr>
                <w:top w:val="none" w:sz="0" w:space="0" w:color="auto"/>
                <w:left w:val="none" w:sz="0" w:space="0" w:color="auto"/>
                <w:bottom w:val="none" w:sz="0" w:space="0" w:color="auto"/>
                <w:right w:val="none" w:sz="0" w:space="0" w:color="auto"/>
              </w:divBdr>
            </w:div>
            <w:div w:id="19946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29173">
      <w:bodyDiv w:val="1"/>
      <w:marLeft w:val="0"/>
      <w:marRight w:val="0"/>
      <w:marTop w:val="0"/>
      <w:marBottom w:val="0"/>
      <w:divBdr>
        <w:top w:val="none" w:sz="0" w:space="0" w:color="auto"/>
        <w:left w:val="none" w:sz="0" w:space="0" w:color="auto"/>
        <w:bottom w:val="none" w:sz="0" w:space="0" w:color="auto"/>
        <w:right w:val="none" w:sz="0" w:space="0" w:color="auto"/>
      </w:divBdr>
    </w:div>
    <w:div w:id="20491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msac.gov.au/internet/msac/publishing.nsf/Content/Home-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tyandquality.gov.au/our-work/healthcare-variation/fourth-atlas-2021/ear-nose-and-throat-surgery-children-and-young-people/31-tonsillectomy-hospitalisations-17-years-and-und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6D179C512E2170A7CA25801000123B34/$File/1130_MSAC_PSD.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our-work/healthcare-variation/fourth-atlas-2021/ear-nose-and-throat-surgery-children-and-young-people/31-tonsillectomy-hospitalisations-17-years-and-under"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www.msac.gov.au/internet/msac/publishing.nsf/Content/1130-publi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sac.gov.au/internet/msac/publishing.nsf/Content/1130-public" TargetMode="External"/><Relationship Id="rId14" Type="http://schemas.openxmlformats.org/officeDocument/2006/relationships/hyperlink" Target="http://www.msac.gov.au/internet/msac/publishing.nsf/Content/1130-public"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pubmed.ncbi.nlm.nih.gov/38051336/" TargetMode="External"/><Relationship Id="rId1" Type="http://schemas.openxmlformats.org/officeDocument/2006/relationships/hyperlink" Target="https://doi.org/10.1016/j.sleep.2017.03.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2" ma:contentTypeDescription="Create a new document." ma:contentTypeScope="" ma:versionID="933b000f9d569faa8fdc669583079b5c">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f227d2bbbbbbd82e7d606a90928f29c4"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Props1.xml><?xml version="1.0" encoding="utf-8"?>
<ds:datastoreItem xmlns:ds="http://schemas.openxmlformats.org/officeDocument/2006/customXml" ds:itemID="{B27F2DFA-0737-47E6-A950-B7EEAAAD9EFD}">
  <ds:schemaRefs>
    <ds:schemaRef ds:uri="http://schemas.openxmlformats.org/officeDocument/2006/bibliography"/>
  </ds:schemaRefs>
</ds:datastoreItem>
</file>

<file path=customXml/itemProps2.xml><?xml version="1.0" encoding="utf-8"?>
<ds:datastoreItem xmlns:ds="http://schemas.openxmlformats.org/officeDocument/2006/customXml" ds:itemID="{538A1D81-6F6E-4EB5-97F7-5038AA7E42CA}"/>
</file>

<file path=customXml/itemProps3.xml><?xml version="1.0" encoding="utf-8"?>
<ds:datastoreItem xmlns:ds="http://schemas.openxmlformats.org/officeDocument/2006/customXml" ds:itemID="{F7182F2C-AB6B-4B19-BE28-A8381F0D4F93}"/>
</file>

<file path=customXml/itemProps4.xml><?xml version="1.0" encoding="utf-8"?>
<ds:datastoreItem xmlns:ds="http://schemas.openxmlformats.org/officeDocument/2006/customXml" ds:itemID="{3406A245-9A9A-445C-B69C-F72CBA013E10}"/>
</file>

<file path=docProps/app.xml><?xml version="1.0" encoding="utf-8"?>
<Properties xmlns="http://schemas.openxmlformats.org/officeDocument/2006/extended-properties" xmlns:vt="http://schemas.openxmlformats.org/officeDocument/2006/docPropsVTypes">
  <Template>Normal.dotm</Template>
  <TotalTime>0</TotalTime>
  <Pages>50</Pages>
  <Words>23728</Words>
  <Characters>135252</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158663</CharactersWithSpaces>
  <SharedDoc>false</SharedDoc>
  <HLinks>
    <vt:vector size="60" baseType="variant">
      <vt:variant>
        <vt:i4>6684716</vt:i4>
      </vt:variant>
      <vt:variant>
        <vt:i4>183</vt:i4>
      </vt:variant>
      <vt:variant>
        <vt:i4>0</vt:i4>
      </vt:variant>
      <vt:variant>
        <vt:i4>5</vt:i4>
      </vt:variant>
      <vt:variant>
        <vt:lpwstr>http://msac.gov.au/internet/msac/publishing.nsf/Content/Home-1</vt:lpwstr>
      </vt:variant>
      <vt:variant>
        <vt:lpwstr/>
      </vt:variant>
      <vt:variant>
        <vt:i4>4128878</vt:i4>
      </vt:variant>
      <vt:variant>
        <vt:i4>177</vt:i4>
      </vt:variant>
      <vt:variant>
        <vt:i4>0</vt:i4>
      </vt:variant>
      <vt:variant>
        <vt:i4>5</vt:i4>
      </vt:variant>
      <vt:variant>
        <vt:lpwstr>https://www.safetyandquality.gov.au/our-work/healthcare-variation/fourth-atlas-2021/ear-nose-and-throat-surgery-children-and-young-people/31-tonsillectomy-hospitalisations-17-years-and-under</vt:lpwstr>
      </vt:variant>
      <vt:variant>
        <vt:lpwstr/>
      </vt:variant>
      <vt:variant>
        <vt:i4>4128878</vt:i4>
      </vt:variant>
      <vt:variant>
        <vt:i4>174</vt:i4>
      </vt:variant>
      <vt:variant>
        <vt:i4>0</vt:i4>
      </vt:variant>
      <vt:variant>
        <vt:i4>5</vt:i4>
      </vt:variant>
      <vt:variant>
        <vt:lpwstr>https://www.safetyandquality.gov.au/our-work/healthcare-variation/fourth-atlas-2021/ear-nose-and-throat-surgery-children-and-young-people/31-tonsillectomy-hospitalisations-17-years-and-under</vt:lpwstr>
      </vt:variant>
      <vt:variant>
        <vt:lpwstr/>
      </vt:variant>
      <vt:variant>
        <vt:i4>2556011</vt:i4>
      </vt:variant>
      <vt:variant>
        <vt:i4>171</vt:i4>
      </vt:variant>
      <vt:variant>
        <vt:i4>0</vt:i4>
      </vt:variant>
      <vt:variant>
        <vt:i4>5</vt:i4>
      </vt:variant>
      <vt:variant>
        <vt:lpwstr>http://www.msac.gov.au/internet/msac/publishing.nsf/Content/1130-public</vt:lpwstr>
      </vt:variant>
      <vt:variant>
        <vt:lpwstr/>
      </vt:variant>
      <vt:variant>
        <vt:i4>6815800</vt:i4>
      </vt:variant>
      <vt:variant>
        <vt:i4>12</vt:i4>
      </vt:variant>
      <vt:variant>
        <vt:i4>0</vt:i4>
      </vt:variant>
      <vt:variant>
        <vt:i4>5</vt:i4>
      </vt:variant>
      <vt:variant>
        <vt:lpwstr>http://www.msac.gov.au/internet/msac/publishing.nsf/Content/6D179C512E2170A7CA25801000123B34/$File/1130_MSAC_PSD.pdf</vt:lpwstr>
      </vt:variant>
      <vt:variant>
        <vt:lpwstr/>
      </vt:variant>
      <vt:variant>
        <vt:i4>2556011</vt:i4>
      </vt:variant>
      <vt:variant>
        <vt:i4>6</vt:i4>
      </vt:variant>
      <vt:variant>
        <vt:i4>0</vt:i4>
      </vt:variant>
      <vt:variant>
        <vt:i4>5</vt:i4>
      </vt:variant>
      <vt:variant>
        <vt:lpwstr>http://www.msac.gov.au/internet/msac/publishing.nsf/Content/1130-public</vt:lpwstr>
      </vt:variant>
      <vt:variant>
        <vt:lpwstr/>
      </vt:variant>
      <vt:variant>
        <vt:i4>2556011</vt:i4>
      </vt:variant>
      <vt:variant>
        <vt:i4>3</vt:i4>
      </vt:variant>
      <vt:variant>
        <vt:i4>0</vt:i4>
      </vt:variant>
      <vt:variant>
        <vt:i4>5</vt:i4>
      </vt:variant>
      <vt:variant>
        <vt:lpwstr>http://www.msac.gov.au/internet/msac/publishing.nsf/Content/1130-public</vt:lpwstr>
      </vt:variant>
      <vt:variant>
        <vt:lpwstr/>
      </vt:variant>
      <vt:variant>
        <vt:i4>3997744</vt:i4>
      </vt:variant>
      <vt:variant>
        <vt:i4>0</vt:i4>
      </vt:variant>
      <vt:variant>
        <vt:i4>0</vt:i4>
      </vt:variant>
      <vt:variant>
        <vt:i4>5</vt:i4>
      </vt:variant>
      <vt:variant>
        <vt:lpwstr>http://www.msac.gov.au/</vt:lpwstr>
      </vt:variant>
      <vt:variant>
        <vt:lpwstr/>
      </vt:variant>
      <vt:variant>
        <vt:i4>131078</vt:i4>
      </vt:variant>
      <vt:variant>
        <vt:i4>3</vt:i4>
      </vt:variant>
      <vt:variant>
        <vt:i4>0</vt:i4>
      </vt:variant>
      <vt:variant>
        <vt:i4>5</vt:i4>
      </vt:variant>
      <vt:variant>
        <vt:lpwstr>https://pubmed.ncbi.nlm.nih.gov/38051336/</vt:lpwstr>
      </vt:variant>
      <vt:variant>
        <vt:lpwstr/>
      </vt:variant>
      <vt:variant>
        <vt:i4>3145854</vt:i4>
      </vt:variant>
      <vt:variant>
        <vt:i4>0</vt:i4>
      </vt:variant>
      <vt:variant>
        <vt:i4>0</vt:i4>
      </vt:variant>
      <vt:variant>
        <vt:i4>5</vt:i4>
      </vt:variant>
      <vt:variant>
        <vt:lpwstr>https://doi.org/10.1016/j.sleep.2017.03.020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2024-06-17T04:23:00Z</dcterms:created>
  <dcterms:modified xsi:type="dcterms:W3CDTF">2024-06-17T04:23:00Z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ies>
</file>